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0AC1FC" w14:textId="10C0CFFE" w:rsidR="0098604D" w:rsidRDefault="00EB7C89" w:rsidP="00EB7C89">
      <w:pPr>
        <w:spacing w:line="360" w:lineRule="auto"/>
        <w:jc w:val="center"/>
        <w:rPr>
          <w:b/>
        </w:rPr>
      </w:pPr>
      <w:r w:rsidRPr="00755BD4">
        <w:rPr>
          <w:b/>
        </w:rPr>
        <w:t xml:space="preserve">SUPPLEMENTARY </w:t>
      </w:r>
      <w:r>
        <w:rPr>
          <w:b/>
        </w:rPr>
        <w:t>M</w:t>
      </w:r>
      <w:r w:rsidRPr="00755BD4">
        <w:rPr>
          <w:b/>
        </w:rPr>
        <w:t>ATERIAL 1</w:t>
      </w:r>
    </w:p>
    <w:p w14:paraId="3CC0CDCB" w14:textId="392BF3FE" w:rsidR="0098604D" w:rsidRPr="00EB7C89" w:rsidRDefault="0098604D" w:rsidP="00EB7C89">
      <w:pPr>
        <w:spacing w:line="360" w:lineRule="auto"/>
        <w:jc w:val="center"/>
        <w:rPr>
          <w:b/>
          <w:bCs/>
        </w:rPr>
      </w:pPr>
      <w:r w:rsidRPr="00EB7C89">
        <w:rPr>
          <w:b/>
          <w:bCs/>
        </w:rPr>
        <w:t xml:space="preserve">Summary of </w:t>
      </w:r>
      <w:r w:rsidR="00EB7C89" w:rsidRPr="00EB7C89">
        <w:rPr>
          <w:b/>
          <w:bCs/>
        </w:rPr>
        <w:t>R</w:t>
      </w:r>
      <w:r w:rsidRPr="00EB7C89">
        <w:rPr>
          <w:b/>
          <w:bCs/>
        </w:rPr>
        <w:t xml:space="preserve">elevant </w:t>
      </w:r>
      <w:r w:rsidR="007E0ED2">
        <w:rPr>
          <w:b/>
          <w:bCs/>
        </w:rPr>
        <w:t>Studies</w:t>
      </w:r>
      <w:r w:rsidRPr="00EB7C89">
        <w:rPr>
          <w:b/>
          <w:bCs/>
        </w:rPr>
        <w:t xml:space="preserve"> in </w:t>
      </w:r>
      <w:r w:rsidR="00EB7C89" w:rsidRPr="00EB7C89">
        <w:rPr>
          <w:b/>
          <w:bCs/>
        </w:rPr>
        <w:t>B</w:t>
      </w:r>
      <w:r w:rsidRPr="00EB7C89">
        <w:rPr>
          <w:b/>
          <w:bCs/>
        </w:rPr>
        <w:t>uyer-</w:t>
      </w:r>
      <w:r w:rsidR="00EB7C89" w:rsidRPr="00EB7C89">
        <w:rPr>
          <w:b/>
          <w:bCs/>
        </w:rPr>
        <w:t>S</w:t>
      </w:r>
      <w:r w:rsidRPr="00EB7C89">
        <w:rPr>
          <w:b/>
          <w:bCs/>
        </w:rPr>
        <w:t xml:space="preserve">upplier </w:t>
      </w:r>
      <w:r w:rsidR="00EB7C89" w:rsidRPr="00EB7C89">
        <w:rPr>
          <w:b/>
          <w:bCs/>
        </w:rPr>
        <w:t>P</w:t>
      </w:r>
      <w:r w:rsidRPr="00EB7C89">
        <w:rPr>
          <w:b/>
          <w:bCs/>
        </w:rPr>
        <w:t xml:space="preserve">ower </w:t>
      </w:r>
      <w:r w:rsidR="00EB7C89" w:rsidRPr="00EB7C89">
        <w:rPr>
          <w:b/>
          <w:bCs/>
        </w:rPr>
        <w:t>Li</w:t>
      </w:r>
      <w:r w:rsidRPr="00EB7C89">
        <w:rPr>
          <w:b/>
          <w:bCs/>
        </w:rPr>
        <w:t>terature</w:t>
      </w:r>
    </w:p>
    <w:p w14:paraId="5BC28533" w14:textId="77777777" w:rsidR="00EB7C89" w:rsidRDefault="00EB7C89" w:rsidP="00EB7C89">
      <w:pPr>
        <w:spacing w:line="240" w:lineRule="auto"/>
        <w:jc w:val="center"/>
      </w:pPr>
    </w:p>
    <w:tbl>
      <w:tblPr>
        <w:tblStyle w:val="TableGrid"/>
        <w:tblW w:w="14215" w:type="dxa"/>
        <w:tblInd w:w="-545" w:type="dxa"/>
        <w:tblLook w:val="04A0" w:firstRow="1" w:lastRow="0" w:firstColumn="1" w:lastColumn="0" w:noHBand="0" w:noVBand="1"/>
      </w:tblPr>
      <w:tblGrid>
        <w:gridCol w:w="1615"/>
        <w:gridCol w:w="3420"/>
        <w:gridCol w:w="4500"/>
        <w:gridCol w:w="4680"/>
      </w:tblGrid>
      <w:tr w:rsidR="0098604D" w:rsidRPr="00175B37" w14:paraId="3668E76D" w14:textId="77777777" w:rsidTr="0003496E">
        <w:tc>
          <w:tcPr>
            <w:tcW w:w="1615" w:type="dxa"/>
          </w:tcPr>
          <w:p w14:paraId="4BA3B824" w14:textId="77777777" w:rsidR="0098604D" w:rsidRPr="00175B37" w:rsidRDefault="0098604D" w:rsidP="0003496E">
            <w:pPr>
              <w:spacing w:line="240" w:lineRule="auto"/>
              <w:rPr>
                <w:sz w:val="20"/>
                <w:szCs w:val="20"/>
              </w:rPr>
            </w:pPr>
          </w:p>
        </w:tc>
        <w:tc>
          <w:tcPr>
            <w:tcW w:w="3420" w:type="dxa"/>
          </w:tcPr>
          <w:p w14:paraId="62DC1D49" w14:textId="43F35564" w:rsidR="0098604D" w:rsidRPr="00175B37" w:rsidRDefault="0098604D" w:rsidP="0003496E">
            <w:pPr>
              <w:spacing w:line="240" w:lineRule="auto"/>
              <w:rPr>
                <w:b/>
                <w:bCs/>
                <w:sz w:val="20"/>
                <w:szCs w:val="20"/>
              </w:rPr>
            </w:pPr>
            <w:r w:rsidRPr="00175B37">
              <w:rPr>
                <w:b/>
                <w:bCs/>
                <w:sz w:val="20"/>
                <w:szCs w:val="20"/>
              </w:rPr>
              <w:t xml:space="preserve">Research </w:t>
            </w:r>
            <w:r w:rsidR="00526AF2">
              <w:rPr>
                <w:b/>
                <w:bCs/>
                <w:sz w:val="20"/>
                <w:szCs w:val="20"/>
              </w:rPr>
              <w:t>Q</w:t>
            </w:r>
            <w:r w:rsidRPr="00175B37">
              <w:rPr>
                <w:b/>
                <w:bCs/>
                <w:sz w:val="20"/>
                <w:szCs w:val="20"/>
              </w:rPr>
              <w:t>uestion</w:t>
            </w:r>
          </w:p>
        </w:tc>
        <w:tc>
          <w:tcPr>
            <w:tcW w:w="4500" w:type="dxa"/>
          </w:tcPr>
          <w:p w14:paraId="315C5C0D" w14:textId="2CB3B8FE" w:rsidR="0098604D" w:rsidRPr="00175B37" w:rsidRDefault="0098604D" w:rsidP="0003496E">
            <w:pPr>
              <w:spacing w:line="240" w:lineRule="auto"/>
              <w:rPr>
                <w:b/>
                <w:bCs/>
                <w:sz w:val="20"/>
                <w:szCs w:val="20"/>
              </w:rPr>
            </w:pPr>
            <w:r w:rsidRPr="00175B37">
              <w:rPr>
                <w:b/>
                <w:bCs/>
                <w:sz w:val="20"/>
                <w:szCs w:val="20"/>
              </w:rPr>
              <w:t xml:space="preserve">Summary of the </w:t>
            </w:r>
            <w:r w:rsidR="00526AF2">
              <w:rPr>
                <w:b/>
                <w:bCs/>
                <w:sz w:val="20"/>
                <w:szCs w:val="20"/>
              </w:rPr>
              <w:t>Study</w:t>
            </w:r>
            <w:r w:rsidRPr="00175B37">
              <w:rPr>
                <w:b/>
                <w:bCs/>
                <w:sz w:val="20"/>
                <w:szCs w:val="20"/>
              </w:rPr>
              <w:t xml:space="preserve"> and </w:t>
            </w:r>
            <w:r w:rsidR="00526AF2">
              <w:rPr>
                <w:b/>
                <w:bCs/>
                <w:sz w:val="20"/>
                <w:szCs w:val="20"/>
              </w:rPr>
              <w:t>F</w:t>
            </w:r>
            <w:r w:rsidRPr="00175B37">
              <w:rPr>
                <w:b/>
                <w:bCs/>
                <w:sz w:val="20"/>
                <w:szCs w:val="20"/>
              </w:rPr>
              <w:t>indings</w:t>
            </w:r>
          </w:p>
        </w:tc>
        <w:tc>
          <w:tcPr>
            <w:tcW w:w="4680" w:type="dxa"/>
          </w:tcPr>
          <w:p w14:paraId="3F443318" w14:textId="0CF8883A" w:rsidR="0098604D" w:rsidRPr="00175B37" w:rsidRDefault="0098604D" w:rsidP="0003496E">
            <w:pPr>
              <w:spacing w:line="240" w:lineRule="auto"/>
              <w:rPr>
                <w:b/>
                <w:bCs/>
                <w:sz w:val="20"/>
                <w:szCs w:val="20"/>
              </w:rPr>
            </w:pPr>
            <w:r w:rsidRPr="00175B37">
              <w:rPr>
                <w:b/>
                <w:bCs/>
                <w:sz w:val="20"/>
                <w:szCs w:val="20"/>
              </w:rPr>
              <w:t xml:space="preserve">Position of </w:t>
            </w:r>
            <w:r w:rsidR="00526AF2">
              <w:rPr>
                <w:b/>
                <w:bCs/>
                <w:sz w:val="20"/>
                <w:szCs w:val="20"/>
              </w:rPr>
              <w:t>The Present</w:t>
            </w:r>
            <w:r w:rsidRPr="00175B37">
              <w:rPr>
                <w:b/>
                <w:bCs/>
                <w:sz w:val="20"/>
                <w:szCs w:val="20"/>
              </w:rPr>
              <w:t xml:space="preserve"> </w:t>
            </w:r>
            <w:r w:rsidR="00526AF2">
              <w:rPr>
                <w:b/>
                <w:bCs/>
                <w:sz w:val="20"/>
                <w:szCs w:val="20"/>
              </w:rPr>
              <w:t>Study</w:t>
            </w:r>
          </w:p>
        </w:tc>
      </w:tr>
      <w:tr w:rsidR="0098604D" w:rsidRPr="00175B37" w14:paraId="643F8C9A" w14:textId="77777777" w:rsidTr="0003496E">
        <w:trPr>
          <w:trHeight w:val="386"/>
        </w:trPr>
        <w:tc>
          <w:tcPr>
            <w:tcW w:w="1615" w:type="dxa"/>
          </w:tcPr>
          <w:p w14:paraId="718313EA" w14:textId="7AD6651E" w:rsidR="0098604D" w:rsidRDefault="0098604D" w:rsidP="0003496E">
            <w:pPr>
              <w:spacing w:line="240" w:lineRule="auto"/>
              <w:ind w:firstLine="0"/>
              <w:jc w:val="left"/>
              <w:rPr>
                <w:sz w:val="20"/>
                <w:szCs w:val="20"/>
              </w:rPr>
            </w:pPr>
            <w:r>
              <w:rPr>
                <w:sz w:val="20"/>
                <w:szCs w:val="20"/>
              </w:rPr>
              <w:t xml:space="preserve">Brito </w:t>
            </w:r>
            <w:r w:rsidR="000D08BD">
              <w:rPr>
                <w:sz w:val="20"/>
                <w:szCs w:val="20"/>
              </w:rPr>
              <w:t>and</w:t>
            </w:r>
            <w:r>
              <w:rPr>
                <w:sz w:val="20"/>
                <w:szCs w:val="20"/>
              </w:rPr>
              <w:t xml:space="preserve"> Miguel (2017)</w:t>
            </w:r>
          </w:p>
        </w:tc>
        <w:tc>
          <w:tcPr>
            <w:tcW w:w="3420" w:type="dxa"/>
          </w:tcPr>
          <w:p w14:paraId="4C9FF79C" w14:textId="0F8E49DF" w:rsidR="0098604D" w:rsidRPr="008200E5" w:rsidRDefault="0098604D" w:rsidP="008200E5">
            <w:pPr>
              <w:spacing w:line="240" w:lineRule="auto"/>
              <w:ind w:firstLine="0"/>
              <w:jc w:val="left"/>
              <w:rPr>
                <w:sz w:val="20"/>
                <w:szCs w:val="20"/>
              </w:rPr>
            </w:pPr>
            <w:r w:rsidRPr="008200E5">
              <w:rPr>
                <w:sz w:val="20"/>
                <w:szCs w:val="20"/>
              </w:rPr>
              <w:t>Power asymmetry in governance and how the total value is distributed.</w:t>
            </w:r>
          </w:p>
        </w:tc>
        <w:tc>
          <w:tcPr>
            <w:tcW w:w="4500" w:type="dxa"/>
          </w:tcPr>
          <w:p w14:paraId="2FEB0266" w14:textId="5F8B3E11" w:rsidR="0098604D" w:rsidRPr="008200E5" w:rsidRDefault="008200E5" w:rsidP="008200E5">
            <w:pPr>
              <w:spacing w:line="240" w:lineRule="auto"/>
              <w:ind w:firstLine="0"/>
              <w:jc w:val="left"/>
              <w:rPr>
                <w:sz w:val="20"/>
                <w:szCs w:val="20"/>
              </w:rPr>
            </w:pPr>
            <w:r w:rsidRPr="008200E5">
              <w:rPr>
                <w:sz w:val="20"/>
                <w:szCs w:val="20"/>
              </w:rPr>
              <w:t>-</w:t>
            </w:r>
            <w:r>
              <w:rPr>
                <w:sz w:val="20"/>
                <w:szCs w:val="20"/>
              </w:rPr>
              <w:t xml:space="preserve"> </w:t>
            </w:r>
            <w:r w:rsidR="0098604D" w:rsidRPr="008200E5">
              <w:rPr>
                <w:sz w:val="20"/>
                <w:szCs w:val="20"/>
              </w:rPr>
              <w:t>Stronger buyer will prefer contractual to reduce risk and dependence.</w:t>
            </w:r>
          </w:p>
          <w:p w14:paraId="65C7DE04" w14:textId="01094114" w:rsidR="0098604D" w:rsidRPr="008200E5" w:rsidRDefault="008200E5" w:rsidP="008200E5">
            <w:pPr>
              <w:spacing w:line="240" w:lineRule="auto"/>
              <w:ind w:firstLine="0"/>
              <w:jc w:val="left"/>
              <w:rPr>
                <w:sz w:val="20"/>
                <w:szCs w:val="20"/>
              </w:rPr>
            </w:pPr>
            <w:r w:rsidRPr="008200E5">
              <w:rPr>
                <w:sz w:val="20"/>
                <w:szCs w:val="20"/>
              </w:rPr>
              <w:t>-</w:t>
            </w:r>
            <w:r>
              <w:rPr>
                <w:sz w:val="20"/>
                <w:szCs w:val="20"/>
              </w:rPr>
              <w:t xml:space="preserve"> </w:t>
            </w:r>
            <w:r w:rsidR="0098604D" w:rsidRPr="008200E5">
              <w:rPr>
                <w:sz w:val="20"/>
                <w:szCs w:val="20"/>
              </w:rPr>
              <w:t xml:space="preserve">Weaker supplier will prefer relational governance mechanism </w:t>
            </w:r>
            <w:proofErr w:type="gramStart"/>
            <w:r w:rsidR="0098604D" w:rsidRPr="008200E5">
              <w:rPr>
                <w:sz w:val="20"/>
                <w:szCs w:val="20"/>
              </w:rPr>
              <w:t>as a way to</w:t>
            </w:r>
            <w:proofErr w:type="gramEnd"/>
            <w:r w:rsidR="0098604D" w:rsidRPr="008200E5">
              <w:rPr>
                <w:sz w:val="20"/>
                <w:szCs w:val="20"/>
              </w:rPr>
              <w:t xml:space="preserve"> reduce uncertainty and ensure survival.</w:t>
            </w:r>
          </w:p>
          <w:p w14:paraId="3F9D2CEC" w14:textId="5295E13B" w:rsidR="0098604D" w:rsidRPr="008200E5" w:rsidRDefault="008200E5" w:rsidP="008200E5">
            <w:pPr>
              <w:spacing w:line="240" w:lineRule="auto"/>
              <w:ind w:firstLine="0"/>
              <w:jc w:val="left"/>
              <w:rPr>
                <w:sz w:val="20"/>
                <w:szCs w:val="20"/>
              </w:rPr>
            </w:pPr>
            <w:r w:rsidRPr="008200E5">
              <w:rPr>
                <w:sz w:val="20"/>
                <w:szCs w:val="20"/>
              </w:rPr>
              <w:t>-</w:t>
            </w:r>
            <w:r>
              <w:rPr>
                <w:sz w:val="20"/>
                <w:szCs w:val="20"/>
              </w:rPr>
              <w:t xml:space="preserve"> </w:t>
            </w:r>
            <w:r w:rsidR="0098604D" w:rsidRPr="008200E5">
              <w:rPr>
                <w:sz w:val="20"/>
                <w:szCs w:val="20"/>
              </w:rPr>
              <w:t xml:space="preserve">The stronger buyer will appropriate </w:t>
            </w:r>
            <w:proofErr w:type="gramStart"/>
            <w:r w:rsidR="0098604D" w:rsidRPr="008200E5">
              <w:rPr>
                <w:sz w:val="20"/>
                <w:szCs w:val="20"/>
              </w:rPr>
              <w:t>most of</w:t>
            </w:r>
            <w:proofErr w:type="gramEnd"/>
            <w:r w:rsidR="0098604D" w:rsidRPr="008200E5">
              <w:rPr>
                <w:sz w:val="20"/>
                <w:szCs w:val="20"/>
              </w:rPr>
              <w:t xml:space="preserve"> the value inside the dyad and the weaker supplier will seek appropriate value primarily outside the dyad.</w:t>
            </w:r>
          </w:p>
          <w:p w14:paraId="0BD1420A" w14:textId="5B0F342A" w:rsidR="0098604D" w:rsidRPr="008200E5" w:rsidRDefault="008200E5" w:rsidP="008200E5">
            <w:pPr>
              <w:spacing w:line="240" w:lineRule="auto"/>
              <w:ind w:firstLine="0"/>
              <w:jc w:val="left"/>
              <w:rPr>
                <w:sz w:val="20"/>
                <w:szCs w:val="20"/>
              </w:rPr>
            </w:pPr>
            <w:r w:rsidRPr="008200E5">
              <w:rPr>
                <w:sz w:val="20"/>
                <w:szCs w:val="20"/>
              </w:rPr>
              <w:t>-</w:t>
            </w:r>
            <w:r>
              <w:rPr>
                <w:sz w:val="20"/>
                <w:szCs w:val="20"/>
              </w:rPr>
              <w:t xml:space="preserve"> </w:t>
            </w:r>
            <w:r w:rsidR="0098604D" w:rsidRPr="008200E5">
              <w:rPr>
                <w:sz w:val="20"/>
                <w:szCs w:val="20"/>
              </w:rPr>
              <w:t>Perceived justice will have limited influence on the continuity of the buyer-supplier relationship.</w:t>
            </w:r>
          </w:p>
        </w:tc>
        <w:tc>
          <w:tcPr>
            <w:tcW w:w="4680" w:type="dxa"/>
          </w:tcPr>
          <w:p w14:paraId="75DF271D" w14:textId="02BF883E" w:rsidR="0098604D" w:rsidRPr="008200E5" w:rsidRDefault="008200E5" w:rsidP="008200E5">
            <w:pPr>
              <w:spacing w:line="240" w:lineRule="auto"/>
              <w:ind w:firstLine="0"/>
              <w:jc w:val="left"/>
              <w:rPr>
                <w:sz w:val="20"/>
                <w:szCs w:val="20"/>
              </w:rPr>
            </w:pPr>
            <w:r w:rsidRPr="008200E5">
              <w:rPr>
                <w:sz w:val="20"/>
                <w:szCs w:val="20"/>
              </w:rPr>
              <w:t>-</w:t>
            </w:r>
            <w:r>
              <w:rPr>
                <w:sz w:val="20"/>
                <w:szCs w:val="20"/>
              </w:rPr>
              <w:t xml:space="preserve"> </w:t>
            </w:r>
            <w:r w:rsidR="0098604D" w:rsidRPr="008200E5">
              <w:rPr>
                <w:sz w:val="20"/>
                <w:szCs w:val="20"/>
              </w:rPr>
              <w:t>While we also discussed relational strategies, they are mostly toward securing critical supplies in case of disruptions.</w:t>
            </w:r>
          </w:p>
          <w:p w14:paraId="0CEC6731" w14:textId="5F33BB78" w:rsidR="0098604D" w:rsidRPr="008200E5" w:rsidRDefault="008200E5" w:rsidP="008200E5">
            <w:pPr>
              <w:spacing w:line="240" w:lineRule="auto"/>
              <w:ind w:firstLine="0"/>
              <w:jc w:val="left"/>
              <w:rPr>
                <w:sz w:val="20"/>
                <w:szCs w:val="20"/>
              </w:rPr>
            </w:pPr>
            <w:r w:rsidRPr="008200E5">
              <w:rPr>
                <w:sz w:val="20"/>
                <w:szCs w:val="20"/>
              </w:rPr>
              <w:t>-</w:t>
            </w:r>
            <w:r>
              <w:rPr>
                <w:sz w:val="20"/>
                <w:szCs w:val="20"/>
              </w:rPr>
              <w:t xml:space="preserve"> </w:t>
            </w:r>
            <w:r w:rsidR="0098604D" w:rsidRPr="008200E5">
              <w:rPr>
                <w:sz w:val="20"/>
                <w:szCs w:val="20"/>
              </w:rPr>
              <w:t>Governance is out of scope for our research.</w:t>
            </w:r>
          </w:p>
        </w:tc>
      </w:tr>
      <w:tr w:rsidR="0098604D" w:rsidRPr="00175B37" w14:paraId="61F8D1BC" w14:textId="77777777" w:rsidTr="0003496E">
        <w:trPr>
          <w:trHeight w:val="386"/>
        </w:trPr>
        <w:tc>
          <w:tcPr>
            <w:tcW w:w="1615" w:type="dxa"/>
          </w:tcPr>
          <w:p w14:paraId="7501ECEC" w14:textId="77777777" w:rsidR="0098604D" w:rsidRDefault="0098604D" w:rsidP="0003496E">
            <w:pPr>
              <w:spacing w:line="240" w:lineRule="auto"/>
              <w:ind w:firstLine="0"/>
              <w:jc w:val="left"/>
              <w:rPr>
                <w:sz w:val="20"/>
                <w:szCs w:val="20"/>
              </w:rPr>
            </w:pPr>
            <w:r>
              <w:rPr>
                <w:sz w:val="20"/>
                <w:szCs w:val="20"/>
              </w:rPr>
              <w:t xml:space="preserve">Chae </w:t>
            </w:r>
            <w:r w:rsidRPr="000D08BD">
              <w:rPr>
                <w:i/>
                <w:iCs/>
                <w:sz w:val="20"/>
                <w:szCs w:val="20"/>
              </w:rPr>
              <w:t>et al.</w:t>
            </w:r>
            <w:r>
              <w:rPr>
                <w:sz w:val="20"/>
                <w:szCs w:val="20"/>
              </w:rPr>
              <w:t xml:space="preserve"> (2017)</w:t>
            </w:r>
          </w:p>
        </w:tc>
        <w:tc>
          <w:tcPr>
            <w:tcW w:w="3420" w:type="dxa"/>
          </w:tcPr>
          <w:p w14:paraId="65EB1909" w14:textId="0B6415EF" w:rsidR="0098604D" w:rsidRPr="00A849C9" w:rsidRDefault="0098604D" w:rsidP="00A849C9">
            <w:pPr>
              <w:spacing w:line="240" w:lineRule="auto"/>
              <w:ind w:firstLine="0"/>
              <w:jc w:val="left"/>
              <w:rPr>
                <w:sz w:val="20"/>
                <w:szCs w:val="20"/>
              </w:rPr>
            </w:pPr>
            <w:r w:rsidRPr="00A849C9">
              <w:rPr>
                <w:sz w:val="20"/>
                <w:szCs w:val="20"/>
              </w:rPr>
              <w:t>How buyer power affects supplier commitment</w:t>
            </w:r>
          </w:p>
        </w:tc>
        <w:tc>
          <w:tcPr>
            <w:tcW w:w="4500" w:type="dxa"/>
          </w:tcPr>
          <w:p w14:paraId="072C5F7D" w14:textId="0A7A6D7A" w:rsidR="0098604D" w:rsidRPr="00A849C9" w:rsidRDefault="00A849C9" w:rsidP="00A849C9">
            <w:pPr>
              <w:spacing w:line="240" w:lineRule="auto"/>
              <w:ind w:firstLine="0"/>
              <w:jc w:val="left"/>
              <w:rPr>
                <w:sz w:val="20"/>
                <w:szCs w:val="20"/>
              </w:rPr>
            </w:pPr>
            <w:r w:rsidRPr="008200E5">
              <w:rPr>
                <w:sz w:val="20"/>
                <w:szCs w:val="20"/>
              </w:rPr>
              <w:t>-</w:t>
            </w:r>
            <w:r>
              <w:rPr>
                <w:sz w:val="20"/>
                <w:szCs w:val="20"/>
              </w:rPr>
              <w:t xml:space="preserve"> </w:t>
            </w:r>
            <w:r w:rsidR="0098604D" w:rsidRPr="00A849C9">
              <w:rPr>
                <w:sz w:val="20"/>
                <w:szCs w:val="20"/>
              </w:rPr>
              <w:t>Buyer’s reward power enhances the supplier’s relationship commitment while its coercive power hampers it.</w:t>
            </w:r>
          </w:p>
          <w:p w14:paraId="4C58037E" w14:textId="1A12A248" w:rsidR="0098604D" w:rsidRPr="00A849C9" w:rsidRDefault="00A849C9" w:rsidP="00A849C9">
            <w:pPr>
              <w:spacing w:line="240" w:lineRule="auto"/>
              <w:ind w:firstLine="0"/>
              <w:jc w:val="left"/>
              <w:rPr>
                <w:sz w:val="20"/>
                <w:szCs w:val="20"/>
              </w:rPr>
            </w:pPr>
            <w:r w:rsidRPr="008200E5">
              <w:rPr>
                <w:sz w:val="20"/>
                <w:szCs w:val="20"/>
              </w:rPr>
              <w:t>-</w:t>
            </w:r>
            <w:r>
              <w:rPr>
                <w:sz w:val="20"/>
                <w:szCs w:val="20"/>
              </w:rPr>
              <w:t xml:space="preserve"> </w:t>
            </w:r>
            <w:r w:rsidR="0098604D" w:rsidRPr="00A849C9">
              <w:rPr>
                <w:sz w:val="20"/>
                <w:szCs w:val="20"/>
              </w:rPr>
              <w:t>Non-mediated powers strengthen the positive relationship between the buyer’s reward power and supplier’s relationship commitment.</w:t>
            </w:r>
          </w:p>
          <w:p w14:paraId="678AE4BE" w14:textId="251CB047" w:rsidR="0098604D" w:rsidRPr="00A849C9" w:rsidRDefault="00A849C9" w:rsidP="00A849C9">
            <w:pPr>
              <w:spacing w:line="240" w:lineRule="auto"/>
              <w:ind w:firstLine="0"/>
              <w:jc w:val="left"/>
              <w:rPr>
                <w:sz w:val="20"/>
                <w:szCs w:val="20"/>
              </w:rPr>
            </w:pPr>
            <w:r w:rsidRPr="008200E5">
              <w:rPr>
                <w:sz w:val="20"/>
                <w:szCs w:val="20"/>
              </w:rPr>
              <w:t>-</w:t>
            </w:r>
            <w:r>
              <w:rPr>
                <w:sz w:val="20"/>
                <w:szCs w:val="20"/>
              </w:rPr>
              <w:t xml:space="preserve"> </w:t>
            </w:r>
            <w:r w:rsidR="0098604D" w:rsidRPr="00A849C9">
              <w:rPr>
                <w:sz w:val="20"/>
                <w:szCs w:val="20"/>
              </w:rPr>
              <w:t>Non-mediated powers increase the negative relationship between coercive power and relationship commitment.</w:t>
            </w:r>
          </w:p>
          <w:p w14:paraId="56764369" w14:textId="79769570" w:rsidR="0098604D" w:rsidRPr="00A849C9" w:rsidRDefault="00A849C9" w:rsidP="00A849C9">
            <w:pPr>
              <w:spacing w:line="240" w:lineRule="auto"/>
              <w:ind w:firstLine="0"/>
              <w:jc w:val="left"/>
              <w:rPr>
                <w:sz w:val="20"/>
                <w:szCs w:val="20"/>
              </w:rPr>
            </w:pPr>
            <w:r w:rsidRPr="008200E5">
              <w:rPr>
                <w:sz w:val="20"/>
                <w:szCs w:val="20"/>
              </w:rPr>
              <w:t>-</w:t>
            </w:r>
            <w:r>
              <w:rPr>
                <w:sz w:val="20"/>
                <w:szCs w:val="20"/>
              </w:rPr>
              <w:t xml:space="preserve"> </w:t>
            </w:r>
            <w:r w:rsidR="0098604D" w:rsidRPr="00A849C9">
              <w:rPr>
                <w:sz w:val="20"/>
                <w:szCs w:val="20"/>
              </w:rPr>
              <w:t>Reward power alleviates the negative relationship between coercive power and relationship commitment.</w:t>
            </w:r>
          </w:p>
        </w:tc>
        <w:tc>
          <w:tcPr>
            <w:tcW w:w="4680" w:type="dxa"/>
          </w:tcPr>
          <w:p w14:paraId="1204ECB0" w14:textId="2E51D910" w:rsidR="0098604D" w:rsidRPr="00A849C9" w:rsidRDefault="0098604D" w:rsidP="00A849C9">
            <w:pPr>
              <w:spacing w:line="240" w:lineRule="auto"/>
              <w:ind w:firstLine="0"/>
              <w:jc w:val="left"/>
              <w:rPr>
                <w:sz w:val="20"/>
                <w:szCs w:val="20"/>
              </w:rPr>
            </w:pPr>
            <w:r w:rsidRPr="00A849C9">
              <w:rPr>
                <w:sz w:val="20"/>
                <w:szCs w:val="20"/>
              </w:rPr>
              <w:t xml:space="preserve">While Chae </w:t>
            </w:r>
            <w:r w:rsidRPr="0096561B">
              <w:rPr>
                <w:i/>
                <w:iCs/>
                <w:sz w:val="20"/>
                <w:szCs w:val="20"/>
              </w:rPr>
              <w:t>et al.</w:t>
            </w:r>
            <w:r w:rsidRPr="00A849C9">
              <w:rPr>
                <w:sz w:val="20"/>
                <w:szCs w:val="20"/>
              </w:rPr>
              <w:t xml:space="preserve"> (2017) focused on elements that affect relationship commitment, we focused on procurement strategies to deal with supply disruptions/shortages from dominant suppliers in concentrated supplier market.</w:t>
            </w:r>
          </w:p>
        </w:tc>
      </w:tr>
      <w:tr w:rsidR="0098604D" w:rsidRPr="00175B37" w14:paraId="7140D7B7" w14:textId="77777777" w:rsidTr="0003496E">
        <w:trPr>
          <w:trHeight w:val="386"/>
        </w:trPr>
        <w:tc>
          <w:tcPr>
            <w:tcW w:w="1615" w:type="dxa"/>
          </w:tcPr>
          <w:p w14:paraId="2193032C" w14:textId="77777777" w:rsidR="0098604D" w:rsidRDefault="0098604D" w:rsidP="0003496E">
            <w:pPr>
              <w:spacing w:line="240" w:lineRule="auto"/>
              <w:ind w:firstLine="0"/>
              <w:jc w:val="left"/>
              <w:rPr>
                <w:sz w:val="20"/>
                <w:szCs w:val="20"/>
              </w:rPr>
            </w:pPr>
            <w:r>
              <w:rPr>
                <w:sz w:val="20"/>
                <w:szCs w:val="20"/>
              </w:rPr>
              <w:t xml:space="preserve">Crook </w:t>
            </w:r>
            <w:r w:rsidRPr="000D08BD">
              <w:rPr>
                <w:i/>
                <w:iCs/>
                <w:sz w:val="20"/>
                <w:szCs w:val="20"/>
              </w:rPr>
              <w:t>et al.</w:t>
            </w:r>
            <w:r>
              <w:rPr>
                <w:sz w:val="20"/>
                <w:szCs w:val="20"/>
              </w:rPr>
              <w:t xml:space="preserve"> (2017)</w:t>
            </w:r>
          </w:p>
        </w:tc>
        <w:tc>
          <w:tcPr>
            <w:tcW w:w="3420" w:type="dxa"/>
          </w:tcPr>
          <w:p w14:paraId="1FED7BB7" w14:textId="77777777" w:rsidR="0098604D" w:rsidRPr="00A849C9" w:rsidRDefault="0098604D" w:rsidP="00A849C9">
            <w:pPr>
              <w:spacing w:line="240" w:lineRule="auto"/>
              <w:ind w:firstLine="0"/>
              <w:jc w:val="left"/>
              <w:rPr>
                <w:sz w:val="20"/>
                <w:szCs w:val="20"/>
              </w:rPr>
            </w:pPr>
            <w:r w:rsidRPr="00A849C9">
              <w:rPr>
                <w:sz w:val="20"/>
                <w:szCs w:val="20"/>
              </w:rPr>
              <w:t>When power-advantaged firms should not and cannot use their power.</w:t>
            </w:r>
          </w:p>
        </w:tc>
        <w:tc>
          <w:tcPr>
            <w:tcW w:w="4500" w:type="dxa"/>
          </w:tcPr>
          <w:p w14:paraId="74AFCEF4" w14:textId="7AD0986D" w:rsidR="0098604D" w:rsidRPr="00A849C9" w:rsidRDefault="00A849C9" w:rsidP="00A849C9">
            <w:pPr>
              <w:spacing w:line="240" w:lineRule="auto"/>
              <w:ind w:firstLine="0"/>
              <w:jc w:val="left"/>
              <w:rPr>
                <w:sz w:val="20"/>
                <w:szCs w:val="20"/>
              </w:rPr>
            </w:pPr>
            <w:r w:rsidRPr="008200E5">
              <w:rPr>
                <w:sz w:val="20"/>
                <w:szCs w:val="20"/>
              </w:rPr>
              <w:t>-</w:t>
            </w:r>
            <w:r>
              <w:rPr>
                <w:sz w:val="20"/>
                <w:szCs w:val="20"/>
              </w:rPr>
              <w:t xml:space="preserve"> </w:t>
            </w:r>
            <w:r w:rsidR="0098604D" w:rsidRPr="00A849C9">
              <w:rPr>
                <w:sz w:val="20"/>
                <w:szCs w:val="20"/>
              </w:rPr>
              <w:t xml:space="preserve">Put forward the concept of </w:t>
            </w:r>
            <w:r w:rsidR="0098604D" w:rsidRPr="00A849C9">
              <w:rPr>
                <w:i/>
                <w:iCs/>
                <w:sz w:val="20"/>
                <w:szCs w:val="20"/>
              </w:rPr>
              <w:t>constraint mitigation</w:t>
            </w:r>
            <w:r w:rsidR="0098604D" w:rsidRPr="00A849C9">
              <w:rPr>
                <w:sz w:val="20"/>
                <w:szCs w:val="20"/>
              </w:rPr>
              <w:t>, where firms relinquish power in mutually dependent contexts.</w:t>
            </w:r>
          </w:p>
          <w:p w14:paraId="17A35EAE" w14:textId="51697B77" w:rsidR="0098604D" w:rsidRPr="00A849C9" w:rsidRDefault="00A849C9" w:rsidP="00A849C9">
            <w:pPr>
              <w:spacing w:line="240" w:lineRule="auto"/>
              <w:ind w:firstLine="0"/>
              <w:jc w:val="left"/>
              <w:rPr>
                <w:sz w:val="20"/>
                <w:szCs w:val="20"/>
              </w:rPr>
            </w:pPr>
            <w:r w:rsidRPr="008200E5">
              <w:rPr>
                <w:sz w:val="20"/>
                <w:szCs w:val="20"/>
              </w:rPr>
              <w:t>-</w:t>
            </w:r>
            <w:r>
              <w:rPr>
                <w:sz w:val="20"/>
                <w:szCs w:val="20"/>
              </w:rPr>
              <w:t xml:space="preserve"> </w:t>
            </w:r>
            <w:r w:rsidR="0098604D" w:rsidRPr="00A849C9">
              <w:rPr>
                <w:sz w:val="20"/>
                <w:szCs w:val="20"/>
              </w:rPr>
              <w:t xml:space="preserve">Theorized that </w:t>
            </w:r>
            <w:r w:rsidR="0098604D" w:rsidRPr="00A849C9">
              <w:rPr>
                <w:i/>
                <w:iCs/>
                <w:sz w:val="20"/>
                <w:szCs w:val="20"/>
              </w:rPr>
              <w:t>exchange diffusion</w:t>
            </w:r>
            <w:r w:rsidR="0098604D" w:rsidRPr="00A849C9">
              <w:rPr>
                <w:sz w:val="20"/>
                <w:szCs w:val="20"/>
              </w:rPr>
              <w:t xml:space="preserve"> disarms the stronger firms, regardless of self- or partner-inflicted.</w:t>
            </w:r>
          </w:p>
        </w:tc>
        <w:tc>
          <w:tcPr>
            <w:tcW w:w="4680" w:type="dxa"/>
          </w:tcPr>
          <w:p w14:paraId="7173EC3C" w14:textId="5EB157AD" w:rsidR="0098604D" w:rsidRPr="00A849C9" w:rsidRDefault="00A849C9" w:rsidP="00A849C9">
            <w:pPr>
              <w:spacing w:line="240" w:lineRule="auto"/>
              <w:ind w:firstLine="0"/>
              <w:jc w:val="left"/>
              <w:rPr>
                <w:sz w:val="20"/>
                <w:szCs w:val="20"/>
              </w:rPr>
            </w:pPr>
            <w:r w:rsidRPr="008200E5">
              <w:rPr>
                <w:sz w:val="20"/>
                <w:szCs w:val="20"/>
              </w:rPr>
              <w:t>-</w:t>
            </w:r>
            <w:r>
              <w:rPr>
                <w:sz w:val="20"/>
                <w:szCs w:val="20"/>
              </w:rPr>
              <w:t xml:space="preserve">  </w:t>
            </w:r>
            <w:r w:rsidR="0098604D" w:rsidRPr="00A849C9">
              <w:rPr>
                <w:sz w:val="20"/>
                <w:szCs w:val="20"/>
              </w:rPr>
              <w:t>We studied procurement strategies from the weaker buyer’s perspective to secure supply during disruptions.</w:t>
            </w:r>
          </w:p>
          <w:p w14:paraId="073AAE64" w14:textId="34B08E97" w:rsidR="0098604D" w:rsidRPr="00A849C9" w:rsidRDefault="00A849C9" w:rsidP="00A849C9">
            <w:pPr>
              <w:spacing w:line="240" w:lineRule="auto"/>
              <w:ind w:firstLine="0"/>
              <w:jc w:val="left"/>
              <w:rPr>
                <w:sz w:val="20"/>
                <w:szCs w:val="20"/>
              </w:rPr>
            </w:pPr>
            <w:r w:rsidRPr="008200E5">
              <w:rPr>
                <w:sz w:val="20"/>
                <w:szCs w:val="20"/>
              </w:rPr>
              <w:t>-</w:t>
            </w:r>
            <w:r>
              <w:rPr>
                <w:sz w:val="20"/>
                <w:szCs w:val="20"/>
              </w:rPr>
              <w:t xml:space="preserve"> </w:t>
            </w:r>
            <w:r w:rsidR="0098604D" w:rsidRPr="00A849C9">
              <w:rPr>
                <w:sz w:val="20"/>
                <w:szCs w:val="20"/>
              </w:rPr>
              <w:t>We did not focus on eliminating or reduce supplier dominance, as the dominance here is stemmed from monopolistic/oligopolistic ownership of resources.</w:t>
            </w:r>
          </w:p>
        </w:tc>
      </w:tr>
      <w:tr w:rsidR="0098604D" w:rsidRPr="00175B37" w14:paraId="4630B0F6" w14:textId="77777777" w:rsidTr="0003496E">
        <w:trPr>
          <w:trHeight w:val="386"/>
        </w:trPr>
        <w:tc>
          <w:tcPr>
            <w:tcW w:w="1615" w:type="dxa"/>
          </w:tcPr>
          <w:p w14:paraId="5FA079D2" w14:textId="77777777" w:rsidR="0098604D" w:rsidRDefault="0098604D" w:rsidP="0003496E">
            <w:pPr>
              <w:spacing w:line="240" w:lineRule="auto"/>
              <w:ind w:firstLine="0"/>
              <w:jc w:val="left"/>
              <w:rPr>
                <w:sz w:val="20"/>
                <w:szCs w:val="20"/>
              </w:rPr>
            </w:pPr>
            <w:r>
              <w:rPr>
                <w:sz w:val="20"/>
                <w:szCs w:val="20"/>
              </w:rPr>
              <w:t xml:space="preserve">Elking </w:t>
            </w:r>
            <w:r w:rsidRPr="000D08BD">
              <w:rPr>
                <w:i/>
                <w:iCs/>
                <w:sz w:val="20"/>
                <w:szCs w:val="20"/>
              </w:rPr>
              <w:t>et al.</w:t>
            </w:r>
            <w:r>
              <w:rPr>
                <w:sz w:val="20"/>
                <w:szCs w:val="20"/>
              </w:rPr>
              <w:t xml:space="preserve"> (2017)</w:t>
            </w:r>
          </w:p>
        </w:tc>
        <w:tc>
          <w:tcPr>
            <w:tcW w:w="3420" w:type="dxa"/>
          </w:tcPr>
          <w:p w14:paraId="2A6E4E2C" w14:textId="02900AEB" w:rsidR="0098604D" w:rsidRPr="00A849C9" w:rsidRDefault="00A849C9" w:rsidP="00A849C9">
            <w:pPr>
              <w:spacing w:line="240" w:lineRule="auto"/>
              <w:ind w:firstLine="0"/>
              <w:jc w:val="left"/>
              <w:rPr>
                <w:sz w:val="20"/>
                <w:szCs w:val="20"/>
              </w:rPr>
            </w:pPr>
            <w:r w:rsidRPr="008200E5">
              <w:rPr>
                <w:sz w:val="20"/>
                <w:szCs w:val="20"/>
              </w:rPr>
              <w:t>-</w:t>
            </w:r>
            <w:r>
              <w:rPr>
                <w:sz w:val="20"/>
                <w:szCs w:val="20"/>
              </w:rPr>
              <w:t xml:space="preserve"> </w:t>
            </w:r>
            <w:r w:rsidR="0098604D" w:rsidRPr="00A849C9">
              <w:rPr>
                <w:sz w:val="20"/>
                <w:szCs w:val="20"/>
              </w:rPr>
              <w:t>The impact of dyadic bidirectional financial dependence on firm’s financial performance.</w:t>
            </w:r>
          </w:p>
          <w:p w14:paraId="64B9C280" w14:textId="39E7E1C8" w:rsidR="0098604D" w:rsidRPr="00A849C9" w:rsidRDefault="00A849C9" w:rsidP="00A849C9">
            <w:pPr>
              <w:spacing w:line="240" w:lineRule="auto"/>
              <w:ind w:firstLine="0"/>
              <w:jc w:val="left"/>
              <w:rPr>
                <w:sz w:val="20"/>
                <w:szCs w:val="20"/>
              </w:rPr>
            </w:pPr>
            <w:r w:rsidRPr="008200E5">
              <w:rPr>
                <w:sz w:val="20"/>
                <w:szCs w:val="20"/>
              </w:rPr>
              <w:t>-</w:t>
            </w:r>
            <w:r>
              <w:rPr>
                <w:sz w:val="20"/>
                <w:szCs w:val="20"/>
              </w:rPr>
              <w:t xml:space="preserve"> </w:t>
            </w:r>
            <w:r w:rsidR="0098604D" w:rsidRPr="00A849C9">
              <w:rPr>
                <w:sz w:val="20"/>
                <w:szCs w:val="20"/>
              </w:rPr>
              <w:t>The moderating effect of dependence asymmetry on the relationship between lean and financial performance.</w:t>
            </w:r>
          </w:p>
        </w:tc>
        <w:tc>
          <w:tcPr>
            <w:tcW w:w="4500" w:type="dxa"/>
          </w:tcPr>
          <w:p w14:paraId="4567A482" w14:textId="3C30B4A7" w:rsidR="0098604D" w:rsidRPr="00A849C9" w:rsidRDefault="00A849C9" w:rsidP="00A849C9">
            <w:pPr>
              <w:spacing w:line="240" w:lineRule="auto"/>
              <w:ind w:firstLine="0"/>
              <w:jc w:val="left"/>
              <w:rPr>
                <w:sz w:val="20"/>
                <w:szCs w:val="20"/>
              </w:rPr>
            </w:pPr>
            <w:r w:rsidRPr="008200E5">
              <w:rPr>
                <w:sz w:val="20"/>
                <w:szCs w:val="20"/>
              </w:rPr>
              <w:t>-</w:t>
            </w:r>
            <w:r>
              <w:rPr>
                <w:sz w:val="20"/>
                <w:szCs w:val="20"/>
              </w:rPr>
              <w:t xml:space="preserve"> </w:t>
            </w:r>
            <w:r w:rsidR="0098604D" w:rsidRPr="00A849C9">
              <w:rPr>
                <w:sz w:val="20"/>
                <w:szCs w:val="20"/>
              </w:rPr>
              <w:t>Financial dependence of suppliers on the focal firm is positively related to the focal firm’ financial performance.</w:t>
            </w:r>
          </w:p>
          <w:p w14:paraId="341EDA4E" w14:textId="50520FD2" w:rsidR="0098604D" w:rsidRPr="00A849C9" w:rsidRDefault="00A849C9" w:rsidP="00A849C9">
            <w:pPr>
              <w:spacing w:line="240" w:lineRule="auto"/>
              <w:ind w:firstLine="0"/>
              <w:jc w:val="left"/>
              <w:rPr>
                <w:sz w:val="20"/>
                <w:szCs w:val="20"/>
              </w:rPr>
            </w:pPr>
            <w:r w:rsidRPr="008200E5">
              <w:rPr>
                <w:sz w:val="20"/>
                <w:szCs w:val="20"/>
              </w:rPr>
              <w:t>-</w:t>
            </w:r>
            <w:r>
              <w:rPr>
                <w:sz w:val="20"/>
                <w:szCs w:val="20"/>
              </w:rPr>
              <w:t xml:space="preserve"> </w:t>
            </w:r>
            <w:r w:rsidR="0098604D" w:rsidRPr="00A849C9">
              <w:rPr>
                <w:sz w:val="20"/>
                <w:szCs w:val="20"/>
              </w:rPr>
              <w:t>Financial dependence of focal firm on suppliers is negatively related to the focal firm’s financial performance.</w:t>
            </w:r>
          </w:p>
          <w:p w14:paraId="1EA9BC54" w14:textId="6451FD98" w:rsidR="0098604D" w:rsidRPr="00415A17" w:rsidRDefault="00415A17" w:rsidP="00415A17">
            <w:pPr>
              <w:spacing w:line="240" w:lineRule="auto"/>
              <w:ind w:firstLine="0"/>
              <w:jc w:val="left"/>
              <w:rPr>
                <w:sz w:val="20"/>
                <w:szCs w:val="20"/>
              </w:rPr>
            </w:pPr>
            <w:r w:rsidRPr="008200E5">
              <w:rPr>
                <w:sz w:val="20"/>
                <w:szCs w:val="20"/>
              </w:rPr>
              <w:lastRenderedPageBreak/>
              <w:t>-</w:t>
            </w:r>
            <w:r>
              <w:rPr>
                <w:sz w:val="20"/>
                <w:szCs w:val="20"/>
              </w:rPr>
              <w:t xml:space="preserve"> </w:t>
            </w:r>
            <w:r w:rsidR="0098604D" w:rsidRPr="00415A17">
              <w:rPr>
                <w:sz w:val="20"/>
                <w:szCs w:val="20"/>
              </w:rPr>
              <w:t>Dependence asymmetry strengths the positive relationship between lean and financial performance.</w:t>
            </w:r>
          </w:p>
        </w:tc>
        <w:tc>
          <w:tcPr>
            <w:tcW w:w="4680" w:type="dxa"/>
          </w:tcPr>
          <w:p w14:paraId="70AA9BC2" w14:textId="047501B5" w:rsidR="0098604D" w:rsidRPr="00A849C9" w:rsidRDefault="00A849C9" w:rsidP="00A849C9">
            <w:pPr>
              <w:spacing w:line="240" w:lineRule="auto"/>
              <w:ind w:firstLine="0"/>
              <w:jc w:val="left"/>
              <w:rPr>
                <w:sz w:val="20"/>
                <w:szCs w:val="20"/>
              </w:rPr>
            </w:pPr>
            <w:r w:rsidRPr="008200E5">
              <w:rPr>
                <w:sz w:val="20"/>
                <w:szCs w:val="20"/>
              </w:rPr>
              <w:lastRenderedPageBreak/>
              <w:t>-</w:t>
            </w:r>
            <w:r>
              <w:rPr>
                <w:sz w:val="20"/>
                <w:szCs w:val="20"/>
              </w:rPr>
              <w:t xml:space="preserve"> </w:t>
            </w:r>
            <w:r w:rsidR="0098604D" w:rsidRPr="00A849C9">
              <w:rPr>
                <w:sz w:val="20"/>
                <w:szCs w:val="20"/>
              </w:rPr>
              <w:t>Our paper examined the impact of supplier dominance, stemmed from sole or oligopolistic ownership of resources, on supply security in case of disruptions and how focal firms can address that through procurement strategies.</w:t>
            </w:r>
          </w:p>
          <w:p w14:paraId="5C2658FC" w14:textId="3ED7728C" w:rsidR="0098604D" w:rsidRPr="000A3435" w:rsidRDefault="000A3435" w:rsidP="000A3435">
            <w:pPr>
              <w:spacing w:line="240" w:lineRule="auto"/>
              <w:ind w:firstLine="0"/>
              <w:jc w:val="left"/>
              <w:rPr>
                <w:sz w:val="20"/>
                <w:szCs w:val="20"/>
              </w:rPr>
            </w:pPr>
            <w:r w:rsidRPr="008200E5">
              <w:rPr>
                <w:sz w:val="20"/>
                <w:szCs w:val="20"/>
              </w:rPr>
              <w:lastRenderedPageBreak/>
              <w:t>-</w:t>
            </w:r>
            <w:r>
              <w:rPr>
                <w:sz w:val="20"/>
                <w:szCs w:val="20"/>
              </w:rPr>
              <w:t xml:space="preserve"> </w:t>
            </w:r>
            <w:r w:rsidR="0098604D" w:rsidRPr="000A3435">
              <w:rPr>
                <w:sz w:val="20"/>
                <w:szCs w:val="20"/>
              </w:rPr>
              <w:t>We did not focus on financial dependence or its asymmetry.</w:t>
            </w:r>
          </w:p>
        </w:tc>
      </w:tr>
      <w:tr w:rsidR="0098604D" w:rsidRPr="00175B37" w14:paraId="15F57BB5" w14:textId="77777777" w:rsidTr="0003496E">
        <w:trPr>
          <w:trHeight w:val="386"/>
        </w:trPr>
        <w:tc>
          <w:tcPr>
            <w:tcW w:w="1615" w:type="dxa"/>
          </w:tcPr>
          <w:p w14:paraId="5501990B" w14:textId="77777777" w:rsidR="0098604D" w:rsidRPr="00175B37" w:rsidRDefault="0098604D" w:rsidP="0003496E">
            <w:pPr>
              <w:spacing w:line="240" w:lineRule="auto"/>
              <w:ind w:firstLine="0"/>
              <w:jc w:val="left"/>
              <w:rPr>
                <w:sz w:val="20"/>
                <w:szCs w:val="20"/>
              </w:rPr>
            </w:pPr>
            <w:r w:rsidRPr="00175B37">
              <w:rPr>
                <w:sz w:val="20"/>
                <w:szCs w:val="20"/>
              </w:rPr>
              <w:lastRenderedPageBreak/>
              <w:t xml:space="preserve">Habib </w:t>
            </w:r>
            <w:r w:rsidRPr="000D08BD">
              <w:rPr>
                <w:i/>
                <w:iCs/>
                <w:sz w:val="20"/>
                <w:szCs w:val="20"/>
              </w:rPr>
              <w:t>et al.</w:t>
            </w:r>
            <w:r w:rsidRPr="00175B37">
              <w:rPr>
                <w:sz w:val="20"/>
                <w:szCs w:val="20"/>
              </w:rPr>
              <w:t xml:space="preserve"> (2015)</w:t>
            </w:r>
          </w:p>
        </w:tc>
        <w:tc>
          <w:tcPr>
            <w:tcW w:w="3420" w:type="dxa"/>
          </w:tcPr>
          <w:p w14:paraId="3959265E" w14:textId="4588883E" w:rsidR="0098604D" w:rsidRPr="00415A17" w:rsidRDefault="00415A17" w:rsidP="00415A17">
            <w:pPr>
              <w:spacing w:line="240" w:lineRule="auto"/>
              <w:ind w:firstLine="0"/>
              <w:jc w:val="left"/>
              <w:rPr>
                <w:sz w:val="20"/>
                <w:szCs w:val="20"/>
              </w:rPr>
            </w:pPr>
            <w:r w:rsidRPr="008200E5">
              <w:rPr>
                <w:sz w:val="20"/>
                <w:szCs w:val="20"/>
              </w:rPr>
              <w:t>-</w:t>
            </w:r>
            <w:r>
              <w:rPr>
                <w:sz w:val="20"/>
                <w:szCs w:val="20"/>
              </w:rPr>
              <w:t xml:space="preserve"> </w:t>
            </w:r>
            <w:r w:rsidR="0098604D" w:rsidRPr="00415A17">
              <w:rPr>
                <w:sz w:val="20"/>
                <w:szCs w:val="20"/>
              </w:rPr>
              <w:t>What are the options available for a weaker actor to counteract the dominance of a stronger actor in a buyer-supplier relationship?</w:t>
            </w:r>
          </w:p>
          <w:p w14:paraId="2C21C927" w14:textId="2740A106" w:rsidR="0098604D" w:rsidRPr="00415A17" w:rsidRDefault="00415A17" w:rsidP="00415A17">
            <w:pPr>
              <w:spacing w:line="240" w:lineRule="auto"/>
              <w:ind w:firstLine="0"/>
              <w:jc w:val="left"/>
              <w:rPr>
                <w:sz w:val="20"/>
                <w:szCs w:val="20"/>
              </w:rPr>
            </w:pPr>
            <w:r w:rsidRPr="008200E5">
              <w:rPr>
                <w:sz w:val="20"/>
                <w:szCs w:val="20"/>
              </w:rPr>
              <w:t>-</w:t>
            </w:r>
            <w:r>
              <w:rPr>
                <w:sz w:val="20"/>
                <w:szCs w:val="20"/>
              </w:rPr>
              <w:t xml:space="preserve"> </w:t>
            </w:r>
            <w:r w:rsidR="0098604D" w:rsidRPr="00415A17">
              <w:rPr>
                <w:sz w:val="20"/>
                <w:szCs w:val="20"/>
              </w:rPr>
              <w:t>What influences the choice of strategic options available to a weaker actor to counteract the dominance of a stronger actor in a buyer-supplier relationship?</w:t>
            </w:r>
          </w:p>
        </w:tc>
        <w:tc>
          <w:tcPr>
            <w:tcW w:w="4500" w:type="dxa"/>
          </w:tcPr>
          <w:p w14:paraId="272EB150" w14:textId="42B91FFB" w:rsidR="0098604D" w:rsidRPr="00415A17" w:rsidRDefault="00415A17" w:rsidP="00415A17">
            <w:pPr>
              <w:spacing w:line="240" w:lineRule="auto"/>
              <w:ind w:firstLine="0"/>
              <w:jc w:val="left"/>
              <w:rPr>
                <w:sz w:val="20"/>
                <w:szCs w:val="20"/>
              </w:rPr>
            </w:pPr>
            <w:r w:rsidRPr="008200E5">
              <w:rPr>
                <w:sz w:val="20"/>
                <w:szCs w:val="20"/>
              </w:rPr>
              <w:t>-</w:t>
            </w:r>
            <w:r>
              <w:rPr>
                <w:sz w:val="20"/>
                <w:szCs w:val="20"/>
              </w:rPr>
              <w:t xml:space="preserve"> </w:t>
            </w:r>
            <w:r w:rsidR="0098604D" w:rsidRPr="00415A17">
              <w:rPr>
                <w:sz w:val="20"/>
                <w:szCs w:val="20"/>
              </w:rPr>
              <w:t>Five strategic options: collaboration (dyadic/network), compromise, diversification, coalition, and exit.</w:t>
            </w:r>
          </w:p>
          <w:p w14:paraId="0D0E8F3B" w14:textId="343F885C" w:rsidR="0098604D" w:rsidRPr="00415A17" w:rsidRDefault="00415A17" w:rsidP="00415A17">
            <w:pPr>
              <w:spacing w:line="240" w:lineRule="auto"/>
              <w:ind w:firstLine="0"/>
              <w:jc w:val="left"/>
              <w:rPr>
                <w:sz w:val="20"/>
                <w:szCs w:val="20"/>
              </w:rPr>
            </w:pPr>
            <w:r w:rsidRPr="008200E5">
              <w:rPr>
                <w:sz w:val="20"/>
                <w:szCs w:val="20"/>
              </w:rPr>
              <w:t>-</w:t>
            </w:r>
            <w:r>
              <w:rPr>
                <w:sz w:val="20"/>
                <w:szCs w:val="20"/>
              </w:rPr>
              <w:t xml:space="preserve"> </w:t>
            </w:r>
            <w:r w:rsidR="0098604D" w:rsidRPr="00415A17">
              <w:rPr>
                <w:sz w:val="20"/>
                <w:szCs w:val="20"/>
              </w:rPr>
              <w:t>Underpinning factors affecting strategic choices:</w:t>
            </w:r>
            <w:r>
              <w:rPr>
                <w:sz w:val="20"/>
                <w:szCs w:val="20"/>
              </w:rPr>
              <w:t xml:space="preserve"> (i) d</w:t>
            </w:r>
            <w:r w:rsidR="0098604D" w:rsidRPr="00415A17">
              <w:rPr>
                <w:sz w:val="20"/>
                <w:szCs w:val="20"/>
              </w:rPr>
              <w:t>yadic level: nature of interdependence (dyadic), relationship governance, sources of power, switching costs, type of conflict, relationship closeness</w:t>
            </w:r>
            <w:r>
              <w:rPr>
                <w:sz w:val="20"/>
                <w:szCs w:val="20"/>
              </w:rPr>
              <w:t>; (ii) n</w:t>
            </w:r>
            <w:r w:rsidR="0098604D" w:rsidRPr="00415A17">
              <w:rPr>
                <w:sz w:val="20"/>
                <w:szCs w:val="20"/>
              </w:rPr>
              <w:t>etwork level: available alternatives, nature of interdependence (network)</w:t>
            </w:r>
            <w:r>
              <w:rPr>
                <w:sz w:val="20"/>
                <w:szCs w:val="20"/>
              </w:rPr>
              <w:t>.</w:t>
            </w:r>
          </w:p>
        </w:tc>
        <w:tc>
          <w:tcPr>
            <w:tcW w:w="4680" w:type="dxa"/>
          </w:tcPr>
          <w:p w14:paraId="0299954B" w14:textId="57215842" w:rsidR="0098604D" w:rsidRPr="00415A17" w:rsidRDefault="00415A17" w:rsidP="00415A17">
            <w:pPr>
              <w:spacing w:line="240" w:lineRule="auto"/>
              <w:ind w:firstLine="0"/>
              <w:jc w:val="left"/>
              <w:rPr>
                <w:sz w:val="20"/>
                <w:szCs w:val="20"/>
              </w:rPr>
            </w:pPr>
            <w:r>
              <w:rPr>
                <w:sz w:val="20"/>
                <w:szCs w:val="20"/>
              </w:rPr>
              <w:t xml:space="preserve">- </w:t>
            </w:r>
            <w:r w:rsidR="0098604D" w:rsidRPr="00415A17">
              <w:rPr>
                <w:sz w:val="20"/>
                <w:szCs w:val="20"/>
              </w:rPr>
              <w:t xml:space="preserve">While Habib </w:t>
            </w:r>
            <w:r w:rsidR="0098604D" w:rsidRPr="00DE21A1">
              <w:rPr>
                <w:i/>
                <w:iCs/>
                <w:sz w:val="20"/>
                <w:szCs w:val="20"/>
              </w:rPr>
              <w:t>et al</w:t>
            </w:r>
            <w:r w:rsidR="0098604D" w:rsidRPr="00415A17">
              <w:rPr>
                <w:sz w:val="20"/>
                <w:szCs w:val="20"/>
              </w:rPr>
              <w:t>. (2015) also examined strategies, the strategies are relational strategies.</w:t>
            </w:r>
          </w:p>
          <w:p w14:paraId="5900FCF7" w14:textId="2BB0320A" w:rsidR="0098604D" w:rsidRPr="00415A17" w:rsidRDefault="00415A17" w:rsidP="00415A17">
            <w:pPr>
              <w:spacing w:line="240" w:lineRule="auto"/>
              <w:ind w:firstLine="0"/>
              <w:jc w:val="left"/>
              <w:rPr>
                <w:sz w:val="20"/>
                <w:szCs w:val="20"/>
              </w:rPr>
            </w:pPr>
            <w:r>
              <w:rPr>
                <w:sz w:val="20"/>
                <w:szCs w:val="20"/>
              </w:rPr>
              <w:t xml:space="preserve">- </w:t>
            </w:r>
            <w:r w:rsidR="0098604D" w:rsidRPr="00415A17">
              <w:rPr>
                <w:sz w:val="20"/>
                <w:szCs w:val="20"/>
              </w:rPr>
              <w:t>We focused on procurement strategies. While relational strategies are a subset that aids in the long term, we also considered other strategies, such as specification reassessment.</w:t>
            </w:r>
          </w:p>
        </w:tc>
      </w:tr>
      <w:tr w:rsidR="0098604D" w:rsidRPr="00175B37" w14:paraId="6BBAE71D" w14:textId="77777777" w:rsidTr="0003496E">
        <w:tc>
          <w:tcPr>
            <w:tcW w:w="1615" w:type="dxa"/>
          </w:tcPr>
          <w:p w14:paraId="05978F6C" w14:textId="77777777" w:rsidR="0098604D" w:rsidRPr="00175B37" w:rsidRDefault="0098604D" w:rsidP="0003496E">
            <w:pPr>
              <w:spacing w:line="240" w:lineRule="auto"/>
              <w:ind w:firstLine="0"/>
              <w:jc w:val="left"/>
              <w:rPr>
                <w:sz w:val="20"/>
                <w:szCs w:val="20"/>
              </w:rPr>
            </w:pPr>
            <w:r w:rsidRPr="00175B37">
              <w:rPr>
                <w:sz w:val="20"/>
                <w:szCs w:val="20"/>
              </w:rPr>
              <w:t xml:space="preserve">Han </w:t>
            </w:r>
            <w:r w:rsidRPr="000D08BD">
              <w:rPr>
                <w:i/>
                <w:iCs/>
                <w:sz w:val="20"/>
                <w:szCs w:val="20"/>
              </w:rPr>
              <w:t>et al.</w:t>
            </w:r>
            <w:r w:rsidRPr="00175B37">
              <w:rPr>
                <w:sz w:val="20"/>
                <w:szCs w:val="20"/>
              </w:rPr>
              <w:t xml:space="preserve"> (2022)</w:t>
            </w:r>
          </w:p>
        </w:tc>
        <w:tc>
          <w:tcPr>
            <w:tcW w:w="3420" w:type="dxa"/>
          </w:tcPr>
          <w:p w14:paraId="2265CC59" w14:textId="77777777" w:rsidR="0098604D" w:rsidRPr="00175B37" w:rsidRDefault="0098604D" w:rsidP="0003496E">
            <w:pPr>
              <w:spacing w:line="240" w:lineRule="auto"/>
              <w:ind w:firstLine="0"/>
              <w:jc w:val="left"/>
              <w:rPr>
                <w:sz w:val="20"/>
                <w:szCs w:val="20"/>
              </w:rPr>
            </w:pPr>
            <w:r w:rsidRPr="00175B37">
              <w:rPr>
                <w:sz w:val="20"/>
                <w:szCs w:val="20"/>
              </w:rPr>
              <w:t>1. How does supplier-based concentration affect buyer efficiency?</w:t>
            </w:r>
          </w:p>
          <w:p w14:paraId="365D28F5" w14:textId="77777777" w:rsidR="0098604D" w:rsidRPr="00175B37" w:rsidRDefault="0098604D" w:rsidP="0003496E">
            <w:pPr>
              <w:spacing w:line="240" w:lineRule="auto"/>
              <w:ind w:firstLine="0"/>
              <w:jc w:val="left"/>
              <w:rPr>
                <w:sz w:val="20"/>
                <w:szCs w:val="20"/>
              </w:rPr>
            </w:pPr>
            <w:r w:rsidRPr="00175B37">
              <w:rPr>
                <w:sz w:val="20"/>
                <w:szCs w:val="20"/>
              </w:rPr>
              <w:t>2. How do buyers’ R&amp;D expenditure and market share moderate the relationship</w:t>
            </w:r>
            <w:r>
              <w:rPr>
                <w:sz w:val="20"/>
                <w:szCs w:val="20"/>
              </w:rPr>
              <w:t xml:space="preserve"> </w:t>
            </w:r>
            <w:r w:rsidRPr="00175B37">
              <w:rPr>
                <w:sz w:val="20"/>
                <w:szCs w:val="20"/>
              </w:rPr>
              <w:t>between supplier-based concentration and buyer efficiency?</w:t>
            </w:r>
          </w:p>
        </w:tc>
        <w:tc>
          <w:tcPr>
            <w:tcW w:w="4500" w:type="dxa"/>
          </w:tcPr>
          <w:p w14:paraId="2EF90271" w14:textId="10073474" w:rsidR="0098604D" w:rsidRPr="00415A17" w:rsidRDefault="00415A17" w:rsidP="00415A17">
            <w:pPr>
              <w:spacing w:line="240" w:lineRule="auto"/>
              <w:ind w:firstLine="0"/>
              <w:jc w:val="left"/>
              <w:rPr>
                <w:sz w:val="20"/>
                <w:szCs w:val="20"/>
              </w:rPr>
            </w:pPr>
            <w:r>
              <w:rPr>
                <w:sz w:val="20"/>
                <w:szCs w:val="20"/>
              </w:rPr>
              <w:t xml:space="preserve">- </w:t>
            </w:r>
            <w:r w:rsidR="0098604D" w:rsidRPr="00415A17">
              <w:rPr>
                <w:sz w:val="20"/>
                <w:szCs w:val="20"/>
              </w:rPr>
              <w:t xml:space="preserve">Conceptually, this paper focuses on </w:t>
            </w:r>
            <w:r w:rsidR="0098604D" w:rsidRPr="00415A17">
              <w:rPr>
                <w:sz w:val="20"/>
                <w:szCs w:val="20"/>
                <w:u w:val="single"/>
              </w:rPr>
              <w:t>buyer attractiveness</w:t>
            </w:r>
            <w:r w:rsidR="0098604D" w:rsidRPr="00415A17">
              <w:rPr>
                <w:sz w:val="20"/>
                <w:szCs w:val="20"/>
              </w:rPr>
              <w:t xml:space="preserve"> (i.e., R&amp;D and market share) to counter supplier dependency.</w:t>
            </w:r>
          </w:p>
          <w:p w14:paraId="1C59CB32" w14:textId="18E86F71" w:rsidR="0098604D" w:rsidRPr="00415A17" w:rsidRDefault="00415A17" w:rsidP="00415A17">
            <w:pPr>
              <w:spacing w:line="240" w:lineRule="auto"/>
              <w:ind w:firstLine="0"/>
              <w:jc w:val="left"/>
              <w:rPr>
                <w:sz w:val="20"/>
                <w:szCs w:val="20"/>
              </w:rPr>
            </w:pPr>
            <w:r>
              <w:rPr>
                <w:sz w:val="20"/>
                <w:szCs w:val="20"/>
              </w:rPr>
              <w:t xml:space="preserve">- </w:t>
            </w:r>
            <w:r w:rsidR="0098604D" w:rsidRPr="00415A17">
              <w:rPr>
                <w:sz w:val="20"/>
                <w:szCs w:val="20"/>
              </w:rPr>
              <w:t>Findings:</w:t>
            </w:r>
            <w:r>
              <w:rPr>
                <w:sz w:val="20"/>
                <w:szCs w:val="20"/>
              </w:rPr>
              <w:t xml:space="preserve"> (</w:t>
            </w:r>
            <w:proofErr w:type="spellStart"/>
            <w:r>
              <w:rPr>
                <w:sz w:val="20"/>
                <w:szCs w:val="20"/>
              </w:rPr>
              <w:t>i</w:t>
            </w:r>
            <w:proofErr w:type="spellEnd"/>
            <w:r>
              <w:rPr>
                <w:sz w:val="20"/>
                <w:szCs w:val="20"/>
              </w:rPr>
              <w:t>) s</w:t>
            </w:r>
            <w:r w:rsidR="0098604D" w:rsidRPr="00415A17">
              <w:rPr>
                <w:sz w:val="20"/>
                <w:szCs w:val="20"/>
              </w:rPr>
              <w:t>upplier-base concentration has a positive effect on buyer efficiency</w:t>
            </w:r>
            <w:r>
              <w:rPr>
                <w:sz w:val="20"/>
                <w:szCs w:val="20"/>
              </w:rPr>
              <w:t>; (ii) p</w:t>
            </w:r>
            <w:r w:rsidR="0098604D" w:rsidRPr="00415A17">
              <w:rPr>
                <w:sz w:val="20"/>
                <w:szCs w:val="20"/>
              </w:rPr>
              <w:t>ositive moderating effect from R&amp;D expenditure and market share.</w:t>
            </w:r>
          </w:p>
        </w:tc>
        <w:tc>
          <w:tcPr>
            <w:tcW w:w="4680" w:type="dxa"/>
          </w:tcPr>
          <w:p w14:paraId="3BD4F3B6" w14:textId="544AF959" w:rsidR="0098604D" w:rsidRPr="00415A17" w:rsidRDefault="00415A17" w:rsidP="00415A17">
            <w:pPr>
              <w:spacing w:line="240" w:lineRule="auto"/>
              <w:ind w:firstLine="0"/>
              <w:jc w:val="left"/>
              <w:rPr>
                <w:sz w:val="20"/>
                <w:szCs w:val="20"/>
              </w:rPr>
            </w:pPr>
            <w:r>
              <w:rPr>
                <w:sz w:val="20"/>
                <w:szCs w:val="20"/>
              </w:rPr>
              <w:t xml:space="preserve">- </w:t>
            </w:r>
            <w:r w:rsidR="0098604D" w:rsidRPr="00415A17">
              <w:rPr>
                <w:sz w:val="20"/>
                <w:szCs w:val="20"/>
              </w:rPr>
              <w:t xml:space="preserve">Our paper examines the case where supply </w:t>
            </w:r>
            <w:r w:rsidR="0098604D" w:rsidRPr="00415A17">
              <w:rPr>
                <w:i/>
                <w:iCs/>
                <w:sz w:val="20"/>
                <w:szCs w:val="20"/>
              </w:rPr>
              <w:t>market</w:t>
            </w:r>
            <w:r w:rsidR="0098604D" w:rsidRPr="00415A17">
              <w:rPr>
                <w:sz w:val="20"/>
                <w:szCs w:val="20"/>
              </w:rPr>
              <w:t xml:space="preserve"> is concentrated.</w:t>
            </w:r>
          </w:p>
          <w:p w14:paraId="73966FF2" w14:textId="0687C76E" w:rsidR="0098604D" w:rsidRPr="00415A17" w:rsidRDefault="00415A17" w:rsidP="00415A17">
            <w:pPr>
              <w:spacing w:line="240" w:lineRule="auto"/>
              <w:ind w:firstLine="0"/>
              <w:jc w:val="left"/>
              <w:rPr>
                <w:sz w:val="20"/>
                <w:szCs w:val="20"/>
              </w:rPr>
            </w:pPr>
            <w:r>
              <w:rPr>
                <w:sz w:val="20"/>
                <w:szCs w:val="20"/>
              </w:rPr>
              <w:t xml:space="preserve">- </w:t>
            </w:r>
            <w:r w:rsidR="0098604D" w:rsidRPr="00415A17">
              <w:rPr>
                <w:sz w:val="20"/>
                <w:szCs w:val="20"/>
              </w:rPr>
              <w:t>This means that supplier-base concentration is not a strategic choice, but it is forced.</w:t>
            </w:r>
          </w:p>
          <w:p w14:paraId="6D518727" w14:textId="6789EB11" w:rsidR="0098604D" w:rsidRPr="00415A17" w:rsidRDefault="00415A17" w:rsidP="00415A17">
            <w:pPr>
              <w:spacing w:line="240" w:lineRule="auto"/>
              <w:ind w:firstLine="0"/>
              <w:jc w:val="left"/>
              <w:rPr>
                <w:sz w:val="20"/>
                <w:szCs w:val="20"/>
              </w:rPr>
            </w:pPr>
            <w:r>
              <w:rPr>
                <w:sz w:val="20"/>
                <w:szCs w:val="20"/>
              </w:rPr>
              <w:t xml:space="preserve">- </w:t>
            </w:r>
            <w:r w:rsidR="0098604D" w:rsidRPr="00415A17">
              <w:rPr>
                <w:sz w:val="20"/>
                <w:szCs w:val="20"/>
              </w:rPr>
              <w:t>Further, we investigate strategies to deal with sudden and disruptive events.</w:t>
            </w:r>
          </w:p>
        </w:tc>
      </w:tr>
      <w:tr w:rsidR="0098604D" w:rsidRPr="00175B37" w14:paraId="5A8A479D" w14:textId="77777777" w:rsidTr="0003496E">
        <w:trPr>
          <w:trHeight w:val="386"/>
        </w:trPr>
        <w:tc>
          <w:tcPr>
            <w:tcW w:w="1615" w:type="dxa"/>
          </w:tcPr>
          <w:p w14:paraId="7C413ECA" w14:textId="77777777" w:rsidR="0098604D" w:rsidRDefault="0098604D" w:rsidP="0003496E">
            <w:pPr>
              <w:spacing w:line="240" w:lineRule="auto"/>
              <w:ind w:firstLine="0"/>
              <w:jc w:val="left"/>
              <w:rPr>
                <w:sz w:val="20"/>
                <w:szCs w:val="20"/>
              </w:rPr>
            </w:pPr>
            <w:r>
              <w:rPr>
                <w:sz w:val="20"/>
                <w:szCs w:val="20"/>
              </w:rPr>
              <w:t>Huo</w:t>
            </w:r>
            <w:r w:rsidRPr="000D08BD">
              <w:rPr>
                <w:i/>
                <w:iCs/>
                <w:sz w:val="20"/>
                <w:szCs w:val="20"/>
              </w:rPr>
              <w:t xml:space="preserve"> et al.</w:t>
            </w:r>
            <w:r>
              <w:rPr>
                <w:sz w:val="20"/>
                <w:szCs w:val="20"/>
              </w:rPr>
              <w:t xml:space="preserve"> (2017)</w:t>
            </w:r>
          </w:p>
        </w:tc>
        <w:tc>
          <w:tcPr>
            <w:tcW w:w="3420" w:type="dxa"/>
          </w:tcPr>
          <w:p w14:paraId="6E12C3F1" w14:textId="630822BD" w:rsidR="0098604D" w:rsidRPr="00B87403" w:rsidRDefault="0098604D" w:rsidP="00B87403">
            <w:pPr>
              <w:spacing w:line="240" w:lineRule="auto"/>
              <w:ind w:firstLine="0"/>
              <w:jc w:val="left"/>
              <w:rPr>
                <w:sz w:val="20"/>
                <w:szCs w:val="20"/>
              </w:rPr>
            </w:pPr>
            <w:r w:rsidRPr="00B87403">
              <w:rPr>
                <w:sz w:val="20"/>
                <w:szCs w:val="20"/>
              </w:rPr>
              <w:t>What the relationship is between interlocking power dyads (IDPs) and the focal firm’s operational performance</w:t>
            </w:r>
          </w:p>
        </w:tc>
        <w:tc>
          <w:tcPr>
            <w:tcW w:w="4500" w:type="dxa"/>
          </w:tcPr>
          <w:p w14:paraId="60F3D86E" w14:textId="06615B3F" w:rsidR="0098604D" w:rsidRPr="00B87403" w:rsidRDefault="00B87403" w:rsidP="00B87403">
            <w:pPr>
              <w:spacing w:line="240" w:lineRule="auto"/>
              <w:ind w:firstLine="0"/>
              <w:jc w:val="left"/>
              <w:rPr>
                <w:sz w:val="20"/>
                <w:szCs w:val="20"/>
              </w:rPr>
            </w:pPr>
            <w:r>
              <w:rPr>
                <w:sz w:val="20"/>
                <w:szCs w:val="20"/>
              </w:rPr>
              <w:t xml:space="preserve">- </w:t>
            </w:r>
            <w:r w:rsidR="0098604D" w:rsidRPr="00B87403">
              <w:rPr>
                <w:sz w:val="20"/>
                <w:szCs w:val="20"/>
              </w:rPr>
              <w:t>Overall level of power (joint dependence) was associated with focal firm’s operational performance (positive).</w:t>
            </w:r>
          </w:p>
          <w:p w14:paraId="05C2D2C0" w14:textId="68EACBEB" w:rsidR="0098604D" w:rsidRPr="00B87403" w:rsidRDefault="00B87403" w:rsidP="00B87403">
            <w:pPr>
              <w:spacing w:line="240" w:lineRule="auto"/>
              <w:ind w:firstLine="0"/>
              <w:jc w:val="left"/>
              <w:rPr>
                <w:sz w:val="20"/>
                <w:szCs w:val="20"/>
              </w:rPr>
            </w:pPr>
            <w:r>
              <w:rPr>
                <w:sz w:val="20"/>
                <w:szCs w:val="20"/>
              </w:rPr>
              <w:t xml:space="preserve">- </w:t>
            </w:r>
            <w:r w:rsidR="0098604D" w:rsidRPr="00B87403">
              <w:rPr>
                <w:sz w:val="20"/>
                <w:szCs w:val="20"/>
              </w:rPr>
              <w:t>Across-the-board power IDPs are associated with the best operational outcomes.</w:t>
            </w:r>
          </w:p>
          <w:p w14:paraId="1E1BBA9D" w14:textId="5D666D28" w:rsidR="0098604D" w:rsidRPr="00B87403" w:rsidRDefault="00B87403" w:rsidP="00B87403">
            <w:pPr>
              <w:spacing w:line="240" w:lineRule="auto"/>
              <w:ind w:firstLine="0"/>
              <w:jc w:val="left"/>
              <w:rPr>
                <w:sz w:val="20"/>
                <w:szCs w:val="20"/>
              </w:rPr>
            </w:pPr>
            <w:r>
              <w:rPr>
                <w:sz w:val="20"/>
                <w:szCs w:val="20"/>
              </w:rPr>
              <w:t xml:space="preserve">- </w:t>
            </w:r>
            <w:r w:rsidR="0098604D" w:rsidRPr="00B87403">
              <w:rPr>
                <w:sz w:val="20"/>
                <w:szCs w:val="20"/>
              </w:rPr>
              <w:t>There is a joint independence threshold beyond which supply chain power becomes important.</w:t>
            </w:r>
          </w:p>
          <w:p w14:paraId="28D2C89E" w14:textId="3FA2F02C" w:rsidR="0098604D" w:rsidRPr="00B87403" w:rsidRDefault="00B87403" w:rsidP="00B87403">
            <w:pPr>
              <w:spacing w:line="240" w:lineRule="auto"/>
              <w:ind w:firstLine="0"/>
              <w:jc w:val="left"/>
              <w:rPr>
                <w:sz w:val="20"/>
                <w:szCs w:val="20"/>
              </w:rPr>
            </w:pPr>
            <w:r>
              <w:rPr>
                <w:sz w:val="20"/>
                <w:szCs w:val="20"/>
              </w:rPr>
              <w:t xml:space="preserve">- </w:t>
            </w:r>
            <w:r w:rsidR="0098604D" w:rsidRPr="00B87403">
              <w:rPr>
                <w:sz w:val="20"/>
                <w:szCs w:val="20"/>
              </w:rPr>
              <w:t>Customer power is more important to the focal firms.</w:t>
            </w:r>
          </w:p>
        </w:tc>
        <w:tc>
          <w:tcPr>
            <w:tcW w:w="4680" w:type="dxa"/>
          </w:tcPr>
          <w:p w14:paraId="396715FD" w14:textId="03FBBA44" w:rsidR="0098604D" w:rsidRPr="00B87403" w:rsidRDefault="00B87403" w:rsidP="00B87403">
            <w:pPr>
              <w:spacing w:line="240" w:lineRule="auto"/>
              <w:ind w:firstLine="0"/>
              <w:jc w:val="left"/>
              <w:rPr>
                <w:sz w:val="20"/>
                <w:szCs w:val="20"/>
              </w:rPr>
            </w:pPr>
            <w:r>
              <w:rPr>
                <w:sz w:val="20"/>
                <w:szCs w:val="20"/>
              </w:rPr>
              <w:t xml:space="preserve">- </w:t>
            </w:r>
            <w:r w:rsidR="0098604D" w:rsidRPr="00B87403">
              <w:rPr>
                <w:sz w:val="20"/>
                <w:szCs w:val="20"/>
              </w:rPr>
              <w:t>We focused specifically on supply security, especially among critical materials in disruptive scenarios, instead of overall operational performance.</w:t>
            </w:r>
          </w:p>
          <w:p w14:paraId="42C3546A" w14:textId="56786A46" w:rsidR="0098604D" w:rsidRPr="00B87403" w:rsidRDefault="00B87403" w:rsidP="00B87403">
            <w:pPr>
              <w:spacing w:line="240" w:lineRule="auto"/>
              <w:ind w:firstLine="0"/>
              <w:jc w:val="left"/>
              <w:rPr>
                <w:sz w:val="20"/>
                <w:szCs w:val="20"/>
              </w:rPr>
            </w:pPr>
            <w:r>
              <w:rPr>
                <w:sz w:val="20"/>
                <w:szCs w:val="20"/>
              </w:rPr>
              <w:t xml:space="preserve">- </w:t>
            </w:r>
            <w:r w:rsidR="0098604D" w:rsidRPr="00B87403">
              <w:rPr>
                <w:sz w:val="20"/>
                <w:szCs w:val="20"/>
              </w:rPr>
              <w:t>We focused on strategies to deal with supply disruptions, instead of the impacts of power on performance.</w:t>
            </w:r>
          </w:p>
        </w:tc>
      </w:tr>
      <w:tr w:rsidR="0098604D" w:rsidRPr="00175B37" w14:paraId="68B8E3EF" w14:textId="77777777" w:rsidTr="0003496E">
        <w:tc>
          <w:tcPr>
            <w:tcW w:w="1615" w:type="dxa"/>
          </w:tcPr>
          <w:p w14:paraId="05EA3B77" w14:textId="77777777" w:rsidR="0098604D" w:rsidRPr="00175B37" w:rsidRDefault="0098604D" w:rsidP="0003496E">
            <w:pPr>
              <w:spacing w:line="240" w:lineRule="auto"/>
              <w:ind w:firstLine="0"/>
              <w:jc w:val="left"/>
              <w:rPr>
                <w:sz w:val="20"/>
                <w:szCs w:val="20"/>
              </w:rPr>
            </w:pPr>
            <w:r w:rsidRPr="00175B37">
              <w:rPr>
                <w:sz w:val="20"/>
                <w:szCs w:val="20"/>
              </w:rPr>
              <w:t xml:space="preserve">Jiang </w:t>
            </w:r>
            <w:r w:rsidRPr="000D08BD">
              <w:rPr>
                <w:i/>
                <w:iCs/>
                <w:sz w:val="20"/>
                <w:szCs w:val="20"/>
              </w:rPr>
              <w:t>et al.</w:t>
            </w:r>
            <w:r w:rsidRPr="00175B37">
              <w:rPr>
                <w:sz w:val="20"/>
                <w:szCs w:val="20"/>
              </w:rPr>
              <w:t xml:space="preserve"> (2023)</w:t>
            </w:r>
          </w:p>
        </w:tc>
        <w:tc>
          <w:tcPr>
            <w:tcW w:w="3420" w:type="dxa"/>
          </w:tcPr>
          <w:p w14:paraId="05F7E727" w14:textId="77777777" w:rsidR="0098604D" w:rsidRPr="00175B37" w:rsidRDefault="0098604D" w:rsidP="0003496E">
            <w:pPr>
              <w:spacing w:line="240" w:lineRule="auto"/>
              <w:ind w:firstLine="0"/>
              <w:rPr>
                <w:sz w:val="20"/>
                <w:szCs w:val="20"/>
              </w:rPr>
            </w:pPr>
            <w:r w:rsidRPr="00175B37">
              <w:rPr>
                <w:sz w:val="20"/>
                <w:szCs w:val="20"/>
              </w:rPr>
              <w:t>The effect of customer and supplier concentration on firm resilience</w:t>
            </w:r>
          </w:p>
        </w:tc>
        <w:tc>
          <w:tcPr>
            <w:tcW w:w="4500" w:type="dxa"/>
          </w:tcPr>
          <w:p w14:paraId="126B6903" w14:textId="3095C8CA"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Customer concentration is negatively related to firm resilience in the disruption stage, but has no effect in the restoration stage</w:t>
            </w:r>
          </w:p>
          <w:p w14:paraId="3DA84127" w14:textId="71ABCD22"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Supplier concentration is positively related to firm resilience in the disruption stage but undermines firm resilience in the restoration stage due to power imbalance.</w:t>
            </w:r>
          </w:p>
          <w:p w14:paraId="7AD83D52" w14:textId="61A03B79"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There are notes about preferential treatments during crisis and exchange of favors.</w:t>
            </w:r>
          </w:p>
        </w:tc>
        <w:tc>
          <w:tcPr>
            <w:tcW w:w="4680" w:type="dxa"/>
          </w:tcPr>
          <w:p w14:paraId="54B56FEB" w14:textId="39AAC53B"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 xml:space="preserve">Our paper examines the case where supply </w:t>
            </w:r>
            <w:r w:rsidR="0098604D" w:rsidRPr="00C50047">
              <w:rPr>
                <w:i/>
                <w:iCs/>
                <w:sz w:val="20"/>
                <w:szCs w:val="20"/>
              </w:rPr>
              <w:t>market</w:t>
            </w:r>
            <w:r w:rsidR="0098604D" w:rsidRPr="00C50047">
              <w:rPr>
                <w:sz w:val="20"/>
                <w:szCs w:val="20"/>
              </w:rPr>
              <w:t xml:space="preserve"> is concentrated.</w:t>
            </w:r>
          </w:p>
          <w:p w14:paraId="4F93713F" w14:textId="7E663512"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We investigate strategies to deal with supply disruption, given the supply market concentration.</w:t>
            </w:r>
          </w:p>
          <w:p w14:paraId="666C66C9" w14:textId="6AFBC84B"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Our paper focuses on the supply disruption stage.</w:t>
            </w:r>
          </w:p>
          <w:p w14:paraId="67B0123F" w14:textId="77777777" w:rsidR="0098604D" w:rsidRPr="00175B37" w:rsidRDefault="0098604D" w:rsidP="0003496E">
            <w:pPr>
              <w:pStyle w:val="ListParagraph"/>
              <w:spacing w:line="240" w:lineRule="auto"/>
              <w:rPr>
                <w:sz w:val="20"/>
                <w:szCs w:val="20"/>
              </w:rPr>
            </w:pPr>
          </w:p>
        </w:tc>
      </w:tr>
      <w:tr w:rsidR="0098604D" w:rsidRPr="00175B37" w14:paraId="46348B35" w14:textId="77777777" w:rsidTr="0003496E">
        <w:tc>
          <w:tcPr>
            <w:tcW w:w="1615" w:type="dxa"/>
          </w:tcPr>
          <w:p w14:paraId="180D3AFE" w14:textId="77777777" w:rsidR="0098604D" w:rsidRPr="00175B37" w:rsidRDefault="0098604D" w:rsidP="0003496E">
            <w:pPr>
              <w:spacing w:line="240" w:lineRule="auto"/>
              <w:ind w:firstLine="0"/>
              <w:jc w:val="left"/>
              <w:rPr>
                <w:sz w:val="20"/>
                <w:szCs w:val="20"/>
              </w:rPr>
            </w:pPr>
            <w:r w:rsidRPr="00175B37">
              <w:rPr>
                <w:sz w:val="20"/>
                <w:szCs w:val="20"/>
              </w:rPr>
              <w:t xml:space="preserve">Li </w:t>
            </w:r>
            <w:r w:rsidRPr="000D08BD">
              <w:rPr>
                <w:i/>
                <w:iCs/>
                <w:sz w:val="20"/>
                <w:szCs w:val="20"/>
              </w:rPr>
              <w:t>et al.</w:t>
            </w:r>
            <w:r w:rsidRPr="00175B37">
              <w:rPr>
                <w:sz w:val="20"/>
                <w:szCs w:val="20"/>
              </w:rPr>
              <w:t xml:space="preserve"> (2022)</w:t>
            </w:r>
          </w:p>
        </w:tc>
        <w:tc>
          <w:tcPr>
            <w:tcW w:w="3420" w:type="dxa"/>
          </w:tcPr>
          <w:p w14:paraId="4E9CDCB8" w14:textId="77777777" w:rsidR="0098604D" w:rsidRPr="00175B37" w:rsidRDefault="0098604D" w:rsidP="00C50047">
            <w:pPr>
              <w:spacing w:line="240" w:lineRule="auto"/>
              <w:ind w:firstLine="0"/>
              <w:rPr>
                <w:sz w:val="20"/>
                <w:szCs w:val="20"/>
              </w:rPr>
            </w:pPr>
            <w:r w:rsidRPr="00175B37">
              <w:rPr>
                <w:sz w:val="20"/>
                <w:szCs w:val="20"/>
              </w:rPr>
              <w:t>From the supplier’s perspective, why the dominant supplier is induced to initiate innovation contribution?</w:t>
            </w:r>
          </w:p>
        </w:tc>
        <w:tc>
          <w:tcPr>
            <w:tcW w:w="4500" w:type="dxa"/>
          </w:tcPr>
          <w:p w14:paraId="72CC4C64" w14:textId="12277D64" w:rsidR="0098604D" w:rsidRPr="00C50047" w:rsidRDefault="00C50047" w:rsidP="00C50047">
            <w:pPr>
              <w:spacing w:line="240" w:lineRule="auto"/>
              <w:ind w:firstLine="0"/>
              <w:jc w:val="left"/>
              <w:rPr>
                <w:sz w:val="20"/>
                <w:szCs w:val="20"/>
              </w:rPr>
            </w:pPr>
            <w:r w:rsidRPr="00C50047">
              <w:rPr>
                <w:sz w:val="20"/>
                <w:szCs w:val="20"/>
              </w:rPr>
              <w:t xml:space="preserve">- </w:t>
            </w:r>
            <w:r w:rsidR="0098604D" w:rsidRPr="00C50047">
              <w:rPr>
                <w:sz w:val="20"/>
                <w:szCs w:val="20"/>
                <w:u w:val="single"/>
              </w:rPr>
              <w:t>Relational benefits</w:t>
            </w:r>
            <w:r w:rsidR="0098604D" w:rsidRPr="00C50047">
              <w:rPr>
                <w:sz w:val="20"/>
                <w:szCs w:val="20"/>
              </w:rPr>
              <w:t xml:space="preserve"> are required for black-box supplier involvement to induce supplier innovation contribute.</w:t>
            </w:r>
          </w:p>
        </w:tc>
        <w:tc>
          <w:tcPr>
            <w:tcW w:w="4680" w:type="dxa"/>
          </w:tcPr>
          <w:p w14:paraId="229B9875" w14:textId="77777777" w:rsidR="0098604D" w:rsidRPr="00C50047" w:rsidRDefault="0098604D" w:rsidP="00C50047">
            <w:pPr>
              <w:spacing w:line="240" w:lineRule="auto"/>
              <w:ind w:firstLine="0"/>
              <w:jc w:val="left"/>
              <w:rPr>
                <w:sz w:val="20"/>
                <w:szCs w:val="20"/>
              </w:rPr>
            </w:pPr>
            <w:r w:rsidRPr="00C50047">
              <w:rPr>
                <w:sz w:val="20"/>
                <w:szCs w:val="20"/>
              </w:rPr>
              <w:t>Our paper is also about strategies toward dominant suppliers, but we investigate procurement strategies against supply shortage in sudden and disruptive events, instead of innovation strategies.</w:t>
            </w:r>
          </w:p>
        </w:tc>
      </w:tr>
      <w:tr w:rsidR="0098604D" w:rsidRPr="00175B37" w14:paraId="61838C28" w14:textId="77777777" w:rsidTr="0003496E">
        <w:trPr>
          <w:trHeight w:val="386"/>
        </w:trPr>
        <w:tc>
          <w:tcPr>
            <w:tcW w:w="1615" w:type="dxa"/>
          </w:tcPr>
          <w:p w14:paraId="68CD4DC3" w14:textId="77777777" w:rsidR="0098604D" w:rsidRPr="00175B37" w:rsidRDefault="0098604D" w:rsidP="0003496E">
            <w:pPr>
              <w:spacing w:line="240" w:lineRule="auto"/>
              <w:ind w:firstLine="0"/>
              <w:jc w:val="left"/>
              <w:rPr>
                <w:sz w:val="20"/>
                <w:szCs w:val="20"/>
              </w:rPr>
            </w:pPr>
            <w:r>
              <w:rPr>
                <w:sz w:val="20"/>
                <w:szCs w:val="20"/>
              </w:rPr>
              <w:lastRenderedPageBreak/>
              <w:t>Lonsdale (2001)</w:t>
            </w:r>
          </w:p>
        </w:tc>
        <w:tc>
          <w:tcPr>
            <w:tcW w:w="3420" w:type="dxa"/>
          </w:tcPr>
          <w:p w14:paraId="272D260E" w14:textId="77777777" w:rsidR="0098604D" w:rsidRPr="00C50047" w:rsidRDefault="0098604D" w:rsidP="00C50047">
            <w:pPr>
              <w:spacing w:line="240" w:lineRule="auto"/>
              <w:ind w:firstLine="0"/>
              <w:jc w:val="left"/>
              <w:rPr>
                <w:sz w:val="20"/>
                <w:szCs w:val="20"/>
              </w:rPr>
            </w:pPr>
            <w:r w:rsidRPr="00C50047">
              <w:rPr>
                <w:sz w:val="20"/>
                <w:szCs w:val="20"/>
              </w:rPr>
              <w:t>The importance of asset specificity in outsourcing decisions and the need for buyers to understand pre- and post-contractual (e.g., lock-in) risks</w:t>
            </w:r>
          </w:p>
        </w:tc>
        <w:tc>
          <w:tcPr>
            <w:tcW w:w="4500" w:type="dxa"/>
          </w:tcPr>
          <w:p w14:paraId="0A19B65D" w14:textId="307D5D9A"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Asset specificity can cause “serious contractual difficulty” (opportunism and bounded rationality both exist).</w:t>
            </w:r>
          </w:p>
          <w:p w14:paraId="1775C802" w14:textId="3725958B"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 xml:space="preserve">Provided evidence for the dangers of core vs. non-core perspective on outsourcing. </w:t>
            </w:r>
          </w:p>
        </w:tc>
        <w:tc>
          <w:tcPr>
            <w:tcW w:w="4680" w:type="dxa"/>
          </w:tcPr>
          <w:p w14:paraId="1C86AD60" w14:textId="6DFB86C5"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Our paper focused on supply disruptions caused by other reasons than opportunism.</w:t>
            </w:r>
          </w:p>
          <w:p w14:paraId="75B5FBA3" w14:textId="787364D9"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Supplier dependency in our case is caused by supply market concentration instead of outsourcing.</w:t>
            </w:r>
          </w:p>
        </w:tc>
      </w:tr>
      <w:tr w:rsidR="0098604D" w:rsidRPr="00175B37" w14:paraId="66C9E9C1" w14:textId="77777777" w:rsidTr="0003496E">
        <w:trPr>
          <w:trHeight w:val="386"/>
        </w:trPr>
        <w:tc>
          <w:tcPr>
            <w:tcW w:w="1615" w:type="dxa"/>
          </w:tcPr>
          <w:p w14:paraId="0EA4C29C" w14:textId="60BE0B32" w:rsidR="0098604D" w:rsidRDefault="0098604D" w:rsidP="0003496E">
            <w:pPr>
              <w:spacing w:line="240" w:lineRule="auto"/>
              <w:ind w:firstLine="0"/>
              <w:jc w:val="left"/>
              <w:rPr>
                <w:sz w:val="20"/>
                <w:szCs w:val="20"/>
              </w:rPr>
            </w:pPr>
            <w:r>
              <w:rPr>
                <w:sz w:val="20"/>
                <w:szCs w:val="20"/>
              </w:rPr>
              <w:t xml:space="preserve">Reimann </w:t>
            </w:r>
            <w:r w:rsidR="000D08BD">
              <w:rPr>
                <w:sz w:val="20"/>
                <w:szCs w:val="20"/>
              </w:rPr>
              <w:t>and</w:t>
            </w:r>
            <w:r>
              <w:rPr>
                <w:sz w:val="20"/>
                <w:szCs w:val="20"/>
              </w:rPr>
              <w:t xml:space="preserve"> Ketchen (2017)</w:t>
            </w:r>
          </w:p>
        </w:tc>
        <w:tc>
          <w:tcPr>
            <w:tcW w:w="3420" w:type="dxa"/>
          </w:tcPr>
          <w:p w14:paraId="61CA999C" w14:textId="68F410A0"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Overview of key concepts underlying the current literature on power in supply chains (SCs).</w:t>
            </w:r>
          </w:p>
          <w:p w14:paraId="3473E5B1" w14:textId="607C0402"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 xml:space="preserve">Highlights the developing research streams on power in SC. </w:t>
            </w:r>
          </w:p>
        </w:tc>
        <w:tc>
          <w:tcPr>
            <w:tcW w:w="4500" w:type="dxa"/>
          </w:tcPr>
          <w:p w14:paraId="5D3F7FFB" w14:textId="5DB665EA"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Theoretical lenses used in SC literature to study power include resource dependence theory, social exchange theory, different power bases.</w:t>
            </w:r>
          </w:p>
          <w:p w14:paraId="681DA15D" w14:textId="36E7A8E1"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Based on these, literature on power in SC studied how different kinds of power affect buyer-supplier relationships, for instance, trust, relationship commitment, and SC performance and satisfaction.</w:t>
            </w:r>
          </w:p>
          <w:p w14:paraId="53C45D2D" w14:textId="15E01C86"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Most papers focused on normal exchange situation and not disruptions.</w:t>
            </w:r>
          </w:p>
        </w:tc>
        <w:tc>
          <w:tcPr>
            <w:tcW w:w="4680" w:type="dxa"/>
          </w:tcPr>
          <w:p w14:paraId="2F3772DF" w14:textId="2549357D"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In our study, we studied the case where supplier dominance stems from the oligopolistic/monopolistic ownership of resource (resource dependence theory).</w:t>
            </w:r>
          </w:p>
          <w:p w14:paraId="7D3EA196" w14:textId="10B79605" w:rsidR="0098604D" w:rsidRPr="00C50047" w:rsidRDefault="00C50047" w:rsidP="00C50047">
            <w:pPr>
              <w:spacing w:line="240" w:lineRule="auto"/>
              <w:ind w:firstLine="0"/>
              <w:jc w:val="left"/>
              <w:rPr>
                <w:sz w:val="20"/>
                <w:szCs w:val="20"/>
              </w:rPr>
            </w:pPr>
            <w:r>
              <w:rPr>
                <w:sz w:val="20"/>
                <w:szCs w:val="20"/>
              </w:rPr>
              <w:t xml:space="preserve">- </w:t>
            </w:r>
            <w:r w:rsidR="0098604D" w:rsidRPr="00C50047">
              <w:rPr>
                <w:sz w:val="20"/>
                <w:szCs w:val="20"/>
              </w:rPr>
              <w:t>However, we focused on examining procurement strategies to address supply disruptions, rather than addressing the power asymmetry.</w:t>
            </w:r>
          </w:p>
        </w:tc>
      </w:tr>
    </w:tbl>
    <w:p w14:paraId="6B199177" w14:textId="3489BFAA" w:rsidR="0098604D" w:rsidRDefault="007645C5" w:rsidP="0098604D">
      <w:pPr>
        <w:sectPr w:rsidR="0098604D" w:rsidSect="0098604D">
          <w:headerReference w:type="even" r:id="rId7"/>
          <w:footerReference w:type="even" r:id="rId8"/>
          <w:footerReference w:type="default" r:id="rId9"/>
          <w:headerReference w:type="first" r:id="rId10"/>
          <w:type w:val="continuous"/>
          <w:pgSz w:w="15840" w:h="12240" w:orient="landscape"/>
          <w:pgMar w:top="1440" w:right="1440" w:bottom="1440" w:left="1440" w:header="720" w:footer="720" w:gutter="0"/>
          <w:cols w:space="720"/>
          <w:docGrid w:linePitch="360"/>
        </w:sectPr>
      </w:pPr>
      <w:r w:rsidRPr="007645C5">
        <w:rPr>
          <w:b/>
          <w:bCs/>
        </w:rPr>
        <w:t>Source(s):</w:t>
      </w:r>
      <w:r>
        <w:t xml:space="preserve"> Authors’ own creation</w:t>
      </w:r>
    </w:p>
    <w:p w14:paraId="4EEE61D7" w14:textId="77777777" w:rsidR="0098604D" w:rsidRPr="00210631" w:rsidRDefault="0098604D" w:rsidP="0098604D">
      <w:pPr>
        <w:rPr>
          <w:b/>
          <w:bCs/>
        </w:rPr>
      </w:pPr>
      <w:r w:rsidRPr="00210631">
        <w:rPr>
          <w:b/>
          <w:bCs/>
        </w:rPr>
        <w:lastRenderedPageBreak/>
        <w:t xml:space="preserve">Additional </w:t>
      </w:r>
      <w:r>
        <w:rPr>
          <w:b/>
          <w:bCs/>
        </w:rPr>
        <w:t>r</w:t>
      </w:r>
      <w:r w:rsidRPr="00210631">
        <w:rPr>
          <w:b/>
          <w:bCs/>
        </w:rPr>
        <w:t>eferences</w:t>
      </w:r>
    </w:p>
    <w:p w14:paraId="2A2C4641" w14:textId="12D094C6" w:rsidR="0098604D" w:rsidRDefault="0098604D" w:rsidP="0098604D">
      <w:pPr>
        <w:spacing w:line="240" w:lineRule="auto"/>
        <w:ind w:left="360" w:hanging="360"/>
      </w:pPr>
      <w:r w:rsidRPr="008E13A6">
        <w:t>Brito, R.P.</w:t>
      </w:r>
      <w:r w:rsidR="000D08BD">
        <w:t xml:space="preserve"> and</w:t>
      </w:r>
      <w:r w:rsidRPr="008E13A6">
        <w:t xml:space="preserve"> Miguel, P.L. (2017)</w:t>
      </w:r>
      <w:r w:rsidR="000D08BD">
        <w:t>, “</w:t>
      </w:r>
      <w:r w:rsidRPr="008E13A6">
        <w:t>Power, governance, and value in collaboration: Differences between buyer and supplier perspectives</w:t>
      </w:r>
      <w:r w:rsidR="000D08BD">
        <w:t>”,</w:t>
      </w:r>
      <w:r w:rsidRPr="008E13A6">
        <w:t> </w:t>
      </w:r>
      <w:r w:rsidRPr="008E13A6">
        <w:rPr>
          <w:i/>
          <w:iCs/>
        </w:rPr>
        <w:t>Journal of Supply Chain Management</w:t>
      </w:r>
      <w:r w:rsidRPr="008E13A6">
        <w:t>, </w:t>
      </w:r>
      <w:r w:rsidR="000D08BD">
        <w:t xml:space="preserve">Vol. </w:t>
      </w:r>
      <w:r w:rsidRPr="000D08BD">
        <w:t>53</w:t>
      </w:r>
      <w:r w:rsidR="000D08BD">
        <w:t xml:space="preserve"> No. </w:t>
      </w:r>
      <w:r w:rsidRPr="008E13A6">
        <w:t>2,</w:t>
      </w:r>
      <w:r w:rsidR="000D08BD">
        <w:t xml:space="preserve"> pp.</w:t>
      </w:r>
      <w:r w:rsidRPr="008E13A6">
        <w:t xml:space="preserve"> 61-87.</w:t>
      </w:r>
    </w:p>
    <w:p w14:paraId="7F8FFA96" w14:textId="48B02CD6" w:rsidR="0098604D" w:rsidRDefault="0098604D" w:rsidP="0098604D">
      <w:pPr>
        <w:spacing w:line="240" w:lineRule="auto"/>
        <w:ind w:left="360" w:hanging="360"/>
      </w:pPr>
      <w:r w:rsidRPr="008E13A6">
        <w:t xml:space="preserve">Chae, S., Choi, T.Y. </w:t>
      </w:r>
      <w:r w:rsidR="000D08BD">
        <w:t>and</w:t>
      </w:r>
      <w:r w:rsidRPr="008E13A6">
        <w:t xml:space="preserve"> Hur, D. (2017)</w:t>
      </w:r>
      <w:r w:rsidR="000D08BD">
        <w:t>,</w:t>
      </w:r>
      <w:r w:rsidRPr="008E13A6">
        <w:t xml:space="preserve"> </w:t>
      </w:r>
      <w:r w:rsidR="000D08BD">
        <w:t>“</w:t>
      </w:r>
      <w:r w:rsidRPr="008E13A6">
        <w:t>Buyer power and supplier relationship commitment: A cognitive evaluation theory perspective</w:t>
      </w:r>
      <w:r w:rsidR="000D08BD">
        <w:t>”,</w:t>
      </w:r>
      <w:r w:rsidRPr="008E13A6">
        <w:t> </w:t>
      </w:r>
      <w:r w:rsidRPr="008E13A6">
        <w:rPr>
          <w:i/>
          <w:iCs/>
        </w:rPr>
        <w:t>Journal of Supply Chain Management</w:t>
      </w:r>
      <w:r w:rsidRPr="008E13A6">
        <w:t>, </w:t>
      </w:r>
      <w:r w:rsidR="000D08BD">
        <w:t xml:space="preserve">Vol. </w:t>
      </w:r>
      <w:r w:rsidRPr="000D08BD">
        <w:t>53</w:t>
      </w:r>
      <w:r w:rsidR="000D08BD">
        <w:t xml:space="preserve"> No. </w:t>
      </w:r>
      <w:r w:rsidRPr="008E13A6">
        <w:t>2,</w:t>
      </w:r>
      <w:r w:rsidR="000D08BD">
        <w:t xml:space="preserve"> pp.</w:t>
      </w:r>
      <w:r w:rsidRPr="008E13A6">
        <w:t xml:space="preserve"> 39-60.</w:t>
      </w:r>
    </w:p>
    <w:p w14:paraId="518D3790" w14:textId="12E489E1" w:rsidR="0098604D" w:rsidRDefault="0098604D" w:rsidP="0098604D">
      <w:pPr>
        <w:spacing w:line="240" w:lineRule="auto"/>
        <w:ind w:left="360" w:hanging="360"/>
      </w:pPr>
      <w:r w:rsidRPr="001A45F3">
        <w:t>Crook, T.R., Craighead, C.W.</w:t>
      </w:r>
      <w:r w:rsidR="000D08BD">
        <w:t xml:space="preserve"> and</w:t>
      </w:r>
      <w:r w:rsidRPr="001A45F3">
        <w:t xml:space="preserve"> Autry, C.W. (2017)</w:t>
      </w:r>
      <w:r w:rsidR="000D08BD">
        <w:t>,</w:t>
      </w:r>
      <w:r w:rsidRPr="001A45F3">
        <w:t xml:space="preserve"> </w:t>
      </w:r>
      <w:r w:rsidR="000D08BD">
        <w:t>“</w:t>
      </w:r>
      <w:r w:rsidRPr="001A45F3">
        <w:t>Hold back or held back? The roles of constraint mitigation and exchange diffusion on power “nonuse” in buyer–supplier exchanges</w:t>
      </w:r>
      <w:r w:rsidR="000D08BD">
        <w:t xml:space="preserve">”, </w:t>
      </w:r>
      <w:r w:rsidRPr="001A45F3">
        <w:rPr>
          <w:i/>
          <w:iCs/>
        </w:rPr>
        <w:t>Journal of Supply Chain Management</w:t>
      </w:r>
      <w:r w:rsidR="000D08BD">
        <w:t xml:space="preserve">, Vol. </w:t>
      </w:r>
      <w:r w:rsidRPr="000D08BD">
        <w:t>53</w:t>
      </w:r>
      <w:r w:rsidR="000D08BD">
        <w:t xml:space="preserve"> No. </w:t>
      </w:r>
      <w:r w:rsidRPr="001A45F3">
        <w:t>2,</w:t>
      </w:r>
      <w:r w:rsidR="000D08BD">
        <w:t xml:space="preserve"> pp.</w:t>
      </w:r>
      <w:r w:rsidRPr="001A45F3">
        <w:t xml:space="preserve"> 10-21.</w:t>
      </w:r>
    </w:p>
    <w:p w14:paraId="31997EE2" w14:textId="2CD797FB" w:rsidR="0098604D" w:rsidRDefault="0098604D" w:rsidP="0098604D">
      <w:pPr>
        <w:spacing w:line="240" w:lineRule="auto"/>
        <w:ind w:left="360" w:hanging="360"/>
      </w:pPr>
      <w:r w:rsidRPr="008E13A6">
        <w:t xml:space="preserve">Elking, I., Paraskevas, J.P., Grimm, C., Corsi, T. </w:t>
      </w:r>
      <w:r w:rsidR="000D08BD">
        <w:t>and</w:t>
      </w:r>
      <w:r w:rsidRPr="008E13A6">
        <w:t xml:space="preserve"> Steven, A. (2017)</w:t>
      </w:r>
      <w:r w:rsidR="000D08BD">
        <w:t>,</w:t>
      </w:r>
      <w:r w:rsidRPr="008E13A6">
        <w:t xml:space="preserve"> </w:t>
      </w:r>
      <w:r w:rsidR="000D08BD">
        <w:t>“</w:t>
      </w:r>
      <w:r w:rsidRPr="008E13A6">
        <w:t>Financial dependence, lean inventory strategy, and firm performance</w:t>
      </w:r>
      <w:r w:rsidR="000D08BD">
        <w:t>”,</w:t>
      </w:r>
      <w:r w:rsidRPr="008E13A6">
        <w:t> </w:t>
      </w:r>
      <w:r w:rsidRPr="008E13A6">
        <w:rPr>
          <w:i/>
          <w:iCs/>
        </w:rPr>
        <w:t>Journal of Supply Chain Management</w:t>
      </w:r>
      <w:r w:rsidRPr="008E13A6">
        <w:t>, </w:t>
      </w:r>
      <w:r w:rsidR="000D08BD">
        <w:t xml:space="preserve">Vol. </w:t>
      </w:r>
      <w:r w:rsidRPr="000D08BD">
        <w:t>53</w:t>
      </w:r>
      <w:r w:rsidR="000D08BD">
        <w:t xml:space="preserve"> No. </w:t>
      </w:r>
      <w:r w:rsidRPr="008E13A6">
        <w:t>2,</w:t>
      </w:r>
      <w:r w:rsidR="000D08BD">
        <w:t xml:space="preserve"> pp.</w:t>
      </w:r>
      <w:r w:rsidRPr="008E13A6">
        <w:t xml:space="preserve"> 22-38.</w:t>
      </w:r>
    </w:p>
    <w:p w14:paraId="68A56955" w14:textId="3ADE0B62" w:rsidR="0098604D" w:rsidRPr="00210631" w:rsidRDefault="0098604D" w:rsidP="0098604D">
      <w:pPr>
        <w:spacing w:line="240" w:lineRule="auto"/>
        <w:ind w:left="360" w:hanging="360"/>
      </w:pPr>
      <w:r w:rsidRPr="00210631">
        <w:t xml:space="preserve">Habib, F., </w:t>
      </w:r>
      <w:proofErr w:type="spellStart"/>
      <w:r w:rsidRPr="00210631">
        <w:t>Bastl</w:t>
      </w:r>
      <w:proofErr w:type="spellEnd"/>
      <w:r w:rsidRPr="00210631">
        <w:t>, M.</w:t>
      </w:r>
      <w:r w:rsidR="00677C74">
        <w:t xml:space="preserve"> and</w:t>
      </w:r>
      <w:r w:rsidRPr="00210631">
        <w:t xml:space="preserve"> Pilbeam, C. (2015)</w:t>
      </w:r>
      <w:r w:rsidR="00677C74">
        <w:t>, “</w:t>
      </w:r>
      <w:r w:rsidRPr="00210631">
        <w:t>Strategic responses to power dominance in buyer-supplier relationships: A weaker actor’s perspective</w:t>
      </w:r>
      <w:r w:rsidR="00677C74">
        <w:t>”,</w:t>
      </w:r>
      <w:r w:rsidRPr="00210631">
        <w:t> </w:t>
      </w:r>
      <w:r w:rsidRPr="00210631">
        <w:rPr>
          <w:i/>
          <w:iCs/>
        </w:rPr>
        <w:t>International Journal of Physical Distribution &amp; Logistics Management</w:t>
      </w:r>
      <w:r w:rsidRPr="00210631">
        <w:t>, </w:t>
      </w:r>
      <w:r w:rsidR="00677C74">
        <w:t xml:space="preserve">Vol. </w:t>
      </w:r>
      <w:r w:rsidRPr="00677C74">
        <w:t>45</w:t>
      </w:r>
      <w:r w:rsidR="00677C74">
        <w:t xml:space="preserve"> No. </w:t>
      </w:r>
      <w:r w:rsidRPr="00210631">
        <w:t>1/2,</w:t>
      </w:r>
      <w:r w:rsidR="00677C74">
        <w:t xml:space="preserve"> pp.</w:t>
      </w:r>
      <w:r w:rsidRPr="00210631">
        <w:t xml:space="preserve"> 182-203.</w:t>
      </w:r>
    </w:p>
    <w:p w14:paraId="2CC6DBCA" w14:textId="49CCF568" w:rsidR="0098604D" w:rsidRPr="00210631" w:rsidRDefault="0098604D" w:rsidP="0098604D">
      <w:pPr>
        <w:spacing w:line="240" w:lineRule="auto"/>
        <w:ind w:left="360" w:hanging="360"/>
      </w:pPr>
      <w:r w:rsidRPr="000207C7">
        <w:t xml:space="preserve">Han, Z., Hu, M., Zuo, Y. </w:t>
      </w:r>
      <w:r w:rsidR="00677C74">
        <w:t>and</w:t>
      </w:r>
      <w:r w:rsidRPr="000207C7">
        <w:t xml:space="preserve"> Jiang, S. (2022)</w:t>
      </w:r>
      <w:r w:rsidR="00677C74">
        <w:t>, “</w:t>
      </w:r>
      <w:r w:rsidRPr="00210631">
        <w:t>Supplier-base concentration and efficiency: the moderating roles of R&amp;D expenditure and market share</w:t>
      </w:r>
      <w:r w:rsidR="00677C74">
        <w:t xml:space="preserve">”, </w:t>
      </w:r>
      <w:r w:rsidRPr="00210631">
        <w:rPr>
          <w:i/>
          <w:iCs/>
        </w:rPr>
        <w:t>International Journal of Physical Distribution &amp; Logistics Management</w:t>
      </w:r>
      <w:r w:rsidRPr="00210631">
        <w:t>, </w:t>
      </w:r>
      <w:r w:rsidR="00677C74">
        <w:t xml:space="preserve">Vol. </w:t>
      </w:r>
      <w:r w:rsidRPr="00677C74">
        <w:t>52</w:t>
      </w:r>
      <w:r w:rsidR="00677C74">
        <w:t xml:space="preserve"> No. </w:t>
      </w:r>
      <w:r w:rsidRPr="00210631">
        <w:t>9/10,</w:t>
      </w:r>
      <w:r w:rsidR="00677C74">
        <w:t xml:space="preserve"> pp.</w:t>
      </w:r>
      <w:r w:rsidRPr="00210631">
        <w:t xml:space="preserve"> 748-770.</w:t>
      </w:r>
    </w:p>
    <w:p w14:paraId="63EA9C2A" w14:textId="77BD61B1" w:rsidR="0098604D" w:rsidRDefault="0098604D" w:rsidP="0098604D">
      <w:pPr>
        <w:spacing w:line="240" w:lineRule="auto"/>
        <w:ind w:left="360" w:hanging="360"/>
      </w:pPr>
      <w:r w:rsidRPr="00894EC6">
        <w:t>Huo, B., Flynn, B. B.</w:t>
      </w:r>
      <w:r w:rsidR="00677C74">
        <w:t xml:space="preserve"> and</w:t>
      </w:r>
      <w:r w:rsidRPr="00894EC6">
        <w:t xml:space="preserve"> Zhao, X. (2017)</w:t>
      </w:r>
      <w:r w:rsidR="00677C74">
        <w:t>,</w:t>
      </w:r>
      <w:r w:rsidRPr="00894EC6">
        <w:t xml:space="preserve"> </w:t>
      </w:r>
      <w:r w:rsidR="00677C74">
        <w:t>“</w:t>
      </w:r>
      <w:r w:rsidRPr="00894EC6">
        <w:t>Supply chain power configurations and their relationship with performance</w:t>
      </w:r>
      <w:r w:rsidR="00677C74">
        <w:t>”,</w:t>
      </w:r>
      <w:r w:rsidRPr="00894EC6">
        <w:t> </w:t>
      </w:r>
      <w:r w:rsidRPr="00894EC6">
        <w:rPr>
          <w:i/>
          <w:iCs/>
        </w:rPr>
        <w:t>Journal of Supply Chain Management</w:t>
      </w:r>
      <w:r w:rsidRPr="00894EC6">
        <w:t>, </w:t>
      </w:r>
      <w:r w:rsidR="00677C74">
        <w:t xml:space="preserve">Vol. </w:t>
      </w:r>
      <w:r w:rsidRPr="00677C74">
        <w:t>53</w:t>
      </w:r>
      <w:r w:rsidR="00677C74">
        <w:t xml:space="preserve"> No. </w:t>
      </w:r>
      <w:r w:rsidRPr="00894EC6">
        <w:t>2,</w:t>
      </w:r>
      <w:r w:rsidR="00677C74">
        <w:t xml:space="preserve"> pp.</w:t>
      </w:r>
      <w:r w:rsidRPr="00894EC6">
        <w:t xml:space="preserve"> 88-111.</w:t>
      </w:r>
    </w:p>
    <w:p w14:paraId="3A75D18C" w14:textId="7A3B6D20" w:rsidR="0098604D" w:rsidRPr="00210631" w:rsidRDefault="0098604D" w:rsidP="0098604D">
      <w:pPr>
        <w:spacing w:line="240" w:lineRule="auto"/>
        <w:ind w:left="360" w:hanging="360"/>
      </w:pPr>
      <w:r w:rsidRPr="00210631">
        <w:t>Jiang, S., Yeung, A.C., Han, Z.</w:t>
      </w:r>
      <w:r w:rsidR="00677C74">
        <w:t xml:space="preserve"> and</w:t>
      </w:r>
      <w:r w:rsidRPr="00210631">
        <w:t xml:space="preserve"> Huo, B. (2023)</w:t>
      </w:r>
      <w:r w:rsidR="00677C74">
        <w:t>,</w:t>
      </w:r>
      <w:r w:rsidRPr="00210631">
        <w:t xml:space="preserve"> </w:t>
      </w:r>
      <w:r w:rsidR="00677C74">
        <w:t>“</w:t>
      </w:r>
      <w:r w:rsidRPr="00210631">
        <w:t>The effect of customer and supplier concentrations on firm resilience during the COVID‐19 pandemic: resource dependence and power balancing</w:t>
      </w:r>
      <w:r w:rsidR="00677C74">
        <w:t>”,</w:t>
      </w:r>
      <w:r w:rsidRPr="00210631">
        <w:t> </w:t>
      </w:r>
      <w:r w:rsidRPr="00210631">
        <w:rPr>
          <w:i/>
          <w:iCs/>
        </w:rPr>
        <w:t>Journal of Operations Management</w:t>
      </w:r>
      <w:r w:rsidRPr="00210631">
        <w:t>, </w:t>
      </w:r>
      <w:r w:rsidR="00677C74">
        <w:t xml:space="preserve">Vol. </w:t>
      </w:r>
      <w:r w:rsidRPr="00677C74">
        <w:t>69</w:t>
      </w:r>
      <w:r w:rsidR="00677C74">
        <w:t xml:space="preserve"> No. </w:t>
      </w:r>
      <w:r w:rsidRPr="00210631">
        <w:t>3,</w:t>
      </w:r>
      <w:r w:rsidR="00677C74">
        <w:t xml:space="preserve"> pp.</w:t>
      </w:r>
      <w:r w:rsidRPr="00210631">
        <w:t xml:space="preserve"> 497-518.</w:t>
      </w:r>
    </w:p>
    <w:p w14:paraId="54F4BCFA" w14:textId="55A8483C" w:rsidR="0098604D" w:rsidRDefault="0098604D" w:rsidP="0098604D">
      <w:pPr>
        <w:spacing w:line="240" w:lineRule="auto"/>
        <w:ind w:left="360" w:hanging="360"/>
      </w:pPr>
      <w:r w:rsidRPr="00210631">
        <w:t>Li, S., Wu, M.</w:t>
      </w:r>
      <w:r w:rsidR="00677C74">
        <w:t xml:space="preserve"> and</w:t>
      </w:r>
      <w:r w:rsidRPr="00210631">
        <w:t xml:space="preserve"> Zhu, M. (2022)</w:t>
      </w:r>
      <w:r w:rsidR="00677C74">
        <w:t>,</w:t>
      </w:r>
      <w:r w:rsidRPr="00210631">
        <w:t xml:space="preserve"> </w:t>
      </w:r>
      <w:r w:rsidR="00677C74">
        <w:t>“</w:t>
      </w:r>
      <w:r w:rsidRPr="00210631">
        <w:t>What's in it for me? The occurrence of supplier innovation contribution in the context of supplier-dominant innovation: The supplier's perspective</w:t>
      </w:r>
      <w:r w:rsidR="00677C74">
        <w:t>”,</w:t>
      </w:r>
      <w:r w:rsidRPr="00210631">
        <w:t> </w:t>
      </w:r>
      <w:r w:rsidRPr="00210631">
        <w:rPr>
          <w:i/>
          <w:iCs/>
        </w:rPr>
        <w:t>Industrial Marketing Management</w:t>
      </w:r>
      <w:r w:rsidRPr="00210631">
        <w:t>, </w:t>
      </w:r>
      <w:r w:rsidR="00677C74">
        <w:t xml:space="preserve">Vol. </w:t>
      </w:r>
      <w:r w:rsidRPr="00677C74">
        <w:t>104</w:t>
      </w:r>
      <w:r w:rsidRPr="00210631">
        <w:t>,</w:t>
      </w:r>
      <w:r w:rsidR="00677C74">
        <w:t xml:space="preserve"> pp.</w:t>
      </w:r>
      <w:r w:rsidRPr="00210631">
        <w:t xml:space="preserve"> 182-195.</w:t>
      </w:r>
    </w:p>
    <w:p w14:paraId="4C02A9D9" w14:textId="21D8ABB6" w:rsidR="0098604D" w:rsidRDefault="0098604D" w:rsidP="0098604D">
      <w:pPr>
        <w:spacing w:line="240" w:lineRule="auto"/>
        <w:ind w:left="360" w:hanging="360"/>
      </w:pPr>
      <w:r w:rsidRPr="005724D2">
        <w:t>Lonsdale, C. (2001)</w:t>
      </w:r>
      <w:r w:rsidR="00677C74">
        <w:t>, “</w:t>
      </w:r>
      <w:r w:rsidRPr="005724D2">
        <w:t>Locked-in to supplier dominance: on the dangers of asset specificity for the outsourcing decision</w:t>
      </w:r>
      <w:r w:rsidR="00677C74">
        <w:t>”,</w:t>
      </w:r>
      <w:r w:rsidRPr="005724D2">
        <w:t> </w:t>
      </w:r>
      <w:r w:rsidRPr="005724D2">
        <w:rPr>
          <w:i/>
          <w:iCs/>
        </w:rPr>
        <w:t>Journal of Supply Chain Management</w:t>
      </w:r>
      <w:r w:rsidRPr="005724D2">
        <w:t>, </w:t>
      </w:r>
      <w:r w:rsidR="00677C74">
        <w:t xml:space="preserve">Vol. </w:t>
      </w:r>
      <w:r w:rsidRPr="00677C74">
        <w:t>37</w:t>
      </w:r>
      <w:r w:rsidR="00677C74">
        <w:t xml:space="preserve"> No. </w:t>
      </w:r>
      <w:r w:rsidRPr="005724D2">
        <w:t>2,</w:t>
      </w:r>
      <w:r w:rsidR="00677C74">
        <w:t xml:space="preserve"> p.</w:t>
      </w:r>
      <w:r w:rsidRPr="005724D2">
        <w:t xml:space="preserve"> 22.</w:t>
      </w:r>
    </w:p>
    <w:p w14:paraId="7B731A50" w14:textId="6993E429" w:rsidR="000040E6" w:rsidRDefault="0098604D" w:rsidP="0098604D">
      <w:pPr>
        <w:spacing w:line="240" w:lineRule="auto"/>
        <w:ind w:left="360" w:hanging="360"/>
      </w:pPr>
      <w:r w:rsidRPr="009F4619">
        <w:t>Reimann, F.</w:t>
      </w:r>
      <w:r w:rsidR="00677C74">
        <w:t xml:space="preserve"> and</w:t>
      </w:r>
      <w:r w:rsidRPr="009F4619">
        <w:t xml:space="preserve"> Ketchen Jr, D.J. (2017)</w:t>
      </w:r>
      <w:r w:rsidR="00677C74">
        <w:t>,</w:t>
      </w:r>
      <w:r w:rsidRPr="009F4619">
        <w:t xml:space="preserve"> </w:t>
      </w:r>
      <w:r w:rsidR="00677C74">
        <w:t>“</w:t>
      </w:r>
      <w:r w:rsidRPr="009F4619">
        <w:t>Power in supply chain management</w:t>
      </w:r>
      <w:r w:rsidR="00677C74">
        <w:t>”,</w:t>
      </w:r>
      <w:r w:rsidRPr="009F4619">
        <w:t> </w:t>
      </w:r>
      <w:r w:rsidRPr="009F4619">
        <w:rPr>
          <w:i/>
          <w:iCs/>
        </w:rPr>
        <w:t>Journal of Supply Chain Management</w:t>
      </w:r>
      <w:r w:rsidRPr="009F4619">
        <w:t>, </w:t>
      </w:r>
      <w:r w:rsidR="00677C74">
        <w:t xml:space="preserve">Vol. </w:t>
      </w:r>
      <w:r w:rsidRPr="00677C74">
        <w:t>53</w:t>
      </w:r>
      <w:r w:rsidR="00677C74">
        <w:t xml:space="preserve"> No. </w:t>
      </w:r>
      <w:r w:rsidRPr="009F4619">
        <w:t>2,</w:t>
      </w:r>
      <w:r w:rsidR="00677C74">
        <w:t xml:space="preserve"> pp.</w:t>
      </w:r>
      <w:r w:rsidRPr="009F4619">
        <w:t xml:space="preserve"> 3-9.</w:t>
      </w:r>
    </w:p>
    <w:sectPr w:rsidR="000040E6" w:rsidSect="00A10DB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CDDDAF" w14:textId="77777777" w:rsidR="00A27815" w:rsidRDefault="00A27815" w:rsidP="000D08BD">
      <w:pPr>
        <w:spacing w:line="240" w:lineRule="auto"/>
      </w:pPr>
      <w:r>
        <w:separator/>
      </w:r>
    </w:p>
  </w:endnote>
  <w:endnote w:type="continuationSeparator" w:id="0">
    <w:p w14:paraId="2C5BB89C" w14:textId="77777777" w:rsidR="00A27815" w:rsidRDefault="00A27815" w:rsidP="000D08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53340258"/>
      <w:docPartObj>
        <w:docPartGallery w:val="Page Numbers (Bottom of Page)"/>
        <w:docPartUnique/>
      </w:docPartObj>
    </w:sdtPr>
    <w:sdtContent>
      <w:p w14:paraId="510ABB48" w14:textId="06887D0C" w:rsidR="000D08BD" w:rsidRDefault="000D08BD" w:rsidP="000275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BCBA19" w14:textId="77777777" w:rsidR="000D08BD" w:rsidRDefault="000D08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24424917"/>
      <w:docPartObj>
        <w:docPartGallery w:val="Page Numbers (Bottom of Page)"/>
        <w:docPartUnique/>
      </w:docPartObj>
    </w:sdtPr>
    <w:sdtContent>
      <w:p w14:paraId="051A1642" w14:textId="27C730CF" w:rsidR="000D08BD" w:rsidRDefault="000D08BD" w:rsidP="000275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72BAFB" w14:textId="77777777" w:rsidR="000D08BD" w:rsidRDefault="000D0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EEC899" w14:textId="77777777" w:rsidR="00A27815" w:rsidRDefault="00A27815" w:rsidP="000D08BD">
      <w:pPr>
        <w:spacing w:line="240" w:lineRule="auto"/>
      </w:pPr>
      <w:r>
        <w:separator/>
      </w:r>
    </w:p>
  </w:footnote>
  <w:footnote w:type="continuationSeparator" w:id="0">
    <w:p w14:paraId="22A1C3C2" w14:textId="77777777" w:rsidR="00A27815" w:rsidRDefault="00A27815" w:rsidP="000D08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6F35CF" w14:textId="108824FC" w:rsidR="007645C5" w:rsidRDefault="007645C5">
    <w:pPr>
      <w:pStyle w:val="Header"/>
    </w:pPr>
    <w:r>
      <w:rPr>
        <w:noProof/>
        <w14:ligatures w14:val="standardContextual"/>
      </w:rPr>
      <mc:AlternateContent>
        <mc:Choice Requires="wps">
          <w:drawing>
            <wp:anchor distT="0" distB="0" distL="0" distR="0" simplePos="0" relativeHeight="251659264" behindDoc="0" locked="0" layoutInCell="1" allowOverlap="1" wp14:anchorId="51FF94EA" wp14:editId="1B73E71C">
              <wp:simplePos x="635" y="635"/>
              <wp:positionH relativeFrom="page">
                <wp:align>right</wp:align>
              </wp:positionH>
              <wp:positionV relativeFrom="page">
                <wp:align>top</wp:align>
              </wp:positionV>
              <wp:extent cx="1713865" cy="562610"/>
              <wp:effectExtent l="0" t="0" r="0" b="8890"/>
              <wp:wrapNone/>
              <wp:docPr id="758108478" name="Text Box 2" descr="--- Confident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3865" cy="562610"/>
                      </a:xfrm>
                      <a:prstGeom prst="rect">
                        <a:avLst/>
                      </a:prstGeom>
                      <a:noFill/>
                      <a:ln>
                        <a:noFill/>
                      </a:ln>
                    </wps:spPr>
                    <wps:txbx>
                      <w:txbxContent>
                        <w:p w14:paraId="2612FD7C" w14:textId="4193454E" w:rsidR="007645C5" w:rsidRPr="007645C5" w:rsidRDefault="007645C5" w:rsidP="007645C5">
                          <w:pPr>
                            <w:rPr>
                              <w:rFonts w:ascii="Aptos" w:eastAsia="Aptos" w:hAnsi="Aptos" w:cs="Aptos"/>
                              <w:noProof/>
                              <w:color w:val="000000"/>
                            </w:rPr>
                          </w:pPr>
                          <w:r w:rsidRPr="007645C5">
                            <w:rPr>
                              <w:rFonts w:ascii="Aptos" w:eastAsia="Aptos" w:hAnsi="Aptos" w:cs="Aptos"/>
                              <w:noProof/>
                              <w:color w:val="000000"/>
                            </w:rPr>
                            <w:t>--- Confidential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1FF94EA" id="_x0000_t202" coordsize="21600,21600" o:spt="202" path="m,l,21600r21600,l21600,xe">
              <v:stroke joinstyle="miter"/>
              <v:path gradientshapeok="t" o:connecttype="rect"/>
            </v:shapetype>
            <v:shape id="Text Box 2" o:spid="_x0000_s1026" type="#_x0000_t202" alt="--- Confidential ---" style="position:absolute;left:0;text-align:left;margin-left:83.75pt;margin-top:0;width:134.95pt;height:44.3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" filled="f" stroked="f">
              <v:textbox style="mso-fit-shape-to-text:t" inset="0,15pt,20pt,0">
                <w:txbxContent>
                  <w:p w14:paraId="2612FD7C" w14:textId="4193454E" w:rsidR="007645C5" w:rsidRPr="007645C5" w:rsidRDefault="007645C5" w:rsidP="007645C5">
                    <w:pPr>
                      <w:rPr>
                        <w:rFonts w:ascii="Aptos" w:eastAsia="Aptos" w:hAnsi="Aptos" w:cs="Aptos"/>
                        <w:noProof/>
                        <w:color w:val="000000"/>
                      </w:rPr>
                    </w:pPr>
                    <w:r w:rsidRPr="007645C5">
                      <w:rPr>
                        <w:rFonts w:ascii="Aptos" w:eastAsia="Aptos" w:hAnsi="Aptos" w:cs="Aptos"/>
                        <w:noProof/>
                        <w:color w:val="000000"/>
                      </w:rPr>
                      <w:t>--- Confidential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9D1C7B" w14:textId="66B7156F" w:rsidR="007645C5" w:rsidRDefault="007645C5">
    <w:pPr>
      <w:pStyle w:val="Header"/>
    </w:pPr>
    <w:r>
      <w:rPr>
        <w:noProof/>
        <w14:ligatures w14:val="standardContextual"/>
      </w:rPr>
      <mc:AlternateContent>
        <mc:Choice Requires="wps">
          <w:drawing>
            <wp:anchor distT="0" distB="0" distL="0" distR="0" simplePos="0" relativeHeight="251658240" behindDoc="0" locked="0" layoutInCell="1" allowOverlap="1" wp14:anchorId="18BE203D" wp14:editId="16756051">
              <wp:simplePos x="635" y="635"/>
              <wp:positionH relativeFrom="page">
                <wp:align>right</wp:align>
              </wp:positionH>
              <wp:positionV relativeFrom="page">
                <wp:align>top</wp:align>
              </wp:positionV>
              <wp:extent cx="1713865" cy="562610"/>
              <wp:effectExtent l="0" t="0" r="0" b="8890"/>
              <wp:wrapNone/>
              <wp:docPr id="2136645165" name="Text Box 1" descr="--- Confident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3865" cy="562610"/>
                      </a:xfrm>
                      <a:prstGeom prst="rect">
                        <a:avLst/>
                      </a:prstGeom>
                      <a:noFill/>
                      <a:ln>
                        <a:noFill/>
                      </a:ln>
                    </wps:spPr>
                    <wps:txbx>
                      <w:txbxContent>
                        <w:p w14:paraId="618375BB" w14:textId="0B48821F" w:rsidR="007645C5" w:rsidRPr="007645C5" w:rsidRDefault="007645C5" w:rsidP="007645C5">
                          <w:pPr>
                            <w:rPr>
                              <w:rFonts w:ascii="Aptos" w:eastAsia="Aptos" w:hAnsi="Aptos" w:cs="Aptos"/>
                              <w:noProof/>
                              <w:color w:val="000000"/>
                            </w:rPr>
                          </w:pPr>
                          <w:r w:rsidRPr="007645C5">
                            <w:rPr>
                              <w:rFonts w:ascii="Aptos" w:eastAsia="Aptos" w:hAnsi="Aptos" w:cs="Aptos"/>
                              <w:noProof/>
                              <w:color w:val="000000"/>
                            </w:rPr>
                            <w:t>--- Confidential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BE203D" id="_x0000_t202" coordsize="21600,21600" o:spt="202" path="m,l,21600r21600,l21600,xe">
              <v:stroke joinstyle="miter"/>
              <v:path gradientshapeok="t" o:connecttype="rect"/>
            </v:shapetype>
            <v:shape id="Text Box 1" o:spid="_x0000_s1027" type="#_x0000_t202" alt="--- Confidential ---" style="position:absolute;left:0;text-align:left;margin-left:83.75pt;margin-top:0;width:134.95pt;height:44.3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" filled="f" stroked="f">
              <v:textbox style="mso-fit-shape-to-text:t" inset="0,15pt,20pt,0">
                <w:txbxContent>
                  <w:p w14:paraId="618375BB" w14:textId="0B48821F" w:rsidR="007645C5" w:rsidRPr="007645C5" w:rsidRDefault="007645C5" w:rsidP="007645C5">
                    <w:pPr>
                      <w:rPr>
                        <w:rFonts w:ascii="Aptos" w:eastAsia="Aptos" w:hAnsi="Aptos" w:cs="Aptos"/>
                        <w:noProof/>
                        <w:color w:val="000000"/>
                      </w:rPr>
                    </w:pPr>
                    <w:r w:rsidRPr="007645C5">
                      <w:rPr>
                        <w:rFonts w:ascii="Aptos" w:eastAsia="Aptos" w:hAnsi="Aptos" w:cs="Aptos"/>
                        <w:noProof/>
                        <w:color w:val="000000"/>
                      </w:rPr>
                      <w:t>--- Confidential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06668C"/>
    <w:multiLevelType w:val="hybridMultilevel"/>
    <w:tmpl w:val="A44EF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3718EE"/>
    <w:multiLevelType w:val="hybridMultilevel"/>
    <w:tmpl w:val="1AA824F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32383C"/>
    <w:multiLevelType w:val="hybridMultilevel"/>
    <w:tmpl w:val="A454BB4C"/>
    <w:lvl w:ilvl="0" w:tplc="6986C8D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265AAC"/>
    <w:multiLevelType w:val="hybridMultilevel"/>
    <w:tmpl w:val="E22C4582"/>
    <w:lvl w:ilvl="0" w:tplc="4566B066">
      <w:start w:val="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CD1579"/>
    <w:multiLevelType w:val="hybridMultilevel"/>
    <w:tmpl w:val="F306C6D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9807D8"/>
    <w:multiLevelType w:val="hybridMultilevel"/>
    <w:tmpl w:val="4C4EE11E"/>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3F582E"/>
    <w:multiLevelType w:val="hybridMultilevel"/>
    <w:tmpl w:val="117E75DC"/>
    <w:lvl w:ilvl="0" w:tplc="04090001">
      <w:start w:val="1"/>
      <w:numFmt w:val="bullet"/>
      <w:lvlText w:val=""/>
      <w:lvlJc w:val="left"/>
      <w:pPr>
        <w:ind w:left="720" w:hanging="360"/>
      </w:pPr>
      <w:rPr>
        <w:rFonts w:ascii="Symbol" w:hAnsi="Symbol" w:hint="default"/>
      </w:rPr>
    </w:lvl>
    <w:lvl w:ilvl="1" w:tplc="105CF798">
      <w:start w:val="1"/>
      <w:numFmt w:val="bullet"/>
      <w:lvlText w:val="o"/>
      <w:lvlJc w:val="left"/>
      <w:pPr>
        <w:ind w:left="1440" w:hanging="360"/>
      </w:pPr>
      <w:rPr>
        <w:rFonts w:ascii="Courier New" w:hAnsi="Courier New" w:cs="Courier New"/>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062481"/>
    <w:multiLevelType w:val="hybridMultilevel"/>
    <w:tmpl w:val="DD665484"/>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ascii="Times New Roman" w:eastAsia="Times New Roman" w:hAnsi="Times New Roman" w:cs="Times New Roman"/>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DEE004A"/>
    <w:multiLevelType w:val="hybridMultilevel"/>
    <w:tmpl w:val="33DE3450"/>
    <w:lvl w:ilvl="0" w:tplc="451CB79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8500143">
    <w:abstractNumId w:val="5"/>
  </w:num>
  <w:num w:numId="2" w16cid:durableId="1533960912">
    <w:abstractNumId w:val="4"/>
  </w:num>
  <w:num w:numId="3" w16cid:durableId="824779684">
    <w:abstractNumId w:val="1"/>
  </w:num>
  <w:num w:numId="4" w16cid:durableId="76555965">
    <w:abstractNumId w:val="8"/>
  </w:num>
  <w:num w:numId="5" w16cid:durableId="1897662507">
    <w:abstractNumId w:val="0"/>
  </w:num>
  <w:num w:numId="6" w16cid:durableId="1808010400">
    <w:abstractNumId w:val="6"/>
  </w:num>
  <w:num w:numId="7" w16cid:durableId="1557861090">
    <w:abstractNumId w:val="3"/>
  </w:num>
  <w:num w:numId="8" w16cid:durableId="639041979">
    <w:abstractNumId w:val="7"/>
  </w:num>
  <w:num w:numId="9" w16cid:durableId="130234129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4D"/>
    <w:rsid w:val="000040E6"/>
    <w:rsid w:val="000A3435"/>
    <w:rsid w:val="000D08BD"/>
    <w:rsid w:val="001B6177"/>
    <w:rsid w:val="001C6896"/>
    <w:rsid w:val="00237150"/>
    <w:rsid w:val="00253A9D"/>
    <w:rsid w:val="003F3FDE"/>
    <w:rsid w:val="00415A17"/>
    <w:rsid w:val="00526AF2"/>
    <w:rsid w:val="00677C74"/>
    <w:rsid w:val="007645C5"/>
    <w:rsid w:val="007E0ED2"/>
    <w:rsid w:val="008200E5"/>
    <w:rsid w:val="0096561B"/>
    <w:rsid w:val="0098604D"/>
    <w:rsid w:val="00A10DBA"/>
    <w:rsid w:val="00A27815"/>
    <w:rsid w:val="00A849C9"/>
    <w:rsid w:val="00B87403"/>
    <w:rsid w:val="00C50047"/>
    <w:rsid w:val="00CE4A83"/>
    <w:rsid w:val="00D44A44"/>
    <w:rsid w:val="00DB31D2"/>
    <w:rsid w:val="00DE21A1"/>
    <w:rsid w:val="00E627F1"/>
    <w:rsid w:val="00EB7C89"/>
    <w:rsid w:val="00ED79D2"/>
    <w:rsid w:val="00FD6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C1C150"/>
  <w15:chartTrackingRefBased/>
  <w15:docId w15:val="{5CAD6ABB-A641-584A-AF95-4B1FEBC8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04D"/>
    <w:pPr>
      <w:spacing w:after="0" w:line="480" w:lineRule="auto"/>
      <w:ind w:firstLine="432"/>
      <w:jc w:val="both"/>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86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0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0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0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0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04D"/>
    <w:rPr>
      <w:rFonts w:eastAsiaTheme="majorEastAsia" w:cstheme="majorBidi"/>
      <w:color w:val="272727" w:themeColor="text1" w:themeTint="D8"/>
    </w:rPr>
  </w:style>
  <w:style w:type="paragraph" w:styleId="Title">
    <w:name w:val="Title"/>
    <w:basedOn w:val="Normal"/>
    <w:next w:val="Normal"/>
    <w:link w:val="TitleChar"/>
    <w:uiPriority w:val="10"/>
    <w:qFormat/>
    <w:rsid w:val="00986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04D"/>
    <w:pPr>
      <w:numPr>
        <w:ilvl w:val="1"/>
      </w:numPr>
      <w:ind w:firstLine="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04D"/>
    <w:pPr>
      <w:spacing w:before="160"/>
      <w:jc w:val="center"/>
    </w:pPr>
    <w:rPr>
      <w:i/>
      <w:iCs/>
      <w:color w:val="404040" w:themeColor="text1" w:themeTint="BF"/>
    </w:rPr>
  </w:style>
  <w:style w:type="character" w:customStyle="1" w:styleId="QuoteChar">
    <w:name w:val="Quote Char"/>
    <w:basedOn w:val="DefaultParagraphFont"/>
    <w:link w:val="Quote"/>
    <w:uiPriority w:val="29"/>
    <w:rsid w:val="0098604D"/>
    <w:rPr>
      <w:i/>
      <w:iCs/>
      <w:color w:val="404040" w:themeColor="text1" w:themeTint="BF"/>
    </w:rPr>
  </w:style>
  <w:style w:type="paragraph" w:styleId="ListParagraph">
    <w:name w:val="List Paragraph"/>
    <w:basedOn w:val="Normal"/>
    <w:uiPriority w:val="34"/>
    <w:qFormat/>
    <w:rsid w:val="0098604D"/>
    <w:pPr>
      <w:ind w:left="720"/>
      <w:contextualSpacing/>
    </w:pPr>
  </w:style>
  <w:style w:type="character" w:styleId="IntenseEmphasis">
    <w:name w:val="Intense Emphasis"/>
    <w:basedOn w:val="DefaultParagraphFont"/>
    <w:uiPriority w:val="21"/>
    <w:qFormat/>
    <w:rsid w:val="0098604D"/>
    <w:rPr>
      <w:i/>
      <w:iCs/>
      <w:color w:val="0F4761" w:themeColor="accent1" w:themeShade="BF"/>
    </w:rPr>
  </w:style>
  <w:style w:type="paragraph" w:styleId="IntenseQuote">
    <w:name w:val="Intense Quote"/>
    <w:basedOn w:val="Normal"/>
    <w:next w:val="Normal"/>
    <w:link w:val="IntenseQuoteChar"/>
    <w:uiPriority w:val="30"/>
    <w:qFormat/>
    <w:rsid w:val="00986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04D"/>
    <w:rPr>
      <w:i/>
      <w:iCs/>
      <w:color w:val="0F4761" w:themeColor="accent1" w:themeShade="BF"/>
    </w:rPr>
  </w:style>
  <w:style w:type="character" w:styleId="IntenseReference">
    <w:name w:val="Intense Reference"/>
    <w:basedOn w:val="DefaultParagraphFont"/>
    <w:uiPriority w:val="32"/>
    <w:qFormat/>
    <w:rsid w:val="0098604D"/>
    <w:rPr>
      <w:b/>
      <w:bCs/>
      <w:smallCaps/>
      <w:color w:val="0F4761" w:themeColor="accent1" w:themeShade="BF"/>
      <w:spacing w:val="5"/>
    </w:rPr>
  </w:style>
  <w:style w:type="table" w:styleId="TableGrid">
    <w:name w:val="Table Grid"/>
    <w:basedOn w:val="TableNormal"/>
    <w:uiPriority w:val="39"/>
    <w:rsid w:val="00986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08BD"/>
    <w:pPr>
      <w:tabs>
        <w:tab w:val="center" w:pos="4680"/>
        <w:tab w:val="right" w:pos="9360"/>
      </w:tabs>
      <w:spacing w:line="240" w:lineRule="auto"/>
    </w:pPr>
  </w:style>
  <w:style w:type="character" w:customStyle="1" w:styleId="HeaderChar">
    <w:name w:val="Header Char"/>
    <w:basedOn w:val="DefaultParagraphFont"/>
    <w:link w:val="Header"/>
    <w:uiPriority w:val="99"/>
    <w:rsid w:val="000D08BD"/>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0D08BD"/>
    <w:pPr>
      <w:tabs>
        <w:tab w:val="center" w:pos="4680"/>
        <w:tab w:val="right" w:pos="9360"/>
      </w:tabs>
      <w:spacing w:line="240" w:lineRule="auto"/>
    </w:pPr>
  </w:style>
  <w:style w:type="character" w:customStyle="1" w:styleId="FooterChar">
    <w:name w:val="Footer Char"/>
    <w:basedOn w:val="DefaultParagraphFont"/>
    <w:link w:val="Footer"/>
    <w:uiPriority w:val="99"/>
    <w:rsid w:val="000D08BD"/>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0D0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87ed44c-c0d6-4d26-926a-f233ce8cb816}" enabled="1" method="Standard" siteId="{90a8aec3-e044-4c52-b490-93621ab5ae6b}" contentBits="1"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4</Pages>
  <Words>1501</Words>
  <Characters>8949</Characters>
  <Application>Microsoft Office Word</Application>
  <DocSecurity>0</DocSecurity>
  <Lines>146</Lines>
  <Paragraphs>50</Paragraphs>
  <ScaleCrop>false</ScaleCrop>
  <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 Tran</dc:creator>
  <cp:keywords/>
  <dc:description/>
  <cp:lastModifiedBy>Tran, Tri</cp:lastModifiedBy>
  <cp:revision>18</cp:revision>
  <dcterms:created xsi:type="dcterms:W3CDTF">2025-05-24T10:58:00Z</dcterms:created>
  <dcterms:modified xsi:type="dcterms:W3CDTF">2026-08-17T15:10:00Z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7f5a9e2d,2d2fd13e,15aa032c</vt:lpwstr>
  </property>
  <property fmtid="{D5CDD505-2E9C-101B-9397-08002B2CF9AE}" pid="3" name="ClassificationContentMarkingHeaderFontProps">
    <vt:lpwstr>#000000,12,Aptos</vt:lpwstr>
  </property>
  <property fmtid="{D5CDD505-2E9C-101B-9397-08002B2CF9AE}" pid="4" name="ClassificationContentMarkingHeaderText">
    <vt:lpwstr>--- Confidential ---</vt:lpwstr>
  </property>
</Properties>
</file>