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4BA80A" w14:textId="3434A223" w:rsidR="00676C38" w:rsidRDefault="00676C38" w:rsidP="00676C38">
      <w:pPr>
        <w:spacing w:after="160" w:line="278" w:lineRule="auto"/>
        <w:ind w:firstLine="0"/>
        <w:jc w:val="center"/>
        <w:rPr>
          <w:rFonts w:eastAsia="Aptos"/>
          <w:b/>
          <w:bCs/>
          <w:kern w:val="2"/>
          <w14:ligatures w14:val="standardContextual"/>
        </w:rPr>
      </w:pPr>
      <w:r>
        <w:rPr>
          <w:rFonts w:eastAsia="Aptos"/>
          <w:b/>
          <w:bCs/>
          <w:kern w:val="2"/>
          <w14:ligatures w14:val="standardContextual"/>
        </w:rPr>
        <w:t>SUPPLEMENTARY MATERIAL 7</w:t>
      </w:r>
    </w:p>
    <w:p w14:paraId="2FCE1EA5" w14:textId="38423DDA" w:rsidR="006D4C3D" w:rsidRPr="00D95A33" w:rsidRDefault="006D4C3D" w:rsidP="00676C38">
      <w:pPr>
        <w:spacing w:after="160" w:line="278" w:lineRule="auto"/>
        <w:ind w:firstLine="0"/>
        <w:jc w:val="center"/>
        <w:rPr>
          <w:rFonts w:eastAsia="Aptos"/>
          <w:b/>
          <w:bCs/>
          <w:kern w:val="2"/>
          <w14:ligatures w14:val="standardContextual"/>
        </w:rPr>
      </w:pPr>
      <w:r w:rsidRPr="00D95A33">
        <w:rPr>
          <w:rFonts w:eastAsia="Aptos"/>
          <w:b/>
          <w:bCs/>
          <w:kern w:val="2"/>
          <w14:ligatures w14:val="standardContextual"/>
        </w:rPr>
        <w:t>Coding of Themes and Representative Quotes at Organization, Network</w:t>
      </w:r>
      <w:r w:rsidR="00285CD0">
        <w:rPr>
          <w:rFonts w:eastAsia="Aptos"/>
          <w:b/>
          <w:bCs/>
          <w:kern w:val="2"/>
          <w14:ligatures w14:val="standardContextual"/>
        </w:rPr>
        <w:t>,</w:t>
      </w:r>
      <w:r w:rsidRPr="00D95A33">
        <w:rPr>
          <w:rFonts w:eastAsia="Aptos"/>
          <w:b/>
          <w:bCs/>
          <w:kern w:val="2"/>
          <w14:ligatures w14:val="standardContextual"/>
        </w:rPr>
        <w:t xml:space="preserve"> and Environment Levels</w:t>
      </w:r>
    </w:p>
    <w:tbl>
      <w:tblPr>
        <w:tblStyle w:val="GridTable1Light1"/>
        <w:tblW w:w="12775" w:type="dxa"/>
        <w:tblLook w:val="04A0" w:firstRow="1" w:lastRow="0" w:firstColumn="1" w:lastColumn="0" w:noHBand="0" w:noVBand="1"/>
      </w:tblPr>
      <w:tblGrid>
        <w:gridCol w:w="2155"/>
        <w:gridCol w:w="2070"/>
        <w:gridCol w:w="8550"/>
      </w:tblGrid>
      <w:tr w:rsidR="006D4C3D" w:rsidRPr="003A4E54" w14:paraId="1F5D24D6" w14:textId="77777777" w:rsidTr="00C428AD">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2775" w:type="dxa"/>
            <w:gridSpan w:val="3"/>
          </w:tcPr>
          <w:p w14:paraId="117A640E" w14:textId="77777777" w:rsidR="006D4C3D" w:rsidRPr="003A4E54" w:rsidRDefault="006D4C3D" w:rsidP="00C428AD">
            <w:pPr>
              <w:spacing w:line="240" w:lineRule="auto"/>
              <w:ind w:firstLine="0"/>
              <w:jc w:val="center"/>
              <w:rPr>
                <w:color w:val="000000"/>
                <w:sz w:val="20"/>
                <w:szCs w:val="20"/>
              </w:rPr>
            </w:pPr>
            <w:r w:rsidRPr="003A4E54">
              <w:rPr>
                <w:color w:val="000000"/>
                <w:sz w:val="20"/>
                <w:szCs w:val="20"/>
              </w:rPr>
              <w:t>Organization Level</w:t>
            </w:r>
          </w:p>
        </w:tc>
      </w:tr>
      <w:tr w:rsidR="006D4C3D" w:rsidRPr="003A4E54" w14:paraId="0745C84C" w14:textId="77777777" w:rsidTr="00C428AD">
        <w:trPr>
          <w:trHeight w:val="321"/>
        </w:trPr>
        <w:tc>
          <w:tcPr>
            <w:cnfStyle w:val="001000000000" w:firstRow="0" w:lastRow="0" w:firstColumn="1" w:lastColumn="0" w:oddVBand="0" w:evenVBand="0" w:oddHBand="0" w:evenHBand="0" w:firstRowFirstColumn="0" w:firstRowLastColumn="0" w:lastRowFirstColumn="0" w:lastRowLastColumn="0"/>
            <w:tcW w:w="2155" w:type="dxa"/>
          </w:tcPr>
          <w:p w14:paraId="535ADE9D"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Second-order themes</w:t>
            </w:r>
          </w:p>
        </w:tc>
        <w:tc>
          <w:tcPr>
            <w:tcW w:w="2070" w:type="dxa"/>
          </w:tcPr>
          <w:p w14:paraId="601B01B4"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b/>
                <w:bCs/>
                <w:color w:val="000000"/>
                <w:sz w:val="20"/>
                <w:szCs w:val="20"/>
              </w:rPr>
              <w:t>First-order concepts</w:t>
            </w:r>
          </w:p>
        </w:tc>
        <w:tc>
          <w:tcPr>
            <w:tcW w:w="8550" w:type="dxa"/>
          </w:tcPr>
          <w:p w14:paraId="071D39F9"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b/>
                <w:bCs/>
                <w:color w:val="000000"/>
                <w:sz w:val="20"/>
                <w:szCs w:val="20"/>
              </w:rPr>
              <w:t>Representative quotations</w:t>
            </w:r>
          </w:p>
        </w:tc>
      </w:tr>
      <w:tr w:rsidR="006D4C3D" w:rsidRPr="003A4E54" w14:paraId="281021F6" w14:textId="77777777" w:rsidTr="00C428AD">
        <w:trPr>
          <w:trHeight w:val="474"/>
        </w:trPr>
        <w:tc>
          <w:tcPr>
            <w:cnfStyle w:val="001000000000" w:firstRow="0" w:lastRow="0" w:firstColumn="1" w:lastColumn="0" w:oddVBand="0" w:evenVBand="0" w:oddHBand="0" w:evenHBand="0" w:firstRowFirstColumn="0" w:firstRowLastColumn="0" w:lastRowFirstColumn="0" w:lastRowLastColumn="0"/>
            <w:tcW w:w="2155" w:type="dxa"/>
            <w:vMerge w:val="restart"/>
          </w:tcPr>
          <w:p w14:paraId="1B21BFFD"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Bottleneck management</w:t>
            </w:r>
          </w:p>
          <w:p w14:paraId="78CEFF1C" w14:textId="77777777" w:rsidR="006D4C3D" w:rsidRPr="003A4E54" w:rsidRDefault="006D4C3D" w:rsidP="00C428AD">
            <w:pPr>
              <w:spacing w:line="240" w:lineRule="auto"/>
              <w:ind w:firstLine="0"/>
              <w:jc w:val="left"/>
              <w:rPr>
                <w:color w:val="000000"/>
                <w:sz w:val="20"/>
                <w:szCs w:val="20"/>
              </w:rPr>
            </w:pPr>
            <w:r w:rsidRPr="003A4E54">
              <w:rPr>
                <w:color w:val="FFFFFF"/>
                <w:sz w:val="20"/>
                <w:szCs w:val="20"/>
              </w:rPr>
              <w:t>Bottleneck management</w:t>
            </w:r>
          </w:p>
        </w:tc>
        <w:tc>
          <w:tcPr>
            <w:tcW w:w="2070" w:type="dxa"/>
          </w:tcPr>
          <w:p w14:paraId="381DC9D6"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Inventory buffer</w:t>
            </w:r>
          </w:p>
        </w:tc>
        <w:tc>
          <w:tcPr>
            <w:tcW w:w="8550" w:type="dxa"/>
          </w:tcPr>
          <w:p w14:paraId="69D4E989"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“[With this </w:t>
            </w:r>
            <w:proofErr w:type="gramStart"/>
            <w:r w:rsidRPr="003A4E54">
              <w:rPr>
                <w:color w:val="000000"/>
                <w:sz w:val="20"/>
                <w:szCs w:val="20"/>
              </w:rPr>
              <w:t>particular very</w:t>
            </w:r>
            <w:proofErr w:type="gramEnd"/>
            <w:r w:rsidRPr="003A4E54">
              <w:rPr>
                <w:color w:val="000000"/>
                <w:sz w:val="20"/>
                <w:szCs w:val="20"/>
              </w:rPr>
              <w:t xml:space="preserve"> disrupted raw material] We have increased the stock from one month to three months. (C)”</w:t>
            </w:r>
          </w:p>
        </w:tc>
      </w:tr>
      <w:tr w:rsidR="006D4C3D" w:rsidRPr="003A4E54" w14:paraId="7CE589BD" w14:textId="77777777" w:rsidTr="00C428AD">
        <w:trPr>
          <w:trHeight w:val="600"/>
        </w:trPr>
        <w:tc>
          <w:tcPr>
            <w:cnfStyle w:val="001000000000" w:firstRow="0" w:lastRow="0" w:firstColumn="1" w:lastColumn="0" w:oddVBand="0" w:evenVBand="0" w:oddHBand="0" w:evenHBand="0" w:firstRowFirstColumn="0" w:firstRowLastColumn="0" w:lastRowFirstColumn="0" w:lastRowLastColumn="0"/>
            <w:tcW w:w="2155" w:type="dxa"/>
            <w:vMerge/>
          </w:tcPr>
          <w:p w14:paraId="0DF39125" w14:textId="77777777" w:rsidR="006D4C3D" w:rsidRPr="003A4E54" w:rsidRDefault="006D4C3D" w:rsidP="00C428AD">
            <w:pPr>
              <w:spacing w:line="240" w:lineRule="auto"/>
              <w:ind w:firstLine="0"/>
              <w:jc w:val="left"/>
              <w:rPr>
                <w:color w:val="FFFFFF"/>
                <w:sz w:val="20"/>
                <w:szCs w:val="20"/>
              </w:rPr>
            </w:pPr>
          </w:p>
        </w:tc>
        <w:tc>
          <w:tcPr>
            <w:tcW w:w="2070" w:type="dxa"/>
          </w:tcPr>
          <w:p w14:paraId="5413E373"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Planning horizon</w:t>
            </w:r>
          </w:p>
        </w:tc>
        <w:tc>
          <w:tcPr>
            <w:tcW w:w="8550" w:type="dxa"/>
          </w:tcPr>
          <w:p w14:paraId="1A0996A9" w14:textId="614D5311"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"In recent times the general manager is more involved in supply decisions […] We also used to work with schedules for a month, three months, and a year. Right now, the yearly planning had to be divided into several scenario</w:t>
            </w:r>
            <w:r w:rsidR="00587DDA">
              <w:rPr>
                <w:color w:val="000000"/>
                <w:sz w:val="20"/>
                <w:szCs w:val="20"/>
              </w:rPr>
              <w:t>s</w:t>
            </w:r>
            <w:r w:rsidRPr="003A4E54">
              <w:rPr>
                <w:color w:val="000000"/>
                <w:sz w:val="20"/>
                <w:szCs w:val="20"/>
              </w:rPr>
              <w:t>. We are constantly adapting to the changing environment. (F)"</w:t>
            </w:r>
          </w:p>
        </w:tc>
      </w:tr>
      <w:tr w:rsidR="006D4C3D" w:rsidRPr="003A4E54" w14:paraId="5F410893" w14:textId="77777777" w:rsidTr="00C428AD">
        <w:trPr>
          <w:trHeight w:val="935"/>
        </w:trPr>
        <w:tc>
          <w:tcPr>
            <w:cnfStyle w:val="001000000000" w:firstRow="0" w:lastRow="0" w:firstColumn="1" w:lastColumn="0" w:oddVBand="0" w:evenVBand="0" w:oddHBand="0" w:evenHBand="0" w:firstRowFirstColumn="0" w:firstRowLastColumn="0" w:lastRowFirstColumn="0" w:lastRowLastColumn="0"/>
            <w:tcW w:w="2155" w:type="dxa"/>
          </w:tcPr>
          <w:p w14:paraId="0CE20848"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Specification assessment</w:t>
            </w:r>
          </w:p>
        </w:tc>
        <w:tc>
          <w:tcPr>
            <w:tcW w:w="2070" w:type="dxa"/>
          </w:tcPr>
          <w:p w14:paraId="566465EE"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Flexibility </w:t>
            </w:r>
            <w:r>
              <w:rPr>
                <w:color w:val="000000"/>
                <w:sz w:val="20"/>
                <w:szCs w:val="20"/>
              </w:rPr>
              <w:t>level</w:t>
            </w:r>
          </w:p>
        </w:tc>
        <w:tc>
          <w:tcPr>
            <w:tcW w:w="8550" w:type="dxa"/>
          </w:tcPr>
          <w:p w14:paraId="64A74901"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"For animal feed, we need to obtain proteins, fiber, fat, and other complements. This can be done with different raw materials. If their prices increase, we will find a way to provide animals with their needed nutrients with alternative products. At the end of the day, we play with a mix of ingredients, with different raw materials. (B1)”</w:t>
            </w:r>
          </w:p>
          <w:p w14:paraId="00A89AA3"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“We can’t [substitute raw materials], for us if the product we need for our brand has a particular size and quality requirements, it </w:t>
            </w:r>
            <w:proofErr w:type="gramStart"/>
            <w:r w:rsidRPr="003A4E54">
              <w:rPr>
                <w:color w:val="000000"/>
                <w:sz w:val="20"/>
                <w:szCs w:val="20"/>
              </w:rPr>
              <w:t>has to</w:t>
            </w:r>
            <w:proofErr w:type="gramEnd"/>
            <w:r w:rsidRPr="003A4E54">
              <w:rPr>
                <w:color w:val="000000"/>
                <w:sz w:val="20"/>
                <w:szCs w:val="20"/>
              </w:rPr>
              <w:t xml:space="preserve"> be that one. (D)"</w:t>
            </w:r>
          </w:p>
        </w:tc>
      </w:tr>
      <w:tr w:rsidR="006D4C3D" w:rsidRPr="003A4E54" w14:paraId="2882199A" w14:textId="77777777" w:rsidTr="00C428AD">
        <w:trPr>
          <w:trHeight w:val="476"/>
        </w:trPr>
        <w:tc>
          <w:tcPr>
            <w:cnfStyle w:val="001000000000" w:firstRow="0" w:lastRow="0" w:firstColumn="1" w:lastColumn="0" w:oddVBand="0" w:evenVBand="0" w:oddHBand="0" w:evenHBand="0" w:firstRowFirstColumn="0" w:firstRowLastColumn="0" w:lastRowFirstColumn="0" w:lastRowLastColumn="0"/>
            <w:tcW w:w="2155" w:type="dxa"/>
          </w:tcPr>
          <w:p w14:paraId="5CF2D36E"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Visibility</w:t>
            </w:r>
          </w:p>
          <w:p w14:paraId="6AA61B12" w14:textId="77777777" w:rsidR="006D4C3D" w:rsidRPr="003A4E54" w:rsidRDefault="006D4C3D" w:rsidP="00C428AD">
            <w:pPr>
              <w:spacing w:line="240" w:lineRule="auto"/>
              <w:ind w:firstLine="0"/>
              <w:jc w:val="left"/>
              <w:rPr>
                <w:color w:val="000000"/>
                <w:sz w:val="20"/>
                <w:szCs w:val="20"/>
              </w:rPr>
            </w:pPr>
            <w:r w:rsidRPr="003A4E54">
              <w:rPr>
                <w:color w:val="FFFFFF"/>
                <w:sz w:val="20"/>
                <w:szCs w:val="20"/>
              </w:rPr>
              <w:t>Visibility</w:t>
            </w:r>
          </w:p>
        </w:tc>
        <w:tc>
          <w:tcPr>
            <w:tcW w:w="2070" w:type="dxa"/>
          </w:tcPr>
          <w:p w14:paraId="016961E7"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Naïve uncertainty assessment</w:t>
            </w:r>
          </w:p>
        </w:tc>
        <w:tc>
          <w:tcPr>
            <w:tcW w:w="8550" w:type="dxa"/>
          </w:tcPr>
          <w:p w14:paraId="42DD7EA9"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"Anticipate something like a war is very complicated, and assessing its consequences is difficult. Now, because it happened recently, we think is obvious that it was going to happen. (B1)”</w:t>
            </w:r>
          </w:p>
          <w:p w14:paraId="4650E586"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"We look for information wherever it is available. There is rather </w:t>
            </w:r>
            <w:proofErr w:type="gramStart"/>
            <w:r w:rsidRPr="003A4E54">
              <w:rPr>
                <w:color w:val="000000"/>
                <w:sz w:val="20"/>
                <w:szCs w:val="20"/>
              </w:rPr>
              <w:t>a lot</w:t>
            </w:r>
            <w:proofErr w:type="gramEnd"/>
            <w:r w:rsidRPr="003A4E54">
              <w:rPr>
                <w:color w:val="000000"/>
                <w:sz w:val="20"/>
                <w:szCs w:val="20"/>
              </w:rPr>
              <w:t>. Ukrainian war was unpredictable, I don't think it could have been done better (C).”</w:t>
            </w:r>
          </w:p>
        </w:tc>
      </w:tr>
    </w:tbl>
    <w:p w14:paraId="221CED35" w14:textId="77777777" w:rsidR="006D4C3D" w:rsidRPr="008407BE" w:rsidRDefault="006D4C3D" w:rsidP="006D4C3D">
      <w:pPr>
        <w:spacing w:after="160" w:line="278" w:lineRule="auto"/>
        <w:ind w:firstLine="0"/>
        <w:jc w:val="left"/>
        <w:rPr>
          <w:rFonts w:ascii="Aptos" w:eastAsia="Aptos" w:hAnsi="Aptos"/>
          <w:kern w:val="2"/>
          <w14:ligatures w14:val="standardContextual"/>
        </w:rPr>
      </w:pPr>
    </w:p>
    <w:tbl>
      <w:tblPr>
        <w:tblStyle w:val="GridTable1Light1"/>
        <w:tblW w:w="12775" w:type="dxa"/>
        <w:tblLook w:val="04A0" w:firstRow="1" w:lastRow="0" w:firstColumn="1" w:lastColumn="0" w:noHBand="0" w:noVBand="1"/>
      </w:tblPr>
      <w:tblGrid>
        <w:gridCol w:w="2155"/>
        <w:gridCol w:w="2070"/>
        <w:gridCol w:w="8550"/>
      </w:tblGrid>
      <w:tr w:rsidR="006D4C3D" w:rsidRPr="003A4E54" w14:paraId="7B6A012D" w14:textId="77777777" w:rsidTr="00C428A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2775" w:type="dxa"/>
            <w:gridSpan w:val="3"/>
            <w:hideMark/>
          </w:tcPr>
          <w:p w14:paraId="4AC4CFF0" w14:textId="77777777" w:rsidR="006D4C3D" w:rsidRPr="003A4E54" w:rsidRDefault="006D4C3D" w:rsidP="00C428AD">
            <w:pPr>
              <w:spacing w:line="240" w:lineRule="auto"/>
              <w:ind w:firstLine="0"/>
              <w:jc w:val="center"/>
              <w:rPr>
                <w:color w:val="000000"/>
                <w:sz w:val="20"/>
                <w:szCs w:val="20"/>
              </w:rPr>
            </w:pPr>
            <w:r w:rsidRPr="003A4E54">
              <w:rPr>
                <w:color w:val="000000"/>
                <w:sz w:val="20"/>
                <w:szCs w:val="20"/>
              </w:rPr>
              <w:t>Network Level</w:t>
            </w:r>
          </w:p>
        </w:tc>
      </w:tr>
      <w:tr w:rsidR="006D4C3D" w:rsidRPr="003A4E54" w14:paraId="3E0AE50A" w14:textId="77777777" w:rsidTr="00C428AD">
        <w:trPr>
          <w:trHeight w:val="494"/>
        </w:trPr>
        <w:tc>
          <w:tcPr>
            <w:cnfStyle w:val="001000000000" w:firstRow="0" w:lastRow="0" w:firstColumn="1" w:lastColumn="0" w:oddVBand="0" w:evenVBand="0" w:oddHBand="0" w:evenHBand="0" w:firstRowFirstColumn="0" w:firstRowLastColumn="0" w:lastRowFirstColumn="0" w:lastRowLastColumn="0"/>
            <w:tcW w:w="2155" w:type="dxa"/>
            <w:vMerge w:val="restart"/>
          </w:tcPr>
          <w:p w14:paraId="2CBC1721"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Intelligent deal structure</w:t>
            </w:r>
          </w:p>
          <w:p w14:paraId="46D02986" w14:textId="77777777" w:rsidR="006D4C3D" w:rsidRPr="003A4E54" w:rsidRDefault="006D4C3D" w:rsidP="00C428AD">
            <w:pPr>
              <w:spacing w:line="240" w:lineRule="auto"/>
              <w:ind w:firstLine="0"/>
              <w:jc w:val="left"/>
              <w:rPr>
                <w:color w:val="000000"/>
                <w:sz w:val="20"/>
                <w:szCs w:val="20"/>
              </w:rPr>
            </w:pPr>
            <w:r w:rsidRPr="003A4E54">
              <w:rPr>
                <w:color w:val="FFFFFF"/>
                <w:sz w:val="20"/>
                <w:szCs w:val="20"/>
              </w:rPr>
              <w:t>Intelligent deal structure</w:t>
            </w:r>
          </w:p>
        </w:tc>
        <w:tc>
          <w:tcPr>
            <w:tcW w:w="2070" w:type="dxa"/>
            <w:vMerge w:val="restart"/>
          </w:tcPr>
          <w:p w14:paraId="3AD5E008"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Contract development</w:t>
            </w:r>
          </w:p>
        </w:tc>
        <w:tc>
          <w:tcPr>
            <w:tcW w:w="8550" w:type="dxa"/>
          </w:tcPr>
          <w:p w14:paraId="3A007164"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"Price negotiations are often the easiest part, most of your time is used negotiating a reliable contract, one that becomes a good tool for your company. (G)"</w:t>
            </w:r>
          </w:p>
        </w:tc>
      </w:tr>
      <w:tr w:rsidR="006D4C3D" w:rsidRPr="003A4E54" w14:paraId="51331A07" w14:textId="77777777" w:rsidTr="00C428AD">
        <w:trPr>
          <w:trHeight w:val="710"/>
        </w:trPr>
        <w:tc>
          <w:tcPr>
            <w:cnfStyle w:val="001000000000" w:firstRow="0" w:lastRow="0" w:firstColumn="1" w:lastColumn="0" w:oddVBand="0" w:evenVBand="0" w:oddHBand="0" w:evenHBand="0" w:firstRowFirstColumn="0" w:firstRowLastColumn="0" w:lastRowFirstColumn="0" w:lastRowLastColumn="0"/>
            <w:tcW w:w="2155" w:type="dxa"/>
            <w:vMerge/>
          </w:tcPr>
          <w:p w14:paraId="4301970F" w14:textId="77777777" w:rsidR="006D4C3D" w:rsidRPr="003A4E54" w:rsidRDefault="006D4C3D" w:rsidP="00C428AD">
            <w:pPr>
              <w:spacing w:line="240" w:lineRule="auto"/>
              <w:ind w:firstLine="0"/>
              <w:jc w:val="left"/>
              <w:rPr>
                <w:color w:val="000000"/>
                <w:sz w:val="20"/>
                <w:szCs w:val="20"/>
              </w:rPr>
            </w:pPr>
          </w:p>
        </w:tc>
        <w:tc>
          <w:tcPr>
            <w:tcW w:w="2070" w:type="dxa"/>
            <w:vMerge/>
          </w:tcPr>
          <w:p w14:paraId="2F0CFFE7"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50" w:type="dxa"/>
          </w:tcPr>
          <w:p w14:paraId="20C21883" w14:textId="73206735"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"If we have no choice but to have one supplier for a raw material, we stress gaining loyalty, by carefully designing contracts or for instance, with these types of suppliers what we did was to already ma</w:t>
            </w:r>
            <w:r w:rsidR="003C6C23">
              <w:rPr>
                <w:color w:val="000000"/>
                <w:sz w:val="20"/>
                <w:szCs w:val="20"/>
              </w:rPr>
              <w:t>k</w:t>
            </w:r>
            <w:r w:rsidRPr="003A4E54">
              <w:rPr>
                <w:color w:val="000000"/>
                <w:sz w:val="20"/>
                <w:szCs w:val="20"/>
              </w:rPr>
              <w:t>e sourcing contracts for the whole year. (G)"</w:t>
            </w:r>
          </w:p>
        </w:tc>
      </w:tr>
      <w:tr w:rsidR="006D4C3D" w:rsidRPr="003A4E54" w14:paraId="1747F9A1" w14:textId="77777777" w:rsidTr="00C428AD">
        <w:trPr>
          <w:trHeight w:val="521"/>
        </w:trPr>
        <w:tc>
          <w:tcPr>
            <w:cnfStyle w:val="001000000000" w:firstRow="0" w:lastRow="0" w:firstColumn="1" w:lastColumn="0" w:oddVBand="0" w:evenVBand="0" w:oddHBand="0" w:evenHBand="0" w:firstRowFirstColumn="0" w:firstRowLastColumn="0" w:lastRowFirstColumn="0" w:lastRowLastColumn="0"/>
            <w:tcW w:w="2155" w:type="dxa"/>
            <w:vMerge w:val="restart"/>
          </w:tcPr>
          <w:p w14:paraId="307A607A"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Bargaining power</w:t>
            </w:r>
          </w:p>
          <w:p w14:paraId="61D3EB4E" w14:textId="77777777" w:rsidR="006D4C3D" w:rsidRPr="003A4E54" w:rsidRDefault="006D4C3D" w:rsidP="00C428AD">
            <w:pPr>
              <w:spacing w:line="240" w:lineRule="auto"/>
              <w:ind w:firstLine="0"/>
              <w:jc w:val="left"/>
              <w:rPr>
                <w:color w:val="000000"/>
                <w:sz w:val="20"/>
                <w:szCs w:val="20"/>
              </w:rPr>
            </w:pPr>
            <w:r w:rsidRPr="003A4E54">
              <w:rPr>
                <w:color w:val="FFFFFF"/>
                <w:sz w:val="20"/>
                <w:szCs w:val="20"/>
              </w:rPr>
              <w:t>Bargaining power</w:t>
            </w:r>
          </w:p>
        </w:tc>
        <w:tc>
          <w:tcPr>
            <w:tcW w:w="2070" w:type="dxa"/>
            <w:vMerge w:val="restart"/>
          </w:tcPr>
          <w:p w14:paraId="19F6F803" w14:textId="77777777" w:rsidR="006D4C3D"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Ability to gain power</w:t>
            </w:r>
          </w:p>
          <w:p w14:paraId="32955B6A" w14:textId="77777777" w:rsidR="006D4C3D" w:rsidRPr="003A4E54" w:rsidRDefault="006D4C3D" w:rsidP="00C428AD">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50" w:type="dxa"/>
          </w:tcPr>
          <w:p w14:paraId="26E0C08F"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“For them, saying they are selling products to us, means they have a high-quality product, and that translates into prestige. (F)”</w:t>
            </w:r>
          </w:p>
        </w:tc>
      </w:tr>
      <w:tr w:rsidR="006D4C3D" w:rsidRPr="003A4E54" w14:paraId="06C5EFE0" w14:textId="77777777" w:rsidTr="00C428AD">
        <w:trPr>
          <w:trHeight w:val="710"/>
        </w:trPr>
        <w:tc>
          <w:tcPr>
            <w:cnfStyle w:val="001000000000" w:firstRow="0" w:lastRow="0" w:firstColumn="1" w:lastColumn="0" w:oddVBand="0" w:evenVBand="0" w:oddHBand="0" w:evenHBand="0" w:firstRowFirstColumn="0" w:firstRowLastColumn="0" w:lastRowFirstColumn="0" w:lastRowLastColumn="0"/>
            <w:tcW w:w="2155" w:type="dxa"/>
            <w:vMerge/>
          </w:tcPr>
          <w:p w14:paraId="3F405A7F" w14:textId="77777777" w:rsidR="006D4C3D" w:rsidRPr="003A4E54" w:rsidRDefault="006D4C3D" w:rsidP="00C428AD">
            <w:pPr>
              <w:spacing w:line="240" w:lineRule="auto"/>
              <w:ind w:firstLine="0"/>
              <w:jc w:val="left"/>
              <w:rPr>
                <w:color w:val="000000"/>
                <w:sz w:val="20"/>
                <w:szCs w:val="20"/>
              </w:rPr>
            </w:pPr>
          </w:p>
        </w:tc>
        <w:tc>
          <w:tcPr>
            <w:tcW w:w="2070" w:type="dxa"/>
            <w:vMerge/>
          </w:tcPr>
          <w:p w14:paraId="22DC9F24"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50" w:type="dxa"/>
          </w:tcPr>
          <w:p w14:paraId="04D1FC3A"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“There are certain suppliers, especially lately in this supplier’s market, that are more powerful than us. This means we completely depend on them and their guidelines. We have no bargaining power against them right now. (E)” </w:t>
            </w:r>
          </w:p>
        </w:tc>
      </w:tr>
      <w:tr w:rsidR="006D4C3D" w:rsidRPr="003A4E54" w14:paraId="0BDB0896" w14:textId="77777777" w:rsidTr="00C428AD">
        <w:trPr>
          <w:trHeight w:val="1250"/>
        </w:trPr>
        <w:tc>
          <w:tcPr>
            <w:cnfStyle w:val="001000000000" w:firstRow="0" w:lastRow="0" w:firstColumn="1" w:lastColumn="0" w:oddVBand="0" w:evenVBand="0" w:oddHBand="0" w:evenHBand="0" w:firstRowFirstColumn="0" w:firstRowLastColumn="0" w:lastRowFirstColumn="0" w:lastRowLastColumn="0"/>
            <w:tcW w:w="2155" w:type="dxa"/>
          </w:tcPr>
          <w:p w14:paraId="72901DB1"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lastRenderedPageBreak/>
              <w:t>Back-up sourcing</w:t>
            </w:r>
          </w:p>
          <w:p w14:paraId="1DD00DC8" w14:textId="77777777" w:rsidR="006D4C3D" w:rsidRPr="003A4E54" w:rsidRDefault="006D4C3D" w:rsidP="00C428AD">
            <w:pPr>
              <w:spacing w:line="240" w:lineRule="auto"/>
              <w:ind w:firstLine="0"/>
              <w:jc w:val="left"/>
              <w:rPr>
                <w:color w:val="000000"/>
                <w:sz w:val="20"/>
                <w:szCs w:val="20"/>
              </w:rPr>
            </w:pPr>
            <w:r w:rsidRPr="003A4E54">
              <w:rPr>
                <w:color w:val="FFFFFF"/>
                <w:sz w:val="20"/>
                <w:szCs w:val="20"/>
              </w:rPr>
              <w:t>Back-up sourcing</w:t>
            </w:r>
          </w:p>
        </w:tc>
        <w:tc>
          <w:tcPr>
            <w:tcW w:w="2070" w:type="dxa"/>
          </w:tcPr>
          <w:p w14:paraId="51AD7C82" w14:textId="77777777" w:rsidR="006D4C3D"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Use of other suppliers</w:t>
            </w:r>
          </w:p>
          <w:p w14:paraId="078E72AD"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50" w:type="dxa"/>
          </w:tcPr>
          <w:p w14:paraId="7ED21C74"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"If all products come from the same region or in the same boat, nothing is solved by having multiple suppliers. (C)"</w:t>
            </w:r>
          </w:p>
          <w:p w14:paraId="5D9A8487"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“With this product we only work with one supplier. That’s theoretically against any diversification principle, but we are granted 'exclusive client' status, and we are a priority if there are supply failures. </w:t>
            </w:r>
            <w:proofErr w:type="gramStart"/>
            <w:r w:rsidRPr="003A4E54">
              <w:rPr>
                <w:color w:val="000000"/>
                <w:sz w:val="20"/>
                <w:szCs w:val="20"/>
              </w:rPr>
              <w:t>As a consequence</w:t>
            </w:r>
            <w:proofErr w:type="gramEnd"/>
            <w:r w:rsidRPr="003A4E54">
              <w:rPr>
                <w:color w:val="000000"/>
                <w:sz w:val="20"/>
                <w:szCs w:val="20"/>
              </w:rPr>
              <w:t>, we have never had, even in harsh times, sourcing problems. (A1)”</w:t>
            </w:r>
          </w:p>
        </w:tc>
      </w:tr>
      <w:tr w:rsidR="006D4C3D" w:rsidRPr="003A4E54" w14:paraId="17D1D5E7" w14:textId="77777777" w:rsidTr="00C428AD">
        <w:trPr>
          <w:trHeight w:val="710"/>
        </w:trPr>
        <w:tc>
          <w:tcPr>
            <w:cnfStyle w:val="001000000000" w:firstRow="0" w:lastRow="0" w:firstColumn="1" w:lastColumn="0" w:oddVBand="0" w:evenVBand="0" w:oddHBand="0" w:evenHBand="0" w:firstRowFirstColumn="0" w:firstRowLastColumn="0" w:lastRowFirstColumn="0" w:lastRowLastColumn="0"/>
            <w:tcW w:w="2155" w:type="dxa"/>
          </w:tcPr>
          <w:p w14:paraId="6CE5184A"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Vertical integration</w:t>
            </w:r>
          </w:p>
          <w:p w14:paraId="2BE1B8C2" w14:textId="77777777" w:rsidR="006D4C3D" w:rsidRPr="003A4E54" w:rsidRDefault="006D4C3D" w:rsidP="00C428AD">
            <w:pPr>
              <w:spacing w:line="240" w:lineRule="auto"/>
              <w:ind w:firstLine="0"/>
              <w:jc w:val="left"/>
              <w:rPr>
                <w:color w:val="000000"/>
                <w:sz w:val="20"/>
                <w:szCs w:val="20"/>
              </w:rPr>
            </w:pPr>
            <w:r w:rsidRPr="003A4E54">
              <w:rPr>
                <w:color w:val="FFFFFF"/>
                <w:sz w:val="20"/>
                <w:szCs w:val="20"/>
              </w:rPr>
              <w:t>Vertical integration</w:t>
            </w:r>
          </w:p>
        </w:tc>
        <w:tc>
          <w:tcPr>
            <w:tcW w:w="2070" w:type="dxa"/>
          </w:tcPr>
          <w:p w14:paraId="0D79B748"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Backward integration</w:t>
            </w:r>
          </w:p>
        </w:tc>
        <w:tc>
          <w:tcPr>
            <w:tcW w:w="8550" w:type="dxa"/>
          </w:tcPr>
          <w:p w14:paraId="1178FF9A"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r w:rsidRPr="003A4E54">
              <w:rPr>
                <w:color w:val="000000"/>
                <w:sz w:val="20"/>
                <w:szCs w:val="20"/>
              </w:rPr>
              <w:t>As part of a cooperative, we only sell our products internally, and barely have sourcing problems with cereals, as the farmers of the cooperative give us preferential treatment. (C)”</w:t>
            </w:r>
          </w:p>
          <w:p w14:paraId="69F2847E" w14:textId="7A2C50C1"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r w:rsidRPr="003A4E54">
              <w:rPr>
                <w:color w:val="000000"/>
                <w:sz w:val="20"/>
                <w:szCs w:val="20"/>
              </w:rPr>
              <w:t>We only have one product for which production is all local. We don’t import anything. Everything from the seeding it’s integrated in our chain, in the company. [...] Then we have legumes which production takes place, at the Spanish level, something at European level and the rest is imported from third countries. (D)</w:t>
            </w:r>
            <w:r>
              <w:rPr>
                <w:color w:val="000000"/>
                <w:sz w:val="20"/>
                <w:szCs w:val="20"/>
              </w:rPr>
              <w:t>”</w:t>
            </w:r>
          </w:p>
        </w:tc>
      </w:tr>
      <w:tr w:rsidR="006D4C3D" w:rsidRPr="003A4E54" w14:paraId="64F94D81" w14:textId="77777777" w:rsidTr="00C428AD">
        <w:trPr>
          <w:trHeight w:val="584"/>
        </w:trPr>
        <w:tc>
          <w:tcPr>
            <w:cnfStyle w:val="001000000000" w:firstRow="0" w:lastRow="0" w:firstColumn="1" w:lastColumn="0" w:oddVBand="0" w:evenVBand="0" w:oddHBand="0" w:evenHBand="0" w:firstRowFirstColumn="0" w:firstRowLastColumn="0" w:lastRowFirstColumn="0" w:lastRowLastColumn="0"/>
            <w:tcW w:w="2155" w:type="dxa"/>
          </w:tcPr>
          <w:p w14:paraId="6807C99F"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Collaboration</w:t>
            </w:r>
          </w:p>
          <w:p w14:paraId="0DCEB647" w14:textId="77777777" w:rsidR="006D4C3D" w:rsidRPr="003A4E54" w:rsidRDefault="006D4C3D" w:rsidP="00C428AD">
            <w:pPr>
              <w:spacing w:line="240" w:lineRule="auto"/>
              <w:ind w:firstLine="0"/>
              <w:jc w:val="left"/>
              <w:rPr>
                <w:color w:val="000000"/>
                <w:sz w:val="20"/>
                <w:szCs w:val="20"/>
              </w:rPr>
            </w:pPr>
            <w:r w:rsidRPr="003A4E54">
              <w:rPr>
                <w:color w:val="FFFFFF"/>
                <w:sz w:val="20"/>
                <w:szCs w:val="20"/>
              </w:rPr>
              <w:t>Collaboration</w:t>
            </w:r>
          </w:p>
        </w:tc>
        <w:tc>
          <w:tcPr>
            <w:tcW w:w="2070" w:type="dxa"/>
          </w:tcPr>
          <w:p w14:paraId="4E336948" w14:textId="77777777" w:rsidR="006D4C3D"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Suppliers</w:t>
            </w:r>
          </w:p>
          <w:p w14:paraId="255ABE6F"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50" w:type="dxa"/>
          </w:tcPr>
          <w:p w14:paraId="2548628C"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A2664">
              <w:rPr>
                <w:color w:val="000000"/>
                <w:sz w:val="20"/>
                <w:szCs w:val="20"/>
              </w:rPr>
              <w:t>“Yes, with suppliers, constantly. I’m a firm believer in communication and the development of suppliers, no one knows about their problems more than they do. (G)”</w:t>
            </w:r>
          </w:p>
        </w:tc>
      </w:tr>
      <w:tr w:rsidR="006D4C3D" w:rsidRPr="003A4E54" w14:paraId="6D471D2A" w14:textId="77777777" w:rsidTr="00C428AD">
        <w:trPr>
          <w:trHeight w:val="710"/>
        </w:trPr>
        <w:tc>
          <w:tcPr>
            <w:cnfStyle w:val="001000000000" w:firstRow="0" w:lastRow="0" w:firstColumn="1" w:lastColumn="0" w:oddVBand="0" w:evenVBand="0" w:oddHBand="0" w:evenHBand="0" w:firstRowFirstColumn="0" w:firstRowLastColumn="0" w:lastRowFirstColumn="0" w:lastRowLastColumn="0"/>
            <w:tcW w:w="2155" w:type="dxa"/>
          </w:tcPr>
          <w:p w14:paraId="4B1F33FD" w14:textId="77777777" w:rsidR="006D4C3D" w:rsidRPr="003A4E54" w:rsidRDefault="006D4C3D" w:rsidP="00C428AD">
            <w:pPr>
              <w:spacing w:line="240" w:lineRule="auto"/>
              <w:ind w:firstLine="0"/>
              <w:jc w:val="left"/>
              <w:rPr>
                <w:color w:val="000000"/>
                <w:sz w:val="20"/>
                <w:szCs w:val="20"/>
              </w:rPr>
            </w:pPr>
          </w:p>
        </w:tc>
        <w:tc>
          <w:tcPr>
            <w:tcW w:w="2070" w:type="dxa"/>
          </w:tcPr>
          <w:p w14:paraId="071A60DB" w14:textId="77777777" w:rsidR="006D4C3D"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Competitors</w:t>
            </w:r>
          </w:p>
        </w:tc>
        <w:tc>
          <w:tcPr>
            <w:tcW w:w="8550" w:type="dxa"/>
          </w:tcPr>
          <w:p w14:paraId="1A027346"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“In our sector, there is </w:t>
            </w:r>
            <w:proofErr w:type="gramStart"/>
            <w:r w:rsidRPr="003A4E54">
              <w:rPr>
                <w:color w:val="000000"/>
                <w:sz w:val="20"/>
                <w:szCs w:val="20"/>
              </w:rPr>
              <w:t>often times</w:t>
            </w:r>
            <w:proofErr w:type="gramEnd"/>
            <w:r w:rsidRPr="003A4E54">
              <w:rPr>
                <w:color w:val="000000"/>
                <w:sz w:val="20"/>
                <w:szCs w:val="20"/>
              </w:rPr>
              <w:t xml:space="preserve"> a very friendly relationship between competitors, and we communicate regularly. I have always thought that this is due to the price being established in an auction, so we don’t have to compete for clients so aggressively. Moreover, the sector is not very concentrated, thus competition is lower, which helps create better relationships among participants. (A1)”</w:t>
            </w:r>
          </w:p>
          <w:p w14:paraId="6B0D035E" w14:textId="28D5361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"With </w:t>
            </w:r>
            <w:r w:rsidR="003C6C23" w:rsidRPr="003A4E54">
              <w:rPr>
                <w:color w:val="000000"/>
                <w:sz w:val="20"/>
                <w:szCs w:val="20"/>
              </w:rPr>
              <w:t>competitors, [</w:t>
            </w:r>
            <w:r w:rsidRPr="003A4E54">
              <w:rPr>
                <w:color w:val="000000"/>
                <w:sz w:val="20"/>
                <w:szCs w:val="20"/>
              </w:rPr>
              <w:t xml:space="preserve">we contact] very little. Very little. At </w:t>
            </w:r>
            <w:proofErr w:type="gramStart"/>
            <w:r w:rsidRPr="003A4E54">
              <w:rPr>
                <w:color w:val="000000"/>
                <w:sz w:val="20"/>
                <w:szCs w:val="20"/>
              </w:rPr>
              <w:t>some</w:t>
            </w:r>
            <w:proofErr w:type="gramEnd"/>
            <w:r w:rsidRPr="003A4E54">
              <w:rPr>
                <w:color w:val="000000"/>
                <w:sz w:val="20"/>
                <w:szCs w:val="20"/>
              </w:rPr>
              <w:t xml:space="preserve"> point, we have contacted them, but it is very rarely. I would say each of us is dealing with their issues on their own. With their own strategies, </w:t>
            </w:r>
            <w:proofErr w:type="gramStart"/>
            <w:r w:rsidRPr="003A4E54">
              <w:rPr>
                <w:color w:val="000000"/>
                <w:sz w:val="20"/>
                <w:szCs w:val="20"/>
              </w:rPr>
              <w:t>etc.</w:t>
            </w:r>
            <w:proofErr w:type="gramEnd"/>
            <w:r w:rsidRPr="003A4E54">
              <w:rPr>
                <w:color w:val="000000"/>
                <w:sz w:val="20"/>
                <w:szCs w:val="20"/>
              </w:rPr>
              <w:t xml:space="preserve"> We don’t tell anything to competitors, if we do, often it is wrong information. (D)”</w:t>
            </w:r>
          </w:p>
        </w:tc>
      </w:tr>
    </w:tbl>
    <w:p w14:paraId="5C36C360" w14:textId="77777777" w:rsidR="006D4C3D" w:rsidRDefault="006D4C3D" w:rsidP="006D4C3D"/>
    <w:tbl>
      <w:tblPr>
        <w:tblStyle w:val="GridTable1Light1"/>
        <w:tblW w:w="12775" w:type="dxa"/>
        <w:tblLook w:val="04A0" w:firstRow="1" w:lastRow="0" w:firstColumn="1" w:lastColumn="0" w:noHBand="0" w:noVBand="1"/>
      </w:tblPr>
      <w:tblGrid>
        <w:gridCol w:w="2160"/>
        <w:gridCol w:w="2065"/>
        <w:gridCol w:w="8550"/>
      </w:tblGrid>
      <w:tr w:rsidR="006D4C3D" w:rsidRPr="003A4E54" w14:paraId="53130C52" w14:textId="77777777" w:rsidTr="00C428AD">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2775" w:type="dxa"/>
            <w:gridSpan w:val="3"/>
          </w:tcPr>
          <w:p w14:paraId="3BF2221A" w14:textId="77777777" w:rsidR="006D4C3D" w:rsidRPr="003A4E54" w:rsidRDefault="006D4C3D" w:rsidP="00C428AD">
            <w:pPr>
              <w:spacing w:line="240" w:lineRule="auto"/>
              <w:ind w:firstLine="0"/>
              <w:jc w:val="center"/>
              <w:rPr>
                <w:color w:val="000000"/>
                <w:sz w:val="20"/>
                <w:szCs w:val="20"/>
              </w:rPr>
            </w:pPr>
            <w:r w:rsidRPr="003A4E54">
              <w:rPr>
                <w:color w:val="000000"/>
                <w:sz w:val="20"/>
                <w:szCs w:val="20"/>
              </w:rPr>
              <w:t>Environment Level</w:t>
            </w:r>
          </w:p>
        </w:tc>
      </w:tr>
      <w:tr w:rsidR="006D4C3D" w:rsidRPr="003A4E54" w14:paraId="4D06C789" w14:textId="77777777" w:rsidTr="00C428AD">
        <w:trPr>
          <w:trHeight w:val="303"/>
        </w:trPr>
        <w:tc>
          <w:tcPr>
            <w:cnfStyle w:val="001000000000" w:firstRow="0" w:lastRow="0" w:firstColumn="1" w:lastColumn="0" w:oddVBand="0" w:evenVBand="0" w:oddHBand="0" w:evenHBand="0" w:firstRowFirstColumn="0" w:firstRowLastColumn="0" w:lastRowFirstColumn="0" w:lastRowLastColumn="0"/>
            <w:tcW w:w="2160" w:type="dxa"/>
          </w:tcPr>
          <w:p w14:paraId="1CCC8D91"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Second-order themes</w:t>
            </w:r>
          </w:p>
        </w:tc>
        <w:tc>
          <w:tcPr>
            <w:tcW w:w="2065" w:type="dxa"/>
          </w:tcPr>
          <w:p w14:paraId="6E5FBD1A"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b/>
                <w:bCs/>
                <w:color w:val="000000"/>
                <w:sz w:val="20"/>
                <w:szCs w:val="20"/>
              </w:rPr>
              <w:t>First-order concepts</w:t>
            </w:r>
          </w:p>
        </w:tc>
        <w:tc>
          <w:tcPr>
            <w:tcW w:w="8550" w:type="dxa"/>
          </w:tcPr>
          <w:p w14:paraId="69E68EF2"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b/>
                <w:bCs/>
                <w:color w:val="000000"/>
                <w:sz w:val="20"/>
                <w:szCs w:val="20"/>
              </w:rPr>
              <w:t>Representative quotations</w:t>
            </w:r>
          </w:p>
        </w:tc>
      </w:tr>
      <w:tr w:rsidR="006D4C3D" w:rsidRPr="003A4E54" w14:paraId="40328EDF" w14:textId="77777777" w:rsidTr="00C428AD">
        <w:trPr>
          <w:trHeight w:val="1640"/>
        </w:trPr>
        <w:tc>
          <w:tcPr>
            <w:cnfStyle w:val="001000000000" w:firstRow="0" w:lastRow="0" w:firstColumn="1" w:lastColumn="0" w:oddVBand="0" w:evenVBand="0" w:oddHBand="0" w:evenHBand="0" w:firstRowFirstColumn="0" w:firstRowLastColumn="0" w:lastRowFirstColumn="0" w:lastRowLastColumn="0"/>
            <w:tcW w:w="2160" w:type="dxa"/>
          </w:tcPr>
          <w:p w14:paraId="1821A2A5"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Political framework management</w:t>
            </w:r>
          </w:p>
          <w:p w14:paraId="5D695F8B" w14:textId="77777777" w:rsidR="006D4C3D" w:rsidRPr="003A4E54" w:rsidRDefault="006D4C3D" w:rsidP="00C428AD">
            <w:pPr>
              <w:spacing w:line="240" w:lineRule="auto"/>
              <w:ind w:firstLine="0"/>
              <w:jc w:val="left"/>
              <w:rPr>
                <w:color w:val="FFFFFF"/>
                <w:sz w:val="20"/>
                <w:szCs w:val="20"/>
              </w:rPr>
            </w:pPr>
            <w:r w:rsidRPr="003A4E54">
              <w:rPr>
                <w:color w:val="FFFFFF"/>
                <w:sz w:val="20"/>
                <w:szCs w:val="20"/>
              </w:rPr>
              <w:t>Political framework management</w:t>
            </w:r>
          </w:p>
        </w:tc>
        <w:tc>
          <w:tcPr>
            <w:tcW w:w="2065" w:type="dxa"/>
          </w:tcPr>
          <w:p w14:paraId="2E833BE7"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EU </w:t>
            </w:r>
            <w:r>
              <w:rPr>
                <w:color w:val="000000"/>
                <w:sz w:val="20"/>
                <w:szCs w:val="20"/>
              </w:rPr>
              <w:t>or Local government influencing or reacting</w:t>
            </w:r>
          </w:p>
        </w:tc>
        <w:tc>
          <w:tcPr>
            <w:tcW w:w="8550" w:type="dxa"/>
          </w:tcPr>
          <w:p w14:paraId="7B9DCFAD"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 xml:space="preserve">“European Union trade agreements are in </w:t>
            </w:r>
            <w:proofErr w:type="gramStart"/>
            <w:r w:rsidRPr="003A4E54">
              <w:rPr>
                <w:color w:val="000000"/>
                <w:sz w:val="20"/>
                <w:szCs w:val="20"/>
              </w:rPr>
              <w:t>some</w:t>
            </w:r>
            <w:proofErr w:type="gramEnd"/>
            <w:r w:rsidRPr="003A4E54">
              <w:rPr>
                <w:color w:val="000000"/>
                <w:sz w:val="20"/>
                <w:szCs w:val="20"/>
              </w:rPr>
              <w:t xml:space="preserve"> way the key that facilitates or hinders the availability of raw materials in Europe. [...]Currently, with the Ukrainian disruption, what the European government did was to reduce its requirements regarding genetically modified foods and plant protection products, to provide access to the market to goods that are usually banned in Europe. (A)”</w:t>
            </w:r>
          </w:p>
          <w:p w14:paraId="703519FA"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A4E54">
              <w:rPr>
                <w:color w:val="000000"/>
                <w:sz w:val="20"/>
                <w:szCs w:val="20"/>
              </w:rPr>
              <w:t>"We don’t know anything about governmental measures to help companies in that sense. We think there’s nothing. [..] However, there’s one thing now from Europe’s COVID recovery projects, called agri-food PERTE, I believe however that the budget is a bit too small anyway. (E)”</w:t>
            </w:r>
          </w:p>
        </w:tc>
      </w:tr>
      <w:tr w:rsidR="006D4C3D" w:rsidRPr="003A4E54" w14:paraId="4FB6CF00" w14:textId="77777777" w:rsidTr="00C428AD">
        <w:trPr>
          <w:trHeight w:val="710"/>
        </w:trPr>
        <w:tc>
          <w:tcPr>
            <w:cnfStyle w:val="001000000000" w:firstRow="0" w:lastRow="0" w:firstColumn="1" w:lastColumn="0" w:oddVBand="0" w:evenVBand="0" w:oddHBand="0" w:evenHBand="0" w:firstRowFirstColumn="0" w:firstRowLastColumn="0" w:lastRowFirstColumn="0" w:lastRowLastColumn="0"/>
            <w:tcW w:w="2160" w:type="dxa"/>
            <w:vMerge w:val="restart"/>
            <w:hideMark/>
          </w:tcPr>
          <w:p w14:paraId="6E9FCF02" w14:textId="77777777" w:rsidR="006D4C3D" w:rsidRPr="003A4E54" w:rsidRDefault="006D4C3D" w:rsidP="00C428AD">
            <w:pPr>
              <w:spacing w:line="240" w:lineRule="auto"/>
              <w:ind w:firstLine="0"/>
              <w:jc w:val="left"/>
              <w:rPr>
                <w:color w:val="000000"/>
                <w:sz w:val="20"/>
                <w:szCs w:val="20"/>
              </w:rPr>
            </w:pPr>
            <w:r w:rsidRPr="003A4E54">
              <w:rPr>
                <w:color w:val="000000"/>
                <w:sz w:val="20"/>
                <w:szCs w:val="20"/>
              </w:rPr>
              <w:t>Financial hedging</w:t>
            </w:r>
          </w:p>
          <w:p w14:paraId="03D5834E" w14:textId="77777777" w:rsidR="006D4C3D" w:rsidRPr="003A4E54" w:rsidRDefault="006D4C3D" w:rsidP="00C428AD">
            <w:pPr>
              <w:spacing w:line="240" w:lineRule="auto"/>
              <w:ind w:firstLine="0"/>
              <w:jc w:val="left"/>
              <w:rPr>
                <w:color w:val="000000"/>
                <w:sz w:val="20"/>
                <w:szCs w:val="20"/>
              </w:rPr>
            </w:pPr>
            <w:r w:rsidRPr="003A4E54">
              <w:rPr>
                <w:color w:val="FFFFFF"/>
                <w:sz w:val="20"/>
                <w:szCs w:val="20"/>
              </w:rPr>
              <w:t>Financial hedging</w:t>
            </w:r>
          </w:p>
        </w:tc>
        <w:tc>
          <w:tcPr>
            <w:tcW w:w="2065" w:type="dxa"/>
            <w:hideMark/>
          </w:tcPr>
          <w:p w14:paraId="311AF950" w14:textId="77777777" w:rsidR="006D4C3D"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Forward contracts</w:t>
            </w:r>
          </w:p>
          <w:p w14:paraId="72DB51D1"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50" w:type="dxa"/>
            <w:hideMark/>
          </w:tcPr>
          <w:p w14:paraId="62DEC45F" w14:textId="77777777" w:rsidR="006D4C3D" w:rsidRPr="001908E1"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908E1">
              <w:rPr>
                <w:color w:val="000000"/>
                <w:sz w:val="20"/>
                <w:szCs w:val="20"/>
              </w:rPr>
              <w:t xml:space="preserve">“We do make futures contracts. As I said, we’re in the free market, and there we’re exposed, so you </w:t>
            </w:r>
            <w:proofErr w:type="gramStart"/>
            <w:r w:rsidRPr="001908E1">
              <w:rPr>
                <w:color w:val="000000"/>
                <w:sz w:val="20"/>
                <w:szCs w:val="20"/>
              </w:rPr>
              <w:t>have to</w:t>
            </w:r>
            <w:proofErr w:type="gramEnd"/>
            <w:r w:rsidRPr="001908E1">
              <w:rPr>
                <w:color w:val="000000"/>
                <w:sz w:val="20"/>
                <w:szCs w:val="20"/>
              </w:rPr>
              <w:t xml:space="preserve"> be competitive today and in 3 months. If there’s an opportunity to purchase cheap corn for 3 months and we think it’s the right time, we make the decision (L)” </w:t>
            </w:r>
          </w:p>
          <w:p w14:paraId="17205DAF" w14:textId="5DF3C6AB"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908E1">
              <w:rPr>
                <w:color w:val="000000"/>
                <w:sz w:val="20"/>
                <w:szCs w:val="20"/>
              </w:rPr>
              <w:t xml:space="preserve">“It can be done easily with soy [...] they do have </w:t>
            </w:r>
            <w:r w:rsidR="003C6C23" w:rsidRPr="001908E1">
              <w:rPr>
                <w:color w:val="000000"/>
                <w:sz w:val="20"/>
                <w:szCs w:val="20"/>
              </w:rPr>
              <w:t>mechanisms;</w:t>
            </w:r>
            <w:r w:rsidRPr="001908E1">
              <w:rPr>
                <w:color w:val="000000"/>
                <w:sz w:val="20"/>
                <w:szCs w:val="20"/>
              </w:rPr>
              <w:t xml:space="preserve"> they pass the prices (the sellers</w:t>
            </w:r>
            <w:proofErr w:type="gramStart"/>
            <w:r w:rsidR="003C6C23">
              <w:rPr>
                <w:color w:val="000000"/>
                <w:sz w:val="20"/>
                <w:szCs w:val="20"/>
              </w:rPr>
              <w:t>)</w:t>
            </w:r>
            <w:proofErr w:type="gramEnd"/>
            <w:r w:rsidR="003C6C23">
              <w:rPr>
                <w:color w:val="000000"/>
                <w:sz w:val="20"/>
                <w:szCs w:val="20"/>
              </w:rPr>
              <w:t xml:space="preserve"> </w:t>
            </w:r>
            <w:r w:rsidRPr="001908E1">
              <w:rPr>
                <w:color w:val="000000"/>
                <w:sz w:val="20"/>
                <w:szCs w:val="20"/>
              </w:rPr>
              <w:t>and you can fix year-long contracts with no problem. With the rest of fundamental materials, like cereals [...] there is no liquid market that allows you to do that. (A)”</w:t>
            </w:r>
          </w:p>
        </w:tc>
      </w:tr>
      <w:tr w:rsidR="006D4C3D" w:rsidRPr="003A4E54" w14:paraId="57165030" w14:textId="77777777" w:rsidTr="00C428AD">
        <w:trPr>
          <w:trHeight w:val="440"/>
        </w:trPr>
        <w:tc>
          <w:tcPr>
            <w:cnfStyle w:val="001000000000" w:firstRow="0" w:lastRow="0" w:firstColumn="1" w:lastColumn="0" w:oddVBand="0" w:evenVBand="0" w:oddHBand="0" w:evenHBand="0" w:firstRowFirstColumn="0" w:firstRowLastColumn="0" w:lastRowFirstColumn="0" w:lastRowLastColumn="0"/>
            <w:tcW w:w="2160" w:type="dxa"/>
            <w:vMerge/>
            <w:hideMark/>
          </w:tcPr>
          <w:p w14:paraId="33301755" w14:textId="77777777" w:rsidR="006D4C3D" w:rsidRPr="003A4E54" w:rsidRDefault="006D4C3D" w:rsidP="00C428AD">
            <w:pPr>
              <w:spacing w:line="240" w:lineRule="auto"/>
              <w:ind w:firstLine="0"/>
              <w:jc w:val="left"/>
              <w:rPr>
                <w:color w:val="FFFFFF"/>
                <w:sz w:val="20"/>
                <w:szCs w:val="20"/>
              </w:rPr>
            </w:pPr>
          </w:p>
        </w:tc>
        <w:tc>
          <w:tcPr>
            <w:tcW w:w="2065" w:type="dxa"/>
            <w:hideMark/>
          </w:tcPr>
          <w:p w14:paraId="56FBD3AC" w14:textId="77777777" w:rsidR="006D4C3D" w:rsidRPr="003A4E54" w:rsidRDefault="006D4C3D"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Option contracts</w:t>
            </w:r>
          </w:p>
        </w:tc>
        <w:tc>
          <w:tcPr>
            <w:tcW w:w="8550" w:type="dxa"/>
            <w:hideMark/>
          </w:tcPr>
          <w:p w14:paraId="15F44561" w14:textId="475EAE97" w:rsidR="006D4C3D" w:rsidRPr="003A4E54" w:rsidRDefault="003F56A2" w:rsidP="00C428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w:t>
            </w:r>
            <w:r w:rsidR="006D4C3D" w:rsidRPr="003A4E54">
              <w:rPr>
                <w:color w:val="000000"/>
                <w:sz w:val="20"/>
                <w:szCs w:val="20"/>
              </w:rPr>
              <w:t xml:space="preserve">We have tried </w:t>
            </w:r>
            <w:proofErr w:type="gramStart"/>
            <w:r w:rsidR="006D4C3D" w:rsidRPr="003A4E54">
              <w:rPr>
                <w:color w:val="000000"/>
                <w:sz w:val="20"/>
                <w:szCs w:val="20"/>
              </w:rPr>
              <w:t>a few</w:t>
            </w:r>
            <w:proofErr w:type="gramEnd"/>
            <w:r w:rsidR="006D4C3D" w:rsidRPr="003A4E54">
              <w:rPr>
                <w:color w:val="000000"/>
                <w:sz w:val="20"/>
                <w:szCs w:val="20"/>
              </w:rPr>
              <w:t xml:space="preserve"> times to work in those types of financial markets, but we currently have not enough resources to employ option contracts. (D)”</w:t>
            </w:r>
          </w:p>
        </w:tc>
      </w:tr>
    </w:tbl>
    <w:p w14:paraId="10A3E815" w14:textId="438B3EAB" w:rsidR="003F56A2" w:rsidRDefault="003F56A2" w:rsidP="006D4C3D">
      <w:pPr>
        <w:ind w:firstLine="0"/>
      </w:pPr>
      <w:r w:rsidRPr="003F56A2">
        <w:rPr>
          <w:b/>
          <w:bCs/>
        </w:rPr>
        <w:t>Source(s):</w:t>
      </w:r>
      <w:r>
        <w:t xml:space="preserve"> Authors’ own creation</w:t>
      </w:r>
    </w:p>
    <w:sectPr w:rsidR="003F56A2" w:rsidSect="006D4C3D">
      <w:headerReference w:type="even" r:id="rId6"/>
      <w:headerReference w:type="first" r:id="rId7"/>
      <w:pgSz w:w="15840" w:h="12240" w:orient="landscape"/>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79E0AD" w14:textId="77777777" w:rsidR="008A6A9B" w:rsidRDefault="008A6A9B" w:rsidP="003F56A2">
      <w:pPr>
        <w:spacing w:line="240" w:lineRule="auto"/>
      </w:pPr>
      <w:r>
        <w:separator/>
      </w:r>
    </w:p>
  </w:endnote>
  <w:endnote w:type="continuationSeparator" w:id="0">
    <w:p w14:paraId="4A837F26" w14:textId="77777777" w:rsidR="008A6A9B" w:rsidRDefault="008A6A9B" w:rsidP="003F56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2BDDFD" w14:textId="77777777" w:rsidR="008A6A9B" w:rsidRDefault="008A6A9B" w:rsidP="003F56A2">
      <w:pPr>
        <w:spacing w:line="240" w:lineRule="auto"/>
      </w:pPr>
      <w:r>
        <w:separator/>
      </w:r>
    </w:p>
  </w:footnote>
  <w:footnote w:type="continuationSeparator" w:id="0">
    <w:p w14:paraId="7119F168" w14:textId="77777777" w:rsidR="008A6A9B" w:rsidRDefault="008A6A9B" w:rsidP="003F56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9B9036" w14:textId="23C9EA5A" w:rsidR="003F56A2" w:rsidRDefault="003F56A2">
    <w:pPr>
      <w:pStyle w:val="Header"/>
    </w:pPr>
    <w:r>
      <w:rPr>
        <w:noProof/>
        <w14:ligatures w14:val="standardContextual"/>
      </w:rPr>
      <mc:AlternateContent>
        <mc:Choice Requires="wps">
          <w:drawing>
            <wp:anchor distT="0" distB="0" distL="0" distR="0" simplePos="0" relativeHeight="251659264" behindDoc="0" locked="0" layoutInCell="1" allowOverlap="1" wp14:anchorId="14303C37" wp14:editId="270839B5">
              <wp:simplePos x="635" y="635"/>
              <wp:positionH relativeFrom="page">
                <wp:align>right</wp:align>
              </wp:positionH>
              <wp:positionV relativeFrom="page">
                <wp:align>top</wp:align>
              </wp:positionV>
              <wp:extent cx="1713865" cy="562610"/>
              <wp:effectExtent l="0" t="0" r="0" b="8890"/>
              <wp:wrapNone/>
              <wp:docPr id="346503070" name="Text Box 2" descr="--- Confident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3865" cy="562610"/>
                      </a:xfrm>
                      <a:prstGeom prst="rect">
                        <a:avLst/>
                      </a:prstGeom>
                      <a:noFill/>
                      <a:ln>
                        <a:noFill/>
                      </a:ln>
                    </wps:spPr>
                    <wps:txbx>
                      <w:txbxContent>
                        <w:p w14:paraId="068691A2" w14:textId="738DB410" w:rsidR="003F56A2" w:rsidRPr="003F56A2" w:rsidRDefault="003F56A2" w:rsidP="003F56A2">
                          <w:pPr>
                            <w:rPr>
                              <w:rFonts w:ascii="Aptos" w:eastAsia="Aptos" w:hAnsi="Aptos" w:cs="Aptos"/>
                              <w:noProof/>
                              <w:color w:val="000000"/>
                            </w:rPr>
                          </w:pPr>
                          <w:r w:rsidRPr="003F56A2">
                            <w:rPr>
                              <w:rFonts w:ascii="Aptos" w:eastAsia="Aptos" w:hAnsi="Aptos" w:cs="Aptos"/>
                              <w:noProof/>
                              <w:color w:val="000000"/>
                            </w:rPr>
                            <w:t>--- Confidential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303C37" id="_x0000_t202" coordsize="21600,21600" o:spt="202" path="m,l,21600r21600,l21600,xe">
              <v:stroke joinstyle="miter"/>
              <v:path gradientshapeok="t" o:connecttype="rect"/>
            </v:shapetype>
            <v:shape id="Text Box 2" o:spid="_x0000_s1026" type="#_x0000_t202" alt="--- Confidential ---" style="position:absolute;left:0;text-align:left;margin-left:83.75pt;margin-top:0;width:134.95pt;height:44.3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" filled="f" stroked="f">
              <v:textbox style="mso-fit-shape-to-text:t" inset="0,15pt,20pt,0">
                <w:txbxContent>
                  <w:p w14:paraId="068691A2" w14:textId="738DB410" w:rsidR="003F56A2" w:rsidRPr="003F56A2" w:rsidRDefault="003F56A2" w:rsidP="003F56A2">
                    <w:pPr>
                      <w:rPr>
                        <w:rFonts w:ascii="Aptos" w:eastAsia="Aptos" w:hAnsi="Aptos" w:cs="Aptos"/>
                        <w:noProof/>
                        <w:color w:val="000000"/>
                      </w:rPr>
                    </w:pPr>
                    <w:r w:rsidRPr="003F56A2">
                      <w:rPr>
                        <w:rFonts w:ascii="Aptos" w:eastAsia="Aptos" w:hAnsi="Aptos" w:cs="Aptos"/>
                        <w:noProof/>
                        <w:color w:val="000000"/>
                      </w:rPr>
                      <w:t>--- Confidential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66CA18" w14:textId="7BBE79F2" w:rsidR="003F56A2" w:rsidRDefault="003F56A2">
    <w:pPr>
      <w:pStyle w:val="Header"/>
    </w:pPr>
    <w:r>
      <w:rPr>
        <w:noProof/>
        <w14:ligatures w14:val="standardContextual"/>
      </w:rPr>
      <mc:AlternateContent>
        <mc:Choice Requires="wps">
          <w:drawing>
            <wp:anchor distT="0" distB="0" distL="0" distR="0" simplePos="0" relativeHeight="251658240" behindDoc="0" locked="0" layoutInCell="1" allowOverlap="1" wp14:anchorId="55593359" wp14:editId="20D16CAC">
              <wp:simplePos x="635" y="635"/>
              <wp:positionH relativeFrom="page">
                <wp:align>right</wp:align>
              </wp:positionH>
              <wp:positionV relativeFrom="page">
                <wp:align>top</wp:align>
              </wp:positionV>
              <wp:extent cx="1713865" cy="562610"/>
              <wp:effectExtent l="0" t="0" r="0" b="8890"/>
              <wp:wrapNone/>
              <wp:docPr id="1386865395" name="Text Box 1" descr="--- Confident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3865" cy="562610"/>
                      </a:xfrm>
                      <a:prstGeom prst="rect">
                        <a:avLst/>
                      </a:prstGeom>
                      <a:noFill/>
                      <a:ln>
                        <a:noFill/>
                      </a:ln>
                    </wps:spPr>
                    <wps:txbx>
                      <w:txbxContent>
                        <w:p w14:paraId="3350A993" w14:textId="38863AC7" w:rsidR="003F56A2" w:rsidRPr="003F56A2" w:rsidRDefault="003F56A2" w:rsidP="003F56A2">
                          <w:pPr>
                            <w:rPr>
                              <w:rFonts w:ascii="Aptos" w:eastAsia="Aptos" w:hAnsi="Aptos" w:cs="Aptos"/>
                              <w:noProof/>
                              <w:color w:val="000000"/>
                            </w:rPr>
                          </w:pPr>
                          <w:r w:rsidRPr="003F56A2">
                            <w:rPr>
                              <w:rFonts w:ascii="Aptos" w:eastAsia="Aptos" w:hAnsi="Aptos" w:cs="Aptos"/>
                              <w:noProof/>
                              <w:color w:val="000000"/>
                            </w:rPr>
                            <w:t>--- Confidential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593359" id="_x0000_t202" coordsize="21600,21600" o:spt="202" path="m,l,21600r21600,l21600,xe">
              <v:stroke joinstyle="miter"/>
              <v:path gradientshapeok="t" o:connecttype="rect"/>
            </v:shapetype>
            <v:shape id="Text Box 1" o:spid="_x0000_s1027" type="#_x0000_t202" alt="--- Confidential ---" style="position:absolute;left:0;text-align:left;margin-left:83.75pt;margin-top:0;width:134.95pt;height:44.3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" filled="f" stroked="f">
              <v:textbox style="mso-fit-shape-to-text:t" inset="0,15pt,20pt,0">
                <w:txbxContent>
                  <w:p w14:paraId="3350A993" w14:textId="38863AC7" w:rsidR="003F56A2" w:rsidRPr="003F56A2" w:rsidRDefault="003F56A2" w:rsidP="003F56A2">
                    <w:pPr>
                      <w:rPr>
                        <w:rFonts w:ascii="Aptos" w:eastAsia="Aptos" w:hAnsi="Aptos" w:cs="Aptos"/>
                        <w:noProof/>
                        <w:color w:val="000000"/>
                      </w:rPr>
                    </w:pPr>
                    <w:r w:rsidRPr="003F56A2">
                      <w:rPr>
                        <w:rFonts w:ascii="Aptos" w:eastAsia="Aptos" w:hAnsi="Aptos" w:cs="Aptos"/>
                        <w:noProof/>
                        <w:color w:val="000000"/>
                      </w:rPr>
                      <w:t>--- Confidential ---</w:t>
                    </w:r>
                  </w:p>
                </w:txbxContent>
              </v:textbox>
              <w10:wrap anchorx="page" anchory="page"/>
            </v:shap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C3D"/>
    <w:rsid w:val="000040E6"/>
    <w:rsid w:val="00113900"/>
    <w:rsid w:val="00253A9D"/>
    <w:rsid w:val="00285CD0"/>
    <w:rsid w:val="003C6C23"/>
    <w:rsid w:val="003F56A2"/>
    <w:rsid w:val="004643D1"/>
    <w:rsid w:val="004B4638"/>
    <w:rsid w:val="00577599"/>
    <w:rsid w:val="00587DDA"/>
    <w:rsid w:val="006111D9"/>
    <w:rsid w:val="00676C38"/>
    <w:rsid w:val="006D4C3D"/>
    <w:rsid w:val="007F0CD4"/>
    <w:rsid w:val="00827E09"/>
    <w:rsid w:val="008A6A9B"/>
    <w:rsid w:val="00A10DBA"/>
    <w:rsid w:val="00B20506"/>
    <w:rsid w:val="00C10E81"/>
    <w:rsid w:val="00CE4A83"/>
    <w:rsid w:val="00D44A44"/>
    <w:rsid w:val="00E36224"/>
    <w:rsid w:val="00FD7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77B45"/>
  <w15:chartTrackingRefBased/>
  <w15:docId w15:val="{5AAA9CF2-3E78-484E-BBF6-AA45F595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3D"/>
    <w:pPr>
      <w:spacing w:after="0" w:line="480" w:lineRule="auto"/>
      <w:ind w:firstLine="432"/>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D4C3D"/>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D4C3D"/>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D4C3D"/>
    <w:pPr>
      <w:keepNext/>
      <w:keepLines/>
      <w:spacing w:before="160" w:after="80" w:line="278" w:lineRule="auto"/>
      <w:ind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D4C3D"/>
    <w:pPr>
      <w:keepNext/>
      <w:keepLines/>
      <w:spacing w:before="80" w:after="40" w:line="278" w:lineRule="auto"/>
      <w:ind w:firstLine="0"/>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D4C3D"/>
    <w:pPr>
      <w:keepNext/>
      <w:keepLines/>
      <w:spacing w:before="80" w:after="40" w:line="278" w:lineRule="auto"/>
      <w:ind w:firstLine="0"/>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D4C3D"/>
    <w:pPr>
      <w:keepNext/>
      <w:keepLines/>
      <w:spacing w:before="40" w:line="278" w:lineRule="auto"/>
      <w:ind w:firstLine="0"/>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D4C3D"/>
    <w:pPr>
      <w:keepNext/>
      <w:keepLines/>
      <w:spacing w:before="40" w:line="278" w:lineRule="auto"/>
      <w:ind w:firstLine="0"/>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D4C3D"/>
    <w:pPr>
      <w:keepNext/>
      <w:keepLines/>
      <w:spacing w:line="278" w:lineRule="auto"/>
      <w:ind w:firstLine="0"/>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D4C3D"/>
    <w:pPr>
      <w:keepNext/>
      <w:keepLines/>
      <w:spacing w:line="278" w:lineRule="auto"/>
      <w:ind w:firstLine="0"/>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C3D"/>
    <w:rPr>
      <w:rFonts w:eastAsiaTheme="majorEastAsia" w:cstheme="majorBidi"/>
      <w:color w:val="272727" w:themeColor="text1" w:themeTint="D8"/>
    </w:rPr>
  </w:style>
  <w:style w:type="paragraph" w:styleId="Title">
    <w:name w:val="Title"/>
    <w:basedOn w:val="Normal"/>
    <w:next w:val="Normal"/>
    <w:link w:val="TitleChar"/>
    <w:uiPriority w:val="10"/>
    <w:qFormat/>
    <w:rsid w:val="006D4C3D"/>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D4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C3D"/>
    <w:pPr>
      <w:numPr>
        <w:ilvl w:val="1"/>
      </w:numPr>
      <w:spacing w:after="160" w:line="278" w:lineRule="auto"/>
      <w:ind w:firstLine="432"/>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D4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C3D"/>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D4C3D"/>
    <w:rPr>
      <w:i/>
      <w:iCs/>
      <w:color w:val="404040" w:themeColor="text1" w:themeTint="BF"/>
    </w:rPr>
  </w:style>
  <w:style w:type="paragraph" w:styleId="ListParagraph">
    <w:name w:val="List Paragraph"/>
    <w:basedOn w:val="Normal"/>
    <w:uiPriority w:val="34"/>
    <w:qFormat/>
    <w:rsid w:val="006D4C3D"/>
    <w:pPr>
      <w:spacing w:after="160" w:line="278" w:lineRule="auto"/>
      <w:ind w:left="720" w:firstLine="0"/>
      <w:contextualSpacing/>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D4C3D"/>
    <w:rPr>
      <w:i/>
      <w:iCs/>
      <w:color w:val="0F4761" w:themeColor="accent1" w:themeShade="BF"/>
    </w:rPr>
  </w:style>
  <w:style w:type="paragraph" w:styleId="IntenseQuote">
    <w:name w:val="Intense Quote"/>
    <w:basedOn w:val="Normal"/>
    <w:next w:val="Normal"/>
    <w:link w:val="IntenseQuoteChar"/>
    <w:uiPriority w:val="30"/>
    <w:qFormat/>
    <w:rsid w:val="006D4C3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D4C3D"/>
    <w:rPr>
      <w:i/>
      <w:iCs/>
      <w:color w:val="0F4761" w:themeColor="accent1" w:themeShade="BF"/>
    </w:rPr>
  </w:style>
  <w:style w:type="character" w:styleId="IntenseReference">
    <w:name w:val="Intense Reference"/>
    <w:basedOn w:val="DefaultParagraphFont"/>
    <w:uiPriority w:val="32"/>
    <w:qFormat/>
    <w:rsid w:val="006D4C3D"/>
    <w:rPr>
      <w:b/>
      <w:bCs/>
      <w:smallCaps/>
      <w:color w:val="0F4761" w:themeColor="accent1" w:themeShade="BF"/>
      <w:spacing w:val="5"/>
    </w:rPr>
  </w:style>
  <w:style w:type="table" w:customStyle="1" w:styleId="GridTable1Light1">
    <w:name w:val="Grid Table 1 Light1"/>
    <w:basedOn w:val="TableNormal"/>
    <w:next w:val="GridTable1Light"/>
    <w:uiPriority w:val="46"/>
    <w:rsid w:val="006D4C3D"/>
    <w:pPr>
      <w:spacing w:after="0" w:line="240" w:lineRule="auto"/>
    </w:pPr>
    <w:rPr>
      <w:rFonts w:ascii="Aptos" w:eastAsia="Aptos" w:hAnsi="Aptos"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NormalWeb">
    <w:name w:val="Normal (Web)"/>
    <w:basedOn w:val="Normal"/>
    <w:uiPriority w:val="99"/>
    <w:unhideWhenUsed/>
    <w:rsid w:val="006D4C3D"/>
    <w:pPr>
      <w:spacing w:before="100" w:beforeAutospacing="1" w:after="100" w:afterAutospacing="1"/>
    </w:pPr>
  </w:style>
  <w:style w:type="table" w:styleId="GridTable1Light">
    <w:name w:val="Grid Table 1 Light"/>
    <w:basedOn w:val="TableNormal"/>
    <w:uiPriority w:val="46"/>
    <w:rsid w:val="006D4C3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F56A2"/>
    <w:pPr>
      <w:tabs>
        <w:tab w:val="center" w:pos="4680"/>
        <w:tab w:val="right" w:pos="9360"/>
      </w:tabs>
      <w:spacing w:line="240" w:lineRule="auto"/>
    </w:pPr>
  </w:style>
  <w:style w:type="character" w:customStyle="1" w:styleId="HeaderChar">
    <w:name w:val="Header Char"/>
    <w:basedOn w:val="DefaultParagraphFont"/>
    <w:link w:val="Header"/>
    <w:uiPriority w:val="99"/>
    <w:rsid w:val="003F56A2"/>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643D1"/>
    <w:pPr>
      <w:tabs>
        <w:tab w:val="center" w:pos="4680"/>
        <w:tab w:val="right" w:pos="9360"/>
      </w:tabs>
      <w:spacing w:line="240" w:lineRule="auto"/>
    </w:pPr>
  </w:style>
  <w:style w:type="character" w:customStyle="1" w:styleId="FooterChar">
    <w:name w:val="Footer Char"/>
    <w:basedOn w:val="DefaultParagraphFont"/>
    <w:link w:val="Footer"/>
    <w:uiPriority w:val="99"/>
    <w:rsid w:val="004643D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87ed44c-c0d6-4d26-926a-f233ce8cb816}" enabled="1" method="Standard" siteId="{90a8aec3-e044-4c52-b490-93621ab5ae6b}" contentBits="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886</Words>
  <Characters>5282</Characters>
  <Application>Microsoft Office Word</Application>
  <DocSecurity>0</DocSecurity>
  <Lines>86</Lines>
  <Paragraphs>30</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 Tran</dc:creator>
  <cp:keywords/>
  <dc:description/>
  <cp:lastModifiedBy>Tran, Tri</cp:lastModifiedBy>
  <cp:revision>8</cp:revision>
  <dcterms:created xsi:type="dcterms:W3CDTF">2024-12-22T18:17:00Z</dcterms:created>
  <dcterms:modified xsi:type="dcterms:W3CDTF">2026-08-15T13:06:00Z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52a9e2f3,14a7379e,54aa5ca</vt:lpwstr>
  </property>
  <property fmtid="{D5CDD505-2E9C-101B-9397-08002B2CF9AE}" pid="3" name="ClassificationContentMarkingHeaderFontProps">
    <vt:lpwstr>#000000,12,Aptos</vt:lpwstr>
  </property>
  <property fmtid="{D5CDD505-2E9C-101B-9397-08002B2CF9AE}" pid="4" name="ClassificationContentMarkingHeaderText">
    <vt:lpwstr>--- Confidential ---</vt:lpwstr>
  </property>
</Properties>
</file>