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31CDC" w14:textId="5484A660" w:rsidR="000517C6" w:rsidRPr="00D36CB1" w:rsidRDefault="00D36CB1" w:rsidP="00D36CB1">
      <w:pPr>
        <w:spacing w:after="0" w:line="240" w:lineRule="auto"/>
        <w:jc w:val="center"/>
        <w:outlineLvl w:val="0"/>
        <w:rPr>
          <w:rFonts w:ascii="Times New Roman" w:eastAsia="Times New Roman" w:hAnsi="Times New Roman" w:cs="Times New Roman"/>
          <w:i/>
          <w:iCs/>
          <w:kern w:val="36"/>
          <w:sz w:val="28"/>
          <w:szCs w:val="28"/>
          <w:lang w:val="en-US" w:eastAsia="it-IT"/>
          <w14:ligatures w14:val="none"/>
        </w:rPr>
      </w:pPr>
      <w:r>
        <w:rPr>
          <w:rFonts w:ascii="Times New Roman" w:eastAsia="Times New Roman" w:hAnsi="Times New Roman" w:cs="Times New Roman"/>
          <w:b/>
          <w:bCs/>
          <w:kern w:val="36"/>
          <w:sz w:val="28"/>
          <w:szCs w:val="28"/>
          <w:lang w:val="en-US" w:eastAsia="it-IT"/>
          <w14:ligatures w14:val="none"/>
        </w:rPr>
        <w:t>APPENDIX</w:t>
      </w:r>
      <w:r w:rsidRPr="00D36CB1">
        <w:rPr>
          <w:rFonts w:ascii="Times New Roman" w:eastAsia="Times New Roman" w:hAnsi="Times New Roman" w:cs="Times New Roman"/>
          <w:b/>
          <w:bCs/>
          <w:kern w:val="36"/>
          <w:sz w:val="28"/>
          <w:szCs w:val="28"/>
          <w:lang w:val="en-US" w:eastAsia="it-IT"/>
          <w14:ligatures w14:val="none"/>
        </w:rPr>
        <w:t xml:space="preserve"> A – </w:t>
      </w:r>
      <w:r>
        <w:rPr>
          <w:rFonts w:ascii="Times New Roman" w:eastAsia="Times New Roman" w:hAnsi="Times New Roman" w:cs="Times New Roman"/>
          <w:b/>
          <w:bCs/>
          <w:kern w:val="36"/>
          <w:sz w:val="28"/>
          <w:szCs w:val="28"/>
          <w:lang w:val="en-US" w:eastAsia="it-IT"/>
          <w14:ligatures w14:val="none"/>
        </w:rPr>
        <w:t>D</w:t>
      </w:r>
      <w:r w:rsidRPr="00D36CB1">
        <w:rPr>
          <w:rFonts w:ascii="Times New Roman" w:eastAsia="Times New Roman" w:hAnsi="Times New Roman" w:cs="Times New Roman"/>
          <w:b/>
          <w:bCs/>
          <w:kern w:val="36"/>
          <w:sz w:val="28"/>
          <w:szCs w:val="28"/>
          <w:lang w:val="en-US" w:eastAsia="it-IT"/>
          <w14:ligatures w14:val="none"/>
        </w:rPr>
        <w:t>etailed m</w:t>
      </w:r>
      <w:r w:rsidR="000517C6" w:rsidRPr="00D36CB1">
        <w:rPr>
          <w:rFonts w:ascii="Times New Roman" w:eastAsia="Times New Roman" w:hAnsi="Times New Roman" w:cs="Times New Roman"/>
          <w:b/>
          <w:bCs/>
          <w:kern w:val="36"/>
          <w:sz w:val="28"/>
          <w:szCs w:val="28"/>
          <w:lang w:val="en-US" w:eastAsia="it-IT"/>
          <w14:ligatures w14:val="none"/>
        </w:rPr>
        <w:t>ethodology</w:t>
      </w:r>
    </w:p>
    <w:p w14:paraId="701F423F" w14:textId="77777777" w:rsidR="00D36CB1" w:rsidRPr="00D36CB1" w:rsidRDefault="00D36CB1" w:rsidP="000517C6">
      <w:pPr>
        <w:spacing w:after="0" w:line="240" w:lineRule="auto"/>
        <w:jc w:val="both"/>
        <w:outlineLvl w:val="0"/>
        <w:rPr>
          <w:rFonts w:ascii="Times New Roman" w:eastAsia="Times New Roman" w:hAnsi="Times New Roman" w:cs="Times New Roman"/>
          <w:i/>
          <w:iCs/>
          <w:kern w:val="36"/>
          <w:lang w:val="en-US" w:eastAsia="it-IT"/>
          <w14:ligatures w14:val="none"/>
        </w:rPr>
      </w:pPr>
    </w:p>
    <w:p w14:paraId="38C772F0" w14:textId="4E4D50F5" w:rsidR="000517C6" w:rsidRPr="000517C6" w:rsidRDefault="000517C6" w:rsidP="000517C6">
      <w:pPr>
        <w:spacing w:after="0" w:line="240" w:lineRule="auto"/>
        <w:jc w:val="both"/>
        <w:outlineLvl w:val="0"/>
        <w:rPr>
          <w:rFonts w:ascii="Times New Roman" w:eastAsia="Times New Roman" w:hAnsi="Times New Roman" w:cs="Times New Roman"/>
          <w:kern w:val="36"/>
          <w:lang w:val="en-US" w:eastAsia="it-IT"/>
          <w14:ligatures w14:val="none"/>
        </w:rPr>
      </w:pPr>
      <w:r w:rsidRPr="000517C6">
        <w:rPr>
          <w:rFonts w:ascii="Times New Roman" w:eastAsia="Times New Roman" w:hAnsi="Times New Roman" w:cs="Times New Roman"/>
          <w:kern w:val="36"/>
          <w:lang w:val="en-US" w:eastAsia="it-IT"/>
          <w14:ligatures w14:val="none"/>
        </w:rPr>
        <w:t>This appendix provides an in-depth account of the document selection, analysis, and review process, offering a detailed expansion of the methodological steps undertaken at each stage. It clarifies the criteria and procedures used to identify relevant sources, outlines the analytic approach applied to the collected materials, and explains the review workflow adopted to ensure consistency, rigor, and transparency throughout the study.</w:t>
      </w:r>
    </w:p>
    <w:p w14:paraId="15CD4CEF" w14:textId="77777777" w:rsidR="000517C6" w:rsidRDefault="000517C6" w:rsidP="000517C6">
      <w:pPr>
        <w:spacing w:after="0" w:line="240" w:lineRule="auto"/>
        <w:jc w:val="both"/>
        <w:outlineLvl w:val="0"/>
        <w:rPr>
          <w:rFonts w:ascii="Times New Roman" w:eastAsia="Times New Roman" w:hAnsi="Times New Roman" w:cs="Times New Roman"/>
          <w:kern w:val="36"/>
          <w:lang w:val="en-US" w:eastAsia="it-IT"/>
          <w14:ligatures w14:val="none"/>
        </w:rPr>
      </w:pPr>
    </w:p>
    <w:p w14:paraId="136D9BD1" w14:textId="17F500CC" w:rsidR="000517C6" w:rsidRPr="000517C6" w:rsidRDefault="000517C6" w:rsidP="000517C6">
      <w:pPr>
        <w:pStyle w:val="Paragrafoelenco"/>
        <w:numPr>
          <w:ilvl w:val="0"/>
          <w:numId w:val="6"/>
        </w:numPr>
        <w:spacing w:after="0" w:line="240" w:lineRule="auto"/>
        <w:jc w:val="both"/>
        <w:outlineLvl w:val="0"/>
        <w:rPr>
          <w:rFonts w:ascii="Times New Roman" w:eastAsia="Times New Roman" w:hAnsi="Times New Roman" w:cs="Times New Roman"/>
          <w:b/>
          <w:bCs/>
          <w:i/>
          <w:iCs/>
          <w:kern w:val="36"/>
          <w:lang w:val="en-US" w:eastAsia="it-IT"/>
          <w14:ligatures w14:val="none"/>
        </w:rPr>
      </w:pPr>
      <w:r w:rsidRPr="000517C6">
        <w:rPr>
          <w:rFonts w:ascii="Times New Roman" w:eastAsia="Times New Roman" w:hAnsi="Times New Roman" w:cs="Times New Roman"/>
          <w:b/>
          <w:bCs/>
          <w:i/>
          <w:iCs/>
          <w:kern w:val="36"/>
          <w:lang w:val="en-US" w:eastAsia="it-IT"/>
          <w14:ligatures w14:val="none"/>
        </w:rPr>
        <w:t>Selection of documents for the systematic review</w:t>
      </w:r>
    </w:p>
    <w:p w14:paraId="6EFF5FCA" w14:textId="77777777" w:rsidR="000517C6" w:rsidRPr="003561A9" w:rsidRDefault="000517C6" w:rsidP="000517C6">
      <w:pPr>
        <w:spacing w:after="0" w:line="240" w:lineRule="auto"/>
        <w:jc w:val="both"/>
        <w:rPr>
          <w:rFonts w:ascii="Times New Roman" w:eastAsia="Times New Roman" w:hAnsi="Times New Roman" w:cs="Times New Roman"/>
          <w:kern w:val="0"/>
          <w:lang w:val="en-US" w:eastAsia="it-IT"/>
          <w14:ligatures w14:val="none"/>
        </w:rPr>
      </w:pPr>
      <w:r w:rsidRPr="00302945">
        <w:rPr>
          <w:rFonts w:ascii="Times New Roman" w:eastAsia="Times New Roman" w:hAnsi="Times New Roman" w:cs="Times New Roman"/>
          <w:kern w:val="0"/>
          <w:lang w:val="en-US" w:eastAsia="it-IT"/>
          <w14:ligatures w14:val="none"/>
        </w:rPr>
        <w:t>The systematic review was conducted using Scopus, selected for its broad coverage across public administration, management, information systems, and social sciences and for providing consistent bibliographic metadata to support transparent screening and replicability (</w:t>
      </w:r>
      <w:proofErr w:type="spellStart"/>
      <w:r w:rsidRPr="00302945">
        <w:rPr>
          <w:rFonts w:ascii="Times New Roman" w:eastAsia="Times New Roman" w:hAnsi="Times New Roman" w:cs="Times New Roman"/>
          <w:kern w:val="0"/>
          <w:lang w:val="en-US" w:eastAsia="it-IT"/>
          <w14:ligatures w14:val="none"/>
        </w:rPr>
        <w:t>Tranfield</w:t>
      </w:r>
      <w:proofErr w:type="spellEnd"/>
      <w:r w:rsidRPr="00302945">
        <w:rPr>
          <w:rFonts w:ascii="Times New Roman" w:eastAsia="Times New Roman" w:hAnsi="Times New Roman" w:cs="Times New Roman"/>
          <w:kern w:val="0"/>
          <w:lang w:val="en-US" w:eastAsia="it-IT"/>
          <w14:ligatures w14:val="none"/>
        </w:rPr>
        <w:t xml:space="preserve"> et al., 2003; Okoli, 2015; Page et al., 2021; </w:t>
      </w:r>
      <w:r w:rsidRPr="003561A9">
        <w:rPr>
          <w:rFonts w:ascii="Times New Roman" w:eastAsia="Times New Roman" w:hAnsi="Times New Roman" w:cs="Times New Roman"/>
          <w:kern w:val="0"/>
          <w:lang w:val="en-US" w:eastAsia="it-IT"/>
          <w14:ligatures w14:val="none"/>
        </w:rPr>
        <w:t>Singh et al., 2021).</w:t>
      </w:r>
    </w:p>
    <w:p w14:paraId="560AB16E" w14:textId="4FC7F1A7" w:rsidR="000517C6" w:rsidRPr="00302945" w:rsidRDefault="000517C6" w:rsidP="000517C6">
      <w:pPr>
        <w:pStyle w:val="NormaleWeb"/>
        <w:spacing w:before="0" w:beforeAutospacing="0" w:after="0" w:afterAutospacing="0"/>
        <w:jc w:val="both"/>
        <w:rPr>
          <w:lang w:val="en-US"/>
        </w:rPr>
      </w:pPr>
      <w:r w:rsidRPr="003561A9">
        <w:rPr>
          <w:bCs/>
          <w:lang w:val="en-US"/>
        </w:rPr>
        <w:t xml:space="preserve">Because “smart working” </w:t>
      </w:r>
      <w:r>
        <w:rPr>
          <w:bCs/>
          <w:lang w:val="en-US"/>
        </w:rPr>
        <w:t xml:space="preserve">(SW) </w:t>
      </w:r>
      <w:r w:rsidRPr="003561A9">
        <w:rPr>
          <w:bCs/>
          <w:lang w:val="en-US"/>
        </w:rPr>
        <w:t xml:space="preserve">is used heterogeneously in both academic and practitioner outlets, the search strategy intentionally combined the most common </w:t>
      </w:r>
      <w:r>
        <w:rPr>
          <w:bCs/>
          <w:lang w:val="en-US"/>
        </w:rPr>
        <w:t xml:space="preserve">(and often interchangeably used) </w:t>
      </w:r>
      <w:r w:rsidRPr="003561A9">
        <w:rPr>
          <w:bCs/>
          <w:lang w:val="en-US"/>
        </w:rPr>
        <w:t xml:space="preserve">labels (smart working, remote work, agile work, telework/work-from-home), while the public-sector scope was enforced </w:t>
      </w:r>
      <w:r>
        <w:rPr>
          <w:bCs/>
          <w:lang w:val="en-US"/>
        </w:rPr>
        <w:t xml:space="preserve">also </w:t>
      </w:r>
      <w:r w:rsidRPr="003561A9">
        <w:rPr>
          <w:bCs/>
          <w:lang w:val="en-US"/>
        </w:rPr>
        <w:t>during inclusion/exclusion screening rather than solely through a single keyword (By, 2005; Snyder, 2019). The Scopus advanced search string was:</w:t>
      </w:r>
      <w:r w:rsidRPr="003561A9">
        <w:rPr>
          <w:lang w:val="en-US"/>
        </w:rPr>
        <w:t xml:space="preserve"> (TITLE-ABS-KEY (</w:t>
      </w:r>
      <w:proofErr w:type="spellStart"/>
      <w:r w:rsidRPr="003561A9">
        <w:rPr>
          <w:lang w:val="en-US"/>
        </w:rPr>
        <w:t>capabilit</w:t>
      </w:r>
      <w:proofErr w:type="spellEnd"/>
      <w:r w:rsidRPr="003561A9">
        <w:rPr>
          <w:lang w:val="en-US"/>
        </w:rPr>
        <w:t xml:space="preserve">* OR </w:t>
      </w:r>
      <w:proofErr w:type="spellStart"/>
      <w:r w:rsidRPr="003561A9">
        <w:rPr>
          <w:lang w:val="en-US"/>
        </w:rPr>
        <w:t>competenc</w:t>
      </w:r>
      <w:proofErr w:type="spellEnd"/>
      <w:r w:rsidRPr="003561A9">
        <w:rPr>
          <w:lang w:val="en-US"/>
        </w:rPr>
        <w:t xml:space="preserve">* OR </w:t>
      </w:r>
      <w:proofErr w:type="spellStart"/>
      <w:r w:rsidRPr="003561A9">
        <w:rPr>
          <w:lang w:val="en-US"/>
        </w:rPr>
        <w:t>capacit</w:t>
      </w:r>
      <w:proofErr w:type="spellEnd"/>
      <w:r w:rsidRPr="003561A9">
        <w:rPr>
          <w:lang w:val="en-US"/>
        </w:rPr>
        <w:t>* OR skill*) AND TITLE-ABS-KEY (smart-work* OR remote-work* OR agile-work* OR work-from-home* OR telework*) AND TITLE-ABS-KEY (public)) AND (LIMIT-TO (SUBJAREA , “MEMBERS”) OR LIMIT-TO (SUBJAREA , “BUSI”) OR LIMIT-TO (SUBJAREA , “ECON”) OR LIMIT-TO (SUBJAREA , “DECI”)). This query combined terms relating to competencies (“</w:t>
      </w:r>
      <w:proofErr w:type="spellStart"/>
      <w:r w:rsidRPr="003561A9">
        <w:rPr>
          <w:lang w:val="en-US"/>
        </w:rPr>
        <w:t>capabilit</w:t>
      </w:r>
      <w:proofErr w:type="spellEnd"/>
      <w:r w:rsidRPr="003561A9">
        <w:rPr>
          <w:lang w:val="en-US"/>
        </w:rPr>
        <w:t>*”, “</w:t>
      </w:r>
      <w:proofErr w:type="spellStart"/>
      <w:r w:rsidRPr="003561A9">
        <w:rPr>
          <w:lang w:val="en-US"/>
        </w:rPr>
        <w:t>competenc</w:t>
      </w:r>
      <w:proofErr w:type="spellEnd"/>
      <w:r w:rsidRPr="003561A9">
        <w:rPr>
          <w:lang w:val="en-US"/>
        </w:rPr>
        <w:t xml:space="preserve">*”, “skill*”) with those referring to </w:t>
      </w:r>
      <w:r w:rsidR="004A455A">
        <w:rPr>
          <w:lang w:val="en-US"/>
        </w:rPr>
        <w:t>SW</w:t>
      </w:r>
      <w:r w:rsidRPr="003561A9">
        <w:rPr>
          <w:lang w:val="en-US"/>
        </w:rPr>
        <w:t xml:space="preserve"> (“smart-work*”, “remote-work*”, “agile-work*”, “work-from-home*”, “telework*”), restricted by the keyword “public” to narrow the scope to the public sector.</w:t>
      </w:r>
      <w:r w:rsidRPr="00302945">
        <w:rPr>
          <w:lang w:val="en-US"/>
        </w:rPr>
        <w:t xml:space="preserve"> </w:t>
      </w:r>
      <w:r w:rsidRPr="000517C6">
        <w:rPr>
          <w:lang w:val="en-US"/>
        </w:rPr>
        <w:t xml:space="preserve">As noted, we elected to use the set of terms </w:t>
      </w:r>
      <w:proofErr w:type="gramStart"/>
      <w:r w:rsidRPr="000517C6">
        <w:rPr>
          <w:lang w:val="en-US"/>
        </w:rPr>
        <w:t>most commonly associated</w:t>
      </w:r>
      <w:proofErr w:type="gramEnd"/>
      <w:r w:rsidRPr="000517C6">
        <w:rPr>
          <w:lang w:val="en-US"/>
        </w:rPr>
        <w:t xml:space="preserve"> with SW, rather than restricting the search to only a limited number of specific phrasings, which could have unduly narrowed the final pool of retrieved documents.</w:t>
      </w:r>
      <w:r>
        <w:rPr>
          <w:lang w:val="en-US"/>
        </w:rPr>
        <w:t xml:space="preserve"> </w:t>
      </w:r>
      <w:r w:rsidRPr="00302945">
        <w:rPr>
          <w:lang w:val="en-US"/>
        </w:rPr>
        <w:t xml:space="preserve">Technical and engineering contributions were excluded, focusing instead on studies relevant to competencies and the integration of </w:t>
      </w:r>
      <w:r>
        <w:rPr>
          <w:lang w:val="en-US"/>
        </w:rPr>
        <w:t>SW</w:t>
      </w:r>
      <w:r w:rsidRPr="00302945">
        <w:rPr>
          <w:lang w:val="en-US"/>
        </w:rPr>
        <w:t xml:space="preserve"> in public administrations.</w:t>
      </w:r>
    </w:p>
    <w:p w14:paraId="7345BC1F" w14:textId="0394B480" w:rsidR="000517C6" w:rsidRPr="003561A9" w:rsidRDefault="000517C6" w:rsidP="000517C6">
      <w:pPr>
        <w:pStyle w:val="NormaleWeb"/>
        <w:spacing w:before="0" w:beforeAutospacing="0" w:after="0" w:afterAutospacing="0"/>
        <w:jc w:val="both"/>
        <w:rPr>
          <w:lang w:val="en-US"/>
        </w:rPr>
      </w:pPr>
      <w:r w:rsidRPr="00302945">
        <w:rPr>
          <w:lang w:val="en-US"/>
        </w:rPr>
        <w:t>Document types were not restricted to journal articles only. Following guidance that emphasizes transparency and context sensitivity in management evidence synthesis (</w:t>
      </w:r>
      <w:proofErr w:type="spellStart"/>
      <w:r w:rsidRPr="00302945">
        <w:rPr>
          <w:lang w:val="en-US"/>
        </w:rPr>
        <w:t>Tranfield</w:t>
      </w:r>
      <w:proofErr w:type="spellEnd"/>
      <w:r w:rsidRPr="00302945">
        <w:rPr>
          <w:lang w:val="en-US"/>
        </w:rPr>
        <w:t xml:space="preserve"> et al., 2003; Snyder, 2019; Okoli, 2015), and acknowledging that time-lag and publication bias can be mitigated by systematically considering </w:t>
      </w:r>
      <w:r>
        <w:rPr>
          <w:lang w:val="en-US"/>
        </w:rPr>
        <w:t xml:space="preserve">even </w:t>
      </w:r>
      <w:r w:rsidRPr="00302945">
        <w:rPr>
          <w:lang w:val="en-US"/>
        </w:rPr>
        <w:t xml:space="preserve">non-journal scholarly outlets when a field is fragmented or emergent (Adams et al., 2017), we included Scopus-indexed journal articles, conference proceedings, scholarly books, and book chapters, provided that full texts were retrievable and the contribution addressed </w:t>
      </w:r>
      <w:r w:rsidR="00522F8B">
        <w:rPr>
          <w:lang w:val="en-US"/>
        </w:rPr>
        <w:t>competencies</w:t>
      </w:r>
      <w:r w:rsidRPr="00302945">
        <w:rPr>
          <w:lang w:val="en-US"/>
        </w:rPr>
        <w:t xml:space="preserve"> in </w:t>
      </w:r>
      <w:r>
        <w:rPr>
          <w:lang w:val="en-US"/>
        </w:rPr>
        <w:t>SW</w:t>
      </w:r>
      <w:r w:rsidRPr="00302945">
        <w:rPr>
          <w:lang w:val="en-US"/>
        </w:rPr>
        <w:t xml:space="preserve"> within public-sector settings.</w:t>
      </w:r>
    </w:p>
    <w:p w14:paraId="519D87E0" w14:textId="179B64EF" w:rsidR="000517C6" w:rsidRDefault="000517C6" w:rsidP="000517C6">
      <w:pPr>
        <w:pStyle w:val="NormaleWeb"/>
        <w:spacing w:before="0" w:beforeAutospacing="0" w:after="0" w:afterAutospacing="0"/>
        <w:jc w:val="both"/>
        <w:rPr>
          <w:b/>
          <w:bCs/>
          <w:lang w:val="en-US"/>
        </w:rPr>
      </w:pPr>
      <w:r w:rsidRPr="00302945">
        <w:rPr>
          <w:lang w:val="en-US"/>
        </w:rPr>
        <w:t>The initial search yielded 122 documents. Screening was conducted in two steps (titles/abstracts, then full texts) using predefined inclusion and exclusion criteria. Inclusion required: (</w:t>
      </w:r>
      <w:proofErr w:type="spellStart"/>
      <w:r w:rsidRPr="00302945">
        <w:rPr>
          <w:lang w:val="en-US"/>
        </w:rPr>
        <w:t>i</w:t>
      </w:r>
      <w:proofErr w:type="spellEnd"/>
      <w:r w:rsidRPr="00302945">
        <w:rPr>
          <w:lang w:val="en-US"/>
        </w:rPr>
        <w:t xml:space="preserve">) an explicit focus on </w:t>
      </w:r>
      <w:r>
        <w:rPr>
          <w:lang w:val="en-US"/>
        </w:rPr>
        <w:t>SW</w:t>
      </w:r>
      <w:r w:rsidRPr="00302945">
        <w:rPr>
          <w:lang w:val="en-US"/>
        </w:rPr>
        <w:t xml:space="preserve">/telework/remote or hybrid work practices; (ii) a substantive treatment of </w:t>
      </w:r>
      <w:r w:rsidR="00522F8B">
        <w:rPr>
          <w:lang w:val="en-US"/>
        </w:rPr>
        <w:t>competencies</w:t>
      </w:r>
      <w:r w:rsidRPr="00302945">
        <w:rPr>
          <w:lang w:val="en-US"/>
        </w:rPr>
        <w:t>/skills/abilities (as focal constructs, antecedents, or outcomes); and (iii) a public administration/public sector/public service context (including public agencies, government institutions, municipalities, and related public organizations).</w:t>
      </w:r>
    </w:p>
    <w:p w14:paraId="23727624" w14:textId="0A8AB9AE" w:rsidR="000517C6" w:rsidRPr="007D5C09" w:rsidRDefault="000517C6" w:rsidP="000517C6">
      <w:pPr>
        <w:pStyle w:val="NormaleWeb"/>
        <w:spacing w:before="0" w:beforeAutospacing="0" w:after="0" w:afterAutospacing="0"/>
        <w:jc w:val="both"/>
        <w:rPr>
          <w:lang w:val="en-US"/>
        </w:rPr>
      </w:pPr>
      <w:r w:rsidRPr="007D5C09">
        <w:rPr>
          <w:lang w:val="en-US"/>
        </w:rPr>
        <w:t>Exclusions were grouped into the following categories, with illustrative examples reflecting typical borderline cases:</w:t>
      </w:r>
    </w:p>
    <w:p w14:paraId="03BC8F2C" w14:textId="597907B2" w:rsidR="000517C6" w:rsidRPr="004A455A" w:rsidRDefault="000517C6" w:rsidP="004A455A">
      <w:pPr>
        <w:pStyle w:val="NormaleWeb"/>
        <w:numPr>
          <w:ilvl w:val="0"/>
          <w:numId w:val="5"/>
        </w:numPr>
        <w:spacing w:before="0" w:beforeAutospacing="0" w:after="0" w:afterAutospacing="0"/>
        <w:jc w:val="both"/>
        <w:rPr>
          <w:lang w:val="en-US"/>
        </w:rPr>
      </w:pPr>
      <w:r w:rsidRPr="007D5C09">
        <w:rPr>
          <w:lang w:val="en-US"/>
        </w:rPr>
        <w:t>Public” used in a non–public-sector sense</w:t>
      </w:r>
      <w:r w:rsidR="004A455A">
        <w:rPr>
          <w:lang w:val="en-US"/>
        </w:rPr>
        <w:t xml:space="preserve"> - </w:t>
      </w:r>
      <w:r w:rsidRPr="004A455A">
        <w:rPr>
          <w:lang w:val="en-US"/>
        </w:rPr>
        <w:t xml:space="preserve">Records were excluded when public referred to “public” in a generic or societal meaning (e.g., public space, public opinion, public health, public transport users, public education systems), rather than to public administrations/public </w:t>
      </w:r>
      <w:r w:rsidR="004A455A" w:rsidRPr="004A455A">
        <w:rPr>
          <w:lang w:val="en-US"/>
        </w:rPr>
        <w:t>organizations</w:t>
      </w:r>
      <w:r w:rsidRPr="004A455A">
        <w:rPr>
          <w:lang w:val="en-US"/>
        </w:rPr>
        <w:t xml:space="preserve"> as the empirical or analytical setting.</w:t>
      </w:r>
    </w:p>
    <w:p w14:paraId="22161B3C" w14:textId="2DB04413" w:rsidR="000517C6" w:rsidRPr="004A455A" w:rsidRDefault="000517C6" w:rsidP="004A455A">
      <w:pPr>
        <w:pStyle w:val="NormaleWeb"/>
        <w:numPr>
          <w:ilvl w:val="0"/>
          <w:numId w:val="5"/>
        </w:numPr>
        <w:spacing w:before="0" w:beforeAutospacing="0" w:after="0" w:afterAutospacing="0"/>
        <w:jc w:val="both"/>
        <w:rPr>
          <w:lang w:val="en-US"/>
        </w:rPr>
      </w:pPr>
      <w:r w:rsidRPr="007D5C09">
        <w:rPr>
          <w:lang w:val="en-US"/>
        </w:rPr>
        <w:t xml:space="preserve">Smart working only mentioned, not </w:t>
      </w:r>
      <w:r w:rsidR="004A455A" w:rsidRPr="007D5C09">
        <w:rPr>
          <w:lang w:val="en-US"/>
        </w:rPr>
        <w:t>analyzed</w:t>
      </w:r>
      <w:r w:rsidR="004A455A">
        <w:rPr>
          <w:lang w:val="en-US"/>
        </w:rPr>
        <w:t xml:space="preserve"> - </w:t>
      </w:r>
      <w:r w:rsidRPr="004A455A">
        <w:rPr>
          <w:lang w:val="en-US"/>
        </w:rPr>
        <w:t xml:space="preserve">Records were excluded when smart working/telework/remote work appeared only as a passing reference (often in the abstract or </w:t>
      </w:r>
      <w:r w:rsidRPr="004A455A">
        <w:rPr>
          <w:lang w:val="en-US"/>
        </w:rPr>
        <w:lastRenderedPageBreak/>
        <w:t>background section) without being a core phenomenon examined in theory, methods, or results.</w:t>
      </w:r>
    </w:p>
    <w:p w14:paraId="658B8376" w14:textId="1512C259" w:rsidR="000517C6" w:rsidRPr="004A455A" w:rsidRDefault="000517C6" w:rsidP="004A455A">
      <w:pPr>
        <w:pStyle w:val="NormaleWeb"/>
        <w:numPr>
          <w:ilvl w:val="0"/>
          <w:numId w:val="5"/>
        </w:numPr>
        <w:spacing w:before="0" w:beforeAutospacing="0" w:after="0" w:afterAutospacing="0"/>
        <w:jc w:val="both"/>
        <w:rPr>
          <w:lang w:val="en-US"/>
        </w:rPr>
      </w:pPr>
      <w:r w:rsidRPr="007D5C09">
        <w:rPr>
          <w:lang w:val="en-US"/>
        </w:rPr>
        <w:t>Pedagogical/psychological/sociological perspectives without a competence focus</w:t>
      </w:r>
      <w:r w:rsidR="004A455A">
        <w:rPr>
          <w:lang w:val="en-US"/>
        </w:rPr>
        <w:t xml:space="preserve"> - </w:t>
      </w:r>
      <w:r w:rsidRPr="004A455A">
        <w:rPr>
          <w:lang w:val="en-US"/>
        </w:rPr>
        <w:t xml:space="preserve">Records were excluded when they adopted an exclusively pedagogical, psychological, or sociological lens without addressing </w:t>
      </w:r>
      <w:r w:rsidR="00522F8B" w:rsidRPr="004A455A">
        <w:rPr>
          <w:lang w:val="en-US"/>
        </w:rPr>
        <w:t>competencies</w:t>
      </w:r>
      <w:r w:rsidRPr="004A455A">
        <w:rPr>
          <w:lang w:val="en-US"/>
        </w:rPr>
        <w:t xml:space="preserve"> as constructs (i.e., no definition, </w:t>
      </w:r>
      <w:r w:rsidR="004A455A" w:rsidRPr="004A455A">
        <w:rPr>
          <w:lang w:val="en-US"/>
        </w:rPr>
        <w:t>operationalization</w:t>
      </w:r>
      <w:r w:rsidRPr="004A455A">
        <w:rPr>
          <w:lang w:val="en-US"/>
        </w:rPr>
        <w:t>, or mechanism linking skills/</w:t>
      </w:r>
      <w:r w:rsidR="00522F8B" w:rsidRPr="004A455A">
        <w:rPr>
          <w:lang w:val="en-US"/>
        </w:rPr>
        <w:t>competencies</w:t>
      </w:r>
      <w:r w:rsidRPr="004A455A">
        <w:rPr>
          <w:lang w:val="en-US"/>
        </w:rPr>
        <w:t xml:space="preserve"> to smart working).</w:t>
      </w:r>
    </w:p>
    <w:p w14:paraId="76879F37" w14:textId="4B198CA0" w:rsidR="000517C6" w:rsidRPr="004A455A" w:rsidRDefault="004A455A" w:rsidP="004A455A">
      <w:pPr>
        <w:pStyle w:val="NormaleWeb"/>
        <w:numPr>
          <w:ilvl w:val="0"/>
          <w:numId w:val="5"/>
        </w:numPr>
        <w:spacing w:before="0" w:beforeAutospacing="0" w:after="0" w:afterAutospacing="0"/>
        <w:jc w:val="both"/>
        <w:rPr>
          <w:lang w:val="en-US"/>
        </w:rPr>
      </w:pPr>
      <w:r w:rsidRPr="007D5C09">
        <w:rPr>
          <w:lang w:val="en-US"/>
        </w:rPr>
        <w:t>Digitalization</w:t>
      </w:r>
      <w:r w:rsidR="000517C6" w:rsidRPr="007D5C09">
        <w:rPr>
          <w:lang w:val="en-US"/>
        </w:rPr>
        <w:t xml:space="preserve"> treated too </w:t>
      </w:r>
      <w:r w:rsidRPr="007D5C09">
        <w:rPr>
          <w:lang w:val="en-US"/>
        </w:rPr>
        <w:t>broadly,</w:t>
      </w:r>
      <w:r w:rsidR="000517C6" w:rsidRPr="007D5C09">
        <w:rPr>
          <w:lang w:val="en-US"/>
        </w:rPr>
        <w:t xml:space="preserve"> smart working marginal</w:t>
      </w:r>
      <w:r>
        <w:rPr>
          <w:lang w:val="en-US"/>
        </w:rPr>
        <w:t xml:space="preserve"> - </w:t>
      </w:r>
      <w:r w:rsidR="000517C6" w:rsidRPr="004A455A">
        <w:rPr>
          <w:lang w:val="en-US"/>
        </w:rPr>
        <w:t>Records were excluded when the main object was “</w:t>
      </w:r>
      <w:r w:rsidRPr="004A455A">
        <w:rPr>
          <w:lang w:val="en-US"/>
        </w:rPr>
        <w:t>digitalization</w:t>
      </w:r>
      <w:r w:rsidR="000517C6" w:rsidRPr="004A455A">
        <w:rPr>
          <w:lang w:val="en-US"/>
        </w:rPr>
        <w:t xml:space="preserve">” in a broad sense (e-government, digital public services, ICT </w:t>
      </w:r>
      <w:r w:rsidRPr="004A455A">
        <w:rPr>
          <w:lang w:val="en-US"/>
        </w:rPr>
        <w:t>modernization</w:t>
      </w:r>
      <w:r w:rsidR="000517C6" w:rsidRPr="004A455A">
        <w:rPr>
          <w:lang w:val="en-US"/>
        </w:rPr>
        <w:t xml:space="preserve">), and smart working was only a minor sub-point rather than an </w:t>
      </w:r>
      <w:r w:rsidRPr="004A455A">
        <w:rPr>
          <w:lang w:val="en-US"/>
        </w:rPr>
        <w:t>analyzed</w:t>
      </w:r>
      <w:r w:rsidR="000517C6" w:rsidRPr="004A455A">
        <w:rPr>
          <w:lang w:val="en-US"/>
        </w:rPr>
        <w:t xml:space="preserve"> </w:t>
      </w:r>
      <w:r w:rsidRPr="004A455A">
        <w:rPr>
          <w:lang w:val="en-US"/>
        </w:rPr>
        <w:t>organizational</w:t>
      </w:r>
      <w:r w:rsidR="000517C6" w:rsidRPr="004A455A">
        <w:rPr>
          <w:lang w:val="en-US"/>
        </w:rPr>
        <w:t xml:space="preserve"> practice.</w:t>
      </w:r>
    </w:p>
    <w:p w14:paraId="6740A376" w14:textId="51C3CB67" w:rsidR="000517C6" w:rsidRPr="004A455A" w:rsidRDefault="000517C6" w:rsidP="004A455A">
      <w:pPr>
        <w:pStyle w:val="NormaleWeb"/>
        <w:numPr>
          <w:ilvl w:val="0"/>
          <w:numId w:val="5"/>
        </w:numPr>
        <w:spacing w:before="0" w:beforeAutospacing="0" w:after="0" w:afterAutospacing="0"/>
        <w:jc w:val="both"/>
        <w:rPr>
          <w:lang w:val="en-US"/>
        </w:rPr>
      </w:pPr>
      <w:r w:rsidRPr="007D5C09">
        <w:rPr>
          <w:lang w:val="en-US"/>
        </w:rPr>
        <w:t>Predominantly economic or econometric perspective</w:t>
      </w:r>
      <w:r w:rsidR="004A455A">
        <w:rPr>
          <w:lang w:val="en-US"/>
        </w:rPr>
        <w:t xml:space="preserve"> - </w:t>
      </w:r>
      <w:r w:rsidRPr="004A455A">
        <w:rPr>
          <w:lang w:val="en-US"/>
        </w:rPr>
        <w:t xml:space="preserve">Records were excluded when the paper’s core contribution was economic/econometric (e.g., macro/sectoral impacts, productivity estimation, </w:t>
      </w:r>
      <w:r w:rsidR="004A455A" w:rsidRPr="004A455A">
        <w:rPr>
          <w:lang w:val="en-US"/>
        </w:rPr>
        <w:t>labor</w:t>
      </w:r>
      <w:r w:rsidRPr="004A455A">
        <w:rPr>
          <w:lang w:val="en-US"/>
        </w:rPr>
        <w:t xml:space="preserve">-market modelling), with no competence-based </w:t>
      </w:r>
      <w:r w:rsidR="004A455A" w:rsidRPr="004A455A">
        <w:rPr>
          <w:lang w:val="en-US"/>
        </w:rPr>
        <w:t>organizational</w:t>
      </w:r>
      <w:r w:rsidRPr="004A455A">
        <w:rPr>
          <w:lang w:val="en-US"/>
        </w:rPr>
        <w:t xml:space="preserve"> or managerial lens.</w:t>
      </w:r>
    </w:p>
    <w:p w14:paraId="68E4821E" w14:textId="289D4760" w:rsidR="000517C6" w:rsidRPr="004A455A" w:rsidRDefault="000517C6" w:rsidP="004A455A">
      <w:pPr>
        <w:pStyle w:val="NormaleWeb"/>
        <w:numPr>
          <w:ilvl w:val="0"/>
          <w:numId w:val="5"/>
        </w:numPr>
        <w:spacing w:before="0" w:beforeAutospacing="0" w:after="0" w:afterAutospacing="0"/>
        <w:jc w:val="both"/>
        <w:rPr>
          <w:lang w:val="en-US"/>
        </w:rPr>
      </w:pPr>
      <w:r w:rsidRPr="007D5C09">
        <w:rPr>
          <w:lang w:val="en-US"/>
        </w:rPr>
        <w:t>Out of scope for the research focus</w:t>
      </w:r>
      <w:r w:rsidR="004A455A">
        <w:rPr>
          <w:lang w:val="en-US"/>
        </w:rPr>
        <w:t xml:space="preserve"> - </w:t>
      </w:r>
      <w:r w:rsidRPr="004A455A">
        <w:rPr>
          <w:lang w:val="en-US"/>
        </w:rPr>
        <w:t>Records were excluded when, after screening, they were clearly unrelated to the review’s research question (public administration</w:t>
      </w:r>
      <w:r w:rsidR="004A455A">
        <w:rPr>
          <w:lang w:val="en-US"/>
        </w:rPr>
        <w:t>,</w:t>
      </w:r>
      <w:r w:rsidRPr="004A455A">
        <w:rPr>
          <w:lang w:val="en-US"/>
        </w:rPr>
        <w:t xml:space="preserve"> smart</w:t>
      </w:r>
      <w:r w:rsidR="004A455A">
        <w:rPr>
          <w:lang w:val="en-US"/>
        </w:rPr>
        <w:t>/remote</w:t>
      </w:r>
      <w:r w:rsidRPr="004A455A">
        <w:rPr>
          <w:lang w:val="en-US"/>
        </w:rPr>
        <w:t xml:space="preserve"> working</w:t>
      </w:r>
      <w:r w:rsidR="004A455A">
        <w:rPr>
          <w:lang w:val="en-US"/>
        </w:rPr>
        <w:t>, and</w:t>
      </w:r>
      <w:r w:rsidRPr="004A455A">
        <w:rPr>
          <w:lang w:val="en-US"/>
        </w:rPr>
        <w:t xml:space="preserve"> </w:t>
      </w:r>
      <w:r w:rsidR="00522F8B" w:rsidRPr="004A455A">
        <w:rPr>
          <w:lang w:val="en-US"/>
        </w:rPr>
        <w:t>competencies</w:t>
      </w:r>
      <w:r w:rsidRPr="004A455A">
        <w:rPr>
          <w:lang w:val="en-US"/>
        </w:rPr>
        <w:t>), even if they contained overlapping keywords.</w:t>
      </w:r>
    </w:p>
    <w:p w14:paraId="12124104" w14:textId="2E0A62E5" w:rsidR="000517C6" w:rsidRPr="004A455A" w:rsidRDefault="000517C6" w:rsidP="004A455A">
      <w:pPr>
        <w:pStyle w:val="NormaleWeb"/>
        <w:numPr>
          <w:ilvl w:val="0"/>
          <w:numId w:val="5"/>
        </w:numPr>
        <w:spacing w:before="0" w:beforeAutospacing="0" w:after="0" w:afterAutospacing="0"/>
        <w:jc w:val="both"/>
        <w:rPr>
          <w:lang w:val="en-US"/>
        </w:rPr>
      </w:pPr>
      <w:r w:rsidRPr="007D5C09">
        <w:rPr>
          <w:lang w:val="en-US"/>
        </w:rPr>
        <w:t xml:space="preserve">Apparent competence </w:t>
      </w:r>
      <w:proofErr w:type="gramStart"/>
      <w:r w:rsidRPr="007D5C09">
        <w:rPr>
          <w:lang w:val="en-US"/>
        </w:rPr>
        <w:t>focus</w:t>
      </w:r>
      <w:proofErr w:type="gramEnd"/>
      <w:r w:rsidRPr="007D5C09">
        <w:rPr>
          <w:lang w:val="en-US"/>
        </w:rPr>
        <w:t xml:space="preserve"> </w:t>
      </w:r>
      <w:proofErr w:type="gramStart"/>
      <w:r w:rsidRPr="007D5C09">
        <w:rPr>
          <w:lang w:val="en-US"/>
        </w:rPr>
        <w:t>in</w:t>
      </w:r>
      <w:proofErr w:type="gramEnd"/>
      <w:r w:rsidRPr="007D5C09">
        <w:rPr>
          <w:lang w:val="en-US"/>
        </w:rPr>
        <w:t xml:space="preserve"> the abstract not supported in the full text</w:t>
      </w:r>
      <w:r w:rsidR="004A455A">
        <w:rPr>
          <w:lang w:val="en-US"/>
        </w:rPr>
        <w:t xml:space="preserve"> - </w:t>
      </w:r>
      <w:r w:rsidRPr="004A455A">
        <w:rPr>
          <w:lang w:val="en-US"/>
        </w:rPr>
        <w:t>Some records were excluded at full-text screening because “</w:t>
      </w:r>
      <w:r w:rsidR="00522F8B" w:rsidRPr="004A455A">
        <w:rPr>
          <w:lang w:val="en-US"/>
        </w:rPr>
        <w:t>competencies</w:t>
      </w:r>
      <w:r w:rsidRPr="004A455A">
        <w:rPr>
          <w:lang w:val="en-US"/>
        </w:rPr>
        <w:t xml:space="preserve">/skills/capabilities” appeared in the abstract or keywords, but the full article did not substantively connect them to smart working (e.g., competence is mentioned </w:t>
      </w:r>
      <w:proofErr w:type="gramStart"/>
      <w:r w:rsidRPr="004A455A">
        <w:rPr>
          <w:lang w:val="en-US"/>
        </w:rPr>
        <w:t>rhetorically, or</w:t>
      </w:r>
      <w:proofErr w:type="gramEnd"/>
      <w:r w:rsidRPr="004A455A">
        <w:rPr>
          <w:lang w:val="en-US"/>
        </w:rPr>
        <w:t xml:space="preserve"> refers to unrelated </w:t>
      </w:r>
      <w:r w:rsidR="00522F8B" w:rsidRPr="004A455A">
        <w:rPr>
          <w:lang w:val="en-US"/>
        </w:rPr>
        <w:t>competencies</w:t>
      </w:r>
      <w:r w:rsidRPr="004A455A">
        <w:rPr>
          <w:lang w:val="en-US"/>
        </w:rPr>
        <w:t>).</w:t>
      </w:r>
    </w:p>
    <w:p w14:paraId="705DB232" w14:textId="6889C74B" w:rsidR="000517C6" w:rsidRDefault="000517C6" w:rsidP="000517C6">
      <w:pPr>
        <w:pStyle w:val="NormaleWeb"/>
        <w:spacing w:before="0" w:beforeAutospacing="0" w:after="0" w:afterAutospacing="0"/>
        <w:jc w:val="both"/>
        <w:rPr>
          <w:lang w:val="en-US"/>
        </w:rPr>
      </w:pPr>
      <w:r w:rsidRPr="007D5C09">
        <w:rPr>
          <w:lang w:val="en-US"/>
        </w:rPr>
        <w:t xml:space="preserve">These exclusion categories were applied to ensure that the final corpus contained studies where smart working is a substantive phenomenon and </w:t>
      </w:r>
      <w:r w:rsidR="00522F8B">
        <w:rPr>
          <w:lang w:val="en-US"/>
        </w:rPr>
        <w:t>competencies</w:t>
      </w:r>
      <w:r w:rsidRPr="007D5C09">
        <w:rPr>
          <w:lang w:val="en-US"/>
        </w:rPr>
        <w:t xml:space="preserve"> are treated as meaningful constructs (not merely background descriptors), within an explicit public-sector </w:t>
      </w:r>
      <w:r w:rsidR="004A455A" w:rsidRPr="007D5C09">
        <w:rPr>
          <w:lang w:val="en-US"/>
        </w:rPr>
        <w:t>organizational</w:t>
      </w:r>
      <w:r w:rsidRPr="007D5C09">
        <w:rPr>
          <w:lang w:val="en-US"/>
        </w:rPr>
        <w:t xml:space="preserve"> context.</w:t>
      </w:r>
    </w:p>
    <w:p w14:paraId="2FB477EE" w14:textId="4F6068FA" w:rsidR="000517C6" w:rsidRPr="00302945" w:rsidRDefault="000517C6" w:rsidP="000517C6">
      <w:pPr>
        <w:pStyle w:val="NormaleWeb"/>
        <w:spacing w:before="0" w:beforeAutospacing="0" w:after="0" w:afterAutospacing="0"/>
        <w:jc w:val="both"/>
        <w:rPr>
          <w:lang w:val="en-US"/>
        </w:rPr>
      </w:pPr>
      <w:r w:rsidRPr="007D5C09">
        <w:rPr>
          <w:lang w:val="en-US"/>
        </w:rPr>
        <w:t>At the full-text screening stage, a subset of records could not be included because the full texts were not accessible, despite retrieval attempts. In practice, inaccessibility most frequently concerned conference proceedings, book chapters, or older/less widely distributed outlets, as well as items behind paywalls not covered by institutional subscriptions.</w:t>
      </w:r>
      <w:r w:rsidR="004A455A">
        <w:rPr>
          <w:lang w:val="en-US"/>
        </w:rPr>
        <w:t xml:space="preserve"> </w:t>
      </w:r>
      <w:r w:rsidRPr="007D5C09">
        <w:rPr>
          <w:lang w:val="en-US"/>
        </w:rPr>
        <w:t xml:space="preserve">To minimize availability bias, we attempted to obtain the full texts via multiple channels (e.g., institutional library subscriptions and publisher platforms; author webpages and institutional repositories; alternative academic repositories; and inter-library requests where applicable). When full texts remained unavailable, the records were excluded </w:t>
      </w:r>
      <w:r>
        <w:rPr>
          <w:lang w:val="en-US"/>
        </w:rPr>
        <w:t xml:space="preserve">and flagged as “reports not retrieved” (total=21) </w:t>
      </w:r>
      <w:r w:rsidRPr="007D5C09">
        <w:rPr>
          <w:lang w:val="en-US"/>
        </w:rPr>
        <w:t>because they could not be appraised against inclusion criteria and could not be coded consistently with the rest of the dataset. This limitation is acknowledged when interpreting the comprehensiveness of the evidence base.</w:t>
      </w:r>
    </w:p>
    <w:p w14:paraId="61C0C828" w14:textId="0BDD12FC" w:rsidR="000517C6" w:rsidRDefault="000517C6" w:rsidP="000517C6">
      <w:pPr>
        <w:pStyle w:val="NormaleWeb"/>
        <w:spacing w:before="0" w:beforeAutospacing="0" w:after="0" w:afterAutospacing="0"/>
        <w:jc w:val="both"/>
        <w:rPr>
          <w:lang w:val="en-US"/>
        </w:rPr>
      </w:pPr>
      <w:r w:rsidRPr="00302945">
        <w:rPr>
          <w:lang w:val="en-US"/>
        </w:rPr>
        <w:t>To expand the corpus beyond keyword-based retrieval, we applied snowballing techniques following established guidance (</w:t>
      </w:r>
      <w:proofErr w:type="spellStart"/>
      <w:r w:rsidRPr="00302945">
        <w:rPr>
          <w:lang w:val="en-US"/>
        </w:rPr>
        <w:t>Wohlin</w:t>
      </w:r>
      <w:proofErr w:type="spellEnd"/>
      <w:r w:rsidRPr="00302945">
        <w:rPr>
          <w:lang w:val="en-US"/>
        </w:rPr>
        <w:t xml:space="preserve"> et al., 2022): backward citation searching on the references of included papers and forward citation searching on Scopus for papers citing the included papers. This step identified </w:t>
      </w:r>
      <w:r w:rsidR="00880627">
        <w:rPr>
          <w:lang w:val="en-US"/>
        </w:rPr>
        <w:t>11</w:t>
      </w:r>
      <w:r w:rsidRPr="00302945">
        <w:rPr>
          <w:lang w:val="en-US"/>
        </w:rPr>
        <w:t xml:space="preserve"> additional studies, resulting in a final dataset of 52 papers (Figure 1</w:t>
      </w:r>
      <w:r w:rsidR="00F20A8A">
        <w:rPr>
          <w:lang w:val="en-US"/>
        </w:rPr>
        <w:t xml:space="preserve"> in the paper</w:t>
      </w:r>
      <w:r w:rsidRPr="00302945">
        <w:rPr>
          <w:lang w:val="en-US"/>
        </w:rPr>
        <w:t>).</w:t>
      </w:r>
    </w:p>
    <w:p w14:paraId="34CA65FA" w14:textId="77777777" w:rsidR="000517C6" w:rsidRPr="000517C6" w:rsidRDefault="000517C6" w:rsidP="000517C6">
      <w:pPr>
        <w:pStyle w:val="NormaleWeb"/>
        <w:spacing w:before="0" w:beforeAutospacing="0" w:after="0" w:afterAutospacing="0"/>
        <w:jc w:val="both"/>
        <w:rPr>
          <w:lang w:val="en-US"/>
        </w:rPr>
      </w:pPr>
    </w:p>
    <w:p w14:paraId="3BCB9008" w14:textId="0EE267FD" w:rsidR="000517C6" w:rsidRPr="000517C6" w:rsidRDefault="000517C6" w:rsidP="000517C6">
      <w:pPr>
        <w:pStyle w:val="Paragrafoelenco"/>
        <w:numPr>
          <w:ilvl w:val="0"/>
          <w:numId w:val="6"/>
        </w:numPr>
        <w:spacing w:after="0" w:line="240" w:lineRule="auto"/>
        <w:jc w:val="both"/>
        <w:outlineLvl w:val="0"/>
        <w:rPr>
          <w:rFonts w:ascii="Times New Roman" w:eastAsia="Times New Roman" w:hAnsi="Times New Roman" w:cs="Times New Roman"/>
          <w:b/>
          <w:bCs/>
          <w:i/>
          <w:iCs/>
          <w:kern w:val="36"/>
          <w:lang w:val="en-US" w:eastAsia="it-IT"/>
          <w14:ligatures w14:val="none"/>
        </w:rPr>
      </w:pPr>
      <w:r w:rsidRPr="000517C6">
        <w:rPr>
          <w:rFonts w:ascii="Times New Roman" w:eastAsia="Times New Roman" w:hAnsi="Times New Roman" w:cs="Times New Roman"/>
          <w:b/>
          <w:bCs/>
          <w:i/>
          <w:iCs/>
          <w:kern w:val="36"/>
          <w:lang w:val="en-US" w:eastAsia="it-IT"/>
          <w14:ligatures w14:val="none"/>
        </w:rPr>
        <w:t xml:space="preserve">Systematic </w:t>
      </w:r>
      <w:r w:rsidR="000063E4">
        <w:rPr>
          <w:rFonts w:ascii="Times New Roman" w:eastAsia="Times New Roman" w:hAnsi="Times New Roman" w:cs="Times New Roman"/>
          <w:b/>
          <w:bCs/>
          <w:i/>
          <w:iCs/>
          <w:kern w:val="36"/>
          <w:lang w:val="en-US" w:eastAsia="it-IT"/>
          <w14:ligatures w14:val="none"/>
        </w:rPr>
        <w:t>r</w:t>
      </w:r>
      <w:r w:rsidRPr="000517C6">
        <w:rPr>
          <w:rFonts w:ascii="Times New Roman" w:eastAsia="Times New Roman" w:hAnsi="Times New Roman" w:cs="Times New Roman"/>
          <w:b/>
          <w:bCs/>
          <w:i/>
          <w:iCs/>
          <w:kern w:val="36"/>
          <w:lang w:val="en-US" w:eastAsia="it-IT"/>
          <w14:ligatures w14:val="none"/>
        </w:rPr>
        <w:t xml:space="preserve">eview and </w:t>
      </w:r>
      <w:r w:rsidR="000063E4">
        <w:rPr>
          <w:rFonts w:ascii="Times New Roman" w:eastAsia="Times New Roman" w:hAnsi="Times New Roman" w:cs="Times New Roman"/>
          <w:b/>
          <w:bCs/>
          <w:i/>
          <w:iCs/>
          <w:kern w:val="36"/>
          <w:lang w:val="en-US" w:eastAsia="it-IT"/>
          <w14:ligatures w14:val="none"/>
        </w:rPr>
        <w:t>a</w:t>
      </w:r>
      <w:r w:rsidRPr="000517C6">
        <w:rPr>
          <w:rFonts w:ascii="Times New Roman" w:eastAsia="Times New Roman" w:hAnsi="Times New Roman" w:cs="Times New Roman"/>
          <w:b/>
          <w:bCs/>
          <w:i/>
          <w:iCs/>
          <w:kern w:val="36"/>
          <w:lang w:val="en-US" w:eastAsia="it-IT"/>
          <w14:ligatures w14:val="none"/>
        </w:rPr>
        <w:t xml:space="preserve">nalytical </w:t>
      </w:r>
      <w:r w:rsidR="000063E4">
        <w:rPr>
          <w:rFonts w:ascii="Times New Roman" w:eastAsia="Times New Roman" w:hAnsi="Times New Roman" w:cs="Times New Roman"/>
          <w:b/>
          <w:bCs/>
          <w:i/>
          <w:iCs/>
          <w:kern w:val="36"/>
          <w:lang w:val="en-US" w:eastAsia="it-IT"/>
          <w14:ligatures w14:val="none"/>
        </w:rPr>
        <w:t>f</w:t>
      </w:r>
      <w:r w:rsidRPr="000517C6">
        <w:rPr>
          <w:rFonts w:ascii="Times New Roman" w:eastAsia="Times New Roman" w:hAnsi="Times New Roman" w:cs="Times New Roman"/>
          <w:b/>
          <w:bCs/>
          <w:i/>
          <w:iCs/>
          <w:kern w:val="36"/>
          <w:lang w:val="en-US" w:eastAsia="it-IT"/>
          <w14:ligatures w14:val="none"/>
        </w:rPr>
        <w:t>ramework</w:t>
      </w:r>
    </w:p>
    <w:p w14:paraId="79E9D2EE" w14:textId="2E26AE4B" w:rsidR="000517C6" w:rsidRPr="00B801E6" w:rsidRDefault="000517C6" w:rsidP="000517C6">
      <w:pPr>
        <w:spacing w:after="0" w:line="240" w:lineRule="auto"/>
        <w:jc w:val="both"/>
        <w:rPr>
          <w:rFonts w:ascii="Times New Roman" w:eastAsia="Times New Roman" w:hAnsi="Times New Roman" w:cs="Times New Roman"/>
          <w:kern w:val="0"/>
          <w:lang w:val="en-US" w:eastAsia="it-IT"/>
          <w14:ligatures w14:val="none"/>
        </w:rPr>
      </w:pPr>
      <w:r w:rsidRPr="00302945">
        <w:rPr>
          <w:rFonts w:ascii="Times New Roman" w:eastAsia="Times New Roman" w:hAnsi="Times New Roman" w:cs="Times New Roman"/>
          <w:kern w:val="0"/>
          <w:lang w:val="en-US" w:eastAsia="it-IT"/>
          <w14:ligatures w14:val="none"/>
        </w:rPr>
        <w:t xml:space="preserve">Once the relevant contributions had been identified, the first analytical step consisted of extracting how each study conceptualized and operationalized “competence” in </w:t>
      </w:r>
      <w:r>
        <w:rPr>
          <w:rFonts w:ascii="Times New Roman" w:eastAsia="Times New Roman" w:hAnsi="Times New Roman" w:cs="Times New Roman"/>
          <w:kern w:val="0"/>
          <w:lang w:val="en-US" w:eastAsia="it-IT"/>
          <w14:ligatures w14:val="none"/>
        </w:rPr>
        <w:t>SW</w:t>
      </w:r>
      <w:r w:rsidRPr="00302945">
        <w:rPr>
          <w:rFonts w:ascii="Times New Roman" w:eastAsia="Times New Roman" w:hAnsi="Times New Roman" w:cs="Times New Roman"/>
          <w:kern w:val="0"/>
          <w:lang w:val="en-US" w:eastAsia="it-IT"/>
          <w14:ligatures w14:val="none"/>
        </w:rPr>
        <w:t xml:space="preserve"> (definitions, indicators/scales, and the competence-related mechanisms proposed). This descriptive coding created an audit trail that supported systematic comparison across heterogeneous study designs (Petticrew &amp; Roberts, 2006; Okoli, 2015). The second analytical step consisted of mapping each paper to the Dynamic Capabilities / Change Management matrix (</w:t>
      </w:r>
      <w:r w:rsidR="004A455A">
        <w:rPr>
          <w:rFonts w:ascii="Times New Roman" w:eastAsia="Times New Roman" w:hAnsi="Times New Roman" w:cs="Times New Roman"/>
          <w:kern w:val="0"/>
          <w:lang w:val="en-US" w:eastAsia="it-IT"/>
          <w14:ligatures w14:val="none"/>
        </w:rPr>
        <w:t xml:space="preserve">see </w:t>
      </w:r>
      <w:r w:rsidRPr="00302945">
        <w:rPr>
          <w:rFonts w:ascii="Times New Roman" w:eastAsia="Times New Roman" w:hAnsi="Times New Roman" w:cs="Times New Roman"/>
          <w:kern w:val="0"/>
          <w:lang w:val="en-US" w:eastAsia="it-IT"/>
          <w14:ligatures w14:val="none"/>
        </w:rPr>
        <w:t>Table 1</w:t>
      </w:r>
      <w:r w:rsidR="004A455A">
        <w:rPr>
          <w:rFonts w:ascii="Times New Roman" w:eastAsia="Times New Roman" w:hAnsi="Times New Roman" w:cs="Times New Roman"/>
          <w:kern w:val="0"/>
          <w:lang w:val="en-US" w:eastAsia="it-IT"/>
          <w14:ligatures w14:val="none"/>
        </w:rPr>
        <w:t xml:space="preserve"> in the main document</w:t>
      </w:r>
      <w:r w:rsidRPr="00302945">
        <w:rPr>
          <w:rFonts w:ascii="Times New Roman" w:eastAsia="Times New Roman" w:hAnsi="Times New Roman" w:cs="Times New Roman"/>
          <w:kern w:val="0"/>
          <w:lang w:val="en-US" w:eastAsia="it-IT"/>
          <w14:ligatures w14:val="none"/>
        </w:rPr>
        <w:t>), classifying evidence by (a) level of analysis (individual vs organi</w:t>
      </w:r>
      <w:r>
        <w:rPr>
          <w:rFonts w:ascii="Times New Roman" w:eastAsia="Times New Roman" w:hAnsi="Times New Roman" w:cs="Times New Roman"/>
          <w:kern w:val="0"/>
          <w:lang w:val="en-US" w:eastAsia="it-IT"/>
          <w14:ligatures w14:val="none"/>
        </w:rPr>
        <w:t>z</w:t>
      </w:r>
      <w:r w:rsidRPr="00302945">
        <w:rPr>
          <w:rFonts w:ascii="Times New Roman" w:eastAsia="Times New Roman" w:hAnsi="Times New Roman" w:cs="Times New Roman"/>
          <w:kern w:val="0"/>
          <w:lang w:val="en-US" w:eastAsia="it-IT"/>
          <w14:ligatures w14:val="none"/>
        </w:rPr>
        <w:t>ational) and (b) dominant capability/change dimension addressed (sensing, seizing, transforming).</w:t>
      </w:r>
      <w:r w:rsidR="00880627">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 xml:space="preserve">This intersection produces a six-cell matrix that allows the mapping of competencies linked to </w:t>
      </w:r>
      <w:r>
        <w:rPr>
          <w:rFonts w:ascii="Times New Roman" w:eastAsia="Times New Roman" w:hAnsi="Times New Roman" w:cs="Times New Roman"/>
          <w:kern w:val="0"/>
          <w:lang w:val="en-US" w:eastAsia="it-IT"/>
          <w14:ligatures w14:val="none"/>
        </w:rPr>
        <w:t>SW</w:t>
      </w:r>
      <w:r w:rsidRPr="003561A9">
        <w:rPr>
          <w:rFonts w:ascii="Times New Roman" w:eastAsia="Times New Roman" w:hAnsi="Times New Roman" w:cs="Times New Roman"/>
          <w:kern w:val="0"/>
          <w:lang w:val="en-US" w:eastAsia="it-IT"/>
          <w14:ligatures w14:val="none"/>
        </w:rPr>
        <w:t xml:space="preserve"> in public administration (see Table 1)</w:t>
      </w:r>
    </w:p>
    <w:p w14:paraId="1A4DE96D" w14:textId="27335419" w:rsidR="000517C6" w:rsidRPr="00302945" w:rsidRDefault="000517C6" w:rsidP="004A455A">
      <w:pPr>
        <w:spacing w:after="0" w:line="240" w:lineRule="auto"/>
        <w:jc w:val="both"/>
        <w:rPr>
          <w:rFonts w:ascii="Times New Roman" w:eastAsia="Times New Roman" w:hAnsi="Times New Roman" w:cs="Times New Roman"/>
          <w:kern w:val="0"/>
          <w:lang w:val="en-US" w:eastAsia="it-IT"/>
          <w14:ligatures w14:val="none"/>
        </w:rPr>
      </w:pPr>
      <w:r w:rsidRPr="00302945">
        <w:rPr>
          <w:rFonts w:ascii="Times New Roman" w:eastAsia="Times New Roman" w:hAnsi="Times New Roman" w:cs="Times New Roman"/>
          <w:kern w:val="0"/>
          <w:lang w:val="en-US" w:eastAsia="it-IT"/>
          <w14:ligatures w14:val="none"/>
        </w:rPr>
        <w:t xml:space="preserve">Coding and classification followed an iterative two-step procedure. First, competence-related excerpts and constructs were coded descriptively within each paper (e.g., skills/abilities discussed, </w:t>
      </w:r>
      <w:r w:rsidRPr="00302945">
        <w:rPr>
          <w:rFonts w:ascii="Times New Roman" w:eastAsia="Times New Roman" w:hAnsi="Times New Roman" w:cs="Times New Roman"/>
          <w:kern w:val="0"/>
          <w:lang w:val="en-US" w:eastAsia="it-IT"/>
          <w14:ligatures w14:val="none"/>
        </w:rPr>
        <w:lastRenderedPageBreak/>
        <w:t>measurement items, and reported effects). Second, the same paper was classified deductively into one or more matrix cells based on the primary locus (individual vs organizational) and the dynamic capability/change dimension most directly addressed. Papers could be assigned to multiple cells when they explicitly linked individual and organizational mechanisms.</w:t>
      </w:r>
    </w:p>
    <w:p w14:paraId="3A00C2E7" w14:textId="4479068D" w:rsidR="000517C6" w:rsidRDefault="000517C6" w:rsidP="004A455A">
      <w:pPr>
        <w:spacing w:after="0" w:line="240" w:lineRule="auto"/>
        <w:jc w:val="both"/>
        <w:rPr>
          <w:rFonts w:ascii="Times New Roman" w:eastAsia="Times New Roman" w:hAnsi="Times New Roman" w:cs="Times New Roman"/>
          <w:kern w:val="0"/>
          <w:lang w:val="en-US" w:eastAsia="it-IT"/>
          <w14:ligatures w14:val="none"/>
        </w:rPr>
      </w:pPr>
      <w:r w:rsidRPr="00302945">
        <w:rPr>
          <w:rFonts w:ascii="Times New Roman" w:eastAsia="Times New Roman" w:hAnsi="Times New Roman" w:cs="Times New Roman"/>
          <w:kern w:val="0"/>
          <w:lang w:val="en-US" w:eastAsia="it-IT"/>
          <w14:ligatures w14:val="none"/>
        </w:rPr>
        <w:t xml:space="preserve">To reduce subjectivity and improve reproducibility, </w:t>
      </w:r>
      <w:r w:rsidR="00B801E6">
        <w:rPr>
          <w:rFonts w:ascii="Times New Roman" w:eastAsia="Times New Roman" w:hAnsi="Times New Roman" w:cs="Times New Roman"/>
          <w:kern w:val="0"/>
          <w:lang w:val="en-US" w:eastAsia="it-IT"/>
          <w14:ligatures w14:val="none"/>
        </w:rPr>
        <w:t>we applied a multi-author coding protocol (MacQueen et al., 1998; Stoll et al., 2019) based on:</w:t>
      </w:r>
    </w:p>
    <w:p w14:paraId="0775F1CB" w14:textId="77777777" w:rsidR="000517C6" w:rsidRPr="003561A9" w:rsidRDefault="000517C6" w:rsidP="004A455A">
      <w:pPr>
        <w:pStyle w:val="Paragrafoelenco"/>
        <w:numPr>
          <w:ilvl w:val="0"/>
          <w:numId w:val="4"/>
        </w:numPr>
        <w:spacing w:after="0" w:line="240" w:lineRule="auto"/>
        <w:jc w:val="both"/>
        <w:rPr>
          <w:rFonts w:ascii="Times New Roman" w:eastAsia="Times New Roman" w:hAnsi="Times New Roman" w:cs="Times New Roman"/>
          <w:kern w:val="0"/>
          <w:lang w:val="en-US" w:eastAsia="it-IT"/>
          <w14:ligatures w14:val="none"/>
        </w:rPr>
      </w:pPr>
      <w:proofErr w:type="spellStart"/>
      <w:r w:rsidRPr="003561A9">
        <w:rPr>
          <w:rFonts w:ascii="Times New Roman" w:eastAsia="Times New Roman" w:hAnsi="Times New Roman" w:cs="Times New Roman"/>
          <w:kern w:val="0"/>
          <w:lang w:val="en-US" w:eastAsia="it-IT"/>
          <w14:ligatures w14:val="none"/>
        </w:rPr>
        <w:t>ex ante</w:t>
      </w:r>
      <w:proofErr w:type="spellEnd"/>
      <w:r w:rsidRPr="003561A9">
        <w:rPr>
          <w:rFonts w:ascii="Times New Roman" w:eastAsia="Times New Roman" w:hAnsi="Times New Roman" w:cs="Times New Roman"/>
          <w:kern w:val="0"/>
          <w:lang w:val="en-US" w:eastAsia="it-IT"/>
          <w14:ligatures w14:val="none"/>
        </w:rPr>
        <w:t xml:space="preserve"> rules: the team documented coding rules before full coding (cell definitions, decision heuristics, and illustrative examples).</w:t>
      </w:r>
    </w:p>
    <w:p w14:paraId="52C9B8A9" w14:textId="77777777" w:rsidR="000517C6" w:rsidRPr="003561A9" w:rsidRDefault="000517C6" w:rsidP="004A455A">
      <w:pPr>
        <w:pStyle w:val="Paragrafoelenco"/>
        <w:numPr>
          <w:ilvl w:val="0"/>
          <w:numId w:val="4"/>
        </w:num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pilot and calibration: rules were piloted on an initial subset and refined through discussion of ambiguous cases, producing a stable coding guide.</w:t>
      </w:r>
    </w:p>
    <w:p w14:paraId="1FBE02EA" w14:textId="77777777" w:rsidR="000517C6" w:rsidRPr="003561A9" w:rsidRDefault="000517C6" w:rsidP="004A455A">
      <w:pPr>
        <w:pStyle w:val="Paragrafoelenco"/>
        <w:numPr>
          <w:ilvl w:val="0"/>
          <w:numId w:val="4"/>
        </w:num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independent double-coding: two authors independently coded each included paper, both at the descriptive level (competence constructs/excerpts) and at the deductive level (matrix cell assignment).</w:t>
      </w:r>
    </w:p>
    <w:p w14:paraId="5782847A" w14:textId="77777777" w:rsidR="000517C6" w:rsidRPr="003561A9" w:rsidRDefault="000517C6" w:rsidP="004A455A">
      <w:pPr>
        <w:pStyle w:val="Paragrafoelenco"/>
        <w:numPr>
          <w:ilvl w:val="0"/>
          <w:numId w:val="4"/>
        </w:num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reconciliation: coding outputs were compared; disagreements were discussed to reach consensus.</w:t>
      </w:r>
    </w:p>
    <w:p w14:paraId="50BC93D0" w14:textId="77777777" w:rsidR="00C0761F" w:rsidRPr="00C0761F" w:rsidRDefault="000517C6" w:rsidP="004A455A">
      <w:pPr>
        <w:pStyle w:val="Paragrafoelenco"/>
        <w:numPr>
          <w:ilvl w:val="0"/>
          <w:numId w:val="4"/>
        </w:numPr>
        <w:spacing w:after="0" w:line="240" w:lineRule="auto"/>
        <w:jc w:val="both"/>
        <w:rPr>
          <w:lang w:val="en-US" w:eastAsia="it-IT"/>
        </w:rPr>
      </w:pPr>
      <w:r w:rsidRPr="003561A9">
        <w:rPr>
          <w:rFonts w:ascii="Times New Roman" w:eastAsia="Times New Roman" w:hAnsi="Times New Roman" w:cs="Times New Roman"/>
          <w:kern w:val="0"/>
          <w:lang w:val="en-US" w:eastAsia="it-IT"/>
          <w14:ligatures w14:val="none"/>
        </w:rPr>
        <w:t>third-author adjudication: when disagreement persisted, a third author reviewed the contested cases and acted as adjudicator. Adjudication outcomes were used to update the codebook where necessary (i.e., clarifying decision rules to avoid repeating the same ambiguity).</w:t>
      </w:r>
    </w:p>
    <w:p w14:paraId="4521225F" w14:textId="10F2E15E" w:rsidR="000517C6" w:rsidRPr="00C0761F" w:rsidRDefault="000517C6" w:rsidP="004A455A">
      <w:pPr>
        <w:spacing w:after="0" w:line="240" w:lineRule="auto"/>
        <w:jc w:val="both"/>
        <w:rPr>
          <w:lang w:val="en-US" w:eastAsia="it-IT"/>
        </w:rPr>
      </w:pPr>
      <w:r w:rsidRPr="00C0761F">
        <w:rPr>
          <w:rFonts w:ascii="Times New Roman" w:eastAsia="Times New Roman" w:hAnsi="Times New Roman" w:cs="Times New Roman"/>
          <w:kern w:val="0"/>
          <w:lang w:val="en-US" w:eastAsia="it-IT"/>
          <w14:ligatures w14:val="none"/>
        </w:rPr>
        <w:t>The final mapping therefore represents a transparent synthesis of heterogeneous evidence rather than a forced one-to-one classification.</w:t>
      </w:r>
    </w:p>
    <w:p w14:paraId="23307F7D" w14:textId="77777777" w:rsidR="000517C6" w:rsidRPr="003561A9" w:rsidRDefault="000517C6" w:rsidP="004A455A">
      <w:p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To ensure systematicity, the assignment process followed four steps adapted from best practices in systematic reviews (Khan et al., 2003; Petticrew &amp; Roberts, 2006):</w:t>
      </w:r>
    </w:p>
    <w:p w14:paraId="1697A43F" w14:textId="77777777" w:rsidR="000517C6" w:rsidRPr="003561A9" w:rsidRDefault="000517C6" w:rsidP="004A455A">
      <w:pPr>
        <w:numPr>
          <w:ilvl w:val="0"/>
          <w:numId w:val="2"/>
        </w:num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Pre-reading, quality assessment, and keyword identification.</w:t>
      </w:r>
    </w:p>
    <w:p w14:paraId="5284C373" w14:textId="77777777" w:rsidR="000517C6" w:rsidRPr="003561A9" w:rsidRDefault="000517C6" w:rsidP="004A455A">
      <w:pPr>
        <w:numPr>
          <w:ilvl w:val="0"/>
          <w:numId w:val="2"/>
        </w:num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Initial classification into one or more matrix sections.</w:t>
      </w:r>
    </w:p>
    <w:p w14:paraId="4A4B0651" w14:textId="77777777" w:rsidR="000517C6" w:rsidRPr="003561A9" w:rsidRDefault="000517C6" w:rsidP="004A455A">
      <w:pPr>
        <w:numPr>
          <w:ilvl w:val="0"/>
          <w:numId w:val="2"/>
        </w:num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Cross-checking ambiguous cases, especially those straddling individual and organizational domains.</w:t>
      </w:r>
    </w:p>
    <w:p w14:paraId="3B3E2EB6" w14:textId="77777777" w:rsidR="000517C6" w:rsidRPr="003561A9" w:rsidRDefault="000517C6" w:rsidP="000517C6">
      <w:pPr>
        <w:numPr>
          <w:ilvl w:val="0"/>
          <w:numId w:val="2"/>
        </w:num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Final mapping and interpretation, producing a comprehensive matrix that reveals both well-explored and under-researched areas.</w:t>
      </w:r>
    </w:p>
    <w:p w14:paraId="5B92DB6D" w14:textId="518314A7" w:rsidR="000517C6" w:rsidRPr="00302945" w:rsidRDefault="000517C6" w:rsidP="000517C6">
      <w:p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This mapping highlights concentrations of attention in the literature</w:t>
      </w:r>
      <w:r w:rsidR="00B801E6">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such as the emphasis on digital adoption and short-term organizational responses</w:t>
      </w:r>
      <w:r w:rsidR="00B801E6">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alongside gaps, for instance, in studies of long-term cultural transformation and multi-level competency integration.</w:t>
      </w:r>
      <w:r w:rsidR="00B801E6">
        <w:rPr>
          <w:rFonts w:ascii="Times New Roman" w:eastAsia="Times New Roman" w:hAnsi="Times New Roman" w:cs="Times New Roman"/>
          <w:kern w:val="0"/>
          <w:lang w:val="en-US" w:eastAsia="it-IT"/>
          <w14:ligatures w14:val="none"/>
        </w:rPr>
        <w:t xml:space="preserve"> </w:t>
      </w:r>
      <w:r w:rsidRPr="003561A9">
        <w:rPr>
          <w:rFonts w:ascii="Times New Roman" w:hAnsi="Times New Roman" w:cs="Times New Roman"/>
          <w:color w:val="000000"/>
          <w:lang w:val="en-US"/>
        </w:rPr>
        <w:t>The matrix</w:t>
      </w:r>
      <w:r w:rsidR="00B801E6">
        <w:rPr>
          <w:rFonts w:ascii="Times New Roman" w:hAnsi="Times New Roman" w:cs="Times New Roman"/>
          <w:color w:val="000000"/>
          <w:lang w:val="en-US"/>
        </w:rPr>
        <w:t xml:space="preserve"> in the paper (Table 2)</w:t>
      </w:r>
      <w:r w:rsidRPr="003561A9">
        <w:rPr>
          <w:rFonts w:ascii="Times New Roman" w:hAnsi="Times New Roman" w:cs="Times New Roman"/>
          <w:color w:val="000000"/>
          <w:lang w:val="en-US"/>
        </w:rPr>
        <w:t xml:space="preserve"> provides a systematic overview of the results emerging from existing contributions, distinguishing between levels of analysis (individual and </w:t>
      </w:r>
      <w:r w:rsidRPr="00302945">
        <w:rPr>
          <w:rFonts w:ascii="Times New Roman" w:hAnsi="Times New Roman" w:cs="Times New Roman"/>
          <w:color w:val="000000"/>
          <w:lang w:val="en-US"/>
        </w:rPr>
        <w:t>organizational</w:t>
      </w:r>
      <w:r w:rsidRPr="003561A9">
        <w:rPr>
          <w:rFonts w:ascii="Times New Roman" w:hAnsi="Times New Roman" w:cs="Times New Roman"/>
          <w:color w:val="000000"/>
          <w:lang w:val="en-US"/>
        </w:rPr>
        <w:t xml:space="preserve">) and phases of dynamic capabilities (sensing, seizing and transforming). This mapping process is a fundamental preliminary step for the second phase of the analysis, which involves a </w:t>
      </w:r>
      <w:r w:rsidRPr="00302945">
        <w:rPr>
          <w:rFonts w:ascii="Times New Roman" w:hAnsi="Times New Roman" w:cs="Times New Roman"/>
          <w:color w:val="000000"/>
          <w:lang w:val="en-US"/>
        </w:rPr>
        <w:t>problematizing</w:t>
      </w:r>
      <w:r w:rsidRPr="003561A9">
        <w:rPr>
          <w:rFonts w:ascii="Times New Roman" w:hAnsi="Times New Roman" w:cs="Times New Roman"/>
          <w:color w:val="000000"/>
          <w:lang w:val="en-US"/>
        </w:rPr>
        <w:t xml:space="preserve"> review. This is because it provides a structured basis on which to question established assumptions, highlight theoretical tensions and identify conceptual gaps in the literature.</w:t>
      </w:r>
    </w:p>
    <w:p w14:paraId="2BF8C03D" w14:textId="77777777" w:rsidR="000517C6" w:rsidRPr="003561A9" w:rsidRDefault="000517C6" w:rsidP="000517C6">
      <w:pPr>
        <w:spacing w:after="0" w:line="240" w:lineRule="auto"/>
        <w:jc w:val="both"/>
        <w:rPr>
          <w:rFonts w:ascii="Times New Roman" w:eastAsia="Times New Roman" w:hAnsi="Times New Roman" w:cs="Times New Roman"/>
          <w:kern w:val="0"/>
          <w:lang w:val="en-US" w:eastAsia="it-IT"/>
          <w14:ligatures w14:val="none"/>
        </w:rPr>
      </w:pPr>
    </w:p>
    <w:p w14:paraId="00F39D42" w14:textId="2CE2C36D" w:rsidR="000517C6" w:rsidRPr="00B801E6" w:rsidRDefault="000517C6" w:rsidP="00B801E6">
      <w:pPr>
        <w:pStyle w:val="Paragrafoelenco"/>
        <w:numPr>
          <w:ilvl w:val="0"/>
          <w:numId w:val="6"/>
        </w:numPr>
        <w:spacing w:after="0" w:line="240" w:lineRule="auto"/>
        <w:jc w:val="both"/>
        <w:outlineLvl w:val="0"/>
        <w:rPr>
          <w:rFonts w:ascii="Times New Roman" w:eastAsia="Times New Roman" w:hAnsi="Times New Roman" w:cs="Times New Roman"/>
          <w:b/>
          <w:bCs/>
          <w:i/>
          <w:iCs/>
          <w:kern w:val="36"/>
          <w:lang w:val="en-US" w:eastAsia="it-IT"/>
          <w14:ligatures w14:val="none"/>
        </w:rPr>
      </w:pPr>
      <w:r w:rsidRPr="00B801E6">
        <w:rPr>
          <w:rFonts w:ascii="Times New Roman" w:eastAsia="Times New Roman" w:hAnsi="Times New Roman" w:cs="Times New Roman"/>
          <w:b/>
          <w:bCs/>
          <w:i/>
          <w:iCs/>
          <w:kern w:val="36"/>
          <w:lang w:val="en-US" w:eastAsia="it-IT"/>
          <w14:ligatures w14:val="none"/>
        </w:rPr>
        <w:t xml:space="preserve">Problematizing </w:t>
      </w:r>
      <w:r w:rsidR="000063E4">
        <w:rPr>
          <w:rFonts w:ascii="Times New Roman" w:eastAsia="Times New Roman" w:hAnsi="Times New Roman" w:cs="Times New Roman"/>
          <w:b/>
          <w:bCs/>
          <w:i/>
          <w:iCs/>
          <w:kern w:val="36"/>
          <w:lang w:val="en-US" w:eastAsia="it-IT"/>
          <w14:ligatures w14:val="none"/>
        </w:rPr>
        <w:t>r</w:t>
      </w:r>
      <w:r w:rsidRPr="00B801E6">
        <w:rPr>
          <w:rFonts w:ascii="Times New Roman" w:eastAsia="Times New Roman" w:hAnsi="Times New Roman" w:cs="Times New Roman"/>
          <w:b/>
          <w:bCs/>
          <w:i/>
          <w:iCs/>
          <w:kern w:val="36"/>
          <w:lang w:val="en-US" w:eastAsia="it-IT"/>
          <w14:ligatures w14:val="none"/>
        </w:rPr>
        <w:t>eview</w:t>
      </w:r>
    </w:p>
    <w:p w14:paraId="36EA4B49" w14:textId="77777777" w:rsidR="00485239" w:rsidRDefault="000517C6" w:rsidP="00485239">
      <w:p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 xml:space="preserve">Following the systematic review, </w:t>
      </w:r>
      <w:r w:rsidR="004A455A">
        <w:rPr>
          <w:rFonts w:ascii="Times New Roman" w:eastAsia="Times New Roman" w:hAnsi="Times New Roman" w:cs="Times New Roman"/>
          <w:kern w:val="0"/>
          <w:lang w:val="en-US" w:eastAsia="it-IT"/>
          <w14:ligatures w14:val="none"/>
        </w:rPr>
        <w:t>we</w:t>
      </w:r>
      <w:r w:rsidRPr="003561A9">
        <w:rPr>
          <w:rFonts w:ascii="Times New Roman" w:eastAsia="Times New Roman" w:hAnsi="Times New Roman" w:cs="Times New Roman"/>
          <w:kern w:val="0"/>
          <w:lang w:val="en-US" w:eastAsia="it-IT"/>
          <w14:ligatures w14:val="none"/>
        </w:rPr>
        <w:t xml:space="preserve"> applied the </w:t>
      </w:r>
      <w:r w:rsidRPr="003561A9">
        <w:rPr>
          <w:rFonts w:ascii="Times New Roman" w:eastAsia="Times New Roman" w:hAnsi="Times New Roman" w:cs="Times New Roman"/>
          <w:iCs/>
          <w:kern w:val="0"/>
          <w:lang w:val="en-US" w:eastAsia="it-IT"/>
          <w14:ligatures w14:val="none"/>
        </w:rPr>
        <w:t>problematizing review</w:t>
      </w:r>
      <w:r w:rsidRPr="003561A9">
        <w:rPr>
          <w:rFonts w:ascii="Times New Roman" w:eastAsia="Times New Roman" w:hAnsi="Times New Roman" w:cs="Times New Roman"/>
          <w:kern w:val="0"/>
          <w:lang w:val="en-US" w:eastAsia="it-IT"/>
          <w14:ligatures w14:val="none"/>
        </w:rPr>
        <w:t xml:space="preserve"> approach (Alvesson &amp; Sandberg, 2011</w:t>
      </w:r>
      <w:r w:rsidR="00B801E6">
        <w:rPr>
          <w:rFonts w:ascii="Times New Roman" w:eastAsia="Times New Roman" w:hAnsi="Times New Roman" w:cs="Times New Roman"/>
          <w:kern w:val="0"/>
          <w:lang w:val="en-US" w:eastAsia="it-IT"/>
          <w14:ligatures w14:val="none"/>
        </w:rPr>
        <w:t xml:space="preserve">; </w:t>
      </w:r>
      <w:proofErr w:type="spellStart"/>
      <w:r w:rsidRPr="003561A9">
        <w:rPr>
          <w:rFonts w:ascii="Times New Roman" w:eastAsia="Times New Roman" w:hAnsi="Times New Roman" w:cs="Times New Roman"/>
          <w:kern w:val="0"/>
          <w:lang w:val="en-US" w:eastAsia="it-IT"/>
          <w14:ligatures w14:val="none"/>
        </w:rPr>
        <w:t>Schädeli</w:t>
      </w:r>
      <w:proofErr w:type="spellEnd"/>
      <w:r w:rsidRPr="003561A9">
        <w:rPr>
          <w:rFonts w:ascii="Times New Roman" w:eastAsia="Times New Roman" w:hAnsi="Times New Roman" w:cs="Times New Roman"/>
          <w:kern w:val="0"/>
          <w:lang w:val="en-US" w:eastAsia="it-IT"/>
          <w14:ligatures w14:val="none"/>
        </w:rPr>
        <w:t xml:space="preserve"> and Ritz, 2024)</w:t>
      </w:r>
      <w:r w:rsidR="00B801E6">
        <w:rPr>
          <w:rFonts w:ascii="Times New Roman" w:eastAsia="Times New Roman" w:hAnsi="Times New Roman" w:cs="Times New Roman"/>
          <w:kern w:val="0"/>
          <w:lang w:val="en-US" w:eastAsia="it-IT"/>
          <w14:ligatures w14:val="none"/>
        </w:rPr>
        <w:t>:</w:t>
      </w:r>
      <w:r w:rsidRPr="003561A9">
        <w:rPr>
          <w:rFonts w:ascii="Times New Roman" w:eastAsia="Times New Roman" w:hAnsi="Times New Roman" w:cs="Times New Roman"/>
          <w:kern w:val="0"/>
          <w:lang w:val="en-US" w:eastAsia="it-IT"/>
          <w14:ligatures w14:val="none"/>
        </w:rPr>
        <w:t xml:space="preserve"> each theme was developed through a recurring analytical structure</w:t>
      </w:r>
      <w:r w:rsidR="00B801E6">
        <w:rPr>
          <w:rFonts w:ascii="Times New Roman" w:eastAsia="Times New Roman" w:hAnsi="Times New Roman" w:cs="Times New Roman"/>
          <w:kern w:val="0"/>
          <w:lang w:val="en-US" w:eastAsia="it-IT"/>
          <w14:ligatures w14:val="none"/>
        </w:rPr>
        <w:t>; f</w:t>
      </w:r>
      <w:r w:rsidRPr="003561A9">
        <w:rPr>
          <w:rFonts w:ascii="Times New Roman" w:eastAsia="Times New Roman" w:hAnsi="Times New Roman" w:cs="Times New Roman"/>
          <w:kern w:val="0"/>
          <w:lang w:val="en-US" w:eastAsia="it-IT"/>
          <w14:ligatures w14:val="none"/>
        </w:rPr>
        <w:t>or each line of problematization, we first reconstructed the</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dominant view</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in the reviewed studies and then made explicit the</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shared assumptions</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underpinning it</w:t>
      </w:r>
      <w:r w:rsidR="00B801E6">
        <w:rPr>
          <w:rFonts w:ascii="Times New Roman" w:eastAsia="Times New Roman" w:hAnsi="Times New Roman" w:cs="Times New Roman"/>
          <w:kern w:val="0"/>
          <w:lang w:val="en-US" w:eastAsia="it-IT"/>
          <w14:ligatures w14:val="none"/>
        </w:rPr>
        <w:t>; w</w:t>
      </w:r>
      <w:r w:rsidRPr="003561A9">
        <w:rPr>
          <w:rFonts w:ascii="Times New Roman" w:eastAsia="Times New Roman" w:hAnsi="Times New Roman" w:cs="Times New Roman"/>
          <w:kern w:val="0"/>
          <w:lang w:val="en-US" w:eastAsia="it-IT"/>
          <w14:ligatures w14:val="none"/>
        </w:rPr>
        <w:t>e subsequently</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problematized</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 xml:space="preserve">these assumptions by showing how they may constrain theorizing about </w:t>
      </w:r>
      <w:r w:rsidRPr="00A12C73">
        <w:rPr>
          <w:rFonts w:ascii="Times New Roman" w:eastAsia="Times New Roman" w:hAnsi="Times New Roman" w:cs="Times New Roman"/>
          <w:kern w:val="0"/>
          <w:lang w:val="en-US" w:eastAsia="it-IT"/>
          <w14:ligatures w14:val="none"/>
        </w:rPr>
        <w:t>SW</w:t>
      </w:r>
      <w:r w:rsidRPr="003561A9">
        <w:rPr>
          <w:rFonts w:ascii="Times New Roman" w:eastAsia="Times New Roman" w:hAnsi="Times New Roman" w:cs="Times New Roman"/>
          <w:kern w:val="0"/>
          <w:lang w:val="en-US" w:eastAsia="it-IT"/>
          <w14:ligatures w14:val="none"/>
        </w:rPr>
        <w:t xml:space="preserve"> </w:t>
      </w:r>
      <w:r w:rsidR="00522F8B">
        <w:rPr>
          <w:rFonts w:ascii="Times New Roman" w:eastAsia="Times New Roman" w:hAnsi="Times New Roman" w:cs="Times New Roman"/>
          <w:kern w:val="0"/>
          <w:lang w:val="en-US" w:eastAsia="it-IT"/>
          <w14:ligatures w14:val="none"/>
        </w:rPr>
        <w:t>competencies</w:t>
      </w:r>
      <w:r w:rsidRPr="003561A9">
        <w:rPr>
          <w:rFonts w:ascii="Times New Roman" w:eastAsia="Times New Roman" w:hAnsi="Times New Roman" w:cs="Times New Roman"/>
          <w:kern w:val="0"/>
          <w:lang w:val="en-US" w:eastAsia="it-IT"/>
          <w14:ligatures w14:val="none"/>
        </w:rPr>
        <w:t xml:space="preserve"> in public administration (e.g., by treating </w:t>
      </w:r>
      <w:r w:rsidR="00522F8B">
        <w:rPr>
          <w:rFonts w:ascii="Times New Roman" w:eastAsia="Times New Roman" w:hAnsi="Times New Roman" w:cs="Times New Roman"/>
          <w:kern w:val="0"/>
          <w:lang w:val="en-US" w:eastAsia="it-IT"/>
          <w14:ligatures w14:val="none"/>
        </w:rPr>
        <w:t>competencies</w:t>
      </w:r>
      <w:r w:rsidRPr="003561A9">
        <w:rPr>
          <w:rFonts w:ascii="Times New Roman" w:eastAsia="Times New Roman" w:hAnsi="Times New Roman" w:cs="Times New Roman"/>
          <w:kern w:val="0"/>
          <w:lang w:val="en-US" w:eastAsia="it-IT"/>
          <w14:ligatures w14:val="none"/>
        </w:rPr>
        <w:t xml:space="preserve"> as context-free, downplaying institutional constraints, or privileging managerialist framings)</w:t>
      </w:r>
      <w:r w:rsidR="00B801E6">
        <w:rPr>
          <w:rFonts w:ascii="Times New Roman" w:eastAsia="Times New Roman" w:hAnsi="Times New Roman" w:cs="Times New Roman"/>
          <w:kern w:val="0"/>
          <w:lang w:val="en-US" w:eastAsia="it-IT"/>
          <w14:ligatures w14:val="none"/>
        </w:rPr>
        <w:t>; f</w:t>
      </w:r>
      <w:r w:rsidRPr="003561A9">
        <w:rPr>
          <w:rFonts w:ascii="Times New Roman" w:eastAsia="Times New Roman" w:hAnsi="Times New Roman" w:cs="Times New Roman"/>
          <w:kern w:val="0"/>
          <w:lang w:val="en-US" w:eastAsia="it-IT"/>
          <w14:ligatures w14:val="none"/>
        </w:rPr>
        <w:t>inally, we articulated a</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 xml:space="preserve">theoretical opening, identifying alternative conceptualizations and study designs that become possible once these assumptions are questioned. Importantly, for each of the </w:t>
      </w:r>
      <w:r w:rsidR="000063E4">
        <w:rPr>
          <w:rFonts w:ascii="Times New Roman" w:eastAsia="Times New Roman" w:hAnsi="Times New Roman" w:cs="Times New Roman"/>
          <w:kern w:val="0"/>
          <w:lang w:val="en-US" w:eastAsia="it-IT"/>
          <w14:ligatures w14:val="none"/>
        </w:rPr>
        <w:t xml:space="preserve">four </w:t>
      </w:r>
      <w:r w:rsidRPr="003561A9">
        <w:rPr>
          <w:rFonts w:ascii="Times New Roman" w:eastAsia="Times New Roman" w:hAnsi="Times New Roman" w:cs="Times New Roman"/>
          <w:kern w:val="0"/>
          <w:lang w:val="en-US" w:eastAsia="it-IT"/>
          <w14:ligatures w14:val="none"/>
        </w:rPr>
        <w:t>lines we formulated a dedicated</w:t>
      </w:r>
      <w:r w:rsidRPr="00A12C73">
        <w:rPr>
          <w:rFonts w:ascii="Times New Roman" w:eastAsia="Times New Roman" w:hAnsi="Times New Roman" w:cs="Times New Roman"/>
          <w:kern w:val="0"/>
          <w:lang w:val="en-US" w:eastAsia="it-IT"/>
          <w14:ligatures w14:val="none"/>
        </w:rPr>
        <w:t xml:space="preserve"> </w:t>
      </w:r>
      <w:r w:rsidRPr="003561A9">
        <w:rPr>
          <w:rFonts w:ascii="Times New Roman" w:eastAsia="Times New Roman" w:hAnsi="Times New Roman" w:cs="Times New Roman"/>
          <w:kern w:val="0"/>
          <w:lang w:val="en-US" w:eastAsia="it-IT"/>
          <w14:ligatures w14:val="none"/>
        </w:rPr>
        <w:t xml:space="preserve">future-oriented </w:t>
      </w:r>
      <w:r w:rsidR="00485239">
        <w:rPr>
          <w:rFonts w:ascii="Times New Roman" w:eastAsia="Times New Roman" w:hAnsi="Times New Roman" w:cs="Times New Roman"/>
          <w:kern w:val="0"/>
          <w:lang w:val="en-US" w:eastAsia="it-IT"/>
          <w14:ligatures w14:val="none"/>
        </w:rPr>
        <w:t>prospective question</w:t>
      </w:r>
      <w:r w:rsidRPr="003561A9">
        <w:rPr>
          <w:rFonts w:ascii="Times New Roman" w:eastAsia="Times New Roman" w:hAnsi="Times New Roman" w:cs="Times New Roman"/>
          <w:kern w:val="0"/>
          <w:lang w:val="en-US" w:eastAsia="it-IT"/>
          <w14:ligatures w14:val="none"/>
        </w:rPr>
        <w:t>, translating the theoretical opening into a concrete agenda to guide subsequent empirical and conceptual work.</w:t>
      </w:r>
    </w:p>
    <w:p w14:paraId="401B147E" w14:textId="2878A1F7" w:rsidR="000517C6" w:rsidRPr="003561A9" w:rsidRDefault="000517C6" w:rsidP="00485239">
      <w:pPr>
        <w:spacing w:after="0" w:line="240" w:lineRule="auto"/>
        <w:jc w:val="both"/>
        <w:rPr>
          <w:rFonts w:ascii="Times New Roman" w:eastAsia="Times New Roman" w:hAnsi="Times New Roman" w:cs="Times New Roman"/>
          <w:kern w:val="0"/>
          <w:lang w:val="en-US" w:eastAsia="it-IT"/>
          <w14:ligatures w14:val="none"/>
        </w:rPr>
      </w:pPr>
      <w:r w:rsidRPr="003561A9">
        <w:rPr>
          <w:rFonts w:ascii="Times New Roman" w:eastAsia="Times New Roman" w:hAnsi="Times New Roman" w:cs="Times New Roman"/>
          <w:kern w:val="0"/>
          <w:lang w:val="en-US" w:eastAsia="it-IT"/>
          <w14:ligatures w14:val="none"/>
        </w:rPr>
        <w:t xml:space="preserve">In this paper, problematization was pursued along </w:t>
      </w:r>
      <w:r w:rsidR="000063E4">
        <w:rPr>
          <w:rFonts w:ascii="Times New Roman" w:eastAsia="Times New Roman" w:hAnsi="Times New Roman" w:cs="Times New Roman"/>
          <w:kern w:val="0"/>
          <w:lang w:val="en-US" w:eastAsia="it-IT"/>
          <w14:ligatures w14:val="none"/>
        </w:rPr>
        <w:t>four</w:t>
      </w:r>
      <w:r w:rsidRPr="003561A9">
        <w:rPr>
          <w:rFonts w:ascii="Times New Roman" w:eastAsia="Times New Roman" w:hAnsi="Times New Roman" w:cs="Times New Roman"/>
          <w:kern w:val="0"/>
          <w:lang w:val="en-US" w:eastAsia="it-IT"/>
          <w14:ligatures w14:val="none"/>
        </w:rPr>
        <w:t xml:space="preserve"> lines:</w:t>
      </w:r>
    </w:p>
    <w:p w14:paraId="69EE0498" w14:textId="72738CD2" w:rsidR="000517C6" w:rsidRPr="000063E4" w:rsidRDefault="000063E4" w:rsidP="00485239">
      <w:pPr>
        <w:pStyle w:val="Paragrafoelenco"/>
        <w:numPr>
          <w:ilvl w:val="0"/>
          <w:numId w:val="3"/>
        </w:numPr>
        <w:spacing w:after="0"/>
        <w:jc w:val="both"/>
        <w:rPr>
          <w:rFonts w:ascii="Times New Roman" w:eastAsia="Times New Roman" w:hAnsi="Times New Roman" w:cs="Times New Roman"/>
          <w:bCs/>
          <w:kern w:val="0"/>
          <w:lang w:val="en-US" w:eastAsia="it-IT"/>
          <w14:ligatures w14:val="none"/>
        </w:rPr>
      </w:pPr>
      <w:r w:rsidRPr="000063E4">
        <w:rPr>
          <w:rFonts w:ascii="Times New Roman" w:eastAsia="Times New Roman" w:hAnsi="Times New Roman" w:cs="Times New Roman"/>
          <w:bCs/>
          <w:kern w:val="0"/>
          <w:lang w:val="en-US" w:eastAsia="it-IT"/>
          <w14:ligatures w14:val="none"/>
        </w:rPr>
        <w:lastRenderedPageBreak/>
        <w:t xml:space="preserve">Definition of competence and its conceptual </w:t>
      </w:r>
      <w:r w:rsidR="00522F8B" w:rsidRPr="000063E4">
        <w:rPr>
          <w:rFonts w:ascii="Times New Roman" w:eastAsia="Times New Roman" w:hAnsi="Times New Roman" w:cs="Times New Roman"/>
          <w:bCs/>
          <w:kern w:val="0"/>
          <w:lang w:val="en-US" w:eastAsia="it-IT"/>
          <w14:ligatures w14:val="none"/>
        </w:rPr>
        <w:t>implications</w:t>
      </w:r>
      <w:r w:rsidR="00522F8B">
        <w:rPr>
          <w:rFonts w:ascii="Times New Roman" w:eastAsia="Times New Roman" w:hAnsi="Times New Roman" w:cs="Times New Roman"/>
          <w:kern w:val="0"/>
          <w:lang w:val="en-US" w:eastAsia="it-IT"/>
          <w14:ligatures w14:val="none"/>
        </w:rPr>
        <w:t>.</w:t>
      </w:r>
    </w:p>
    <w:p w14:paraId="12738038" w14:textId="55EE3685" w:rsidR="000063E4" w:rsidRPr="000063E4" w:rsidRDefault="000063E4" w:rsidP="00485239">
      <w:pPr>
        <w:pStyle w:val="Paragrafoelenco"/>
        <w:numPr>
          <w:ilvl w:val="0"/>
          <w:numId w:val="3"/>
        </w:numPr>
        <w:spacing w:after="0"/>
        <w:jc w:val="both"/>
        <w:rPr>
          <w:rFonts w:ascii="Times New Roman" w:eastAsia="Times New Roman" w:hAnsi="Times New Roman" w:cs="Times New Roman"/>
          <w:bCs/>
          <w:kern w:val="0"/>
          <w:lang w:val="en-US" w:eastAsia="it-IT"/>
          <w14:ligatures w14:val="none"/>
        </w:rPr>
      </w:pPr>
      <w:r w:rsidRPr="000063E4">
        <w:rPr>
          <w:rFonts w:ascii="Times New Roman" w:eastAsia="Times New Roman" w:hAnsi="Times New Roman" w:cs="Times New Roman"/>
          <w:bCs/>
          <w:kern w:val="0"/>
          <w:lang w:val="en-US" w:eastAsia="it-IT"/>
          <w14:ligatures w14:val="none"/>
        </w:rPr>
        <w:t>Divergent definitions of SW and their consequences</w:t>
      </w:r>
      <w:r w:rsidR="00522F8B">
        <w:rPr>
          <w:rFonts w:ascii="Times New Roman" w:eastAsia="Times New Roman" w:hAnsi="Times New Roman" w:cs="Times New Roman"/>
          <w:bCs/>
          <w:kern w:val="0"/>
          <w:lang w:val="en-US" w:eastAsia="it-IT"/>
          <w14:ligatures w14:val="none"/>
        </w:rPr>
        <w:t>.</w:t>
      </w:r>
    </w:p>
    <w:p w14:paraId="7629068C" w14:textId="2EAE6B40" w:rsidR="000063E4" w:rsidRDefault="000063E4" w:rsidP="00485239">
      <w:pPr>
        <w:pStyle w:val="Paragrafoelenco"/>
        <w:numPr>
          <w:ilvl w:val="0"/>
          <w:numId w:val="3"/>
        </w:numPr>
        <w:spacing w:after="0"/>
        <w:jc w:val="both"/>
        <w:rPr>
          <w:rFonts w:ascii="Times New Roman" w:eastAsia="Times New Roman" w:hAnsi="Times New Roman" w:cs="Times New Roman"/>
          <w:bCs/>
          <w:kern w:val="0"/>
          <w:lang w:val="en-US" w:eastAsia="it-IT"/>
          <w14:ligatures w14:val="none"/>
        </w:rPr>
      </w:pPr>
      <w:r w:rsidRPr="000063E4">
        <w:rPr>
          <w:rFonts w:ascii="Times New Roman" w:eastAsia="Times New Roman" w:hAnsi="Times New Roman" w:cs="Times New Roman"/>
          <w:bCs/>
          <w:kern w:val="0"/>
          <w:lang w:val="en-US" w:eastAsia="it-IT"/>
          <w14:ligatures w14:val="none"/>
        </w:rPr>
        <w:t>Tensions between individual and organizational levels and the transforming challenge</w:t>
      </w:r>
      <w:r w:rsidR="00522F8B">
        <w:rPr>
          <w:rFonts w:ascii="Times New Roman" w:eastAsia="Times New Roman" w:hAnsi="Times New Roman" w:cs="Times New Roman"/>
          <w:bCs/>
          <w:kern w:val="0"/>
          <w:lang w:val="en-US" w:eastAsia="it-IT"/>
          <w14:ligatures w14:val="none"/>
        </w:rPr>
        <w:t>.</w:t>
      </w:r>
    </w:p>
    <w:p w14:paraId="3F9BA64D" w14:textId="74555568" w:rsidR="000063E4" w:rsidRDefault="000063E4" w:rsidP="00485239">
      <w:pPr>
        <w:pStyle w:val="Paragrafoelenco"/>
        <w:numPr>
          <w:ilvl w:val="0"/>
          <w:numId w:val="3"/>
        </w:numPr>
        <w:spacing w:after="0"/>
        <w:jc w:val="both"/>
        <w:rPr>
          <w:rFonts w:ascii="Times New Roman" w:eastAsia="Times New Roman" w:hAnsi="Times New Roman" w:cs="Times New Roman"/>
          <w:bCs/>
          <w:kern w:val="0"/>
          <w:lang w:val="en-US" w:eastAsia="it-IT"/>
          <w14:ligatures w14:val="none"/>
        </w:rPr>
      </w:pPr>
      <w:r w:rsidRPr="000063E4">
        <w:rPr>
          <w:rFonts w:ascii="Times New Roman" w:eastAsia="Times New Roman" w:hAnsi="Times New Roman" w:cs="Times New Roman"/>
          <w:bCs/>
          <w:kern w:val="0"/>
          <w:lang w:val="en-US" w:eastAsia="it-IT"/>
          <w14:ligatures w14:val="none"/>
        </w:rPr>
        <w:t>Misjudging the link between external conditions and internal reactions</w:t>
      </w:r>
      <w:r w:rsidR="00522F8B">
        <w:rPr>
          <w:rFonts w:ascii="Times New Roman" w:eastAsia="Times New Roman" w:hAnsi="Times New Roman" w:cs="Times New Roman"/>
          <w:bCs/>
          <w:kern w:val="0"/>
          <w:lang w:val="en-US" w:eastAsia="it-IT"/>
          <w14:ligatures w14:val="none"/>
        </w:rPr>
        <w:t>.</w:t>
      </w:r>
    </w:p>
    <w:p w14:paraId="71B999D7" w14:textId="77777777" w:rsidR="00485239" w:rsidRDefault="000517C6" w:rsidP="00485239">
      <w:pPr>
        <w:spacing w:after="0"/>
        <w:jc w:val="both"/>
        <w:rPr>
          <w:rFonts w:ascii="Times New Roman" w:eastAsia="Times New Roman" w:hAnsi="Times New Roman" w:cs="Times New Roman"/>
          <w:kern w:val="0"/>
          <w:lang w:val="en-US" w:eastAsia="it-IT"/>
          <w14:ligatures w14:val="none"/>
        </w:rPr>
      </w:pPr>
      <w:r w:rsidRPr="000063E4">
        <w:rPr>
          <w:rFonts w:ascii="Times New Roman" w:eastAsia="Times New Roman" w:hAnsi="Times New Roman" w:cs="Times New Roman"/>
          <w:kern w:val="0"/>
          <w:lang w:val="en-US" w:eastAsia="it-IT"/>
          <w14:ligatures w14:val="none"/>
        </w:rPr>
        <w:t>The process involved re-reading and extending the literature base beyond public administration and SW, drawing on studies that clarify or challenge the assumptions implicit in the reviewed works. The matrix functioned as a diagnostic tool, enabling cross-reading of contributions to detect contradictions and blind spots.</w:t>
      </w:r>
    </w:p>
    <w:p w14:paraId="08D9533A" w14:textId="71FF7F0A" w:rsidR="00B801E6" w:rsidRPr="00485239" w:rsidRDefault="000517C6" w:rsidP="00485239">
      <w:pPr>
        <w:spacing w:after="0"/>
        <w:jc w:val="both"/>
        <w:rPr>
          <w:rFonts w:ascii="Times New Roman" w:eastAsia="Times New Roman" w:hAnsi="Times New Roman" w:cs="Times New Roman"/>
          <w:bCs/>
          <w:kern w:val="0"/>
          <w:lang w:val="en-US" w:eastAsia="it-IT"/>
          <w14:ligatures w14:val="none"/>
        </w:rPr>
      </w:pPr>
      <w:r w:rsidRPr="003561A9">
        <w:rPr>
          <w:rFonts w:ascii="Times New Roman" w:eastAsia="Times New Roman" w:hAnsi="Times New Roman" w:cs="Times New Roman"/>
          <w:kern w:val="0"/>
          <w:lang w:val="en-US" w:eastAsia="it-IT"/>
          <w14:ligatures w14:val="none"/>
        </w:rPr>
        <w:t xml:space="preserve">By combining systematic mapping with problematizing </w:t>
      </w:r>
      <w:proofErr w:type="gramStart"/>
      <w:r w:rsidRPr="003561A9">
        <w:rPr>
          <w:rFonts w:ascii="Times New Roman" w:eastAsia="Times New Roman" w:hAnsi="Times New Roman" w:cs="Times New Roman"/>
          <w:kern w:val="0"/>
          <w:lang w:val="en-US" w:eastAsia="it-IT"/>
          <w14:ligatures w14:val="none"/>
        </w:rPr>
        <w:t>review</w:t>
      </w:r>
      <w:proofErr w:type="gramEnd"/>
      <w:r w:rsidRPr="003561A9">
        <w:rPr>
          <w:rFonts w:ascii="Times New Roman" w:eastAsia="Times New Roman" w:hAnsi="Times New Roman" w:cs="Times New Roman"/>
          <w:kern w:val="0"/>
          <w:lang w:val="en-US" w:eastAsia="it-IT"/>
          <w14:ligatures w14:val="none"/>
        </w:rPr>
        <w:t xml:space="preserve"> a more analytically robust account of competencies associated with </w:t>
      </w:r>
      <w:r>
        <w:rPr>
          <w:rFonts w:ascii="Times New Roman" w:eastAsia="Times New Roman" w:hAnsi="Times New Roman" w:cs="Times New Roman"/>
          <w:kern w:val="0"/>
          <w:lang w:val="en-US" w:eastAsia="it-IT"/>
          <w14:ligatures w14:val="none"/>
        </w:rPr>
        <w:t>SW</w:t>
      </w:r>
      <w:r w:rsidRPr="003561A9">
        <w:rPr>
          <w:rFonts w:ascii="Times New Roman" w:eastAsia="Times New Roman" w:hAnsi="Times New Roman" w:cs="Times New Roman"/>
          <w:kern w:val="0"/>
          <w:lang w:val="en-US" w:eastAsia="it-IT"/>
          <w14:ligatures w14:val="none"/>
        </w:rPr>
        <w:t xml:space="preserve"> in public administration is provided. The six-cell matrix </w:t>
      </w:r>
      <w:r w:rsidR="00B801E6">
        <w:rPr>
          <w:rFonts w:ascii="Times New Roman" w:eastAsia="Times New Roman" w:hAnsi="Times New Roman" w:cs="Times New Roman"/>
          <w:kern w:val="0"/>
          <w:lang w:val="en-US" w:eastAsia="it-IT"/>
          <w14:ligatures w14:val="none"/>
        </w:rPr>
        <w:t xml:space="preserve">represented in the paper (Table 1) </w:t>
      </w:r>
      <w:r w:rsidRPr="003561A9">
        <w:rPr>
          <w:rFonts w:ascii="Times New Roman" w:eastAsia="Times New Roman" w:hAnsi="Times New Roman" w:cs="Times New Roman"/>
          <w:kern w:val="0"/>
          <w:lang w:val="en-US" w:eastAsia="it-IT"/>
          <w14:ligatures w14:val="none"/>
        </w:rPr>
        <w:t>offers a structured overview of existing research, while the problematizing lens exposes theoretical blind spots and contextual oversights. Together, these approaches highlight both the progress made and the areas requiring deeper inquiry.</w:t>
      </w:r>
    </w:p>
    <w:p w14:paraId="017F95BC" w14:textId="77777777" w:rsidR="00B801E6" w:rsidRDefault="00B801E6" w:rsidP="00B801E6">
      <w:pPr>
        <w:spacing w:after="0" w:line="240" w:lineRule="auto"/>
        <w:jc w:val="both"/>
        <w:rPr>
          <w:rFonts w:ascii="Times New Roman" w:eastAsia="Times New Roman" w:hAnsi="Times New Roman" w:cs="Times New Roman"/>
          <w:kern w:val="0"/>
          <w:lang w:val="en-US" w:eastAsia="it-IT"/>
          <w14:ligatures w14:val="none"/>
        </w:rPr>
      </w:pPr>
    </w:p>
    <w:p w14:paraId="154A2696" w14:textId="43016567" w:rsidR="00B801E6" w:rsidRDefault="00B801E6" w:rsidP="00B801E6">
      <w:pPr>
        <w:spacing w:after="0" w:line="240" w:lineRule="auto"/>
        <w:jc w:val="both"/>
        <w:rPr>
          <w:rFonts w:ascii="Times New Roman" w:eastAsia="Times New Roman" w:hAnsi="Times New Roman" w:cs="Times New Roman"/>
          <w:b/>
          <w:bCs/>
          <w:kern w:val="36"/>
          <w:lang w:val="en-US" w:eastAsia="it-IT"/>
          <w14:ligatures w14:val="none"/>
        </w:rPr>
      </w:pPr>
      <w:r>
        <w:rPr>
          <w:rFonts w:ascii="Times New Roman" w:eastAsia="Times New Roman" w:hAnsi="Times New Roman" w:cs="Times New Roman"/>
          <w:b/>
          <w:bCs/>
          <w:kern w:val="36"/>
          <w:lang w:val="en-US" w:eastAsia="it-IT"/>
          <w14:ligatures w14:val="none"/>
        </w:rPr>
        <w:t>References</w:t>
      </w:r>
    </w:p>
    <w:p w14:paraId="3D7AA7F4" w14:textId="77777777" w:rsidR="0076084D" w:rsidRDefault="0076084D" w:rsidP="00B801E6">
      <w:pPr>
        <w:spacing w:after="0" w:line="240" w:lineRule="auto"/>
        <w:jc w:val="both"/>
        <w:rPr>
          <w:rFonts w:ascii="Times New Roman" w:eastAsia="Times New Roman" w:hAnsi="Times New Roman" w:cs="Times New Roman"/>
          <w:b/>
          <w:bCs/>
          <w:kern w:val="36"/>
          <w:lang w:val="en-US" w:eastAsia="it-IT"/>
          <w14:ligatures w14:val="none"/>
        </w:rPr>
      </w:pPr>
    </w:p>
    <w:p w14:paraId="258A0EF6" w14:textId="77777777" w:rsidR="0076084D" w:rsidRPr="00EF51D6" w:rsidRDefault="0076084D" w:rsidP="0076084D">
      <w:pPr>
        <w:ind w:left="426" w:hanging="426"/>
        <w:jc w:val="both"/>
        <w:rPr>
          <w:rFonts w:ascii="Times New Roman" w:hAnsi="Times New Roman" w:cs="Times New Roman"/>
          <w:lang w:val="en-US"/>
        </w:rPr>
      </w:pPr>
      <w:r w:rsidRPr="00EF51D6">
        <w:rPr>
          <w:rFonts w:ascii="Times New Roman" w:hAnsi="Times New Roman" w:cs="Times New Roman"/>
          <w:lang w:val="en-US"/>
        </w:rPr>
        <w:t xml:space="preserve">Adams, R.J., Smart, P. and Huff, A.S. (2017), “Shades of grey: guidelines for working with the grey literature in systematic reviews for management and organizational studies”, International Journal of Management Reviews, Vol. 19 No. 4, pp. 432–454, </w:t>
      </w:r>
      <w:proofErr w:type="spellStart"/>
      <w:r w:rsidRPr="00EF51D6">
        <w:rPr>
          <w:rFonts w:ascii="Times New Roman" w:hAnsi="Times New Roman" w:cs="Times New Roman"/>
          <w:lang w:val="en-US"/>
        </w:rPr>
        <w:t>doi</w:t>
      </w:r>
      <w:proofErr w:type="spellEnd"/>
      <w:r w:rsidRPr="00EF51D6">
        <w:rPr>
          <w:rFonts w:ascii="Times New Roman" w:hAnsi="Times New Roman" w:cs="Times New Roman"/>
          <w:lang w:val="en-US"/>
        </w:rPr>
        <w:t>: 10.1111/ijmr.12102</w:t>
      </w:r>
    </w:p>
    <w:p w14:paraId="3C6CCC9B" w14:textId="77777777" w:rsidR="0076084D" w:rsidRDefault="0076084D" w:rsidP="00B801E6">
      <w:pPr>
        <w:ind w:left="426" w:hanging="426"/>
        <w:jc w:val="both"/>
        <w:rPr>
          <w:rFonts w:ascii="Times New Roman" w:hAnsi="Times New Roman" w:cs="Times New Roman"/>
          <w:lang w:val="en-US"/>
        </w:rPr>
      </w:pPr>
      <w:r w:rsidRPr="003561A9">
        <w:rPr>
          <w:rFonts w:ascii="Times New Roman" w:hAnsi="Times New Roman" w:cs="Times New Roman"/>
          <w:lang w:val="en-US"/>
        </w:rPr>
        <w:t xml:space="preserve">Alvesson, M. and Sandberg, J. (2011), “Generating Research Questions Through Problematization”, </w:t>
      </w:r>
      <w:r w:rsidRPr="003561A9">
        <w:rPr>
          <w:rFonts w:ascii="Times New Roman" w:hAnsi="Times New Roman" w:cs="Times New Roman"/>
          <w:i/>
          <w:iCs/>
          <w:lang w:val="en-US"/>
        </w:rPr>
        <w:t>Academy of Management Review</w:t>
      </w:r>
      <w:r w:rsidRPr="003561A9">
        <w:rPr>
          <w:rFonts w:ascii="Times New Roman" w:hAnsi="Times New Roman" w:cs="Times New Roman"/>
          <w:lang w:val="en-US"/>
        </w:rPr>
        <w:t xml:space="preserve">, Vol. 36 No. 2, pp. 247–271,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5" w:history="1">
        <w:r w:rsidRPr="003561A9">
          <w:rPr>
            <w:rStyle w:val="Collegamentoipertestuale"/>
            <w:rFonts w:ascii="Times New Roman" w:hAnsi="Times New Roman" w:cs="Times New Roman"/>
            <w:lang w:val="en-US"/>
          </w:rPr>
          <w:t>10.5465/amr.2009.0188</w:t>
        </w:r>
      </w:hyperlink>
      <w:r w:rsidRPr="003561A9">
        <w:rPr>
          <w:rFonts w:ascii="Times New Roman" w:hAnsi="Times New Roman" w:cs="Times New Roman"/>
          <w:lang w:val="en-US"/>
        </w:rPr>
        <w:t>.</w:t>
      </w:r>
    </w:p>
    <w:p w14:paraId="34F23CF6"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t>By, R.T. (2005), “</w:t>
      </w:r>
      <w:proofErr w:type="spellStart"/>
      <w:r w:rsidRPr="003561A9">
        <w:rPr>
          <w:rFonts w:ascii="Times New Roman" w:hAnsi="Times New Roman" w:cs="Times New Roman"/>
          <w:lang w:val="en-US"/>
        </w:rPr>
        <w:t>Organisational</w:t>
      </w:r>
      <w:proofErr w:type="spellEnd"/>
      <w:r w:rsidRPr="003561A9">
        <w:rPr>
          <w:rFonts w:ascii="Times New Roman" w:hAnsi="Times New Roman" w:cs="Times New Roman"/>
          <w:lang w:val="en-US"/>
        </w:rPr>
        <w:t xml:space="preserve"> change management: A critical review”, </w:t>
      </w:r>
      <w:r w:rsidRPr="003561A9">
        <w:rPr>
          <w:rFonts w:ascii="Times New Roman" w:hAnsi="Times New Roman" w:cs="Times New Roman"/>
          <w:i/>
          <w:iCs/>
          <w:lang w:val="en-US"/>
        </w:rPr>
        <w:t>Journal of Change Management</w:t>
      </w:r>
      <w:r w:rsidRPr="003561A9">
        <w:rPr>
          <w:rFonts w:ascii="Times New Roman" w:hAnsi="Times New Roman" w:cs="Times New Roman"/>
          <w:lang w:val="en-US"/>
        </w:rPr>
        <w:t xml:space="preserve">, Vol. 5 No. 4, pp. 369–380,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6" w:history="1">
        <w:r w:rsidRPr="003561A9">
          <w:rPr>
            <w:rStyle w:val="Collegamentoipertestuale"/>
            <w:rFonts w:ascii="Times New Roman" w:hAnsi="Times New Roman" w:cs="Times New Roman"/>
            <w:lang w:val="en-US"/>
          </w:rPr>
          <w:t>10.1080/14697010500359250</w:t>
        </w:r>
      </w:hyperlink>
      <w:r w:rsidRPr="003561A9">
        <w:rPr>
          <w:rFonts w:ascii="Times New Roman" w:hAnsi="Times New Roman" w:cs="Times New Roman"/>
          <w:lang w:val="en-US"/>
        </w:rPr>
        <w:t>.</w:t>
      </w:r>
    </w:p>
    <w:p w14:paraId="4C197D5D"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t xml:space="preserve">Khan, K.S., Kunz, R., Kleijnen, J. and Antes, G. (2003), “Five Steps to Conducting a Systematic Review”, </w:t>
      </w:r>
      <w:r w:rsidRPr="003561A9">
        <w:rPr>
          <w:rFonts w:ascii="Times New Roman" w:hAnsi="Times New Roman" w:cs="Times New Roman"/>
          <w:i/>
          <w:iCs/>
          <w:lang w:val="en-US"/>
        </w:rPr>
        <w:t>Journal of the Royal Society of Medicine</w:t>
      </w:r>
      <w:r w:rsidRPr="003561A9">
        <w:rPr>
          <w:rFonts w:ascii="Times New Roman" w:hAnsi="Times New Roman" w:cs="Times New Roman"/>
          <w:lang w:val="en-US"/>
        </w:rPr>
        <w:t xml:space="preserve">, Vol. 96 No. 3, pp. 118–121,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7" w:history="1">
        <w:r w:rsidRPr="003561A9">
          <w:rPr>
            <w:rStyle w:val="Collegamentoipertestuale"/>
            <w:rFonts w:ascii="Times New Roman" w:hAnsi="Times New Roman" w:cs="Times New Roman"/>
            <w:lang w:val="en-US"/>
          </w:rPr>
          <w:t>10.1177/014107680309600304</w:t>
        </w:r>
      </w:hyperlink>
      <w:r w:rsidRPr="003561A9">
        <w:rPr>
          <w:rFonts w:ascii="Times New Roman" w:hAnsi="Times New Roman" w:cs="Times New Roman"/>
          <w:lang w:val="en-US"/>
        </w:rPr>
        <w:t>.</w:t>
      </w:r>
    </w:p>
    <w:p w14:paraId="08EB2404"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t>MacQueen, K.M., McLellan, E., Kay, K. and Milstein, B. (1998), “Codebook development for team-based qualitative analysis”,</w:t>
      </w:r>
      <w:r>
        <w:rPr>
          <w:rFonts w:ascii="Times New Roman" w:hAnsi="Times New Roman" w:cs="Times New Roman"/>
          <w:lang w:val="en-US"/>
        </w:rPr>
        <w:t xml:space="preserve"> </w:t>
      </w:r>
      <w:r w:rsidRPr="003561A9">
        <w:rPr>
          <w:rFonts w:ascii="Times New Roman" w:hAnsi="Times New Roman" w:cs="Times New Roman"/>
          <w:i/>
          <w:iCs/>
          <w:lang w:val="en-US"/>
        </w:rPr>
        <w:t>Field Methods</w:t>
      </w:r>
      <w:r w:rsidRPr="003561A9">
        <w:rPr>
          <w:rFonts w:ascii="Times New Roman" w:hAnsi="Times New Roman" w:cs="Times New Roman"/>
          <w:lang w:val="en-US"/>
        </w:rPr>
        <w:t xml:space="preserve">, Vol. 10 No. 2, pp. 31–36,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10.1177/1525822X980100020301.</w:t>
      </w:r>
    </w:p>
    <w:p w14:paraId="3FD16F04" w14:textId="77777777" w:rsidR="0076084D" w:rsidRPr="00EF51D6" w:rsidRDefault="0076084D" w:rsidP="0076084D">
      <w:pPr>
        <w:ind w:left="426" w:hanging="426"/>
        <w:jc w:val="both"/>
        <w:rPr>
          <w:rFonts w:ascii="Times New Roman" w:hAnsi="Times New Roman" w:cs="Times New Roman"/>
          <w:lang w:val="en-US"/>
        </w:rPr>
      </w:pPr>
      <w:r w:rsidRPr="00EF51D6">
        <w:rPr>
          <w:rFonts w:ascii="Times New Roman" w:hAnsi="Times New Roman" w:cs="Times New Roman"/>
          <w:lang w:val="en-US"/>
        </w:rPr>
        <w:t xml:space="preserve">Okoli, C. (2015), “A Guide to Conducting a Standalone Systematic Literature Review”, Communications of the Association for Information Systems, Vol. 37, Article 43, </w:t>
      </w:r>
      <w:proofErr w:type="spellStart"/>
      <w:r w:rsidRPr="00EF51D6">
        <w:rPr>
          <w:rFonts w:ascii="Times New Roman" w:hAnsi="Times New Roman" w:cs="Times New Roman"/>
          <w:lang w:val="en-US"/>
        </w:rPr>
        <w:t>doi</w:t>
      </w:r>
      <w:proofErr w:type="spellEnd"/>
      <w:r w:rsidRPr="00EF51D6">
        <w:rPr>
          <w:rFonts w:ascii="Times New Roman" w:hAnsi="Times New Roman" w:cs="Times New Roman"/>
          <w:lang w:val="en-US"/>
        </w:rPr>
        <w:t>: 10.17705/1CAIS.03743</w:t>
      </w:r>
    </w:p>
    <w:p w14:paraId="609CC3D1"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t xml:space="preserve">Page, M.J., McKenzie, J.E., Bossuyt, P.M., </w:t>
      </w:r>
      <w:proofErr w:type="spellStart"/>
      <w:r w:rsidRPr="003561A9">
        <w:rPr>
          <w:rFonts w:ascii="Times New Roman" w:hAnsi="Times New Roman" w:cs="Times New Roman"/>
          <w:lang w:val="en-US"/>
        </w:rPr>
        <w:t>Boutron</w:t>
      </w:r>
      <w:proofErr w:type="spellEnd"/>
      <w:r w:rsidRPr="003561A9">
        <w:rPr>
          <w:rFonts w:ascii="Times New Roman" w:hAnsi="Times New Roman" w:cs="Times New Roman"/>
          <w:lang w:val="en-US"/>
        </w:rPr>
        <w:t xml:space="preserve">, I., Hoffmann, T.C., Mulrow, C.D., </w:t>
      </w:r>
      <w:proofErr w:type="spellStart"/>
      <w:r w:rsidRPr="003561A9">
        <w:rPr>
          <w:rFonts w:ascii="Times New Roman" w:hAnsi="Times New Roman" w:cs="Times New Roman"/>
          <w:lang w:val="en-US"/>
        </w:rPr>
        <w:t>Shamseer</w:t>
      </w:r>
      <w:proofErr w:type="spellEnd"/>
      <w:r w:rsidRPr="003561A9">
        <w:rPr>
          <w:rFonts w:ascii="Times New Roman" w:hAnsi="Times New Roman" w:cs="Times New Roman"/>
          <w:lang w:val="en-US"/>
        </w:rPr>
        <w:t xml:space="preserve">, L., </w:t>
      </w:r>
      <w:r w:rsidRPr="003561A9">
        <w:rPr>
          <w:rFonts w:ascii="Times New Roman" w:hAnsi="Times New Roman" w:cs="Times New Roman"/>
          <w:i/>
          <w:iCs/>
          <w:lang w:val="en-US"/>
        </w:rPr>
        <w:t>et al.</w:t>
      </w:r>
      <w:r w:rsidRPr="003561A9">
        <w:rPr>
          <w:rFonts w:ascii="Times New Roman" w:hAnsi="Times New Roman" w:cs="Times New Roman"/>
          <w:lang w:val="en-US"/>
        </w:rPr>
        <w:t xml:space="preserve"> (2021), “The PRISMA 2020 statement: an updated guideline for reporting systematic reviews”, </w:t>
      </w:r>
      <w:r w:rsidRPr="003561A9">
        <w:rPr>
          <w:rFonts w:ascii="Times New Roman" w:hAnsi="Times New Roman" w:cs="Times New Roman"/>
          <w:i/>
          <w:iCs/>
          <w:lang w:val="en-US"/>
        </w:rPr>
        <w:t>BMJ</w:t>
      </w:r>
      <w:r w:rsidRPr="003561A9">
        <w:rPr>
          <w:rFonts w:ascii="Times New Roman" w:hAnsi="Times New Roman" w:cs="Times New Roman"/>
          <w:lang w:val="en-US"/>
        </w:rPr>
        <w:t xml:space="preserve">, p. n71,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8" w:history="1">
        <w:r w:rsidRPr="003561A9">
          <w:rPr>
            <w:rStyle w:val="Collegamentoipertestuale"/>
            <w:rFonts w:ascii="Times New Roman" w:hAnsi="Times New Roman" w:cs="Times New Roman"/>
            <w:lang w:val="en-US"/>
          </w:rPr>
          <w:t>10.1136/bmj.n71</w:t>
        </w:r>
      </w:hyperlink>
      <w:r w:rsidRPr="003561A9">
        <w:rPr>
          <w:rFonts w:ascii="Times New Roman" w:hAnsi="Times New Roman" w:cs="Times New Roman"/>
          <w:lang w:val="en-US"/>
        </w:rPr>
        <w:t>.</w:t>
      </w:r>
    </w:p>
    <w:p w14:paraId="7911212F"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t xml:space="preserve">Petticrew, M. and Roberts, H. (2006), </w:t>
      </w:r>
      <w:r w:rsidRPr="003561A9">
        <w:rPr>
          <w:rFonts w:ascii="Times New Roman" w:hAnsi="Times New Roman" w:cs="Times New Roman"/>
          <w:i/>
          <w:iCs/>
          <w:lang w:val="en-US"/>
        </w:rPr>
        <w:t>Systematic Reviews in the Social Sciences: A Practical Guide</w:t>
      </w:r>
      <w:r w:rsidRPr="003561A9">
        <w:rPr>
          <w:rFonts w:ascii="Times New Roman" w:hAnsi="Times New Roman" w:cs="Times New Roman"/>
          <w:lang w:val="en-US"/>
        </w:rPr>
        <w:t xml:space="preserve">, 1st ed., Wiley,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9" w:history="1">
        <w:r w:rsidRPr="003561A9">
          <w:rPr>
            <w:rStyle w:val="Collegamentoipertestuale"/>
            <w:rFonts w:ascii="Times New Roman" w:hAnsi="Times New Roman" w:cs="Times New Roman"/>
            <w:lang w:val="en-US"/>
          </w:rPr>
          <w:t>10.1002/9780470754887</w:t>
        </w:r>
      </w:hyperlink>
      <w:r w:rsidRPr="003561A9">
        <w:rPr>
          <w:rFonts w:ascii="Times New Roman" w:hAnsi="Times New Roman" w:cs="Times New Roman"/>
          <w:lang w:val="en-US"/>
        </w:rPr>
        <w:t>.</w:t>
      </w:r>
    </w:p>
    <w:p w14:paraId="2132F65F"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t xml:space="preserve">Schädeli, D. and Ritz, A. (2024), “Managing paradoxes in the public sector: a systematic and problematizing review of macro-level concepts”, </w:t>
      </w:r>
      <w:r w:rsidRPr="003561A9">
        <w:rPr>
          <w:rFonts w:ascii="Times New Roman" w:hAnsi="Times New Roman" w:cs="Times New Roman"/>
          <w:i/>
          <w:iCs/>
          <w:lang w:val="en-US"/>
        </w:rPr>
        <w:t>International Journal of Public Sector Management</w:t>
      </w:r>
      <w:r w:rsidRPr="003561A9">
        <w:rPr>
          <w:rFonts w:ascii="Times New Roman" w:hAnsi="Times New Roman" w:cs="Times New Roman"/>
          <w:lang w:val="en-US"/>
        </w:rPr>
        <w:t xml:space="preserve">, Vol. 37 No. 6, pp. 789–804,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10" w:history="1">
        <w:r w:rsidRPr="003561A9">
          <w:rPr>
            <w:rStyle w:val="Collegamentoipertestuale"/>
            <w:rFonts w:ascii="Times New Roman" w:hAnsi="Times New Roman" w:cs="Times New Roman"/>
            <w:lang w:val="en-US"/>
          </w:rPr>
          <w:t>10.1108/IJPSM-11-2023-0330</w:t>
        </w:r>
      </w:hyperlink>
      <w:r w:rsidRPr="003561A9">
        <w:rPr>
          <w:rFonts w:ascii="Times New Roman" w:hAnsi="Times New Roman" w:cs="Times New Roman"/>
          <w:lang w:val="en-US"/>
        </w:rPr>
        <w:t>.</w:t>
      </w:r>
    </w:p>
    <w:p w14:paraId="3B225C60"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lastRenderedPageBreak/>
        <w:t xml:space="preserve">Singh, V.K., Singh, P., Karmakar, M., Leta, J. and Mayr, P. (2021), “The journal coverage of Web of Science, Scopus and Dimensions: A comparative analysis”, </w:t>
      </w:r>
      <w:proofErr w:type="spellStart"/>
      <w:r w:rsidRPr="003561A9">
        <w:rPr>
          <w:rFonts w:ascii="Times New Roman" w:hAnsi="Times New Roman" w:cs="Times New Roman"/>
          <w:i/>
          <w:iCs/>
          <w:lang w:val="en-US"/>
        </w:rPr>
        <w:t>Scientometrics</w:t>
      </w:r>
      <w:proofErr w:type="spellEnd"/>
      <w:r w:rsidRPr="003561A9">
        <w:rPr>
          <w:rFonts w:ascii="Times New Roman" w:hAnsi="Times New Roman" w:cs="Times New Roman"/>
          <w:lang w:val="en-US"/>
        </w:rPr>
        <w:t xml:space="preserve">, Vol. 126 No. 6, pp. 5113–5142,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11" w:history="1">
        <w:r w:rsidRPr="003561A9">
          <w:rPr>
            <w:rStyle w:val="Collegamentoipertestuale"/>
            <w:rFonts w:ascii="Times New Roman" w:hAnsi="Times New Roman" w:cs="Times New Roman"/>
            <w:lang w:val="en-US"/>
          </w:rPr>
          <w:t>10.1007/s11192-021-03948-5</w:t>
        </w:r>
      </w:hyperlink>
      <w:r w:rsidRPr="003561A9">
        <w:rPr>
          <w:rFonts w:ascii="Times New Roman" w:hAnsi="Times New Roman" w:cs="Times New Roman"/>
          <w:lang w:val="en-US"/>
        </w:rPr>
        <w:t>.</w:t>
      </w:r>
    </w:p>
    <w:p w14:paraId="303E9BC1" w14:textId="77777777" w:rsidR="0076084D" w:rsidRPr="00EF51D6" w:rsidRDefault="0076084D" w:rsidP="0076084D">
      <w:pPr>
        <w:ind w:left="426" w:hanging="426"/>
        <w:jc w:val="both"/>
        <w:rPr>
          <w:rFonts w:ascii="Times New Roman" w:hAnsi="Times New Roman" w:cs="Times New Roman"/>
          <w:lang w:val="en-US"/>
        </w:rPr>
      </w:pPr>
      <w:r w:rsidRPr="00EF51D6">
        <w:rPr>
          <w:rFonts w:ascii="Times New Roman" w:hAnsi="Times New Roman" w:cs="Times New Roman"/>
          <w:lang w:val="en-US"/>
        </w:rPr>
        <w:t xml:space="preserve">Snyder, H. (2019), “Literature review as a research methodology: an overview and guidelines”, Journal of Business Research, Vol. 104, pp. 333–339, </w:t>
      </w:r>
      <w:proofErr w:type="spellStart"/>
      <w:r w:rsidRPr="00EF51D6">
        <w:rPr>
          <w:rFonts w:ascii="Times New Roman" w:hAnsi="Times New Roman" w:cs="Times New Roman"/>
          <w:lang w:val="en-US"/>
        </w:rPr>
        <w:t>doi</w:t>
      </w:r>
      <w:proofErr w:type="spellEnd"/>
      <w:r w:rsidRPr="00EF51D6">
        <w:rPr>
          <w:rFonts w:ascii="Times New Roman" w:hAnsi="Times New Roman" w:cs="Times New Roman"/>
          <w:lang w:val="en-US"/>
        </w:rPr>
        <w:t>: 10.1016/j.jbusres.2019.07.039</w:t>
      </w:r>
    </w:p>
    <w:p w14:paraId="6CE9FC86" w14:textId="77777777" w:rsidR="0076084D" w:rsidRPr="003561A9" w:rsidRDefault="0076084D" w:rsidP="0076084D">
      <w:pPr>
        <w:ind w:left="426" w:hanging="426"/>
        <w:jc w:val="both"/>
        <w:rPr>
          <w:rFonts w:ascii="Times New Roman" w:hAnsi="Times New Roman" w:cs="Times New Roman"/>
          <w:lang w:val="en-US"/>
        </w:rPr>
      </w:pPr>
      <w:r w:rsidRPr="003561A9">
        <w:rPr>
          <w:rFonts w:ascii="Times New Roman" w:hAnsi="Times New Roman" w:cs="Times New Roman"/>
          <w:lang w:val="en-US"/>
        </w:rPr>
        <w:t xml:space="preserve">Stoll, C.R.T., Izadi, S., Fowler, S., Green, P., </w:t>
      </w:r>
      <w:proofErr w:type="spellStart"/>
      <w:r w:rsidRPr="003561A9">
        <w:rPr>
          <w:rFonts w:ascii="Times New Roman" w:hAnsi="Times New Roman" w:cs="Times New Roman"/>
          <w:lang w:val="en-US"/>
        </w:rPr>
        <w:t>Suls</w:t>
      </w:r>
      <w:proofErr w:type="spellEnd"/>
      <w:r w:rsidRPr="003561A9">
        <w:rPr>
          <w:rFonts w:ascii="Times New Roman" w:hAnsi="Times New Roman" w:cs="Times New Roman"/>
          <w:lang w:val="en-US"/>
        </w:rPr>
        <w:t>, J. and Colditz, G.A. (2019), “The value of a second reviewer for study selection in systematic reviews”,</w:t>
      </w:r>
      <w:r>
        <w:rPr>
          <w:rFonts w:ascii="Times New Roman" w:hAnsi="Times New Roman" w:cs="Times New Roman"/>
          <w:lang w:val="en-US"/>
        </w:rPr>
        <w:t xml:space="preserve"> </w:t>
      </w:r>
      <w:r w:rsidRPr="003561A9">
        <w:rPr>
          <w:rFonts w:ascii="Times New Roman" w:hAnsi="Times New Roman" w:cs="Times New Roman"/>
          <w:i/>
          <w:iCs/>
          <w:lang w:val="en-US"/>
        </w:rPr>
        <w:t>Research Synthesis Methods</w:t>
      </w:r>
      <w:r w:rsidRPr="003561A9">
        <w:rPr>
          <w:rFonts w:ascii="Times New Roman" w:hAnsi="Times New Roman" w:cs="Times New Roman"/>
          <w:lang w:val="en-US"/>
        </w:rPr>
        <w:t xml:space="preserve">, Vol. 10 No. 4, pp. 539–545,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10.1002/jrsm.1369.</w:t>
      </w:r>
    </w:p>
    <w:p w14:paraId="67899078" w14:textId="77777777" w:rsidR="0076084D" w:rsidRDefault="0076084D" w:rsidP="0076084D">
      <w:pPr>
        <w:ind w:left="426" w:hanging="426"/>
        <w:jc w:val="both"/>
        <w:rPr>
          <w:rFonts w:ascii="Times New Roman" w:hAnsi="Times New Roman" w:cs="Times New Roman"/>
          <w:lang w:val="en-US"/>
        </w:rPr>
      </w:pPr>
      <w:proofErr w:type="spellStart"/>
      <w:r w:rsidRPr="00EF51D6">
        <w:rPr>
          <w:rFonts w:ascii="Times New Roman" w:hAnsi="Times New Roman" w:cs="Times New Roman"/>
          <w:lang w:val="en-US"/>
        </w:rPr>
        <w:t>Tranfield</w:t>
      </w:r>
      <w:proofErr w:type="spellEnd"/>
      <w:r w:rsidRPr="00EF51D6">
        <w:rPr>
          <w:rFonts w:ascii="Times New Roman" w:hAnsi="Times New Roman" w:cs="Times New Roman"/>
          <w:lang w:val="en-US"/>
        </w:rPr>
        <w:t xml:space="preserve">, D., Denyer, D. and Smart, P. (2003), “Towards a methodology for developing evidence-informed management knowledge by means of systematic review”, British Journal of Management, Vol. 14 No. 3, pp. 207–222, </w:t>
      </w:r>
      <w:proofErr w:type="spellStart"/>
      <w:r w:rsidRPr="00EF51D6">
        <w:rPr>
          <w:rFonts w:ascii="Times New Roman" w:hAnsi="Times New Roman" w:cs="Times New Roman"/>
          <w:lang w:val="en-US"/>
        </w:rPr>
        <w:t>doi</w:t>
      </w:r>
      <w:proofErr w:type="spellEnd"/>
      <w:r w:rsidRPr="00EF51D6">
        <w:rPr>
          <w:rFonts w:ascii="Times New Roman" w:hAnsi="Times New Roman" w:cs="Times New Roman"/>
          <w:lang w:val="en-US"/>
        </w:rPr>
        <w:t>: 10.1111/1467-8551.00375</w:t>
      </w:r>
    </w:p>
    <w:p w14:paraId="2234EB8B" w14:textId="60A5B76E" w:rsidR="0076084D" w:rsidRPr="00B801E6" w:rsidRDefault="0076084D" w:rsidP="004A455A">
      <w:pPr>
        <w:ind w:left="426" w:hanging="426"/>
        <w:jc w:val="both"/>
        <w:rPr>
          <w:rFonts w:ascii="Times New Roman" w:hAnsi="Times New Roman" w:cs="Times New Roman"/>
          <w:lang w:val="en-US"/>
        </w:rPr>
      </w:pPr>
      <w:r w:rsidRPr="003561A9">
        <w:rPr>
          <w:rFonts w:ascii="Times New Roman" w:hAnsi="Times New Roman" w:cs="Times New Roman"/>
          <w:lang w:val="en-US"/>
        </w:rPr>
        <w:t xml:space="preserve">Wohlin, C., Kalinowski, M., Romero Felizardo, K. and Mendes, E. (2022), “Successful combination of database search and snowballing for identification of primary studies in systematic literature studies”, </w:t>
      </w:r>
      <w:r w:rsidRPr="003561A9">
        <w:rPr>
          <w:rFonts w:ascii="Times New Roman" w:hAnsi="Times New Roman" w:cs="Times New Roman"/>
          <w:i/>
          <w:iCs/>
          <w:lang w:val="en-US"/>
        </w:rPr>
        <w:t>Information and Software Technology</w:t>
      </w:r>
      <w:r w:rsidRPr="003561A9">
        <w:rPr>
          <w:rFonts w:ascii="Times New Roman" w:hAnsi="Times New Roman" w:cs="Times New Roman"/>
          <w:lang w:val="en-US"/>
        </w:rPr>
        <w:t xml:space="preserve">, Vol. 147, p. 106908, </w:t>
      </w:r>
      <w:proofErr w:type="spellStart"/>
      <w:r w:rsidRPr="003561A9">
        <w:rPr>
          <w:rFonts w:ascii="Times New Roman" w:hAnsi="Times New Roman" w:cs="Times New Roman"/>
          <w:lang w:val="en-US"/>
        </w:rPr>
        <w:t>doi</w:t>
      </w:r>
      <w:proofErr w:type="spellEnd"/>
      <w:r w:rsidRPr="003561A9">
        <w:rPr>
          <w:rFonts w:ascii="Times New Roman" w:hAnsi="Times New Roman" w:cs="Times New Roman"/>
          <w:lang w:val="en-US"/>
        </w:rPr>
        <w:t xml:space="preserve">: </w:t>
      </w:r>
      <w:hyperlink r:id="rId12" w:history="1">
        <w:r w:rsidRPr="003561A9">
          <w:rPr>
            <w:rStyle w:val="Collegamentoipertestuale"/>
            <w:rFonts w:ascii="Times New Roman" w:hAnsi="Times New Roman" w:cs="Times New Roman"/>
            <w:lang w:val="en-US"/>
          </w:rPr>
          <w:t>10.1016/j.infsof.2022.106908</w:t>
        </w:r>
      </w:hyperlink>
      <w:r w:rsidRPr="003561A9">
        <w:rPr>
          <w:rFonts w:ascii="Times New Roman" w:hAnsi="Times New Roman" w:cs="Times New Roman"/>
          <w:lang w:val="en-US"/>
        </w:rPr>
        <w:t>.</w:t>
      </w:r>
    </w:p>
    <w:sectPr w:rsidR="0076084D" w:rsidRPr="00B801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BBD"/>
    <w:multiLevelType w:val="hybridMultilevel"/>
    <w:tmpl w:val="C4241BBC"/>
    <w:lvl w:ilvl="0" w:tplc="6FC69BC0">
      <w:start w:val="2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6E811C7"/>
    <w:multiLevelType w:val="hybridMultilevel"/>
    <w:tmpl w:val="41DAB4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2C711F7"/>
    <w:multiLevelType w:val="multilevel"/>
    <w:tmpl w:val="DEDC3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6B7E55"/>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5C2A4D"/>
    <w:multiLevelType w:val="hybridMultilevel"/>
    <w:tmpl w:val="9E745440"/>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80F2501"/>
    <w:multiLevelType w:val="multilevel"/>
    <w:tmpl w:val="C3564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1525348">
    <w:abstractNumId w:val="3"/>
  </w:num>
  <w:num w:numId="2" w16cid:durableId="994990254">
    <w:abstractNumId w:val="5"/>
  </w:num>
  <w:num w:numId="3" w16cid:durableId="1015616860">
    <w:abstractNumId w:val="2"/>
  </w:num>
  <w:num w:numId="4" w16cid:durableId="178159345">
    <w:abstractNumId w:val="0"/>
  </w:num>
  <w:num w:numId="5" w16cid:durableId="1814787891">
    <w:abstractNumId w:val="1"/>
  </w:num>
  <w:num w:numId="6" w16cid:durableId="1051073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C6"/>
    <w:rsid w:val="000063E4"/>
    <w:rsid w:val="000517C6"/>
    <w:rsid w:val="000C245A"/>
    <w:rsid w:val="00195649"/>
    <w:rsid w:val="002F384D"/>
    <w:rsid w:val="003633E1"/>
    <w:rsid w:val="00407857"/>
    <w:rsid w:val="00485239"/>
    <w:rsid w:val="004A455A"/>
    <w:rsid w:val="00522F8B"/>
    <w:rsid w:val="00596A20"/>
    <w:rsid w:val="006D5D55"/>
    <w:rsid w:val="0073701F"/>
    <w:rsid w:val="0076084D"/>
    <w:rsid w:val="007D731F"/>
    <w:rsid w:val="00880627"/>
    <w:rsid w:val="00B801E6"/>
    <w:rsid w:val="00BA17E4"/>
    <w:rsid w:val="00C0761F"/>
    <w:rsid w:val="00CA2255"/>
    <w:rsid w:val="00D01C3B"/>
    <w:rsid w:val="00D36CB1"/>
    <w:rsid w:val="00D82E6C"/>
    <w:rsid w:val="00DA37FF"/>
    <w:rsid w:val="00E706A0"/>
    <w:rsid w:val="00F20A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FB9B929"/>
  <w15:chartTrackingRefBased/>
  <w15:docId w15:val="{5769520D-6E8A-5E4C-897B-D1A9F25B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17C6"/>
    <w:pPr>
      <w:spacing w:after="160" w:line="278" w:lineRule="auto"/>
    </w:pPr>
  </w:style>
  <w:style w:type="paragraph" w:styleId="Titolo1">
    <w:name w:val="heading 1"/>
    <w:basedOn w:val="Normale"/>
    <w:next w:val="Normale"/>
    <w:link w:val="Titolo1Carattere"/>
    <w:uiPriority w:val="9"/>
    <w:qFormat/>
    <w:rsid w:val="00051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51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517C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517C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517C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517C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517C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517C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517C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17C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517C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517C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517C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517C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517C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517C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517C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517C6"/>
    <w:rPr>
      <w:rFonts w:eastAsiaTheme="majorEastAsia" w:cstheme="majorBidi"/>
      <w:color w:val="272727" w:themeColor="text1" w:themeTint="D8"/>
    </w:rPr>
  </w:style>
  <w:style w:type="paragraph" w:styleId="Titolo">
    <w:name w:val="Title"/>
    <w:basedOn w:val="Normale"/>
    <w:next w:val="Normale"/>
    <w:link w:val="TitoloCarattere"/>
    <w:uiPriority w:val="10"/>
    <w:qFormat/>
    <w:rsid w:val="000517C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517C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517C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517C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517C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517C6"/>
    <w:rPr>
      <w:i/>
      <w:iCs/>
      <w:color w:val="404040" w:themeColor="text1" w:themeTint="BF"/>
    </w:rPr>
  </w:style>
  <w:style w:type="paragraph" w:styleId="Paragrafoelenco">
    <w:name w:val="List Paragraph"/>
    <w:basedOn w:val="Normale"/>
    <w:uiPriority w:val="34"/>
    <w:qFormat/>
    <w:rsid w:val="000517C6"/>
    <w:pPr>
      <w:ind w:left="720"/>
      <w:contextualSpacing/>
    </w:pPr>
  </w:style>
  <w:style w:type="character" w:styleId="Enfasiintensa">
    <w:name w:val="Intense Emphasis"/>
    <w:basedOn w:val="Carpredefinitoparagrafo"/>
    <w:uiPriority w:val="21"/>
    <w:qFormat/>
    <w:rsid w:val="000517C6"/>
    <w:rPr>
      <w:i/>
      <w:iCs/>
      <w:color w:val="0F4761" w:themeColor="accent1" w:themeShade="BF"/>
    </w:rPr>
  </w:style>
  <w:style w:type="paragraph" w:styleId="Citazioneintensa">
    <w:name w:val="Intense Quote"/>
    <w:basedOn w:val="Normale"/>
    <w:next w:val="Normale"/>
    <w:link w:val="CitazioneintensaCarattere"/>
    <w:uiPriority w:val="30"/>
    <w:qFormat/>
    <w:rsid w:val="00051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517C6"/>
    <w:rPr>
      <w:i/>
      <w:iCs/>
      <w:color w:val="0F4761" w:themeColor="accent1" w:themeShade="BF"/>
    </w:rPr>
  </w:style>
  <w:style w:type="character" w:styleId="Riferimentointenso">
    <w:name w:val="Intense Reference"/>
    <w:basedOn w:val="Carpredefinitoparagrafo"/>
    <w:uiPriority w:val="32"/>
    <w:qFormat/>
    <w:rsid w:val="000517C6"/>
    <w:rPr>
      <w:b/>
      <w:bCs/>
      <w:smallCaps/>
      <w:color w:val="0F4761" w:themeColor="accent1" w:themeShade="BF"/>
      <w:spacing w:val="5"/>
    </w:rPr>
  </w:style>
  <w:style w:type="paragraph" w:styleId="NormaleWeb">
    <w:name w:val="Normal (Web)"/>
    <w:basedOn w:val="Normale"/>
    <w:uiPriority w:val="99"/>
    <w:unhideWhenUsed/>
    <w:rsid w:val="000517C6"/>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Tabellasemplice5">
    <w:name w:val="Plain Table 5"/>
    <w:basedOn w:val="Tabellanormale"/>
    <w:uiPriority w:val="45"/>
    <w:rsid w:val="000517C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llegamentoipertestuale">
    <w:name w:val="Hyperlink"/>
    <w:basedOn w:val="Carpredefinitoparagrafo"/>
    <w:uiPriority w:val="99"/>
    <w:unhideWhenUsed/>
    <w:rsid w:val="00B801E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6/bmj.n7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77/014107680309600304" TargetMode="External"/><Relationship Id="rId12" Type="http://schemas.openxmlformats.org/officeDocument/2006/relationships/hyperlink" Target="https://doi.org/10.1016/j.infsof.2022.1069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80/14697010500359250" TargetMode="External"/><Relationship Id="rId11" Type="http://schemas.openxmlformats.org/officeDocument/2006/relationships/hyperlink" Target="https://doi.org/10.1007/s11192-021-03948-5" TargetMode="External"/><Relationship Id="rId5" Type="http://schemas.openxmlformats.org/officeDocument/2006/relationships/hyperlink" Target="https://doi.org/10.5465/amr.2009.0188" TargetMode="External"/><Relationship Id="rId10" Type="http://schemas.openxmlformats.org/officeDocument/2006/relationships/hyperlink" Target="https://doi.org/10.1108/IJPSM-11-2023-0330" TargetMode="External"/><Relationship Id="rId4" Type="http://schemas.openxmlformats.org/officeDocument/2006/relationships/webSettings" Target="webSettings.xml"/><Relationship Id="rId9" Type="http://schemas.openxmlformats.org/officeDocument/2006/relationships/hyperlink" Target="https://doi.org/10.1002/9780470754887"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2538</Words>
  <Characters>14470</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Ioannucci</dc:creator>
  <cp:keywords/>
  <dc:description/>
  <cp:lastModifiedBy>Pasquale Ruggiero</cp:lastModifiedBy>
  <cp:revision>2</cp:revision>
  <dcterms:created xsi:type="dcterms:W3CDTF">2026-03-14T21:50:00Z</dcterms:created>
  <dcterms:modified xsi:type="dcterms:W3CDTF">2026-03-14T21:50:00Z</dcterms:modified>
</cp:coreProperties>
</file>