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Appendix A1: Questionnaire</w:t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MAKERERE UNIVERSITY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SCHOOL OF STATISTICS AND PLANNING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Bdr/>
        <w:spacing/>
        <w:ind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/>
        <w:ind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Introduction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Bdr/>
        <w:spacing/>
        <w:ind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Dear Respondent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My name is Hillary </w:t>
      </w:r>
      <w:r>
        <w:rPr>
          <w:rFonts w:ascii="Times New Roman" w:hAnsi="Times New Roman" w:cs="Times New Roman"/>
          <w:sz w:val="20"/>
          <w:szCs w:val="20"/>
        </w:rPr>
        <w:t xml:space="preserve">Muhanguzi</w:t>
      </w:r>
      <w:r>
        <w:rPr>
          <w:rFonts w:ascii="Times New Roman" w:hAnsi="Times New Roman" w:cs="Times New Roman"/>
          <w:sz w:val="20"/>
          <w:szCs w:val="20"/>
        </w:rPr>
        <w:t xml:space="preserve"> Registration Number: 2020/HD06/046U, Student Number: 200</w:t>
      </w:r>
      <w:r>
        <w:rPr>
          <w:rFonts w:ascii="Times New Roman" w:hAnsi="Times New Roman" w:cs="Times New Roman"/>
          <w:sz w:val="20"/>
          <w:szCs w:val="20"/>
        </w:rPr>
        <w:t xml:space="preserve">0740045 and I am a Doctorate Student at Makerere University pursuing a PhD in Statistics. I am conducting a study on “methodological aspects in construction of a composite indicator of service delivery” as part of the requirements for the award of the PhD.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Based on your expertise, you have been purposively enlisted to provide input for this study. I kindly request you to provide your objective responses, which will be used for the purpose of this study as well as treated with utmost confidentiality.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 constructed a data quality assessment framework for the indicators that should be used to measure service delivery and to be included in the final model. </w:t>
      </w:r>
      <w:r>
        <w:rPr>
          <w:rFonts w:ascii="Times New Roman" w:hAnsi="Times New Roman" w:cs="Times New Roman"/>
          <w:b/>
          <w:sz w:val="20"/>
          <w:szCs w:val="20"/>
        </w:rPr>
        <w:t xml:space="preserve">Instructions: </w:t>
      </w:r>
      <w:r>
        <w:rPr>
          <w:rFonts w:ascii="Times New Roman" w:hAnsi="Times New Roman" w:cs="Times New Roman"/>
          <w:sz w:val="20"/>
          <w:szCs w:val="20"/>
        </w:rPr>
        <w:t xml:space="preserve">On a scale of 1 to 5, please rate the data quality components that should be used to assess the quality of indicators</w:t>
      </w:r>
      <w:r>
        <w:rPr>
          <w:rFonts w:ascii="Times New Roman" w:hAnsi="Times New Roman" w:eastAsia="Aptos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/>
        <w:ind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Ratings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Bdr/>
        <w:spacing/>
        <w:ind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ab/>
        <w:t xml:space="preserve">The indicators should not be assessed against this component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/>
        <w:ind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ab/>
        <w:t xml:space="preserve">The indicators may not be assessed against this component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/>
        <w:ind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</w:t>
      </w:r>
      <w:r>
        <w:rPr>
          <w:rFonts w:ascii="Times New Roman" w:hAnsi="Times New Roman" w:cs="Times New Roman"/>
          <w:sz w:val="20"/>
          <w:szCs w:val="20"/>
        </w:rPr>
        <w:tab/>
        <w:t xml:space="preserve">The indicators may be assessed against this component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/>
        <w:ind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</w:t>
      </w:r>
      <w:r>
        <w:rPr>
          <w:rFonts w:ascii="Times New Roman" w:hAnsi="Times New Roman" w:cs="Times New Roman"/>
          <w:sz w:val="20"/>
          <w:szCs w:val="20"/>
        </w:rPr>
        <w:tab/>
        <w:t xml:space="preserve">The indicators should be assessed against this component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/>
        <w:ind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</w:t>
      </w:r>
      <w:r>
        <w:rPr>
          <w:rFonts w:ascii="Times New Roman" w:hAnsi="Times New Roman" w:cs="Times New Roman"/>
          <w:sz w:val="20"/>
          <w:szCs w:val="20"/>
        </w:rPr>
        <w:tab/>
        <w:t xml:space="preserve">The indicators must be assessed against this component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/>
        <w:ind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/>
        <w:ind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Details of the Respondent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Bdr/>
        <w:spacing/>
        <w:ind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Name</w:t>
      </w:r>
      <w:r>
        <w:rPr>
          <w:rFonts w:ascii="Times New Roman" w:hAnsi="Times New Roman" w:cs="Times New Roman"/>
          <w:sz w:val="20"/>
          <w:szCs w:val="20"/>
        </w:rPr>
        <w:t xml:space="preserve">: :</w:t>
      </w:r>
      <w:r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/>
        <w:ind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Institution/Organization: 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/>
        <w:ind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Designation: 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/>
        <w:ind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Telephone Contact: ………………………………………………….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/>
        <w:ind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Date of Completion: 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/>
        <w:ind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/>
        <w:ind/>
        <w:rPr>
          <w:rFonts w:ascii="Times New Roman" w:hAnsi="Times New Roman" w:cs="Times New Roman"/>
          <w:sz w:val="20"/>
          <w:szCs w:val="20"/>
        </w:rPr>
        <w:sectPr>
          <w:footnotePr/>
          <w:endnotePr/>
          <w:type w:val="nextPage"/>
          <w:pgSz w:h="15840" w:orient="portrait" w:w="12240"/>
          <w:pgMar w:top="1008" w:right="1008" w:bottom="1008" w:left="1440" w:header="709" w:footer="709" w:gutter="0"/>
          <w:cols w:num="1" w:sep="0" w:space="720" w:equalWidth="1"/>
        </w:sect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numPr>
          <w:ilvl w:val="0"/>
          <w:numId w:val="2"/>
        </w:numPr>
        <w:pBdr/>
        <w:spacing/>
        <w:ind/>
        <w:contextualSpacing w:val="true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Using the matrix, please rate the data quality components as presented below: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tbl>
      <w:tblPr>
        <w:tblStyle w:val="11"/>
        <w:tblW w:w="14277" w:type="dxa"/>
        <w:tblInd w:w="-365" w:type="dxa"/>
        <w:tblBorders/>
        <w:tblLook w:val="04A0" w:firstRow="1" w:lastRow="0" w:firstColumn="1" w:lastColumn="0" w:noHBand="0" w:noVBand="1"/>
      </w:tblPr>
      <w:tblGrid>
        <w:gridCol w:w="990"/>
        <w:gridCol w:w="2340"/>
        <w:gridCol w:w="9180"/>
        <w:gridCol w:w="352"/>
        <w:gridCol w:w="353"/>
        <w:gridCol w:w="353"/>
        <w:gridCol w:w="354"/>
        <w:gridCol w:w="355"/>
      </w:tblGrid>
      <w:tr>
        <w:trPr>
          <w:tblHeader/>
        </w:trPr>
        <w:tc>
          <w:tcPr>
            <w:shd w:val="clear" w:color="ffffff" w:fill="f2f2f2" w:themeFill="background1" w:themeFillShade="F2"/>
            <w:tcBorders/>
            <w:tcW w:w="9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2f2f2" w:themeFill="background1" w:themeFillShade="F2"/>
            <w:tcBorders/>
            <w:tcW w:w="234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14:ligatures w14:val="none"/>
              </w:rPr>
              <w:t xml:space="preserve">Component?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2f2f2" w:themeFill="background1" w:themeFillShade="F2"/>
            <w:tcBorders/>
            <w:tcW w:w="918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14:ligatures w14:val="none"/>
              </w:rPr>
              <w:t xml:space="preserve">Meaning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14:ligatures w14:val="none"/>
              </w:rPr>
            </w:r>
          </w:p>
        </w:tc>
        <w:tc>
          <w:tcPr>
            <w:gridSpan w:val="5"/>
            <w:shd w:val="clear" w:color="ffffff" w:fill="f2f2f2" w:themeFill="background1" w:themeFillShade="F2"/>
            <w:tcBorders/>
            <w:tcW w:w="176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14:ligatures w14:val="none"/>
              </w:rPr>
              <w:t xml:space="preserve">Rating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14:ligatures w14:val="none"/>
              </w:rPr>
            </w:r>
          </w:p>
        </w:tc>
      </w:tr>
      <w:tr>
        <w:trPr>
          <w:tblHeader/>
        </w:trPr>
        <w:tc>
          <w:tcPr>
            <w:shd w:val="clear" w:color="ffffff" w:fill="f2f2f2" w:themeFill="background1" w:themeFillShade="F2"/>
            <w:tcBorders/>
            <w:tcW w:w="9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2f2f2" w:themeFill="background1" w:themeFillShade="F2"/>
            <w:tcBorders/>
            <w:tcW w:w="234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2f2f2" w:themeFill="background1" w:themeFillShade="F2"/>
            <w:tcBorders/>
            <w:tcW w:w="918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2f2f2" w:themeFill="background1" w:themeFillShade="F2"/>
            <w:tcBorders/>
            <w:tcW w:w="3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14:ligatures w14:val="none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2f2f2" w:themeFill="background1" w:themeFillShade="F2"/>
            <w:tcBorders/>
            <w:tcW w:w="3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14:ligatures w14:val="none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2f2f2" w:themeFill="background1" w:themeFillShade="F2"/>
            <w:tcBorders/>
            <w:tcW w:w="3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14:ligatures w14:val="none"/>
              </w:rPr>
              <w:t xml:space="preserve"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2f2f2" w:themeFill="background1" w:themeFillShade="F2"/>
            <w:tcBorders/>
            <w:tcW w:w="35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14:ligatures w14:val="none"/>
              </w:rPr>
              <w:t xml:space="preserve"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2f2f2" w:themeFill="background1" w:themeFillShade="F2"/>
            <w:tcBorders/>
            <w:tcW w:w="3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14:ligatures w14:val="none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14:ligatures w14:val="none"/>
              </w:rPr>
            </w:r>
          </w:p>
        </w:tc>
      </w:tr>
      <w:tr>
        <w:trPr/>
        <w:tc>
          <w:tcPr>
            <w:tcBorders/>
            <w:tcW w:w="990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23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Reliability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91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data itself is generated from reliable sources with scientific robustness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</w:tr>
      <w:tr>
        <w:trPr/>
        <w:tc>
          <w:tcPr>
            <w:tcBorders/>
            <w:tcW w:w="990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23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Relevance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91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data serve to address the purposes for which they are sought by users, or which they are presented as addressing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</w:tr>
      <w:tr>
        <w:trPr/>
        <w:tc>
          <w:tcPr>
            <w:tcBorders/>
            <w:tcW w:w="990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23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Completeness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91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coverage or percentage to which all required data is known from the relevant sites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</w:tr>
      <w:tr>
        <w:trPr/>
        <w:tc>
          <w:tcPr>
            <w:tcBorders/>
            <w:tcW w:w="990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23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Temporal representativeness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91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data reflects the true population of the underlying study regarding the time/age of the dataset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</w:tr>
      <w:tr>
        <w:trPr/>
        <w:tc>
          <w:tcPr>
            <w:tcBorders/>
            <w:tcW w:w="990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23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Geographical representativeness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91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data reflects the true population of the underlying study regarding the location of the dataset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</w:tr>
      <w:tr>
        <w:trPr/>
        <w:tc>
          <w:tcPr>
            <w:tcBorders/>
            <w:tcW w:w="990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23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Serviceability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91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data, with adequate periodicity and timeliness, are consistent and follow a predictable revisions policy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</w:tr>
      <w:tr>
        <w:trPr/>
        <w:tc>
          <w:tcPr>
            <w:tcBorders/>
            <w:tcW w:w="990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23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Accessibility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91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Data and metadata are easily available and assistance to users is adequate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</w:tr>
      <w:tr>
        <w:trPr/>
        <w:tc>
          <w:tcPr>
            <w:tcBorders/>
            <w:tcW w:w="990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23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Accuracy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91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Source data and statistical techniques are sound and statistical outputs sufficiently portray reality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</w:tr>
      <w:tr>
        <w:trPr/>
        <w:tc>
          <w:tcPr>
            <w:tcBorders/>
            <w:tcW w:w="990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23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Methodological soundness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91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The methodological basis for the statistics follows internationally accepted standards, guidelines, or good practices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</w:tr>
      <w:tr>
        <w:trPr/>
        <w:tc>
          <w:tcPr>
            <w:tcBorders/>
            <w:tcW w:w="990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23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Assurances of integrity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91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The principle of objectivity in the collection, processing, and dissemination of statistics is firmly adhered to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</w:tr>
      <w:tr>
        <w:trPr/>
        <w:tc>
          <w:tcPr>
            <w:tcBorders/>
            <w:tcW w:w="990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23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Global relevance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91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Data are relevant for monitoring achievement of the phenomena and applicable to the entire country. They are nationally comparable and allow for direct comparison of performance across LGs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</w:tr>
      <w:tr>
        <w:trPr/>
        <w:tc>
          <w:tcPr>
            <w:tcBorders/>
            <w:tcW w:w="990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23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Statistical adequacy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91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data selected represent valid and reliable measures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</w:tr>
      <w:tr>
        <w:trPr/>
        <w:tc>
          <w:tcPr>
            <w:tcBorders/>
            <w:tcW w:w="990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23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Timeliness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91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The indicators selected are up to date and published on a reasonably prompt schedule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</w:tr>
      <w:tr>
        <w:trPr/>
        <w:tc>
          <w:tcPr>
            <w:tcBorders/>
            <w:tcW w:w="990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23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Content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91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Data measures all or some facets of service delivery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</w:tr>
      <w:tr>
        <w:trPr/>
        <w:tc>
          <w:tcPr>
            <w:tcBorders/>
            <w:tcW w:w="990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23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Technique and method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91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Data measures service delivery in a quantitative (qualitative), objective (subjective), cardinal (ordinal), or 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uni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-dimensional (multidimensional) manner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</w:tr>
      <w:tr>
        <w:trPr/>
        <w:tc>
          <w:tcPr>
            <w:tcBorders/>
            <w:tcW w:w="990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23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Comparative application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91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Data compares the level of service delivery (a) across space (‘cross-section’) or time (‘time-series’), and (b) in an absolute or relative manner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</w:tr>
      <w:tr>
        <w:trPr/>
        <w:tc>
          <w:tcPr>
            <w:tcBorders/>
            <w:tcW w:w="990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23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Focus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91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Data measures service delivery in terms of input (‘means’) or output (‘ends’)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</w:tr>
      <w:tr>
        <w:trPr/>
        <w:tc>
          <w:tcPr>
            <w:tcBorders/>
            <w:tcW w:w="990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23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Clarity and simplicity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91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Data are clear and simple in their content, purpose, method, comparative application and focus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</w:tr>
      <w:tr>
        <w:trPr/>
        <w:tc>
          <w:tcPr>
            <w:tcBorders/>
            <w:tcW w:w="990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23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Availability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91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Data are readily available on the particular indicator across time and space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</w:tr>
      <w:tr>
        <w:trPr/>
        <w:tc>
          <w:tcPr>
            <w:tcBorders/>
            <w:tcW w:w="990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23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Flexibility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91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Data are relatively flexible in allowing for changes in content, purpose, method, comparative application and focus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</w:tr>
      <w:tr>
        <w:trPr/>
        <w:tc>
          <w:tcPr>
            <w:tcBorders/>
            <w:tcW w:w="990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23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Interpretability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91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Data are easily understood and properly used by users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</w:tr>
      <w:tr>
        <w:trPr/>
        <w:tc>
          <w:tcPr>
            <w:tcBorders/>
            <w:tcW w:w="990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23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Professional independence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91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Systems, procedures and practices for data production are free from undue political interference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</w:tr>
      <w:tr>
        <w:trPr/>
        <w:tc>
          <w:tcPr>
            <w:tcBorders/>
            <w:tcW w:w="990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23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Gender responsiveness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91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Data easily portray the differences between men and women, girls and boys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3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</w:tr>
    </w:tbl>
    <w:p>
      <w:pPr>
        <w:pBdr/>
        <w:spacing/>
        <w:ind w:left="720"/>
        <w:contextualSpacing w:val="true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numPr>
          <w:ilvl w:val="0"/>
          <w:numId w:val="2"/>
        </w:numPr>
        <w:pBdr/>
        <w:spacing/>
        <w:ind/>
        <w:contextualSpacing w:val="true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Please suggest any other dimension</w:t>
      </w:r>
      <w:r>
        <w:rPr>
          <w:rFonts w:ascii="Times New Roman" w:hAnsi="Times New Roman" w:eastAsia="Aptos" w:cs="Times New Roman"/>
          <w:b/>
          <w:sz w:val="20"/>
          <w:szCs w:val="20"/>
        </w:rPr>
        <w:t xml:space="preserve">s/criteria that should be used to assess the quality of the statistical indicators.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Bdr/>
        <w:spacing/>
        <w:ind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/>
        <w:ind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Bdr/>
        <w:spacing/>
        <w:ind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664"/>
        <w:numPr>
          <w:ilvl w:val="0"/>
          <w:numId w:val="2"/>
        </w:numPr>
        <w:pBdr/>
        <w:spacing/>
        <w:ind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Any other comments/observations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/>
        <w:ind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/>
        <w:ind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/>
        <w:ind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THANK YOU FOR YOUR COOPERATION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Bdr/>
        <w:spacing/>
        <w:ind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Appendix A2. Additional tables</w:t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Bdr/>
        <w:spacing w:after="200" w:line="240" w:lineRule="auto"/>
        <w:ind/>
        <w:rPr>
          <w:rFonts w:ascii="Times New Roman" w:hAnsi="Times New Roman" w:cs="Times New Roman"/>
          <w:b/>
          <w:bCs/>
          <w:i/>
          <w:iCs/>
          <w:color w:val="0e2841" w:themeColor="text2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0e2841" w:themeColor="text2"/>
          <w:sz w:val="20"/>
          <w:szCs w:val="20"/>
        </w:rPr>
        <w:t xml:space="preserve">Table A2.1: Original list of indicators proposed for input into the CI</w:t>
      </w:r>
      <w:r>
        <w:rPr>
          <w:rFonts w:ascii="Times New Roman" w:hAnsi="Times New Roman" w:cs="Times New Roman"/>
          <w:b/>
          <w:bCs/>
          <w:i/>
          <w:iCs/>
          <w:color w:val="0e2841" w:themeColor="text2"/>
          <w:sz w:val="20"/>
          <w:szCs w:val="20"/>
        </w:rPr>
      </w:r>
      <w:r>
        <w:rPr>
          <w:rFonts w:ascii="Times New Roman" w:hAnsi="Times New Roman" w:cs="Times New Roman"/>
          <w:b/>
          <w:bCs/>
          <w:i/>
          <w:iCs/>
          <w:color w:val="0e2841" w:themeColor="text2"/>
          <w:sz w:val="20"/>
          <w:szCs w:val="20"/>
        </w:rPr>
      </w:r>
    </w:p>
    <w:tbl>
      <w:tblPr>
        <w:tblW w:w="5000" w:type="pct"/>
        <w:tblBorders/>
        <w:tblLook w:val="04A0" w:firstRow="1" w:lastRow="0" w:firstColumn="1" w:lastColumn="0" w:noHBand="0" w:noVBand="1"/>
      </w:tblPr>
      <w:tblGrid>
        <w:gridCol w:w="827"/>
        <w:gridCol w:w="666"/>
        <w:gridCol w:w="4133"/>
        <w:gridCol w:w="1309"/>
        <w:gridCol w:w="2297"/>
        <w:gridCol w:w="1484"/>
        <w:gridCol w:w="1310"/>
        <w:gridCol w:w="1356"/>
      </w:tblGrid>
      <w:tr>
        <w:trPr>
          <w:trHeight w:val="288"/>
          <w:tblHeader/>
        </w:trPr>
        <w:tc>
          <w:tcPr>
            <w:shd w:val="clear" w:color="000000" w:fill="bfbf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 xml:space="preserve">Domain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bfbfb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 xml:space="preserve">Var Name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bfbfb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 xml:space="preserve">Indicator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bfbfb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 xml:space="preserve">Units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bfbfb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 xml:space="preserve">Development Framework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bfbfb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 xml:space="preserve">Service Delivery Standard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bfbfb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 xml:space="preserve">Level in TF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bfbfb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 xml:space="preserve">Data Source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gridSpan w:val="6"/>
            <w:shd w:val="clear" w:color="000000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2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 xml:space="preserve">Education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52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e.1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Average distance from the community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centre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 to the nearest government primary school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kms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SDG 1.4.1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UNESCO distance norm- the average should be within 3 kms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Output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NSDS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52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e.2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household respondents that rated the quality of primary school teaching as good &amp;very good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SDG 16.6.2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Experience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NSDS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52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e.3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household respondents that rated the quality of primary school facilities as good &amp; very good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SDG 16.6.2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Experience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NSDS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e.4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govt primary schools providing lunch to teachers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Parent-led School Feeding Program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Input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NSDS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e.5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govt primary schools providing lunch to learners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Parent-led School Feeding Program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Input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NSDS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e.6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government primary schools reporting adequate toilet facilities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School facilities Grant for Primary School, SDG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4.a.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Input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NSDS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52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e.7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Pupil Teacher Ratio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Percentage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LG Performance Assessment, Global Partnership for Education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Global Partnership for Education-1 teacher for 40 pupils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Output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NSDS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e.8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government primary schools with classrooms accessed by PWDs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Uganda Gender Policy, SDG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4.a.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Input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NSDS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e.9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primary schools whose classroom condition were rated good &amp; very good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School facilities Grant for Primary Schools, SDG 16.6.2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Experience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NSDS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e.10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government primary schools with toilets accessed by PWDs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SDG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4.a.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Output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NSDS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52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e.11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Pupil Stance Ratio- Girls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Percent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Health Risks and Social Determinant, NDP-HCD Intermediate Outcome, SDG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4.a.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 target is 40. For every stance there are 40 pupils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Output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NSDS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52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e.12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Pupil Stance Ratio- Boys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Percent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Health Risks and Social Determinant, NDP-HCD Intermediate Outcome, SDG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4.a.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 target is 40. For every stance there are 40 pupils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Output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NSDS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e.13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primary schools that rated condition of toilet facilities as good and very good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School facilities Grant for Primary Schools, SDG 16.6.2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Experience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NSDS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52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e.14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Average distance from community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centre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 to a government secondary school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Kilometers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SDG 1.4.1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UNESCO distance norm- the average should be within 3 kms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Output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NSDS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e.15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household respondents that rated the quality of SS teaching as good &amp;very good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SDG 16.6.2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Experience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NSDS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52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e.16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household respondents that rated the quality of secondary school facilities as good &amp;very good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SDG 16.6.2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Experience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NSDS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e.17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Literacy rate for 18 years and above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Percent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National Development Plan/NSI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Output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NSDS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52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e.18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Pupil- Classroom Ratio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Percent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School facilities Grant for Primary Schools, NDP-HCD Intermediate Outcome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 target is 45. For every classroom there are 45 pupils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Output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e.19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primary schools with hand-washing facilities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SDG 4.a.1, SSIP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SSIP target is 90%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Output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NSDS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52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e.20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total government spending to education sector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Percent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SDG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1.a.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Input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Administrative- Budget data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e.21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Average years of schooling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NDP- PIAP Outcome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 Target is 100%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Output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Census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e.22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Gross enrolment ratio-primary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NDP- PIAP Outcome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 Target is104%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Output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NSDS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e.23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household population aged 6-12 currently attending school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Proxy for NER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 Target is 98%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Output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NSDS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e.24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Quality adjusted years of schooling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NDP- PIAP Outcome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 Target is 7.5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Output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e.25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Survival rates- primary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NDP- PIAP Outcome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 Target is 42%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Output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e.26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Transition rates- secondary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NDP- PIAP Outcome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 Target is 73%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Output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e.27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Proficiency in literacy-P3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NDP- PIAP Outcome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 Target is 77.9%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Output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e.28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Proficiency in numeracy-P3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NDP- PIAP Outcome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 Target is 80.7%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Output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e.29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children able to learn, play and grow up in safe, clean, and stimulating environment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NDP- PIAP Outcome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 Target is 50%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Experience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e.30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primary schools with an improved source of drinking water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NSDS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gridSpan w:val="6"/>
            <w:shd w:val="clear" w:color="000000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2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 xml:space="preserve">Health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h.1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the population living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withing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 5 km of govt health facility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Health Investment and Output Target, SDG 1.4.1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WHO standard is 5 km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Output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NSDS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h.2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Average distance from a community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centre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 to a government health facility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Km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WHO standard is 5 km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Output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NSDS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h.3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household respondents satisfied with quality of healthcare at govt facility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Client satisfaction surveys- NDP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Experience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NSDS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h.4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government health facilities with adequate toilets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Output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NSDS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h.5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household respondents that rated the condition of toilets as good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Experience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NSDS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h.6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government health facilities connected to piped water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National Development Plan, WHO/UNICEF JMP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Input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NSDS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h.7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government health facilities using electricity from the national grid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Input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NSDS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h.8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the elderly registered for SAGE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National Development Plan, SDG 1.3.1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Output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NSDS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h.9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the elderly that received any money under SAGE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National Development Plan, SDG 1.3.1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Output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h.10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household respondents that rated distance to government health facility as far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SDG 16.6.2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Experience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NSDS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79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h.11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approved health staffing positions in public health facilities filled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LG Performance Assessment, MOH SP, Human Resources for Health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br/>
              <w:t xml:space="preserve">SDG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3.c.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MOH SP Target is 86%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Input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Administrative- AHSPR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52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h.12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Registered health facilities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Number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Input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NHFML-2018, AHSPR 2022-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h.13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deliveries in health facilities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Health Service Outcome Targets, MOH SP, SDG 3.1.2,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MOH SP Target is 74%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Output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AHSPR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52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h.14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health facilities that have a core set of relevant essential medicines available and affordable on a sustainable basis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SDG 3.b.3, MOH SP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MOH SP Target is 90%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Input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AHSPR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h.15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total government spending to health sector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Percent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SDG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1.a.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MOH Target is 15%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Input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GFS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h.16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Annual Cancer Incident Cases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Ratio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NDP- PIAP Outcome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Output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h.17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Maternal Mortality ratio (per 100,000)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Ratio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NDP- PIAP Outcome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211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Output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AHSPR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h.18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Mortality rate Attributed to unsafe water, unsafe sanitation, and lack of hygiene (per 100,000)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Ratio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NDP- PIAP Outcome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Output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h.19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Neonatal Mortality Rate (per 1,000)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Ratio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NDP- PIAP Outcome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Output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UDHS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h.20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Mortality attributed to Injuries (%)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NDP- PIAP Outcome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8%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Output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h.21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Prevalence of Malnutrition in the population, %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NDP- PIAP Outcome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20%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Output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UDHS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52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h.22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Adolescent fertility rate (Birth rate per 1,000 adolescent women aged 10 – 14 years, aged 15-19 years)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Ratio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NDP- PIAP Outcome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Output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h.23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Total Fertility Rate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Ratio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NDP- PIAP Outcome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4.5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Experience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UDHS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h.24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Unmet need for Family Planning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NDP- PIAP Outcome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Output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UDHS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h.25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workplaces with occupational health services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NDP- PIAP Outcome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Output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h.26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GBV prevalence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NDP- PIAP Outcome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Output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UDHS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gridSpan w:val="6"/>
            <w:shd w:val="clear" w:color="000000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2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 xml:space="preserve">Water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w.1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households with piped water connected into the dwelling during the dry season-drinking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National Development Plan, SSIP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Target is 70%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Output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NSDS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52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w.2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households in above 3 km to a water source during the dry season- drinking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Golden Service Delivery Indicators for WASH, SDG 1.4.1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WHO standard is 1 km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Output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NSDS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52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w.3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Average time taken to and from a water source during the dry season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Minutes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Golden Service Delivery Indicators for WASH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UNICEF/WHO JMP round trip basic is not more than 30 minutes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Experience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NSDS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52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w.4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Average waiting time at water source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Minutes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UNICEF/WHO JMP round trip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basic is not more than 30 minutes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Experience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NSDS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w.5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households accessing a safe drinking water source-dry season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National Development Plan SDG 6.1.1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 Target is 70%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Experience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NSDS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52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villages with an improved water source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Water Sector Strategic Investment Plan (SSIP)National Development Plan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Presidential Directive NDP Target is 70%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w.7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households with a hand-washing facility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National Development Plan SDG 6.2.1, SSIP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 target is 50%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Output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NSDS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w.8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households with an improved toilet not shared with other households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NDP-HCD Intermediate Outcome, SDG 6.2.1, SSIP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45%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Output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NSDS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w.9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% of rural water systems that are functional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Percent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National Development Plan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Target is 100%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Input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NRECCLWM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w.10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% of water-use/water and sanitation committees that are functional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Percent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SDG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6.b.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Input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NRECCLWM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52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w.11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Percentage of rural population within access of an improved water source (1km)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NDP-HCD Intermediate Outcome, SSIP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 target is 76%. WHO standard is 1 km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Output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NRECCLWM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w.12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total government spending to water sector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SDG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1.a.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Input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GFS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w.13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Percentage of point water sources that are functional at the time of spot check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NDP-HCD Intermediate Outcome, SSIP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91%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Output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NRECCLWM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w.14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Compliance to abstraction permit conditions - Ground water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percent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NDP-NR PIAP Outcome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81%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Input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NRECCLWM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w.15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Compliance to abstraction permit conditions - Surface water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Percent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NDP-NR PIAP Outcome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82%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Input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NRECCLWM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w.16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No. of Water User Permit holders monitored.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Number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NDP-NR PIAP Outcome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550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Input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NRECCLWM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gridSpan w:val="6"/>
            <w:shd w:val="clear" w:color="000000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2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 xml:space="preserve">Agriculture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a.1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households with access to credit for agriculture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NDP-AI PIAP outcome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 Target is 60%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Output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NSDS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52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a.2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households that were visited by an extension worker in the last one year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LG Development Plans, ASSP, National Development Plan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 Target is to have an extension worker for every parish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Output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NSDS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agriculture households that were satisfied with extension services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SDG 16.6.2 National Development Plan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a.4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households that rated quality of extension services as good &amp; very good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NDP-AI PIAP outcome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 Target is 80%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Experience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nsds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a.5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Percentage of sub-counties with markets for producer goods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Percent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Input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NSDS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a.6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Percentage of water for production facilities that are functional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Percent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it-IT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it-IT"/>
                <w14:ligatures w14:val="none"/>
              </w:rPr>
              <w:t xml:space="preserve">NDP-AI PIAP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it-IT"/>
                <w14:ligatures w14:val="none"/>
              </w:rPr>
              <w:t xml:space="preserve">outcome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it-IT"/>
                <w14:ligatures w14:val="none"/>
              </w:rPr>
              <w:t xml:space="preserve">, SSIP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it-IT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it-IT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89.7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Input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NRECCLWM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52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a.7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total government spending to agriculture sector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Percent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Input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Statistical Abstract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a.8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households that are food secure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NDP-AI PIAP outcome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89.7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Output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a.9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Percent change in production volumes in priority agricultural commodities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NDP-AI PIAP outcome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Output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NFASS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a.10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agricultural area under production and sustainable agriculture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NDP-AI PIAP outcome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Output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NFASS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a.11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Cumulative water for production storage capacity (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Mcm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Mill Cm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it-IT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it-IT"/>
                <w14:ligatures w14:val="none"/>
              </w:rPr>
              <w:t xml:space="preserve">NDP-AI PIAP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it-IT"/>
                <w14:ligatures w14:val="none"/>
              </w:rPr>
              <w:t xml:space="preserve">outcome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it-IT"/>
                <w14:ligatures w14:val="none"/>
              </w:rPr>
              <w:t xml:space="preserve">, SSIP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it-IT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it-IT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76.82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Output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NFASS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a.12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Area under formal irrigation (ha)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ha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NDP-AI PIAP outcome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27,424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Output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NFASS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52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a.13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households that are dependent on subsistence agriculture as a main source of livelihood (percent)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NDP-AI PIAP outcome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Output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a.14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Number of jobs created in the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agro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-industrial value chain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Number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NDP-AI PIAP outcome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100,000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Output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gridSpan w:val="6"/>
            <w:shd w:val="clear" w:color="000000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2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 xml:space="preserve">Roads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r.1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communities whose nearest road is tarmac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SDG 9.1.1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Input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NSDS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r.2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households reporting all year usability of nearest road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Transport Sector Golden Indicators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SDG 1.4.1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Experience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NSDS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r.3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sub-counties with trunk road-tarmac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Input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NSDS-Survey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r.4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Fatality per 100,000 on road transport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Ratio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NDP-IT IS PIAP, SDG 3.6.1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 target is 2,500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Output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UPF-Admin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r.5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Serious injuries on road transport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Ratio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NDP-IT IS PIAP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2,500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UPF- Admin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r.6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total government spending to transport sector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Input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r.7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businesses reporting transport as an obstacle to business environment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Experience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NSDS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r.8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Average travel time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Min/km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NDP-IT IS PIAP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Experience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ITS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r.9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Paved national roads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km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NDP-IT IS PIAP, Transport Sector Golden Indicator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8000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Output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ITS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r.10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Paved urban roads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km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NDP-IT IS PIAP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1748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Output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ITS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r.11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Unit cost of building transport infrastructure (roads to paved)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UGX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NDP-IT IS PIAP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2.4bn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Input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ITS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r.12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Average infrastructure lifespan-tarmac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Years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NDP-IT IS PIAP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Output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ITS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r.13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% of local governments in compliance with road standards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Percent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NDP-IT IS PIAP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100%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Input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r.14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Percentage of district equipment in good working condition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Percent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NDP-IT IS PIAP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70%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Input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r.15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Percentage of District Roads in Fair to Good Condition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Percent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NDP-IT IS PIAP, Transport Sector Golden Indicator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70%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Output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52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r.16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percentage of sub-counties that have had a new trunk (tarmac &amp;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Murrum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) road constructed in the last 2 years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percent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Output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NSDS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spacing w:after="0" w:line="240" w:lineRule="atLeast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r.17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percentage of sub-counties reporting possession of minimum road equipment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percent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3" w:type="pct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4" w:type="pct"/>
            <w:vAlign w:val="center"/>
            <w:textDirection w:val="lrTb"/>
            <w:noWrap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Output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NSDS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b/>
          <w:bCs/>
          <w:sz w:val="28"/>
          <w:szCs w:val="28"/>
        </w:rPr>
        <w:sectPr>
          <w:footnotePr/>
          <w:endnotePr/>
          <w:type w:val="nextPage"/>
          <w:pgSz w:h="12240" w:orient="landscape" w:w="15840"/>
          <w:pgMar w:top="1008" w:right="1008" w:bottom="1008" w:left="1440" w:header="709" w:footer="709" w:gutter="0"/>
          <w:cols w:num="1" w:sep="0" w:space="720" w:equalWidth="1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 w:after="200" w:line="240" w:lineRule="auto"/>
        <w:ind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Table A2.2: Qualifying elementary indicators for inclusion into the CI as per the DQAF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</w:r>
    </w:p>
    <w:tbl>
      <w:tblPr>
        <w:tblW w:w="138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209"/>
        <w:gridCol w:w="996"/>
        <w:gridCol w:w="1416"/>
        <w:gridCol w:w="946"/>
        <w:gridCol w:w="1406"/>
        <w:gridCol w:w="1052"/>
        <w:gridCol w:w="796"/>
      </w:tblGrid>
      <w:tr>
        <w:trPr>
          <w:cantSplit/>
          <w:trHeight w:val="413"/>
        </w:trPr>
        <w:tc>
          <w:tcPr>
            <w:shd w:val="clear" w:color="ffffff" w:fill="ffffff"/>
            <w:tcBorders/>
            <w:tcW w:w="7209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 xml:space="preserve">Elementary Indicator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 xml:space="preserve">Relevance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1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 xml:space="preserve">Interpretability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4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 xml:space="preserve">Accuracy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0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 xml:space="preserve">Methodological soundness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052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 xml:space="preserve">Statistical adequacy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0d0d0"/>
            <w:tcBorders/>
            <w:tcW w:w="7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 xml:space="preserve">Overall rating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000000" w:fill="d9d9d9"/>
            <w:tcBorders/>
            <w:tcW w:w="7209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 xml:space="preserve">Education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9d9d9"/>
            <w:tcBorders/>
            <w:tcW w:w="9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9d9d9"/>
            <w:tcBorders/>
            <w:tcW w:w="141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9d9d9"/>
            <w:tcBorders/>
            <w:tcW w:w="94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9d9d9"/>
            <w:tcBorders/>
            <w:tcW w:w="140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9d9d9"/>
            <w:tcBorders/>
            <w:tcW w:w="1052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9d9d9"/>
            <w:tcBorders/>
            <w:tcW w:w="7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/>
            <w:tcW w:w="72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Average distance from the community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centre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 to the nearest government primary school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1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4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0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052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0d0d0"/>
            <w:tcBorders/>
            <w:tcW w:w="7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/>
            <w:tcW w:w="72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household respondents that rated the quality of primary school teaching as good &amp;very good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1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4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0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052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0d0d0"/>
            <w:tcBorders/>
            <w:tcW w:w="7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/>
            <w:tcW w:w="72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household respondents that rated the quality of primary school facilities as good &amp; very good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1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4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0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052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0d0d0"/>
            <w:tcBorders/>
            <w:tcW w:w="7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/>
            <w:tcW w:w="72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govt primary schools providing lunch to teachers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1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4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0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052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0d0d0"/>
            <w:tcBorders/>
            <w:tcW w:w="7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/>
            <w:tcW w:w="72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govt primary schools providing lunch to learners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1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4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0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052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0d0d0"/>
            <w:tcBorders/>
            <w:tcW w:w="7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/>
            <w:tcW w:w="72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government primary schools reporting adequate toilet facilities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1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4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0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052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0d0d0"/>
            <w:tcBorders/>
            <w:tcW w:w="7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/>
            <w:tcW w:w="72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Pupil Teacher Ratio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1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4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0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052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0d0d0"/>
            <w:tcBorders/>
            <w:tcW w:w="7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/>
            <w:tcW w:w="72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government primary schools with classrooms accessed by PWDs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1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4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0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052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0d0d0"/>
            <w:tcBorders/>
            <w:tcW w:w="7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/>
            <w:tcW w:w="72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primary schools whose classroom condition were rated good &amp; very good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1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4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0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052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0d0d0"/>
            <w:tcBorders/>
            <w:tcW w:w="7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/>
            <w:tcW w:w="72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Pupil Stance Ratio- Girls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1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4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0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052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0d0d0"/>
            <w:tcBorders/>
            <w:tcW w:w="7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/>
            <w:tcW w:w="72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Pupil Stance Ratio- Boys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1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4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0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052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0d0d0"/>
            <w:tcBorders/>
            <w:tcW w:w="7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/>
            <w:tcW w:w="72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Average distance from community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centre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 to a government secondary school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1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4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0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052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0d0d0"/>
            <w:tcBorders/>
            <w:tcW w:w="7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/>
            <w:tcW w:w="72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household respondents that rated the quality of Secondary School teaching as good &amp;very good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1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4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0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052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0d0d0"/>
            <w:tcBorders/>
            <w:tcW w:w="7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/>
            <w:tcW w:w="72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household respondents that rated the quality of secondary school facilities as good &amp;very good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1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4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0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052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0d0d0"/>
            <w:tcBorders/>
            <w:tcW w:w="7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/>
            <w:tcW w:w="72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Literacy rate for 18 years and above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1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4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0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052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0d0d0"/>
            <w:tcBorders/>
            <w:tcW w:w="7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/>
            <w:tcW w:w="72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primary schools with hand-washing facilities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1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4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0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052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0d0d0"/>
            <w:tcBorders/>
            <w:tcW w:w="7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/>
            <w:tcW w:w="72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Gross enrolment ratio-primary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1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4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0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052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0d0d0"/>
            <w:tcBorders/>
            <w:tcW w:w="7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/>
            <w:tcW w:w="72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household population aged 6-12 currently attending school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1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4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0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052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0d0d0"/>
            <w:tcBorders/>
            <w:tcW w:w="7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000000" w:fill="d9d9d9"/>
            <w:tcBorders/>
            <w:tcW w:w="72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 xml:space="preserve">Health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9d9d9"/>
            <w:tcBorders/>
            <w:tcW w:w="9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9d9d9"/>
            <w:tcBorders/>
            <w:tcW w:w="141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9d9d9"/>
            <w:tcBorders/>
            <w:tcW w:w="94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9d9d9"/>
            <w:tcBorders/>
            <w:tcW w:w="140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9d9d9"/>
            <w:tcBorders/>
            <w:tcW w:w="1052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9d9d9"/>
            <w:tcBorders/>
            <w:tcW w:w="7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/>
            <w:tcW w:w="72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the population living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withing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 5 km of govt health facility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1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4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0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052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0d0d0"/>
            <w:tcBorders/>
            <w:tcW w:w="7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/>
            <w:tcW w:w="72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Average distance from a community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centre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 to a government health facility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1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4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0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052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0d0d0"/>
            <w:tcBorders/>
            <w:tcW w:w="7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/>
            <w:tcW w:w="72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household respondents satisfied with quality of healthcare at govt facility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1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4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0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052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0d0d0"/>
            <w:tcBorders/>
            <w:tcW w:w="7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/>
            <w:tcW w:w="72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government health facilities with adequate toilets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1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4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0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052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0d0d0"/>
            <w:tcBorders/>
            <w:tcW w:w="7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/>
            <w:tcW w:w="72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government health facilities connected to piped water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1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4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0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052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0d0d0"/>
            <w:tcBorders/>
            <w:tcW w:w="7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/>
            <w:tcW w:w="72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government health facilities using electricity from the national grid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1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4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0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052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0d0d0"/>
            <w:tcBorders/>
            <w:tcW w:w="7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/>
            <w:tcW w:w="72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the elderly that received any money under SAGE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1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4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0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052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0d0d0"/>
            <w:tcBorders/>
            <w:tcW w:w="7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/>
            <w:tcW w:w="72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household respondents that rated distance to government health facility as far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1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4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0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052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0d0d0"/>
            <w:tcBorders/>
            <w:tcW w:w="7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/>
            <w:tcW w:w="72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approved health staffing positions in public health facilities filled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1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4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0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052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0d0d0"/>
            <w:tcBorders/>
            <w:tcW w:w="7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/>
            <w:tcW w:w="72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Registered health facilities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1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4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0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052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0d0d0"/>
            <w:tcBorders/>
            <w:tcW w:w="7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000000" w:fill="d9d9d9"/>
            <w:tcBorders/>
            <w:tcW w:w="72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 xml:space="preserve">Water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9d9d9"/>
            <w:tcBorders/>
            <w:tcW w:w="9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9d9d9"/>
            <w:tcBorders/>
            <w:tcW w:w="141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9d9d9"/>
            <w:tcBorders/>
            <w:tcW w:w="94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9d9d9"/>
            <w:tcBorders/>
            <w:tcW w:w="140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9d9d9"/>
            <w:tcBorders/>
            <w:tcW w:w="1052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9d9d9"/>
            <w:tcBorders/>
            <w:tcW w:w="7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/>
            <w:tcW w:w="72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households with piped water connected into the dwelling during the dry season-drinking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1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4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0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052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0d0d0"/>
            <w:tcBorders/>
            <w:tcW w:w="7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/>
            <w:tcW w:w="72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households in above 3 km to a water source during the dry season- drinking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1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4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0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052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0d0d0"/>
            <w:tcBorders/>
            <w:tcW w:w="7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/>
            <w:tcW w:w="72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Average time taken to and from a water source during the dry season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1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4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0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052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0d0d0"/>
            <w:tcBorders/>
            <w:tcW w:w="7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/>
            <w:tcW w:w="72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Average waiting time at water source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1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4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0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052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0d0d0"/>
            <w:tcBorders/>
            <w:tcW w:w="7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/>
            <w:tcW w:w="72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households accessing a safe drinking water source-dry season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1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4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0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052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0d0d0"/>
            <w:tcBorders/>
            <w:tcW w:w="7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/>
            <w:tcW w:w="72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households with a hand-washing facility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1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4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0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052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0d0d0"/>
            <w:tcBorders/>
            <w:tcW w:w="7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/>
            <w:tcW w:w="72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households with an improved toilet not shared with other households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1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4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0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052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0d0d0"/>
            <w:tcBorders/>
            <w:tcW w:w="7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/>
            <w:tcW w:w="72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% of rural water systems that are functional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1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4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0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052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0d0d0"/>
            <w:tcBorders/>
            <w:tcW w:w="7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/>
            <w:tcW w:w="72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% of water-use/water and sanitation committees that are functional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1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4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0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052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0d0d0"/>
            <w:tcBorders/>
            <w:tcW w:w="7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/>
            <w:tcW w:w="72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Percentage of rural population within access of an improved water source (1km)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1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4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0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052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0d0d0"/>
            <w:tcBorders/>
            <w:tcW w:w="7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000000" w:fill="d9d9d9"/>
            <w:tcBorders/>
            <w:tcW w:w="72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 xml:space="preserve">Agriculture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9d9d9"/>
            <w:tcBorders/>
            <w:tcW w:w="9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9d9d9"/>
            <w:tcBorders/>
            <w:tcW w:w="141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9d9d9"/>
            <w:tcBorders/>
            <w:tcW w:w="94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9d9d9"/>
            <w:tcBorders/>
            <w:tcW w:w="140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9d9d9"/>
            <w:tcBorders/>
            <w:tcW w:w="1052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9d9d9"/>
            <w:tcBorders/>
            <w:tcW w:w="7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/>
            <w:tcW w:w="72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households with access to credit for agriculture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1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4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0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052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0d0d0"/>
            <w:tcBorders/>
            <w:tcW w:w="7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/>
            <w:tcW w:w="72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households that were visited by an extension worker in the last one year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1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4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0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052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0d0d0"/>
            <w:tcBorders/>
            <w:tcW w:w="7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/>
            <w:tcW w:w="72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agriculture households that were satisfied with extension services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1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4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0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052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0d0d0"/>
            <w:tcBorders/>
            <w:tcW w:w="7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/>
            <w:tcW w:w="72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households that rated quality of extension services as good &amp; very good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1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4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0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052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0d0d0"/>
            <w:tcBorders/>
            <w:tcW w:w="7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/>
            <w:tcW w:w="72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Percentage of sub-counties with markets for producer goods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1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4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0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052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0d0d0"/>
            <w:tcBorders/>
            <w:tcW w:w="7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d9d9d9" w:themeFill="background1" w:themeFillShade="D9"/>
            <w:tcBorders/>
            <w:tcW w:w="72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 xml:space="preserve">Roads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d9d9d9" w:themeFill="background1" w:themeFillShade="D9"/>
            <w:tcBorders/>
            <w:tcW w:w="9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d9d9d9" w:themeFill="background1" w:themeFillShade="D9"/>
            <w:tcBorders/>
            <w:tcW w:w="141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d9d9d9" w:themeFill="background1" w:themeFillShade="D9"/>
            <w:tcBorders/>
            <w:tcW w:w="94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d9d9d9" w:themeFill="background1" w:themeFillShade="D9"/>
            <w:tcBorders/>
            <w:tcW w:w="140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d9d9d9" w:themeFill="background1" w:themeFillShade="D9"/>
            <w:tcBorders/>
            <w:tcW w:w="1052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d9d9d9" w:themeFill="background1" w:themeFillShade="D9"/>
            <w:tcBorders/>
            <w:tcW w:w="7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/>
            <w:tcW w:w="72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communities whose nearest road is tarmac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1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4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0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052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0d0d0"/>
            <w:tcBorders/>
            <w:tcW w:w="7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/>
            <w:tcW w:w="72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households reporting all year usability of nearest road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1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4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0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052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0d0d0"/>
            <w:tcBorders/>
            <w:tcW w:w="7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/>
            <w:tcW w:w="72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sub-counties with trunk road-tarmac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1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4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0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052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0d0d0"/>
            <w:tcBorders/>
            <w:tcW w:w="7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/>
            <w:tcW w:w="72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Fatality per 100,000 on road transport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1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4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0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052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0d0d0"/>
            <w:tcBorders/>
            <w:tcW w:w="7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/>
            <w:tcW w:w="72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Serious injuries on road transport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1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4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0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052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0d0d0"/>
            <w:tcBorders/>
            <w:tcW w:w="7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/>
            <w:tcW w:w="72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Proportion of businesses reporting transport as an obstacle to business environment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1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4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0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052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0d0d0"/>
            <w:tcBorders/>
            <w:tcW w:w="7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/>
            <w:tcW w:w="72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percentage of sub-counties that have had a new trunk (tarmac &amp;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Murrum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) road constructed in the last 2 years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1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4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0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052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0d0d0"/>
            <w:tcBorders/>
            <w:tcW w:w="7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/>
            <w:tcW w:w="72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tLeast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percentage of sub-counties reporting possession of minimum road equipment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1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2.6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4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40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052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shd w:val="clear" w:color="000000" w:fill="d0d0d0"/>
            <w:tcBorders/>
            <w:tcW w:w="796" w:type="dxa"/>
            <w:vAlign w:val="bottom"/>
            <w:textDirection w:val="lrTb"/>
            <w:noWrap/>
          </w:tcPr>
          <w:p>
            <w:pPr>
              <w:pBdr/>
              <w:spacing w:after="0" w:line="240" w:lineRule="atLeast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 xml:space="preserve">1.8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</w:tbl>
    <w:p>
      <w:pPr>
        <w:pBdr/>
        <w:spacing w:after="200" w:line="240" w:lineRule="auto"/>
        <w:ind/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</w:r>
    </w:p>
    <w:p>
      <w:pPr>
        <w:pBdr/>
        <w:spacing/>
        <w:ind/>
        <w:rPr/>
      </w:pPr>
      <w:r/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5840" w:orient="portrait" w:w="12240"/>
      <w:pgMar w:top="144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panose1 w:val="050401020108070707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2026-07-04T01:01:57Z</dcterms:modified>
</cp:coreProperties>
</file>