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D9E74" w14:textId="77777777" w:rsidR="00A04D05" w:rsidRDefault="00A04D05" w:rsidP="00A04D05">
      <w:r>
        <w:rPr>
          <w:b/>
          <w:bCs/>
        </w:rPr>
        <w:t>Appendix A. Survey instrument</w:t>
      </w:r>
    </w:p>
    <w:p w14:paraId="7CA488F3" w14:textId="77777777" w:rsidR="00A04D05" w:rsidRDefault="00A04D05" w:rsidP="00A04D05">
      <w:r>
        <w:t>After each interview, founders completed a structured survey covering the four constructs of the framework. The full item wording follows; response scales are indicated for each construct.</w:t>
      </w:r>
    </w:p>
    <w:p w14:paraId="4F26D70D" w14:textId="77777777" w:rsidR="00A04D05" w:rsidRDefault="00A04D05" w:rsidP="00A04D05">
      <w:pPr>
        <w:spacing w:after="0"/>
      </w:pPr>
      <w:r>
        <w:rPr>
          <w:b/>
          <w:bCs/>
        </w:rPr>
        <w:t>A.1 ICT Knowledge — two items on ordinal categorical scales; the founding team is coded on the highest level held by any founder (adapted from Yu &amp; Wang, 2021; anchored per Marvel et al., 2016).</w:t>
      </w:r>
    </w:p>
    <w:p w14:paraId="2014F98C" w14:textId="77777777" w:rsidR="00A04D05" w:rsidRDefault="00A04D05" w:rsidP="00A04D05">
      <w:pPr>
        <w:spacing w:after="0"/>
      </w:pPr>
      <w:r>
        <w:t>1. Education — Does at least one founder hold a formal academic degree in Engineering, Computer Science, Systems Analysis, Information Systems, or an equivalent field? If more than one, record the highest level. Response options: None; Technical; Undergraduate; Master’s; Doctorate.</w:t>
      </w:r>
    </w:p>
    <w:p w14:paraId="5FB631F2" w14:textId="77777777" w:rsidR="00A04D05" w:rsidRDefault="00A04D05" w:rsidP="00A04D05">
      <w:pPr>
        <w:spacing w:after="0"/>
      </w:pPr>
      <w:r>
        <w:t>2. Experience — Does at least one founder have professional work experience in software development/maintenance or information technology? If more than one, record the longest experience. Response options: None; 1–10 years; 11–20 years; 21–30 years; Over 30 years.</w:t>
      </w:r>
    </w:p>
    <w:p w14:paraId="6BA6F2B1" w14:textId="77777777" w:rsidR="00A04D05" w:rsidRDefault="00A04D05" w:rsidP="00A04D05">
      <w:pPr>
        <w:spacing w:after="0"/>
      </w:pPr>
      <w:r>
        <w:rPr>
          <w:b/>
          <w:bCs/>
        </w:rPr>
        <w:t xml:space="preserve">A.2 Entrepreneurial Bricolage — five-point Likert scale, 1 (strongly disagree) to 5 (strongly agree); </w:t>
      </w:r>
      <w:proofErr w:type="spellStart"/>
      <w:r>
        <w:rPr>
          <w:b/>
          <w:bCs/>
        </w:rPr>
        <w:t>Davidsson</w:t>
      </w:r>
      <w:proofErr w:type="spellEnd"/>
      <w:r>
        <w:rPr>
          <w:b/>
          <w:bCs/>
        </w:rPr>
        <w:t xml:space="preserve">, Baker &amp; </w:t>
      </w:r>
      <w:proofErr w:type="spellStart"/>
      <w:r>
        <w:rPr>
          <w:b/>
          <w:bCs/>
        </w:rPr>
        <w:t>Senyard</w:t>
      </w:r>
      <w:proofErr w:type="spellEnd"/>
      <w:r>
        <w:rPr>
          <w:b/>
          <w:bCs/>
        </w:rPr>
        <w:t xml:space="preserve"> (2017); Santos et al. (2020).</w:t>
      </w:r>
    </w:p>
    <w:p w14:paraId="7EB97213" w14:textId="77777777" w:rsidR="00A04D05" w:rsidRDefault="00A04D05" w:rsidP="00A04D05">
      <w:pPr>
        <w:spacing w:after="0"/>
      </w:pPr>
      <w:r>
        <w:t>1. We usually find workable solutions to new challenges by using our existing resources.</w:t>
      </w:r>
    </w:p>
    <w:p w14:paraId="2B5A33D2" w14:textId="77777777" w:rsidR="00A04D05" w:rsidRDefault="00A04D05" w:rsidP="00A04D05">
      <w:pPr>
        <w:spacing w:after="0"/>
      </w:pPr>
      <w:r>
        <w:t>2. We typically take on a broader range of challenges than others with our resources would do.</w:t>
      </w:r>
    </w:p>
    <w:p w14:paraId="3E82CEF0" w14:textId="77777777" w:rsidR="00A04D05" w:rsidRDefault="00A04D05" w:rsidP="00A04D05">
      <w:pPr>
        <w:spacing w:after="0"/>
      </w:pPr>
      <w:r>
        <w:t>3. We use any existing resource that seems useful in responding to a new problem or opportunity.</w:t>
      </w:r>
    </w:p>
    <w:p w14:paraId="3B49AA40" w14:textId="77777777" w:rsidR="00A04D05" w:rsidRDefault="00A04D05" w:rsidP="00A04D05">
      <w:pPr>
        <w:spacing w:after="0"/>
      </w:pPr>
      <w:r>
        <w:t>4. We deal with new challenges by applying a combination of our existing resources and other resources inexpensively available to us.</w:t>
      </w:r>
    </w:p>
    <w:p w14:paraId="141523A8" w14:textId="77777777" w:rsidR="00A04D05" w:rsidRDefault="00A04D05" w:rsidP="00A04D05">
      <w:pPr>
        <w:spacing w:after="0"/>
      </w:pPr>
      <w:r>
        <w:t>5. When dealing with new problems or opportunities, we take action by assuming that we will find a workable solution.</w:t>
      </w:r>
    </w:p>
    <w:p w14:paraId="0A05A5AC" w14:textId="77777777" w:rsidR="00A04D05" w:rsidRDefault="00A04D05" w:rsidP="00A04D05">
      <w:pPr>
        <w:spacing w:after="0"/>
      </w:pPr>
      <w:r>
        <w:t>6. By combining our existing resources, we take on a very broad variety of new challenges.</w:t>
      </w:r>
    </w:p>
    <w:p w14:paraId="15B16F75" w14:textId="77777777" w:rsidR="00A04D05" w:rsidRDefault="00A04D05" w:rsidP="00A04D05">
      <w:pPr>
        <w:spacing w:after="0"/>
      </w:pPr>
      <w:r>
        <w:t>7. When we face new challenges, we put together workable solutions from our existing resources.</w:t>
      </w:r>
    </w:p>
    <w:p w14:paraId="530DA947" w14:textId="77777777" w:rsidR="00A04D05" w:rsidRDefault="00A04D05" w:rsidP="00A04D05">
      <w:pPr>
        <w:spacing w:after="0"/>
      </w:pPr>
      <w:r>
        <w:t>8. We combine resources to accomplish new challenges that the resources were not originally intended to accomplish.</w:t>
      </w:r>
    </w:p>
    <w:p w14:paraId="4E23F776" w14:textId="77777777" w:rsidR="00A04D05" w:rsidRDefault="00A04D05" w:rsidP="00A04D05">
      <w:pPr>
        <w:spacing w:after="0"/>
      </w:pPr>
      <w:r>
        <w:t>9. To deal with new challenges, we acquire resources at low or no cost and combine them with what we already have.</w:t>
      </w:r>
    </w:p>
    <w:p w14:paraId="54D94E92" w14:textId="77777777" w:rsidR="00A04D05" w:rsidRDefault="00A04D05" w:rsidP="00A04D05">
      <w:pPr>
        <w:spacing w:after="0"/>
      </w:pPr>
      <w:r>
        <w:rPr>
          <w:b/>
          <w:bCs/>
        </w:rPr>
        <w:t>A.3 Frugal Innovation — five-point Likert scale, 1 (strongly disagree) to 5 (strongly agree); Rossetto et al. (2023); Santos et al. (2020).</w:t>
      </w:r>
    </w:p>
    <w:p w14:paraId="2FA815AD" w14:textId="77777777" w:rsidR="00A04D05" w:rsidRDefault="00A04D05" w:rsidP="00A04D05">
      <w:pPr>
        <w:spacing w:after="0"/>
      </w:pPr>
      <w:r>
        <w:t>Stem: In recent years, in its new-product/service development strategy, my company has prioritized…</w:t>
      </w:r>
    </w:p>
    <w:p w14:paraId="5E545122" w14:textId="77777777" w:rsidR="00A04D05" w:rsidRDefault="00A04D05" w:rsidP="00A04D05">
      <w:pPr>
        <w:spacing w:after="0"/>
      </w:pPr>
      <w:r>
        <w:t>1. …solutions that offer good, low-cost products/services.</w:t>
      </w:r>
    </w:p>
    <w:p w14:paraId="63B96389" w14:textId="77777777" w:rsidR="00A04D05" w:rsidRDefault="00A04D05" w:rsidP="00A04D05">
      <w:pPr>
        <w:spacing w:after="0"/>
      </w:pPr>
      <w:r>
        <w:t>2. …significant cost reduction in the operational process.</w:t>
      </w:r>
    </w:p>
    <w:p w14:paraId="5A2C64F8" w14:textId="77777777" w:rsidR="00A04D05" w:rsidRDefault="00A04D05" w:rsidP="00A04D05">
      <w:pPr>
        <w:spacing w:after="0"/>
      </w:pPr>
      <w:r>
        <w:t>3. …the economical use of organizational resources in the operational process.</w:t>
      </w:r>
    </w:p>
    <w:p w14:paraId="742A7501" w14:textId="77777777" w:rsidR="00A04D05" w:rsidRDefault="00A04D05" w:rsidP="00A04D05">
      <w:pPr>
        <w:spacing w:after="0"/>
      </w:pPr>
      <w:r>
        <w:t>4. …the reconfiguration of organizational resources in the operational process.</w:t>
      </w:r>
    </w:p>
    <w:p w14:paraId="1BD78B52" w14:textId="77777777" w:rsidR="00A04D05" w:rsidRDefault="00A04D05" w:rsidP="00A04D05">
      <w:pPr>
        <w:spacing w:after="0"/>
      </w:pPr>
      <w:r>
        <w:t>5. …the product/service’s core functionality rather than additional features.</w:t>
      </w:r>
    </w:p>
    <w:p w14:paraId="37088841" w14:textId="77777777" w:rsidR="00A04D05" w:rsidRDefault="00A04D05" w:rsidP="00A04D05">
      <w:pPr>
        <w:spacing w:after="0"/>
      </w:pPr>
      <w:r>
        <w:t>6. …the product/service’s ease of use.</w:t>
      </w:r>
    </w:p>
    <w:p w14:paraId="5D5FF9AE" w14:textId="77777777" w:rsidR="00A04D05" w:rsidRDefault="00A04D05" w:rsidP="00A04D05">
      <w:pPr>
        <w:spacing w:after="0"/>
      </w:pPr>
      <w:r>
        <w:t>7. …the product/service’s durability (i.e., it does not break down easily).</w:t>
      </w:r>
    </w:p>
    <w:p w14:paraId="45FA80C5" w14:textId="77777777" w:rsidR="00A04D05" w:rsidRDefault="00A04D05" w:rsidP="00A04D05">
      <w:pPr>
        <w:spacing w:after="0"/>
      </w:pPr>
      <w:r>
        <w:t>8. …efficient and effective solutions for customers’ social/environmental needs.</w:t>
      </w:r>
    </w:p>
    <w:p w14:paraId="362AE95F" w14:textId="77777777" w:rsidR="00A04D05" w:rsidRDefault="00A04D05" w:rsidP="00A04D05">
      <w:pPr>
        <w:spacing w:after="0"/>
      </w:pPr>
      <w:r>
        <w:lastRenderedPageBreak/>
        <w:t>9. …environmental sustainability in the operational process.</w:t>
      </w:r>
    </w:p>
    <w:p w14:paraId="2747B941" w14:textId="77777777" w:rsidR="00A04D05" w:rsidRDefault="00A04D05" w:rsidP="00A04D05">
      <w:pPr>
        <w:spacing w:after="0"/>
      </w:pPr>
      <w:r>
        <w:t>10. …partnerships with local companies in the operational process.</w:t>
      </w:r>
    </w:p>
    <w:p w14:paraId="059AC0FE" w14:textId="77777777" w:rsidR="00A04D05" w:rsidRDefault="00A04D05" w:rsidP="00A04D05">
      <w:pPr>
        <w:spacing w:after="0"/>
      </w:pPr>
      <w:r>
        <w:rPr>
          <w:b/>
          <w:bCs/>
        </w:rPr>
        <w:t>A.4 Startup Performance — five-point semantic differential, 1 (much lower) to 5 (much higher) relative to competitors; Wiklund &amp; Shepherd (2003, 2011).</w:t>
      </w:r>
    </w:p>
    <w:p w14:paraId="1CEA839A" w14:textId="77777777" w:rsidR="00A04D05" w:rsidRDefault="00A04D05" w:rsidP="00A04D05">
      <w:pPr>
        <w:spacing w:after="0"/>
      </w:pPr>
      <w:r>
        <w:t>Stem: How do you rate your startup’s performance over the past three years relative to your competitors on the following dimensions?</w:t>
      </w:r>
    </w:p>
    <w:p w14:paraId="6BC76EAE" w14:textId="77777777" w:rsidR="00A04D05" w:rsidRDefault="00A04D05" w:rsidP="00A04D05">
      <w:pPr>
        <w:spacing w:after="0"/>
      </w:pPr>
      <w:r>
        <w:t>1. Sales growth</w:t>
      </w:r>
    </w:p>
    <w:p w14:paraId="5CEDEAD7" w14:textId="77777777" w:rsidR="00A04D05" w:rsidRDefault="00A04D05" w:rsidP="00A04D05">
      <w:pPr>
        <w:spacing w:after="0"/>
      </w:pPr>
      <w:r>
        <w:t>2. Product and/or service quality</w:t>
      </w:r>
    </w:p>
    <w:p w14:paraId="2E572E05" w14:textId="77777777" w:rsidR="00A04D05" w:rsidRDefault="00A04D05" w:rsidP="00A04D05">
      <w:pPr>
        <w:spacing w:after="0"/>
      </w:pPr>
      <w:r>
        <w:t>3. Customer satisfaction</w:t>
      </w:r>
    </w:p>
    <w:p w14:paraId="618D4F94" w14:textId="77777777" w:rsidR="00A04D05" w:rsidRDefault="00A04D05" w:rsidP="00A04D05">
      <w:pPr>
        <w:spacing w:after="0"/>
      </w:pPr>
      <w:r>
        <w:t>4. Product/service innovation</w:t>
      </w:r>
    </w:p>
    <w:p w14:paraId="0532D1D6" w14:textId="41A3BF5C" w:rsidR="00A04D05" w:rsidRDefault="00A04D05" w:rsidP="00A04D05">
      <w:pPr>
        <w:spacing w:after="0"/>
      </w:pPr>
      <w:r>
        <w:t>5. Process innovation</w:t>
      </w:r>
    </w:p>
    <w:p w14:paraId="41F0F1BB" w14:textId="53766D72" w:rsidR="009F5FA7" w:rsidRDefault="009F5FA7" w:rsidP="00A04D05">
      <w:pPr>
        <w:spacing w:after="0"/>
      </w:pPr>
    </w:p>
    <w:p w14:paraId="01519871" w14:textId="3251DB5A" w:rsidR="009F5FA7" w:rsidRDefault="009F5FA7" w:rsidP="00A04D05">
      <w:pPr>
        <w:spacing w:after="0"/>
      </w:pPr>
    </w:p>
    <w:p w14:paraId="312E642C" w14:textId="77777777" w:rsidR="009F5FA7" w:rsidRPr="00C26896" w:rsidRDefault="009F5FA7" w:rsidP="009F5FA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6896">
        <w:rPr>
          <w:rFonts w:ascii="Times New Roman" w:hAnsi="Times New Roman" w:cs="Times New Roman"/>
          <w:b/>
          <w:bCs/>
          <w:sz w:val="24"/>
          <w:szCs w:val="24"/>
        </w:rPr>
        <w:t>Appendix B. Construct Coding and Labeling Scheme</w:t>
      </w:r>
    </w:p>
    <w:p w14:paraId="5BC5A69D" w14:textId="77777777" w:rsidR="009F5FA7" w:rsidRPr="00C26896" w:rsidRDefault="009F5FA7" w:rsidP="009F5FA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6896">
        <w:rPr>
          <w:rFonts w:ascii="Times New Roman" w:hAnsi="Times New Roman" w:cs="Times New Roman"/>
          <w:sz w:val="24"/>
          <w:szCs w:val="24"/>
        </w:rPr>
        <w:tab/>
        <w:t xml:space="preserve">Each construct </w:t>
      </w:r>
      <w:proofErr w:type="gramStart"/>
      <w:r w:rsidRPr="00C26896">
        <w:rPr>
          <w:rFonts w:ascii="Times New Roman" w:hAnsi="Times New Roman" w:cs="Times New Roman"/>
          <w:sz w:val="24"/>
          <w:szCs w:val="24"/>
        </w:rPr>
        <w:t>was labeled</w:t>
      </w:r>
      <w:proofErr w:type="gramEnd"/>
      <w:r w:rsidRPr="00C26896">
        <w:rPr>
          <w:rFonts w:ascii="Times New Roman" w:hAnsi="Times New Roman" w:cs="Times New Roman"/>
          <w:sz w:val="24"/>
          <w:szCs w:val="24"/>
        </w:rPr>
        <w:t xml:space="preserve"> by triangulating the survey scores with the qualitative interview evidence. ICT knowledge, entrepreneurial bricolage, and frugal innovation use high/medium/low-intensity labels; Startup performance is reported on the competitor-referenced comparative scale (much lower to much higher). Table B1 defines the labels and the assignment rule for each construct; Table B2 sets out the three-step procedure.</w:t>
      </w:r>
    </w:p>
    <w:p w14:paraId="4895C730" w14:textId="77777777" w:rsidR="009F5FA7" w:rsidRPr="00C26896" w:rsidRDefault="009F5FA7" w:rsidP="009F5F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75F0B" w14:textId="77777777" w:rsidR="009F5FA7" w:rsidRPr="00C26896" w:rsidRDefault="009F5FA7" w:rsidP="009F5F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60455" w14:textId="77777777" w:rsidR="009F5FA7" w:rsidRPr="00C26896" w:rsidRDefault="009F5FA7" w:rsidP="009F5F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6896">
        <w:rPr>
          <w:rFonts w:ascii="Times New Roman" w:hAnsi="Times New Roman" w:cs="Times New Roman"/>
          <w:b/>
          <w:bCs/>
          <w:sz w:val="24"/>
          <w:szCs w:val="24"/>
        </w:rPr>
        <w:t xml:space="preserve">Table B1. </w:t>
      </w:r>
      <w:r w:rsidRPr="00C26896">
        <w:rPr>
          <w:rFonts w:ascii="Times New Roman" w:hAnsi="Times New Roman" w:cs="Times New Roman"/>
          <w:bCs/>
          <w:sz w:val="24"/>
          <w:szCs w:val="24"/>
        </w:rPr>
        <w:t>Labels and assignment rules by construct.</w:t>
      </w:r>
    </w:p>
    <w:tbl>
      <w:tblPr>
        <w:tblStyle w:val="GridTable41"/>
        <w:tblW w:w="9360" w:type="dxa"/>
        <w:tblLayout w:type="fixed"/>
        <w:tblLook w:val="0620" w:firstRow="1" w:lastRow="0" w:firstColumn="0" w:lastColumn="0" w:noHBand="1" w:noVBand="1"/>
      </w:tblPr>
      <w:tblGrid>
        <w:gridCol w:w="1809"/>
        <w:gridCol w:w="1701"/>
        <w:gridCol w:w="3050"/>
        <w:gridCol w:w="2800"/>
      </w:tblGrid>
      <w:tr w:rsidR="009F5FA7" w:rsidRPr="00C26896" w14:paraId="7D9B97BA" w14:textId="77777777" w:rsidTr="008C5E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09" w:type="dxa"/>
          </w:tcPr>
          <w:p w14:paraId="0B711AD5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Construct</w:t>
            </w:r>
          </w:p>
        </w:tc>
        <w:tc>
          <w:tcPr>
            <w:tcW w:w="1701" w:type="dxa"/>
          </w:tcPr>
          <w:p w14:paraId="0D1F0ADD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Labels used</w:t>
            </w:r>
          </w:p>
        </w:tc>
        <w:tc>
          <w:tcPr>
            <w:tcW w:w="3050" w:type="dxa"/>
          </w:tcPr>
          <w:p w14:paraId="7AF07D93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Quantitative rule</w:t>
            </w:r>
          </w:p>
        </w:tc>
        <w:tc>
          <w:tcPr>
            <w:tcW w:w="2800" w:type="dxa"/>
          </w:tcPr>
          <w:p w14:paraId="770E6091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Qualitative corroboration</w:t>
            </w:r>
          </w:p>
        </w:tc>
      </w:tr>
      <w:tr w:rsidR="009F5FA7" w:rsidRPr="00C26896" w14:paraId="7B3BC0E1" w14:textId="77777777" w:rsidTr="008C5EE6">
        <w:tc>
          <w:tcPr>
            <w:tcW w:w="1809" w:type="dxa"/>
          </w:tcPr>
          <w:p w14:paraId="5518C0EA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ICT Knowledge</w:t>
            </w:r>
          </w:p>
        </w:tc>
        <w:tc>
          <w:tcPr>
            <w:tcW w:w="1701" w:type="dxa"/>
          </w:tcPr>
          <w:p w14:paraId="31ADC513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High/Low (High: Development vs. Governance)</w:t>
            </w:r>
          </w:p>
        </w:tc>
        <w:tc>
          <w:tcPr>
            <w:tcW w:w="3050" w:type="dxa"/>
          </w:tcPr>
          <w:p w14:paraId="726E2B3D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High = at least one founder with formal academic education in Engineering, Computer Science, Information Systems or equivalent (undergraduate or higher) AND more than 10 years of professional ICT experience; Low = absence </w:t>
            </w:r>
            <w:r w:rsidRPr="00C26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both formal technical education and direct ICT work experience (Marvel et al., 2016).</w:t>
            </w:r>
          </w:p>
        </w:tc>
        <w:tc>
          <w:tcPr>
            <w:tcW w:w="2800" w:type="dxa"/>
          </w:tcPr>
          <w:p w14:paraId="077DABFD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Transcripts classify high knowledge as development (hands-on building; Cases 1 and 3) or governance (specifying/managing outsourced work; Case 2).</w:t>
            </w:r>
          </w:p>
        </w:tc>
      </w:tr>
      <w:tr w:rsidR="009F5FA7" w:rsidRPr="00C26896" w14:paraId="7EDC5F72" w14:textId="77777777" w:rsidTr="008C5EE6">
        <w:tc>
          <w:tcPr>
            <w:tcW w:w="1809" w:type="dxa"/>
          </w:tcPr>
          <w:p w14:paraId="3E636BE1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Entrepreneurial Bricolage</w:t>
            </w:r>
          </w:p>
        </w:tc>
        <w:tc>
          <w:tcPr>
            <w:tcW w:w="1701" w:type="dxa"/>
          </w:tcPr>
          <w:p w14:paraId="072E5F33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High/Medium/Low</w:t>
            </w:r>
          </w:p>
        </w:tc>
        <w:tc>
          <w:tcPr>
            <w:tcW w:w="3050" w:type="dxa"/>
          </w:tcPr>
          <w:p w14:paraId="1906CD72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Mean item score &gt; 4.0 = High; 3.0–4.0 = Medium; &lt; 3.0 = Low.</w:t>
            </w:r>
          </w:p>
        </w:tc>
        <w:tc>
          <w:tcPr>
            <w:tcW w:w="2800" w:type="dxa"/>
          </w:tcPr>
          <w:p w14:paraId="35043E72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A high label requires narrative evidence of resource recombination (e.g., repurposing mobile hardware, Case 1); scores </w:t>
            </w:r>
            <w:proofErr w:type="gramStart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are overridden</w:t>
            </w:r>
            <w:proofErr w:type="gramEnd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 where transcripts contradict them (Case 2 → Low).</w:t>
            </w:r>
          </w:p>
        </w:tc>
      </w:tr>
      <w:tr w:rsidR="009F5FA7" w:rsidRPr="00C26896" w14:paraId="1FCC80B0" w14:textId="77777777" w:rsidTr="008C5EE6">
        <w:tc>
          <w:tcPr>
            <w:tcW w:w="1809" w:type="dxa"/>
          </w:tcPr>
          <w:p w14:paraId="674695EB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Frugal Innovation</w:t>
            </w:r>
          </w:p>
        </w:tc>
        <w:tc>
          <w:tcPr>
            <w:tcW w:w="1701" w:type="dxa"/>
          </w:tcPr>
          <w:p w14:paraId="19F23BCE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High/Medium/Low</w:t>
            </w:r>
          </w:p>
        </w:tc>
        <w:tc>
          <w:tcPr>
            <w:tcW w:w="3050" w:type="dxa"/>
          </w:tcPr>
          <w:p w14:paraId="7CED02BB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Mean item score &gt; 4.0 = High; 3.0–4.0 = Medium; &lt; 3.0 = Low.</w:t>
            </w:r>
          </w:p>
        </w:tc>
        <w:tc>
          <w:tcPr>
            <w:tcW w:w="2800" w:type="dxa"/>
          </w:tcPr>
          <w:p w14:paraId="2B8EC947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Corroborated by coded evidence of substantial cost reduction, focus on core functionality, and sustainable co-creation.</w:t>
            </w:r>
          </w:p>
        </w:tc>
      </w:tr>
      <w:tr w:rsidR="009F5FA7" w:rsidRPr="00C26896" w14:paraId="0F59116B" w14:textId="77777777" w:rsidTr="008C5EE6">
        <w:tc>
          <w:tcPr>
            <w:tcW w:w="1809" w:type="dxa"/>
          </w:tcPr>
          <w:p w14:paraId="037195E4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Startup Performance</w:t>
            </w:r>
          </w:p>
        </w:tc>
        <w:tc>
          <w:tcPr>
            <w:tcW w:w="1701" w:type="dxa"/>
          </w:tcPr>
          <w:p w14:paraId="378FF6EA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Much higher/ medium (Lower not observed)</w:t>
            </w:r>
          </w:p>
        </w:tc>
        <w:tc>
          <w:tcPr>
            <w:tcW w:w="3050" w:type="dxa"/>
          </w:tcPr>
          <w:p w14:paraId="2900337E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Competitor-referenced semantic differential: “Much higher” = rated consistently above competitors; “Medium” (mid-scale, score 3) = comparable to competitors; “Lower” = below competitors.</w:t>
            </w:r>
          </w:p>
        </w:tc>
        <w:tc>
          <w:tcPr>
            <w:tcW w:w="2800" w:type="dxa"/>
          </w:tcPr>
          <w:p w14:paraId="07C4435E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Triangulated with founders’ statements on sales growth, quality, customer satisfaction, and innovation.</w:t>
            </w:r>
          </w:p>
        </w:tc>
      </w:tr>
    </w:tbl>
    <w:p w14:paraId="66FDE60C" w14:textId="77777777" w:rsidR="009F5FA7" w:rsidRPr="00C26896" w:rsidRDefault="009F5FA7" w:rsidP="009F5FA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6F52B2" w14:textId="77777777" w:rsidR="009F5FA7" w:rsidRPr="00C26896" w:rsidRDefault="009F5FA7" w:rsidP="009F5F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6896">
        <w:rPr>
          <w:rFonts w:ascii="Times New Roman" w:hAnsi="Times New Roman" w:cs="Times New Roman"/>
          <w:b/>
          <w:bCs/>
          <w:sz w:val="24"/>
          <w:szCs w:val="24"/>
        </w:rPr>
        <w:t>Table B2. Three-step triangulation procedure.</w:t>
      </w:r>
    </w:p>
    <w:tbl>
      <w:tblPr>
        <w:tblStyle w:val="GridTable41"/>
        <w:tblW w:w="9360" w:type="dxa"/>
        <w:tblLayout w:type="fixed"/>
        <w:tblLook w:val="0620" w:firstRow="1" w:lastRow="0" w:firstColumn="0" w:lastColumn="0" w:noHBand="1" w:noVBand="1"/>
      </w:tblPr>
      <w:tblGrid>
        <w:gridCol w:w="1500"/>
        <w:gridCol w:w="4050"/>
        <w:gridCol w:w="3810"/>
      </w:tblGrid>
      <w:tr w:rsidR="009F5FA7" w:rsidRPr="00C26896" w14:paraId="6FB4D883" w14:textId="77777777" w:rsidTr="008C5E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00" w:type="dxa"/>
          </w:tcPr>
          <w:p w14:paraId="0AC44591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Step</w:t>
            </w:r>
          </w:p>
        </w:tc>
        <w:tc>
          <w:tcPr>
            <w:tcW w:w="4050" w:type="dxa"/>
          </w:tcPr>
          <w:p w14:paraId="26AD896B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Procedure</w:t>
            </w:r>
          </w:p>
        </w:tc>
        <w:tc>
          <w:tcPr>
            <w:tcW w:w="3810" w:type="dxa"/>
          </w:tcPr>
          <w:p w14:paraId="6A7D9B1F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Illustration</w:t>
            </w:r>
          </w:p>
        </w:tc>
      </w:tr>
      <w:tr w:rsidR="009F5FA7" w:rsidRPr="00C26896" w14:paraId="59B8621B" w14:textId="77777777" w:rsidTr="008C5EE6">
        <w:tc>
          <w:tcPr>
            <w:tcW w:w="1500" w:type="dxa"/>
          </w:tcPr>
          <w:p w14:paraId="07E31B25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Quantitative scoring</w:t>
            </w:r>
          </w:p>
        </w:tc>
        <w:tc>
          <w:tcPr>
            <w:tcW w:w="4050" w:type="dxa"/>
          </w:tcPr>
          <w:p w14:paraId="2E95102B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Compute the mean score </w:t>
            </w:r>
            <w:r w:rsidRPr="00C26896">
              <w:rPr>
                <w:rFonts w:ascii="Times New Roman" w:hAnsi="Times New Roman" w:cs="Times New Roman"/>
                <w:i/>
                <w:sz w:val="24"/>
                <w:szCs w:val="24"/>
              </w:rPr>
              <w:t>per</w:t>
            </w: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 construct from the survey items and assign a preliminary label by using thresholds (intensity constructs) or comparative anchors (performance).</w:t>
            </w:r>
          </w:p>
        </w:tc>
        <w:tc>
          <w:tcPr>
            <w:tcW w:w="3810" w:type="dxa"/>
          </w:tcPr>
          <w:p w14:paraId="2799FE2A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A bricolage mean of about 4.3 yields a preliminary “high.”</w:t>
            </w:r>
          </w:p>
        </w:tc>
      </w:tr>
      <w:tr w:rsidR="009F5FA7" w:rsidRPr="00C26896" w14:paraId="3F35D8D4" w14:textId="77777777" w:rsidTr="008C5EE6">
        <w:tc>
          <w:tcPr>
            <w:tcW w:w="1500" w:type="dxa"/>
          </w:tcPr>
          <w:p w14:paraId="11987F47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2. Qualitative validation</w:t>
            </w:r>
          </w:p>
        </w:tc>
        <w:tc>
          <w:tcPr>
            <w:tcW w:w="4050" w:type="dxa"/>
          </w:tcPr>
          <w:p w14:paraId="225775A0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Cross-check</w:t>
            </w:r>
            <w:proofErr w:type="gramEnd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 the preliminary label against the coded interview transcripts; a label must be supported by corroborating narrative evidence.</w:t>
            </w:r>
          </w:p>
        </w:tc>
        <w:tc>
          <w:tcPr>
            <w:tcW w:w="3810" w:type="dxa"/>
          </w:tcPr>
          <w:p w14:paraId="104842C2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High bricolage confirmed by the ARM/mobile-hardware repurposing described in Case 1.</w:t>
            </w:r>
          </w:p>
        </w:tc>
      </w:tr>
      <w:tr w:rsidR="009F5FA7" w:rsidRPr="00C26896" w14:paraId="4C887F68" w14:textId="77777777" w:rsidTr="008C5EE6">
        <w:tc>
          <w:tcPr>
            <w:tcW w:w="1500" w:type="dxa"/>
          </w:tcPr>
          <w:p w14:paraId="0FCC1A61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3. Divergence resolution</w:t>
            </w:r>
          </w:p>
        </w:tc>
        <w:tc>
          <w:tcPr>
            <w:tcW w:w="4050" w:type="dxa"/>
          </w:tcPr>
          <w:p w14:paraId="241CBB27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 xml:space="preserve">Where quantitative and qualitative evidence diverge, the qualitative evidence prevails and the final label </w:t>
            </w:r>
            <w:proofErr w:type="gramStart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is documented</w:t>
            </w:r>
            <w:proofErr w:type="gramEnd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10" w:type="dxa"/>
          </w:tcPr>
          <w:p w14:paraId="7D449EAE" w14:textId="77777777" w:rsidR="009F5FA7" w:rsidRPr="00C26896" w:rsidRDefault="009F5FA7" w:rsidP="008C5EE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Case 2 scored high on ICT know</w:t>
            </w:r>
            <w:bookmarkStart w:id="0" w:name="_GoBack"/>
            <w:bookmarkEnd w:id="0"/>
            <w:r w:rsidRPr="00C26896">
              <w:rPr>
                <w:rFonts w:ascii="Times New Roman" w:hAnsi="Times New Roman" w:cs="Times New Roman"/>
                <w:sz w:val="24"/>
                <w:szCs w:val="24"/>
              </w:rPr>
              <w:t>ledge, but followed a “buy, not build” strategy, so bricolage was reclassified as “low.”</w:t>
            </w:r>
          </w:p>
        </w:tc>
      </w:tr>
    </w:tbl>
    <w:p w14:paraId="2B8C9EE9" w14:textId="77777777" w:rsidR="009F5FA7" w:rsidRPr="00C26896" w:rsidRDefault="009F5FA7" w:rsidP="009F5FA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26896">
        <w:rPr>
          <w:rFonts w:ascii="Times New Roman" w:hAnsi="Times New Roman" w:cs="Times New Roman"/>
          <w:i/>
          <w:sz w:val="20"/>
          <w:szCs w:val="20"/>
        </w:rPr>
        <w:t>Note</w:t>
      </w:r>
      <w:r w:rsidRPr="00C26896">
        <w:rPr>
          <w:rFonts w:ascii="Times New Roman" w:hAnsi="Times New Roman" w:cs="Times New Roman"/>
          <w:sz w:val="20"/>
          <w:szCs w:val="20"/>
        </w:rPr>
        <w:t xml:space="preserve">. Development versus governance refers only to the nature of a founder’s ICT knowledge within the high category and is not a separate score. Performance uses the comparative rather than high/medium/low scale; in </w:t>
      </w:r>
      <w:proofErr w:type="gramStart"/>
      <w:r w:rsidRPr="00C26896">
        <w:rPr>
          <w:rFonts w:ascii="Times New Roman" w:hAnsi="Times New Roman" w:cs="Times New Roman"/>
          <w:sz w:val="20"/>
          <w:szCs w:val="20"/>
        </w:rPr>
        <w:t>this</w:t>
      </w:r>
      <w:proofErr w:type="gramEnd"/>
      <w:r w:rsidRPr="00C26896">
        <w:rPr>
          <w:rFonts w:ascii="Times New Roman" w:hAnsi="Times New Roman" w:cs="Times New Roman"/>
          <w:sz w:val="20"/>
          <w:szCs w:val="20"/>
        </w:rPr>
        <w:t xml:space="preserve"> sample no venture was rated lower than its competitors, so only “much higher” and “medium” appear in the case tables.</w:t>
      </w:r>
    </w:p>
    <w:p w14:paraId="4CB91A39" w14:textId="77777777" w:rsidR="009F5FA7" w:rsidRPr="00C26896" w:rsidRDefault="009F5FA7" w:rsidP="009F5FA7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2FE4C8" w14:textId="77777777" w:rsidR="009F5FA7" w:rsidRPr="00C26896" w:rsidRDefault="009F5FA7" w:rsidP="009F5F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68B1F5" w14:textId="77777777" w:rsidR="009F5FA7" w:rsidRPr="00C26896" w:rsidRDefault="009F5FA7" w:rsidP="009F5FA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958DD4C" w14:textId="77777777" w:rsidR="009F5FA7" w:rsidRDefault="009F5FA7" w:rsidP="00A04D05">
      <w:pPr>
        <w:spacing w:after="0"/>
      </w:pPr>
    </w:p>
    <w:p w14:paraId="345C76AA" w14:textId="661FDA62" w:rsidR="00A04D05" w:rsidRDefault="00A04D05" w:rsidP="00236C21">
      <w:r>
        <w:br w:type="page"/>
      </w:r>
    </w:p>
    <w:p w14:paraId="1DA67062" w14:textId="77777777" w:rsidR="001D5714" w:rsidRDefault="001D5714"/>
    <w:sectPr w:rsidR="001D5714" w:rsidSect="00A04D05">
      <w:pgSz w:w="12240" w:h="15840" w:code="1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D05"/>
    <w:rsid w:val="001D5714"/>
    <w:rsid w:val="00236C21"/>
    <w:rsid w:val="004514E1"/>
    <w:rsid w:val="007A2E19"/>
    <w:rsid w:val="00925F79"/>
    <w:rsid w:val="009F5FA7"/>
    <w:rsid w:val="00A04D05"/>
    <w:rsid w:val="00B2238E"/>
    <w:rsid w:val="00B2313B"/>
    <w:rsid w:val="00BB1543"/>
    <w:rsid w:val="00C6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7708E"/>
  <w15:chartTrackingRefBased/>
  <w15:docId w15:val="{1EF1F0EE-D1CF-4B39-8A04-BD51B4AE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4D05"/>
    <w:pPr>
      <w:spacing w:after="160" w:line="259" w:lineRule="auto"/>
      <w:jc w:val="left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D05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B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D05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B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D05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0F4761" w:themeColor="accent1" w:themeShade="BF"/>
      <w:sz w:val="28"/>
      <w:szCs w:val="28"/>
      <w:lang w:val="pt-B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D05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0F4761" w:themeColor="accent1" w:themeShade="BF"/>
      <w:lang w:val="pt-B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D05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0F4761" w:themeColor="accent1" w:themeShade="BF"/>
      <w:lang w:val="pt-B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D05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lang w:val="pt-B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D05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lang w:val="pt-B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D05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lang w:val="pt-B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D05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D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D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D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D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D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D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D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D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D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D05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</w:rPr>
  </w:style>
  <w:style w:type="character" w:customStyle="1" w:styleId="TitleChar">
    <w:name w:val="Title Char"/>
    <w:basedOn w:val="DefaultParagraphFont"/>
    <w:link w:val="Title"/>
    <w:uiPriority w:val="10"/>
    <w:rsid w:val="00A04D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D05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pt-BR"/>
    </w:rPr>
  </w:style>
  <w:style w:type="character" w:customStyle="1" w:styleId="SubtitleChar">
    <w:name w:val="Subtitle Char"/>
    <w:basedOn w:val="DefaultParagraphFont"/>
    <w:link w:val="Subtitle"/>
    <w:uiPriority w:val="11"/>
    <w:rsid w:val="00A04D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D05"/>
    <w:pPr>
      <w:spacing w:before="160" w:line="240" w:lineRule="auto"/>
      <w:jc w:val="center"/>
    </w:pPr>
    <w:rPr>
      <w:i/>
      <w:iCs/>
      <w:color w:val="404040" w:themeColor="text1" w:themeTint="BF"/>
      <w:lang w:val="pt-BR"/>
    </w:rPr>
  </w:style>
  <w:style w:type="character" w:customStyle="1" w:styleId="QuoteChar">
    <w:name w:val="Quote Char"/>
    <w:basedOn w:val="DefaultParagraphFont"/>
    <w:link w:val="Quote"/>
    <w:uiPriority w:val="29"/>
    <w:rsid w:val="00A04D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D05"/>
    <w:pPr>
      <w:spacing w:after="120" w:line="240" w:lineRule="auto"/>
      <w:ind w:left="720"/>
      <w:contextualSpacing/>
      <w:jc w:val="both"/>
    </w:pPr>
    <w:rPr>
      <w:lang w:val="pt-BR"/>
    </w:rPr>
  </w:style>
  <w:style w:type="character" w:styleId="IntenseEmphasis">
    <w:name w:val="Intense Emphasis"/>
    <w:basedOn w:val="DefaultParagraphFont"/>
    <w:uiPriority w:val="21"/>
    <w:qFormat/>
    <w:rsid w:val="00A04D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D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lang w:val="pt-B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D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D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4D0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A04D05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9F5FA7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981</Words>
  <Characters>5592</Characters>
  <Application>Microsoft Office Word</Application>
  <DocSecurity>0</DocSecurity>
  <Lines>46</Lines>
  <Paragraphs>13</Paragraphs>
  <ScaleCrop>false</ScaleCrop>
  <Company/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Moraes dos Santos</dc:creator>
  <cp:keywords/>
  <dc:description/>
  <cp:lastModifiedBy>Rakesh Sagar</cp:lastModifiedBy>
  <cp:revision>3</cp:revision>
  <dcterms:created xsi:type="dcterms:W3CDTF">2026-08-08T04:12:00Z</dcterms:created>
  <dcterms:modified xsi:type="dcterms:W3CDTF">2026-09-15T02:47:00Z</dcterms:modified>
</cp:coreProperties>
</file>