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49B08" w14:textId="72FE9D34" w:rsidR="00B837AA" w:rsidRPr="00190320" w:rsidRDefault="00B837AA" w:rsidP="00B837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320">
        <w:rPr>
          <w:rFonts w:ascii="Times New Roman" w:hAnsi="Times New Roman" w:cs="Times New Roman"/>
          <w:b/>
          <w:bCs/>
          <w:sz w:val="22"/>
          <w:szCs w:val="22"/>
        </w:rPr>
        <w:t xml:space="preserve">Appendix </w:t>
      </w:r>
      <w:r w:rsidR="000D1F73" w:rsidRPr="00190320">
        <w:rPr>
          <w:rFonts w:ascii="Times New Roman" w:hAnsi="Times New Roman" w:cs="Times New Roman"/>
          <w:b/>
          <w:bCs/>
          <w:sz w:val="22"/>
          <w:szCs w:val="22"/>
        </w:rPr>
        <w:t>D</w:t>
      </w:r>
    </w:p>
    <w:p w14:paraId="44E65680" w14:textId="77777777" w:rsidR="00B837AA" w:rsidRPr="00190320" w:rsidRDefault="00B837AA" w:rsidP="00B837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59B2C5E" w14:textId="012AD863" w:rsidR="00B837AA" w:rsidRPr="00190320" w:rsidRDefault="00B837AA" w:rsidP="00B837AA">
      <w:pPr>
        <w:spacing w:line="240" w:lineRule="auto"/>
        <w:jc w:val="both"/>
        <w:rPr>
          <w:rFonts w:ascii="Times New Roman" w:hAnsi="Times New Roman" w:cs="Times New Roman"/>
        </w:rPr>
      </w:pPr>
      <w:r w:rsidRPr="00190320">
        <w:rPr>
          <w:rFonts w:ascii="Times New Roman" w:hAnsi="Times New Roman" w:cs="Times New Roman"/>
        </w:rPr>
        <w:t xml:space="preserve">We conducted additional statistical tests to explore the various differential effects of two sets of relationships within our model. </w:t>
      </w:r>
      <w:r w:rsidR="003D4688" w:rsidRPr="00190320">
        <w:rPr>
          <w:rFonts w:ascii="Times New Roman" w:hAnsi="Times New Roman" w:cs="Times New Roman"/>
        </w:rPr>
        <w:t>Specifically</w:t>
      </w:r>
      <w:r w:rsidRPr="00190320">
        <w:rPr>
          <w:rFonts w:ascii="Times New Roman" w:hAnsi="Times New Roman" w:cs="Times New Roman"/>
        </w:rPr>
        <w:t xml:space="preserve">, a cornerstone of CORT is the </w:t>
      </w:r>
      <w:r w:rsidRPr="00190320">
        <w:rPr>
          <w:rFonts w:ascii="Times New Roman" w:hAnsi="Times New Roman" w:cs="Times New Roman"/>
          <w:i/>
          <w:iCs/>
        </w:rPr>
        <w:t>Primacy of Resource Loss</w:t>
      </w:r>
      <w:r w:rsidRPr="00190320">
        <w:rPr>
          <w:rFonts w:ascii="Times New Roman" w:hAnsi="Times New Roman" w:cs="Times New Roman"/>
        </w:rPr>
        <w:t xml:space="preserve"> principle</w:t>
      </w:r>
      <w:r w:rsidR="00080841" w:rsidRPr="00190320">
        <w:rPr>
          <w:rFonts w:ascii="Times New Roman" w:hAnsi="Times New Roman" w:cs="Times New Roman"/>
        </w:rPr>
        <w:t>. This principle</w:t>
      </w:r>
      <w:r w:rsidRPr="00190320">
        <w:rPr>
          <w:rFonts w:ascii="Times New Roman" w:hAnsi="Times New Roman" w:cs="Times New Roman"/>
        </w:rPr>
        <w:t xml:space="preserve"> holds that “resource loss is more powerful and more potent than resource gain</w:t>
      </w:r>
      <w:r w:rsidR="00080841" w:rsidRPr="00190320">
        <w:rPr>
          <w:rFonts w:ascii="Times New Roman" w:hAnsi="Times New Roman" w:cs="Times New Roman"/>
        </w:rPr>
        <w:t>,</w:t>
      </w:r>
      <w:r w:rsidRPr="00190320">
        <w:rPr>
          <w:rFonts w:ascii="Times New Roman" w:hAnsi="Times New Roman" w:cs="Times New Roman"/>
        </w:rPr>
        <w:t xml:space="preserve"> and that […] when loss occurs, it is more resource depleting than gain is resource generating” </w:t>
      </w:r>
      <w:r w:rsidRPr="00190320">
        <w:rPr>
          <w:rFonts w:ascii="Times New Roman" w:hAnsi="Times New Roman" w:cs="Times New Roman"/>
          <w:noProof/>
        </w:rPr>
        <w:t xml:space="preserve">(Wells </w:t>
      </w:r>
      <w:r w:rsidRPr="00190320">
        <w:rPr>
          <w:rFonts w:ascii="Times New Roman" w:hAnsi="Times New Roman" w:cs="Times New Roman"/>
          <w:i/>
          <w:iCs/>
          <w:noProof/>
        </w:rPr>
        <w:t>et al.</w:t>
      </w:r>
      <w:r w:rsidRPr="00190320">
        <w:rPr>
          <w:rFonts w:ascii="Times New Roman" w:hAnsi="Times New Roman" w:cs="Times New Roman"/>
          <w:noProof/>
        </w:rPr>
        <w:t>, 1999, p. 1173)</w:t>
      </w:r>
      <w:r w:rsidRPr="00190320">
        <w:rPr>
          <w:rFonts w:ascii="Times New Roman" w:hAnsi="Times New Roman" w:cs="Times New Roman"/>
        </w:rPr>
        <w:t xml:space="preserve">. Based on this principle, we tested the differential effects of LinkedIn well-being (resource gain) and </w:t>
      </w:r>
      <w:r w:rsidR="00940BB9">
        <w:rPr>
          <w:rFonts w:ascii="Times New Roman" w:hAnsi="Times New Roman" w:cs="Times New Roman"/>
        </w:rPr>
        <w:t>e</w:t>
      </w:r>
      <w:r w:rsidR="0043417D" w:rsidRPr="00190320">
        <w:rPr>
          <w:rFonts w:ascii="Times New Roman" w:hAnsi="Times New Roman" w:cs="Times New Roman"/>
        </w:rPr>
        <w:t xml:space="preserve">xcessive </w:t>
      </w:r>
      <w:r w:rsidR="00940BB9">
        <w:rPr>
          <w:rFonts w:ascii="Times New Roman" w:hAnsi="Times New Roman" w:cs="Times New Roman"/>
        </w:rPr>
        <w:t>d</w:t>
      </w:r>
      <w:r w:rsidR="0043417D" w:rsidRPr="00190320">
        <w:rPr>
          <w:rFonts w:ascii="Times New Roman" w:hAnsi="Times New Roman" w:cs="Times New Roman"/>
        </w:rPr>
        <w:t xml:space="preserve">emand </w:t>
      </w:r>
      <w:r w:rsidRPr="00190320">
        <w:rPr>
          <w:rFonts w:ascii="Times New Roman" w:hAnsi="Times New Roman" w:cs="Times New Roman"/>
        </w:rPr>
        <w:t xml:space="preserve">(resource loss) on LinkedIn </w:t>
      </w:r>
      <w:r w:rsidR="00940BB9">
        <w:rPr>
          <w:rFonts w:ascii="Times New Roman" w:hAnsi="Times New Roman" w:cs="Times New Roman"/>
        </w:rPr>
        <w:t>e</w:t>
      </w:r>
      <w:r w:rsidRPr="00190320">
        <w:rPr>
          <w:rFonts w:ascii="Times New Roman" w:hAnsi="Times New Roman" w:cs="Times New Roman"/>
        </w:rPr>
        <w:t xml:space="preserve">xhaustion. </w:t>
      </w:r>
    </w:p>
    <w:p w14:paraId="5D01FF78" w14:textId="5951B86E" w:rsidR="00B837AA" w:rsidRPr="00190320" w:rsidRDefault="00B837AA" w:rsidP="00B837AA">
      <w:pPr>
        <w:spacing w:before="240" w:line="240" w:lineRule="auto"/>
        <w:ind w:firstLine="720"/>
        <w:jc w:val="both"/>
        <w:rPr>
          <w:rFonts w:ascii="Times New Roman" w:hAnsi="Times New Roman" w:cs="Times New Roman"/>
        </w:rPr>
      </w:pPr>
      <w:r w:rsidRPr="00190320">
        <w:rPr>
          <w:rFonts w:ascii="Times New Roman" w:hAnsi="Times New Roman" w:cs="Times New Roman"/>
        </w:rPr>
        <w:t xml:space="preserve">We also tested the differential effects of </w:t>
      </w:r>
      <w:r w:rsidR="00940BB9">
        <w:rPr>
          <w:rFonts w:ascii="Times New Roman" w:hAnsi="Times New Roman" w:cs="Times New Roman"/>
        </w:rPr>
        <w:t>e</w:t>
      </w:r>
      <w:r w:rsidR="0043417D" w:rsidRPr="00190320">
        <w:rPr>
          <w:rFonts w:ascii="Times New Roman" w:hAnsi="Times New Roman" w:cs="Times New Roman"/>
        </w:rPr>
        <w:t xml:space="preserve">xcessive </w:t>
      </w:r>
      <w:r w:rsidR="00940BB9">
        <w:rPr>
          <w:rFonts w:ascii="Times New Roman" w:hAnsi="Times New Roman" w:cs="Times New Roman"/>
        </w:rPr>
        <w:t>d</w:t>
      </w:r>
      <w:r w:rsidR="0043417D" w:rsidRPr="00190320">
        <w:rPr>
          <w:rFonts w:ascii="Times New Roman" w:hAnsi="Times New Roman" w:cs="Times New Roman"/>
        </w:rPr>
        <w:t xml:space="preserve">emand </w:t>
      </w:r>
      <w:r w:rsidRPr="00190320">
        <w:rPr>
          <w:rFonts w:ascii="Times New Roman" w:hAnsi="Times New Roman" w:cs="Times New Roman"/>
        </w:rPr>
        <w:t xml:space="preserve">(actual resource loss) and LinkedIn </w:t>
      </w:r>
      <w:r w:rsidR="00940BB9">
        <w:rPr>
          <w:rFonts w:ascii="Times New Roman" w:hAnsi="Times New Roman" w:cs="Times New Roman"/>
        </w:rPr>
        <w:t>p</w:t>
      </w:r>
      <w:r w:rsidRPr="00190320">
        <w:rPr>
          <w:rFonts w:ascii="Times New Roman" w:hAnsi="Times New Roman" w:cs="Times New Roman"/>
        </w:rPr>
        <w:t xml:space="preserve">rivacy </w:t>
      </w:r>
      <w:r w:rsidR="00940BB9">
        <w:rPr>
          <w:rFonts w:ascii="Times New Roman" w:hAnsi="Times New Roman" w:cs="Times New Roman"/>
        </w:rPr>
        <w:t>t</w:t>
      </w:r>
      <w:r w:rsidRPr="00190320">
        <w:rPr>
          <w:rFonts w:ascii="Times New Roman" w:hAnsi="Times New Roman" w:cs="Times New Roman"/>
        </w:rPr>
        <w:t xml:space="preserve">hreats (potential resource loss) on LinkedIn </w:t>
      </w:r>
      <w:r w:rsidR="00940BB9">
        <w:rPr>
          <w:rFonts w:ascii="Times New Roman" w:hAnsi="Times New Roman" w:cs="Times New Roman"/>
        </w:rPr>
        <w:t>e</w:t>
      </w:r>
      <w:r w:rsidRPr="00190320">
        <w:rPr>
          <w:rFonts w:ascii="Times New Roman" w:hAnsi="Times New Roman" w:cs="Times New Roman"/>
        </w:rPr>
        <w:t xml:space="preserve">xhaustion. According to CORT, individuals experience stress whether they experience an actual loss of their resources or perceive a threat to their resources. Although resource loss is a key process in CORT, there is a lack of consensus in the literature as to whether threats or loss carry the greater importance </w:t>
      </w:r>
      <w:r w:rsidRPr="00190320">
        <w:rPr>
          <w:rFonts w:ascii="Times New Roman" w:hAnsi="Times New Roman" w:cs="Times New Roman"/>
          <w:noProof/>
        </w:rPr>
        <w:t xml:space="preserve">(Halbesleben </w:t>
      </w:r>
      <w:r w:rsidRPr="00190320">
        <w:rPr>
          <w:rFonts w:ascii="Times New Roman" w:hAnsi="Times New Roman" w:cs="Times New Roman"/>
          <w:i/>
          <w:iCs/>
          <w:noProof/>
        </w:rPr>
        <w:t>et al.</w:t>
      </w:r>
      <w:r w:rsidRPr="00190320">
        <w:rPr>
          <w:rFonts w:ascii="Times New Roman" w:hAnsi="Times New Roman" w:cs="Times New Roman"/>
          <w:noProof/>
        </w:rPr>
        <w:t>, 2014)</w:t>
      </w:r>
      <w:r w:rsidRPr="00190320">
        <w:rPr>
          <w:rFonts w:ascii="Times New Roman" w:hAnsi="Times New Roman" w:cs="Times New Roman"/>
        </w:rPr>
        <w:t>.</w:t>
      </w:r>
    </w:p>
    <w:p w14:paraId="30B27909" w14:textId="4494EDE1" w:rsidR="00B837AA" w:rsidRPr="00190320" w:rsidRDefault="00B837AA" w:rsidP="00B837AA">
      <w:pPr>
        <w:spacing w:before="240" w:line="240" w:lineRule="auto"/>
        <w:ind w:firstLine="720"/>
        <w:jc w:val="both"/>
        <w:rPr>
          <w:rFonts w:ascii="Times New Roman" w:hAnsi="Times New Roman" w:cs="Times New Roman"/>
        </w:rPr>
      </w:pPr>
      <w:r w:rsidRPr="00190320">
        <w:rPr>
          <w:rFonts w:ascii="Times New Roman" w:hAnsi="Times New Roman" w:cs="Times New Roman"/>
        </w:rPr>
        <w:t>To test</w:t>
      </w:r>
      <w:r w:rsidRPr="00190320" w:rsidDel="008D4FB6">
        <w:rPr>
          <w:rFonts w:ascii="Times New Roman" w:hAnsi="Times New Roman" w:cs="Times New Roman"/>
        </w:rPr>
        <w:t xml:space="preserve"> </w:t>
      </w:r>
      <w:r w:rsidRPr="00190320">
        <w:rPr>
          <w:rFonts w:ascii="Times New Roman" w:hAnsi="Times New Roman" w:cs="Times New Roman"/>
        </w:rPr>
        <w:t xml:space="preserve">for statistical differences, we analyzed the parameter estimates and bootstrap distributions with the technique suggested by Rodríguez-Entrena </w:t>
      </w:r>
      <w:r w:rsidRPr="00190320">
        <w:rPr>
          <w:rFonts w:ascii="Times New Roman" w:hAnsi="Times New Roman" w:cs="Times New Roman"/>
          <w:i/>
        </w:rPr>
        <w:t>et al.</w:t>
      </w:r>
      <w:r w:rsidRPr="00190320">
        <w:rPr>
          <w:rFonts w:ascii="Times New Roman" w:hAnsi="Times New Roman" w:cs="Times New Roman"/>
        </w:rPr>
        <w:t xml:space="preserve"> </w:t>
      </w:r>
      <w:r w:rsidRPr="00190320">
        <w:rPr>
          <w:rFonts w:ascii="Times New Roman" w:hAnsi="Times New Roman" w:cs="Times New Roman"/>
          <w:noProof/>
        </w:rPr>
        <w:t>(2018)</w:t>
      </w:r>
      <w:r w:rsidRPr="00190320">
        <w:rPr>
          <w:rFonts w:ascii="Times New Roman" w:hAnsi="Times New Roman" w:cs="Times New Roman"/>
        </w:rPr>
        <w:t xml:space="preserve">. We found the difference between the effects of </w:t>
      </w:r>
      <w:r w:rsidR="00D44570">
        <w:rPr>
          <w:rFonts w:ascii="Times New Roman" w:hAnsi="Times New Roman" w:cs="Times New Roman"/>
        </w:rPr>
        <w:t>excessive demand</w:t>
      </w:r>
      <w:r w:rsidRPr="00190320">
        <w:rPr>
          <w:rFonts w:ascii="Times New Roman" w:hAnsi="Times New Roman" w:cs="Times New Roman"/>
        </w:rPr>
        <w:t xml:space="preserve"> and LinkedIn well-being to be both statistically significant as their respective 95% confidence intervals did not include zero (p &lt; 0.05). Our results are presented in </w:t>
      </w:r>
      <w:r w:rsidRPr="00190320">
        <w:rPr>
          <w:rFonts w:ascii="Times New Roman" w:hAnsi="Times New Roman" w:cs="Times New Roman"/>
          <w:b/>
          <w:bCs/>
        </w:rPr>
        <w:t xml:space="preserve">Table </w:t>
      </w:r>
      <w:r w:rsidR="001F5821" w:rsidRPr="00190320">
        <w:rPr>
          <w:rFonts w:ascii="Times New Roman" w:hAnsi="Times New Roman" w:cs="Times New Roman"/>
          <w:b/>
          <w:bCs/>
        </w:rPr>
        <w:t>D</w:t>
      </w:r>
      <w:r w:rsidRPr="00190320">
        <w:rPr>
          <w:rFonts w:ascii="Times New Roman" w:hAnsi="Times New Roman" w:cs="Times New Roman"/>
          <w:b/>
          <w:bCs/>
        </w:rPr>
        <w:t>1</w:t>
      </w:r>
      <w:r w:rsidRPr="00190320">
        <w:rPr>
          <w:rFonts w:ascii="Times New Roman" w:hAnsi="Times New Roman" w:cs="Times New Roman"/>
        </w:rPr>
        <w:t xml:space="preserve">. </w:t>
      </w:r>
    </w:p>
    <w:p w14:paraId="470A9E55" w14:textId="019F0E4C" w:rsidR="00B837AA" w:rsidRPr="00190320" w:rsidRDefault="00B837AA" w:rsidP="00B837AA">
      <w:pPr>
        <w:pStyle w:val="Caption"/>
        <w:keepNext/>
        <w:rPr>
          <w:lang w:val="en-CA"/>
        </w:rPr>
      </w:pPr>
      <w:bookmarkStart w:id="0" w:name="_Ref173849008"/>
      <w:r w:rsidRPr="00190320">
        <w:rPr>
          <w:lang w:val="en-CA"/>
        </w:rPr>
        <w:t xml:space="preserve">Table </w:t>
      </w:r>
      <w:bookmarkEnd w:id="0"/>
      <w:r w:rsidR="001F5821" w:rsidRPr="00190320">
        <w:rPr>
          <w:lang w:val="en-CA"/>
        </w:rPr>
        <w:t>D</w:t>
      </w:r>
      <w:r w:rsidRPr="00190320">
        <w:rPr>
          <w:lang w:val="en-CA"/>
        </w:rPr>
        <w:t>1: Post-hoc differential effect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1"/>
        <w:gridCol w:w="709"/>
        <w:gridCol w:w="741"/>
        <w:gridCol w:w="853"/>
        <w:gridCol w:w="965"/>
        <w:gridCol w:w="27"/>
        <w:gridCol w:w="939"/>
      </w:tblGrid>
      <w:tr w:rsidR="00B837AA" w:rsidRPr="00190320" w14:paraId="16BB46F3" w14:textId="77777777" w:rsidTr="00C66B94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68FC31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3F9FD16C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β1</w:t>
            </w:r>
          </w:p>
        </w:tc>
        <w:tc>
          <w:tcPr>
            <w:tcW w:w="741" w:type="dxa"/>
            <w:vMerge w:val="restart"/>
            <w:shd w:val="clear" w:color="auto" w:fill="000000" w:themeFill="text1"/>
            <w:vAlign w:val="center"/>
          </w:tcPr>
          <w:p w14:paraId="7131EC2E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β2</w:t>
            </w:r>
          </w:p>
        </w:tc>
        <w:tc>
          <w:tcPr>
            <w:tcW w:w="853" w:type="dxa"/>
            <w:vMerge w:val="restart"/>
            <w:shd w:val="clear" w:color="auto" w:fill="000000" w:themeFill="text1"/>
            <w:vAlign w:val="center"/>
          </w:tcPr>
          <w:p w14:paraId="233E99A6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β1-β2</w:t>
            </w:r>
          </w:p>
        </w:tc>
        <w:tc>
          <w:tcPr>
            <w:tcW w:w="1931" w:type="dxa"/>
            <w:gridSpan w:val="3"/>
            <w:shd w:val="clear" w:color="auto" w:fill="000000" w:themeFill="text1"/>
            <w:vAlign w:val="center"/>
          </w:tcPr>
          <w:p w14:paraId="33992F60" w14:textId="0FC08AB0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Standard CI</w:t>
            </w:r>
          </w:p>
        </w:tc>
      </w:tr>
      <w:tr w:rsidR="00B837AA" w:rsidRPr="00190320" w14:paraId="61400849" w14:textId="77777777" w:rsidTr="00C66B94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DA049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1F1AD95A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41" w:type="dxa"/>
            <w:vMerge/>
            <w:shd w:val="clear" w:color="auto" w:fill="000000" w:themeFill="text1"/>
            <w:vAlign w:val="center"/>
          </w:tcPr>
          <w:p w14:paraId="64111A73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3" w:type="dxa"/>
            <w:vMerge/>
            <w:shd w:val="clear" w:color="auto" w:fill="000000" w:themeFill="text1"/>
            <w:vAlign w:val="center"/>
          </w:tcPr>
          <w:p w14:paraId="7F3095ED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000000" w:themeFill="text1"/>
            <w:vAlign w:val="center"/>
          </w:tcPr>
          <w:p w14:paraId="05F4915F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Lower</w:t>
            </w:r>
          </w:p>
        </w:tc>
        <w:tc>
          <w:tcPr>
            <w:tcW w:w="966" w:type="dxa"/>
            <w:gridSpan w:val="2"/>
            <w:shd w:val="clear" w:color="auto" w:fill="000000" w:themeFill="text1"/>
            <w:vAlign w:val="center"/>
          </w:tcPr>
          <w:p w14:paraId="1279AF20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Upper</w:t>
            </w:r>
          </w:p>
        </w:tc>
      </w:tr>
      <w:tr w:rsidR="00B837AA" w:rsidRPr="00190320" w14:paraId="13DDC59D" w14:textId="77777777" w:rsidTr="00C66B94">
        <w:trPr>
          <w:trHeight w:val="283"/>
        </w:trPr>
        <w:tc>
          <w:tcPr>
            <w:tcW w:w="8345" w:type="dxa"/>
            <w:gridSpan w:val="7"/>
            <w:shd w:val="clear" w:color="auto" w:fill="F2F2F2" w:themeFill="background1" w:themeFillShade="F2"/>
            <w:vAlign w:val="center"/>
          </w:tcPr>
          <w:p w14:paraId="708AB20E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Relationship set tested: Primacy of Loss Principle (Resource loss vs. resource gain)</w:t>
            </w:r>
          </w:p>
        </w:tc>
      </w:tr>
      <w:tr w:rsidR="00B837AA" w:rsidRPr="00190320" w14:paraId="7674798C" w14:textId="77777777" w:rsidTr="00C66B94">
        <w:trPr>
          <w:trHeight w:val="283"/>
        </w:trPr>
        <w:tc>
          <w:tcPr>
            <w:tcW w:w="4111" w:type="dxa"/>
            <w:vAlign w:val="center"/>
          </w:tcPr>
          <w:p w14:paraId="3DF2DBB2" w14:textId="4A007609" w:rsidR="00B837AA" w:rsidRPr="00190320" w:rsidRDefault="0043417D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Excessive Demand</w:t>
            </w:r>
            <w:r w:rsidR="00B837AA" w:rsidRPr="001903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837AA" w:rsidRPr="0019032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="00B837AA" w:rsidRPr="001903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E3474" w:rsidRPr="004E34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LinkedIn</w:t>
            </w:r>
            <w:r w:rsidR="004E347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837AA" w:rsidRPr="00190320">
              <w:rPr>
                <w:rFonts w:ascii="Times New Roman" w:hAnsi="Times New Roman" w:cs="Times New Roman"/>
                <w:sz w:val="18"/>
                <w:szCs w:val="18"/>
              </w:rPr>
              <w:t>Exhaustion</w:t>
            </w:r>
          </w:p>
        </w:tc>
        <w:tc>
          <w:tcPr>
            <w:tcW w:w="709" w:type="dxa"/>
            <w:vAlign w:val="center"/>
          </w:tcPr>
          <w:p w14:paraId="28E31654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0.386</w:t>
            </w:r>
          </w:p>
        </w:tc>
        <w:tc>
          <w:tcPr>
            <w:tcW w:w="741" w:type="dxa"/>
            <w:vAlign w:val="center"/>
          </w:tcPr>
          <w:p w14:paraId="2ADC661D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 w:val="restart"/>
            <w:vAlign w:val="center"/>
          </w:tcPr>
          <w:p w14:paraId="644638F4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0.588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503E159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939" w:type="dxa"/>
            <w:vMerge w:val="restart"/>
            <w:vAlign w:val="center"/>
          </w:tcPr>
          <w:p w14:paraId="30E90513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0.806</w:t>
            </w:r>
          </w:p>
        </w:tc>
      </w:tr>
      <w:tr w:rsidR="00B837AA" w:rsidRPr="00190320" w14:paraId="0A401DA3" w14:textId="77777777" w:rsidTr="00C66B94">
        <w:trPr>
          <w:trHeight w:val="283"/>
        </w:trPr>
        <w:tc>
          <w:tcPr>
            <w:tcW w:w="4111" w:type="dxa"/>
            <w:vAlign w:val="center"/>
          </w:tcPr>
          <w:p w14:paraId="6D67F348" w14:textId="14174811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 xml:space="preserve">LinkedIn Well-being </w:t>
            </w:r>
            <w:r w:rsidRPr="0019032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E3474" w:rsidRPr="004E34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LinkedIn</w:t>
            </w:r>
            <w:r w:rsidR="004E347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Exhaustion</w:t>
            </w:r>
          </w:p>
        </w:tc>
        <w:tc>
          <w:tcPr>
            <w:tcW w:w="709" w:type="dxa"/>
            <w:vAlign w:val="center"/>
          </w:tcPr>
          <w:p w14:paraId="47ED0213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14:paraId="6A75628D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-0.202</w:t>
            </w:r>
          </w:p>
        </w:tc>
        <w:tc>
          <w:tcPr>
            <w:tcW w:w="853" w:type="dxa"/>
            <w:vMerge/>
            <w:vAlign w:val="center"/>
          </w:tcPr>
          <w:p w14:paraId="34529849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5FA8F2EC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9" w:type="dxa"/>
            <w:vMerge/>
            <w:vAlign w:val="center"/>
          </w:tcPr>
          <w:p w14:paraId="6F7C2FBB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7AA" w:rsidRPr="00190320" w14:paraId="7D57D1A9" w14:textId="77777777" w:rsidTr="00C66B94">
        <w:trPr>
          <w:trHeight w:val="283"/>
        </w:trPr>
        <w:tc>
          <w:tcPr>
            <w:tcW w:w="8345" w:type="dxa"/>
            <w:gridSpan w:val="7"/>
            <w:shd w:val="clear" w:color="auto" w:fill="F2F2F2" w:themeFill="background1" w:themeFillShade="F2"/>
            <w:vAlign w:val="center"/>
          </w:tcPr>
          <w:p w14:paraId="58BD9DB3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Relationship set tested: Actual resource loss vs. resource threats</w:t>
            </w:r>
          </w:p>
        </w:tc>
      </w:tr>
      <w:tr w:rsidR="00B837AA" w:rsidRPr="00190320" w14:paraId="405F77FF" w14:textId="77777777" w:rsidTr="00C66B94">
        <w:trPr>
          <w:trHeight w:val="283"/>
        </w:trPr>
        <w:tc>
          <w:tcPr>
            <w:tcW w:w="4111" w:type="dxa"/>
            <w:vAlign w:val="center"/>
          </w:tcPr>
          <w:p w14:paraId="2D134758" w14:textId="0EBD03C6" w:rsidR="00B837AA" w:rsidRPr="00190320" w:rsidRDefault="0043417D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 xml:space="preserve">Excessive Demand </w:t>
            </w:r>
            <w:r w:rsidR="00B837AA" w:rsidRPr="0019032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="00B837AA" w:rsidRPr="001903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6B94" w:rsidRPr="004E34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LinkedIn</w:t>
            </w:r>
            <w:r w:rsidR="00C66B9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837AA" w:rsidRPr="00190320">
              <w:rPr>
                <w:rFonts w:ascii="Times New Roman" w:hAnsi="Times New Roman" w:cs="Times New Roman"/>
                <w:sz w:val="18"/>
                <w:szCs w:val="18"/>
              </w:rPr>
              <w:t>Exhaustion</w:t>
            </w:r>
          </w:p>
        </w:tc>
        <w:tc>
          <w:tcPr>
            <w:tcW w:w="709" w:type="dxa"/>
            <w:vAlign w:val="center"/>
          </w:tcPr>
          <w:p w14:paraId="57A4B3B0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0.386</w:t>
            </w:r>
          </w:p>
        </w:tc>
        <w:tc>
          <w:tcPr>
            <w:tcW w:w="741" w:type="dxa"/>
            <w:vAlign w:val="center"/>
          </w:tcPr>
          <w:p w14:paraId="648E5408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 w:val="restart"/>
            <w:vAlign w:val="center"/>
          </w:tcPr>
          <w:p w14:paraId="433AA2BA" w14:textId="4607A427" w:rsidR="00B837AA" w:rsidRPr="00190320" w:rsidRDefault="00A1596E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837AA" w:rsidRPr="00190320">
              <w:rPr>
                <w:rFonts w:ascii="Times New Roman" w:hAnsi="Times New Roman" w:cs="Times New Roman"/>
                <w:sz w:val="18"/>
                <w:szCs w:val="18"/>
              </w:rPr>
              <w:t>.241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B81A205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939" w:type="dxa"/>
            <w:vMerge w:val="restart"/>
            <w:vAlign w:val="center"/>
          </w:tcPr>
          <w:p w14:paraId="77317B98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0.448</w:t>
            </w:r>
          </w:p>
        </w:tc>
      </w:tr>
      <w:tr w:rsidR="00B837AA" w:rsidRPr="00190320" w14:paraId="419967A7" w14:textId="77777777" w:rsidTr="00C66B94">
        <w:trPr>
          <w:trHeight w:val="283"/>
        </w:trPr>
        <w:tc>
          <w:tcPr>
            <w:tcW w:w="4111" w:type="dxa"/>
            <w:vAlign w:val="center"/>
          </w:tcPr>
          <w:p w14:paraId="298B3C31" w14:textId="0AAB441F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 xml:space="preserve">Privacy Threats </w:t>
            </w:r>
            <w:r w:rsidRPr="00190320">
              <w:rPr>
                <w:rFonts w:ascii="Times New Roman" w:hAnsi="Times New Roman" w:cs="Times New Roman"/>
                <w:sz w:val="18"/>
                <w:szCs w:val="18"/>
              </w:rPr>
              <w:sym w:font="Wingdings" w:char="F0E0"/>
            </w: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6B94" w:rsidRPr="004E34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LinkedIn</w:t>
            </w:r>
            <w:r w:rsidR="00C66B9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Exhaustion</w:t>
            </w:r>
          </w:p>
        </w:tc>
        <w:tc>
          <w:tcPr>
            <w:tcW w:w="709" w:type="dxa"/>
            <w:vAlign w:val="center"/>
          </w:tcPr>
          <w:p w14:paraId="5D90F360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14:paraId="1CD57FF8" w14:textId="77777777" w:rsidR="00B837AA" w:rsidRPr="00190320" w:rsidRDefault="00B837AA" w:rsidP="00C66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320">
              <w:rPr>
                <w:rFonts w:ascii="Times New Roman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853" w:type="dxa"/>
            <w:vMerge/>
            <w:vAlign w:val="center"/>
          </w:tcPr>
          <w:p w14:paraId="459B1B9E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6A7F6406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9" w:type="dxa"/>
            <w:vMerge/>
            <w:vAlign w:val="center"/>
          </w:tcPr>
          <w:p w14:paraId="342D1C09" w14:textId="77777777" w:rsidR="00B837AA" w:rsidRPr="00190320" w:rsidRDefault="00B837AA" w:rsidP="00C66B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52A381A" w14:textId="77777777" w:rsidR="00B837AA" w:rsidRPr="00190320" w:rsidRDefault="00B837AA" w:rsidP="00B837AA">
      <w:pPr>
        <w:pStyle w:val="Caption"/>
        <w:keepNext/>
        <w:rPr>
          <w:b w:val="0"/>
          <w:bCs w:val="0"/>
          <w:sz w:val="18"/>
          <w:lang w:val="en-CA"/>
        </w:rPr>
      </w:pPr>
      <w:r w:rsidRPr="00190320">
        <w:rPr>
          <w:b w:val="0"/>
          <w:bCs w:val="0"/>
          <w:sz w:val="18"/>
          <w:lang w:val="en-CA"/>
        </w:rPr>
        <w:t>Notes: CI (confidence interval)</w:t>
      </w:r>
    </w:p>
    <w:p w14:paraId="4CE35E27" w14:textId="77777777" w:rsidR="00B837AA" w:rsidRPr="00190320" w:rsidRDefault="00B837AA" w:rsidP="00B837AA">
      <w:pPr>
        <w:spacing w:after="240" w:line="240" w:lineRule="auto"/>
        <w:jc w:val="both"/>
        <w:rPr>
          <w:rFonts w:ascii="Times New Roman" w:hAnsi="Times New Roman" w:cs="Times New Roman"/>
          <w:b/>
          <w:bCs/>
        </w:rPr>
      </w:pPr>
      <w:r w:rsidRPr="00190320">
        <w:rPr>
          <w:rFonts w:ascii="Times New Roman" w:hAnsi="Times New Roman" w:cs="Times New Roman"/>
        </w:rPr>
        <w:t>Our findings confirm that resource loss (H3: |0.386|) is more salient to stress than resource gain (H2: |0.202|), and that actual resource loss (H3: 0.386) has a greater impact on stress than anticipated loss (H4: 0.145).</w:t>
      </w:r>
    </w:p>
    <w:p w14:paraId="37E13E58" w14:textId="77777777" w:rsidR="00B837AA" w:rsidRPr="00190320" w:rsidRDefault="00B837AA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190320">
        <w:rPr>
          <w:rFonts w:ascii="Times New Roman" w:hAnsi="Times New Roman" w:cs="Times New Roman"/>
          <w:b/>
          <w:bCs/>
        </w:rPr>
        <w:br w:type="page"/>
      </w:r>
    </w:p>
    <w:p w14:paraId="7C3D4D47" w14:textId="56CAA9CF" w:rsidR="00B837AA" w:rsidRPr="00190320" w:rsidRDefault="00B837AA" w:rsidP="00B837A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90320">
        <w:rPr>
          <w:rFonts w:ascii="Times New Roman" w:hAnsi="Times New Roman" w:cs="Times New Roman"/>
          <w:b/>
          <w:bCs/>
        </w:rPr>
        <w:lastRenderedPageBreak/>
        <w:t>References</w:t>
      </w:r>
    </w:p>
    <w:p w14:paraId="19AC05EF" w14:textId="77777777" w:rsidR="00B837AA" w:rsidRPr="00190320" w:rsidRDefault="00B837AA" w:rsidP="00B837A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E90A74" w14:textId="3966EEBF" w:rsidR="005F2CEC" w:rsidRPr="00190320" w:rsidRDefault="005F2CEC" w:rsidP="00F51200">
      <w:pPr>
        <w:ind w:left="567" w:hanging="567"/>
        <w:rPr>
          <w:rFonts w:ascii="Times New Roman" w:hAnsi="Times New Roman" w:cs="Times New Roman"/>
        </w:rPr>
      </w:pPr>
      <w:r w:rsidRPr="00190320">
        <w:rPr>
          <w:rFonts w:ascii="Times New Roman" w:hAnsi="Times New Roman" w:cs="Times New Roman"/>
        </w:rPr>
        <w:t>Halbesleben, J., Neveu, J.-P., Paustian-Underdahl, S. and Westman, M. (2014)</w:t>
      </w:r>
      <w:r w:rsidR="0004126C">
        <w:rPr>
          <w:rFonts w:ascii="Times New Roman" w:hAnsi="Times New Roman" w:cs="Times New Roman"/>
        </w:rPr>
        <w:t>,</w:t>
      </w:r>
      <w:r w:rsidRPr="00190320">
        <w:rPr>
          <w:rFonts w:ascii="Times New Roman" w:hAnsi="Times New Roman" w:cs="Times New Roman"/>
        </w:rPr>
        <w:t xml:space="preserve"> "Getting to the ‘COR’: Understanding the role of resources in Conservation of Resources theory"</w:t>
      </w:r>
      <w:r w:rsidR="00DF219A">
        <w:rPr>
          <w:rFonts w:ascii="Times New Roman" w:hAnsi="Times New Roman" w:cs="Times New Roman"/>
        </w:rPr>
        <w:t>,</w:t>
      </w:r>
      <w:r w:rsidRPr="00190320">
        <w:rPr>
          <w:rFonts w:ascii="Times New Roman" w:hAnsi="Times New Roman" w:cs="Times New Roman"/>
        </w:rPr>
        <w:t xml:space="preserve"> </w:t>
      </w:r>
      <w:r w:rsidRPr="00190320">
        <w:rPr>
          <w:rFonts w:ascii="Times New Roman" w:hAnsi="Times New Roman" w:cs="Times New Roman"/>
          <w:i/>
          <w:iCs/>
        </w:rPr>
        <w:t>Journal of Management</w:t>
      </w:r>
      <w:r w:rsidRPr="00190320">
        <w:rPr>
          <w:rFonts w:ascii="Times New Roman" w:hAnsi="Times New Roman" w:cs="Times New Roman"/>
        </w:rPr>
        <w:t>, Vol. 40, No. 5, pp. 1334–1364.</w:t>
      </w:r>
    </w:p>
    <w:p w14:paraId="1442EBC5" w14:textId="3F5EDB60" w:rsidR="005F2CEC" w:rsidRPr="00190320" w:rsidRDefault="005F2CEC" w:rsidP="00F51200">
      <w:pPr>
        <w:ind w:left="567" w:hanging="567"/>
        <w:rPr>
          <w:rFonts w:ascii="Times New Roman" w:hAnsi="Times New Roman" w:cs="Times New Roman"/>
        </w:rPr>
      </w:pPr>
      <w:r w:rsidRPr="00190320">
        <w:rPr>
          <w:rFonts w:ascii="Times New Roman" w:hAnsi="Times New Roman" w:cs="Times New Roman"/>
        </w:rPr>
        <w:t>Rodríguez-Entrena, M., Schuberth, F. and G</w:t>
      </w:r>
      <w:r w:rsidR="000F7821" w:rsidRPr="00190320">
        <w:rPr>
          <w:rFonts w:ascii="Times New Roman" w:hAnsi="Times New Roman" w:cs="Times New Roman"/>
        </w:rPr>
        <w:t>elhard</w:t>
      </w:r>
      <w:r w:rsidRPr="00190320">
        <w:rPr>
          <w:rFonts w:ascii="Times New Roman" w:hAnsi="Times New Roman" w:cs="Times New Roman"/>
        </w:rPr>
        <w:t>, C. (2018)</w:t>
      </w:r>
      <w:r w:rsidR="0004126C">
        <w:rPr>
          <w:rFonts w:ascii="Times New Roman" w:hAnsi="Times New Roman" w:cs="Times New Roman"/>
        </w:rPr>
        <w:t>,</w:t>
      </w:r>
      <w:r w:rsidRPr="00190320">
        <w:rPr>
          <w:rFonts w:ascii="Times New Roman" w:hAnsi="Times New Roman" w:cs="Times New Roman"/>
        </w:rPr>
        <w:t xml:space="preserve"> "Assessing statistical differences between parameters estimates in partial least squares path modeling"</w:t>
      </w:r>
      <w:r w:rsidR="00DF219A">
        <w:rPr>
          <w:rFonts w:ascii="Times New Roman" w:hAnsi="Times New Roman" w:cs="Times New Roman"/>
        </w:rPr>
        <w:t>,</w:t>
      </w:r>
      <w:r w:rsidRPr="00190320">
        <w:rPr>
          <w:rFonts w:ascii="Times New Roman" w:hAnsi="Times New Roman" w:cs="Times New Roman"/>
        </w:rPr>
        <w:t xml:space="preserve"> </w:t>
      </w:r>
      <w:r w:rsidRPr="00190320">
        <w:rPr>
          <w:rFonts w:ascii="Times New Roman" w:hAnsi="Times New Roman" w:cs="Times New Roman"/>
          <w:i/>
          <w:iCs/>
        </w:rPr>
        <w:t>Quality &amp; Quantity</w:t>
      </w:r>
      <w:r w:rsidRPr="00190320">
        <w:rPr>
          <w:rFonts w:ascii="Times New Roman" w:hAnsi="Times New Roman" w:cs="Times New Roman"/>
        </w:rPr>
        <w:t>, Vol. 52, pp. 57–69.</w:t>
      </w:r>
    </w:p>
    <w:p w14:paraId="665BA022" w14:textId="2E8B0CBB" w:rsidR="005F2CEC" w:rsidRPr="00190320" w:rsidRDefault="005F2CEC" w:rsidP="00F51200">
      <w:pPr>
        <w:ind w:left="567" w:hanging="567"/>
        <w:rPr>
          <w:rFonts w:ascii="Times New Roman" w:hAnsi="Times New Roman" w:cs="Times New Roman"/>
        </w:rPr>
      </w:pPr>
      <w:r w:rsidRPr="00190320">
        <w:rPr>
          <w:rFonts w:ascii="Times New Roman" w:hAnsi="Times New Roman" w:cs="Times New Roman"/>
        </w:rPr>
        <w:t>Wells, J., Hobfoll, S. and Lavin, J. (1999)</w:t>
      </w:r>
      <w:r w:rsidR="0004126C">
        <w:rPr>
          <w:rFonts w:ascii="Times New Roman" w:hAnsi="Times New Roman" w:cs="Times New Roman"/>
        </w:rPr>
        <w:t>,</w:t>
      </w:r>
      <w:r w:rsidRPr="00190320">
        <w:rPr>
          <w:rFonts w:ascii="Times New Roman" w:hAnsi="Times New Roman" w:cs="Times New Roman"/>
        </w:rPr>
        <w:t xml:space="preserve"> "When it rains, it pours: The greater impact of resource loss compared to gain on psychological distress"</w:t>
      </w:r>
      <w:r w:rsidR="00DF219A">
        <w:rPr>
          <w:rFonts w:ascii="Times New Roman" w:hAnsi="Times New Roman" w:cs="Times New Roman"/>
        </w:rPr>
        <w:t>,</w:t>
      </w:r>
      <w:r w:rsidRPr="00190320">
        <w:rPr>
          <w:rFonts w:ascii="Times New Roman" w:hAnsi="Times New Roman" w:cs="Times New Roman"/>
        </w:rPr>
        <w:t xml:space="preserve"> </w:t>
      </w:r>
      <w:r w:rsidRPr="00190320">
        <w:rPr>
          <w:rFonts w:ascii="Times New Roman" w:hAnsi="Times New Roman" w:cs="Times New Roman"/>
          <w:i/>
          <w:iCs/>
        </w:rPr>
        <w:t>Personality and Social Psychology Bulletin</w:t>
      </w:r>
      <w:r w:rsidRPr="00190320">
        <w:rPr>
          <w:rFonts w:ascii="Times New Roman" w:hAnsi="Times New Roman" w:cs="Times New Roman"/>
        </w:rPr>
        <w:t>, Vol. 25, No. 9, pp. 1172–1182.</w:t>
      </w:r>
    </w:p>
    <w:p w14:paraId="2E8080B4" w14:textId="77777777" w:rsidR="008F6F2B" w:rsidRPr="00190320" w:rsidRDefault="008F6F2B"/>
    <w:sectPr w:rsidR="008F6F2B" w:rsidRPr="0019032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AA"/>
    <w:rsid w:val="00032445"/>
    <w:rsid w:val="0004126C"/>
    <w:rsid w:val="00075AEF"/>
    <w:rsid w:val="00080841"/>
    <w:rsid w:val="000D1F73"/>
    <w:rsid w:val="000F3714"/>
    <w:rsid w:val="000F7821"/>
    <w:rsid w:val="00190320"/>
    <w:rsid w:val="001B72ED"/>
    <w:rsid w:val="001F5821"/>
    <w:rsid w:val="002405FD"/>
    <w:rsid w:val="002A6E88"/>
    <w:rsid w:val="002C1E40"/>
    <w:rsid w:val="003255B8"/>
    <w:rsid w:val="003A40E2"/>
    <w:rsid w:val="003A6631"/>
    <w:rsid w:val="003D4688"/>
    <w:rsid w:val="0043417D"/>
    <w:rsid w:val="004827AE"/>
    <w:rsid w:val="004A0DB3"/>
    <w:rsid w:val="004E3474"/>
    <w:rsid w:val="005114A0"/>
    <w:rsid w:val="005F16E5"/>
    <w:rsid w:val="005F2CEC"/>
    <w:rsid w:val="006D0659"/>
    <w:rsid w:val="00852363"/>
    <w:rsid w:val="008A4869"/>
    <w:rsid w:val="008F6F2B"/>
    <w:rsid w:val="00940BB9"/>
    <w:rsid w:val="00A1596E"/>
    <w:rsid w:val="00A63CC6"/>
    <w:rsid w:val="00B837AA"/>
    <w:rsid w:val="00C66B94"/>
    <w:rsid w:val="00D44570"/>
    <w:rsid w:val="00DF219A"/>
    <w:rsid w:val="00E04B11"/>
    <w:rsid w:val="00F42844"/>
    <w:rsid w:val="00F51200"/>
    <w:rsid w:val="00F7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5EACC"/>
  <w15:chartTrackingRefBased/>
  <w15:docId w15:val="{A114AC18-56C2-41AD-A222-9FCE878F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7AA"/>
    <w:pPr>
      <w:spacing w:after="120" w:line="278" w:lineRule="auto"/>
    </w:pPr>
    <w:rPr>
      <w:kern w:val="2"/>
      <w:sz w:val="24"/>
      <w:szCs w:val="24"/>
      <w:lang w:val="en-C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7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fr-CA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7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7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val="fr-CA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7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val="fr-CA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7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0"/>
      <w:sz w:val="22"/>
      <w:szCs w:val="22"/>
      <w:lang w:val="fr-CA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fr-CA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7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:lang w:val="fr-CA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7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fr-CA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7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:lang w:val="fr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7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7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83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7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fr-CA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83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7AA"/>
    <w:pPr>
      <w:spacing w:before="160" w:after="160" w:line="259" w:lineRule="auto"/>
      <w:jc w:val="center"/>
    </w:pPr>
    <w:rPr>
      <w:i/>
      <w:iCs/>
      <w:color w:val="404040" w:themeColor="text1" w:themeTint="BF"/>
      <w:kern w:val="0"/>
      <w:sz w:val="22"/>
      <w:szCs w:val="22"/>
      <w:lang w:val="fr-CA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83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7AA"/>
    <w:pPr>
      <w:spacing w:after="160" w:line="259" w:lineRule="auto"/>
      <w:ind w:left="720"/>
      <w:contextualSpacing/>
    </w:pPr>
    <w:rPr>
      <w:kern w:val="0"/>
      <w:sz w:val="22"/>
      <w:szCs w:val="22"/>
      <w:lang w:val="fr-CA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837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0"/>
      <w:sz w:val="22"/>
      <w:szCs w:val="22"/>
      <w:lang w:val="fr-CA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7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7A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B837AA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837AA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83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7AA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7AA"/>
    <w:rPr>
      <w:kern w:val="2"/>
      <w:sz w:val="20"/>
      <w:szCs w:val="20"/>
      <w:lang w:val="en-CA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B837AA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B837AA"/>
  </w:style>
  <w:style w:type="paragraph" w:styleId="Revision">
    <w:name w:val="Revision"/>
    <w:hidden/>
    <w:uiPriority w:val="99"/>
    <w:semiHidden/>
    <w:rsid w:val="001F5821"/>
    <w:pPr>
      <w:spacing w:after="0" w:line="240" w:lineRule="auto"/>
    </w:pPr>
    <w:rPr>
      <w:kern w:val="2"/>
      <w:sz w:val="24"/>
      <w:szCs w:val="24"/>
      <w:lang w:val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D2587F3080642BF57F87D86670D17" ma:contentTypeVersion="7" ma:contentTypeDescription="Crée un document." ma:contentTypeScope="" ma:versionID="de2f5a6ef7bb00a4a8663749e026587c">
  <xsd:schema xmlns:xsd="http://www.w3.org/2001/XMLSchema" xmlns:xs="http://www.w3.org/2001/XMLSchema" xmlns:p="http://schemas.microsoft.com/office/2006/metadata/properties" xmlns:ns2="4cc35b31-15d7-46f3-9a10-a6ee1ba1192a" targetNamespace="http://schemas.microsoft.com/office/2006/metadata/properties" ma:root="true" ma:fieldsID="7ec991ff0a21c288b16f9c412f3962ca" ns2:_="">
    <xsd:import namespace="4cc35b31-15d7-46f3-9a10-a6ee1ba11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ags" minOccurs="0"/>
                <xsd:element ref="ns2:Referback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35b31-15d7-46f3-9a10-a6ee1ba11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ags" ma:index="12" nillable="true" ma:displayName="Tags" ma:format="Dropdown" ma:internalName="Tags">
      <xsd:simpleType>
        <xsd:union memberTypes="dms:Text">
          <xsd:simpleType>
            <xsd:restriction base="dms:Choice">
              <xsd:enumeration value="Design (usability)"/>
              <xsd:enumeration value="LI as data collection site only"/>
              <xsd:enumeration value="LI as non-hedonic"/>
              <xsd:enumeration value="Employment"/>
              <xsd:enumeration value="Motivation for use"/>
              <xsd:enumeration value="Corporate (E) use"/>
              <xsd:enumeration value="Education"/>
              <xsd:enumeration value="Profiles and Employment"/>
              <xsd:enumeration value="Caca"/>
              <xsd:enumeration value="Use and Benefits"/>
            </xsd:restriction>
          </xsd:simpleType>
        </xsd:union>
      </xsd:simpleType>
    </xsd:element>
    <xsd:element name="Referback" ma:index="13" nillable="true" ma:displayName="Refer back" ma:default="0" ma:format="Dropdown" ma:internalName="Referback">
      <xsd:simpleType>
        <xsd:restriction base="dms:Boolean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4cc35b31-15d7-46f3-9a10-a6ee1ba1192a" xsi:nil="true"/>
    <Notes xmlns="4cc35b31-15d7-46f3-9a10-a6ee1ba1192a" xsi:nil="true"/>
    <Referback xmlns="4cc35b31-15d7-46f3-9a10-a6ee1ba1192a">false</Referbac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B250E-62CF-4B6C-9C3A-8DEE89DA3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35b31-15d7-46f3-9a10-a6ee1ba11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882C54-D833-4D05-99F7-FCE248C53A73}">
  <ds:schemaRefs>
    <ds:schemaRef ds:uri="http://schemas.microsoft.com/office/2006/metadata/properties"/>
    <ds:schemaRef ds:uri="http://schemas.microsoft.com/office/infopath/2007/PartnerControls"/>
    <ds:schemaRef ds:uri="4cc35b31-15d7-46f3-9a10-a6ee1ba1192a"/>
  </ds:schemaRefs>
</ds:datastoreItem>
</file>

<file path=customXml/itemProps3.xml><?xml version="1.0" encoding="utf-8"?>
<ds:datastoreItem xmlns:ds="http://schemas.openxmlformats.org/officeDocument/2006/customXml" ds:itemID="{B9760A58-AF52-4887-89BA-38CCC76595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FSA ULaval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 Jabagi</dc:creator>
  <cp:keywords/>
  <dc:description/>
  <cp:lastModifiedBy>Nura Jabagi</cp:lastModifiedBy>
  <cp:revision>27</cp:revision>
  <dcterms:created xsi:type="dcterms:W3CDTF">2025-03-04T13:32:00Z</dcterms:created>
  <dcterms:modified xsi:type="dcterms:W3CDTF">2025-06-07T20:48:00Z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0x010100272D2587F3080642BF57F87D86670D17</vt:lpwstr>
  </property>
</Properties>
</file>