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759E5" w14:textId="5938C9E1" w:rsidR="00105D54" w:rsidRPr="004F289D" w:rsidRDefault="004F289D" w:rsidP="00C228BA">
      <w:pPr>
        <w:jc w:val="center"/>
        <w:rPr>
          <w:b/>
          <w:bCs/>
          <w:sz w:val="24"/>
          <w:szCs w:val="24"/>
          <w:lang w:val="en-US"/>
        </w:rPr>
      </w:pPr>
      <w:r w:rsidRPr="004F289D">
        <w:rPr>
          <w:b/>
          <w:bCs/>
          <w:sz w:val="24"/>
          <w:szCs w:val="24"/>
          <w:lang w:val="en-US"/>
        </w:rPr>
        <w:t xml:space="preserve">Web </w:t>
      </w:r>
      <w:r w:rsidR="00C228BA" w:rsidRPr="004F289D">
        <w:rPr>
          <w:b/>
          <w:bCs/>
          <w:sz w:val="24"/>
          <w:szCs w:val="24"/>
          <w:lang w:val="en-US"/>
        </w:rPr>
        <w:t>Appendix</w:t>
      </w:r>
    </w:p>
    <w:p w14:paraId="2450A2A0" w14:textId="77777777" w:rsidR="00DB132D" w:rsidRPr="004F289D" w:rsidRDefault="00DB132D" w:rsidP="00DB132D">
      <w:pPr>
        <w:spacing w:line="278" w:lineRule="auto"/>
        <w:rPr>
          <w:rFonts w:eastAsia="Aptos" w:cs="Times New Roman"/>
          <w:b/>
          <w:bCs/>
          <w:lang w:val="en-US"/>
        </w:rPr>
      </w:pPr>
      <w:bookmarkStart w:id="0" w:name="_Hlk216771282"/>
      <w:r w:rsidRPr="004F289D">
        <w:rPr>
          <w:rFonts w:eastAsia="Aptos" w:cs="Times New Roman"/>
          <w:b/>
          <w:bCs/>
          <w:lang w:val="en-US"/>
        </w:rPr>
        <w:t xml:space="preserve">Table A1. </w:t>
      </w:r>
      <w:r w:rsidRPr="004F289D">
        <w:rPr>
          <w:rFonts w:eastAsia="Aptos" w:cs="Times New Roman"/>
          <w:lang w:val="en-US"/>
        </w:rPr>
        <w:t>Review of literacy scales</w:t>
      </w:r>
      <w:r w:rsidRPr="004F289D">
        <w:rPr>
          <w:rFonts w:eastAsia="Aptos" w:cs="Times New Roman"/>
          <w:b/>
          <w:bCs/>
          <w:lang w:val="en-US"/>
        </w:rPr>
        <w:t xml:space="preserve"> </w:t>
      </w:r>
    </w:p>
    <w:tbl>
      <w:tblPr>
        <w:tblStyle w:val="TableGrid3"/>
        <w:tblW w:w="6257" w:type="pct"/>
        <w:tblInd w:w="-1281" w:type="dxa"/>
        <w:tblLook w:val="04A0" w:firstRow="1" w:lastRow="0" w:firstColumn="1" w:lastColumn="0" w:noHBand="0" w:noVBand="1"/>
      </w:tblPr>
      <w:tblGrid>
        <w:gridCol w:w="1704"/>
        <w:gridCol w:w="1987"/>
        <w:gridCol w:w="1702"/>
        <w:gridCol w:w="3976"/>
        <w:gridCol w:w="1417"/>
      </w:tblGrid>
      <w:tr w:rsidR="004F289D" w:rsidRPr="004F289D" w14:paraId="7ED951AF" w14:textId="77777777" w:rsidTr="003E3E1B">
        <w:tc>
          <w:tcPr>
            <w:tcW w:w="790" w:type="pct"/>
            <w:tcBorders>
              <w:left w:val="nil"/>
              <w:bottom w:val="single" w:sz="4" w:space="0" w:color="auto"/>
              <w:right w:val="nil"/>
            </w:tcBorders>
          </w:tcPr>
          <w:p w14:paraId="447B9CA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Literacy construct</w:t>
            </w:r>
          </w:p>
          <w:p w14:paraId="5535AC47" w14:textId="77777777" w:rsidR="00DB132D" w:rsidRPr="004F289D" w:rsidRDefault="00DB132D" w:rsidP="00DB132D">
            <w:pPr>
              <w:rPr>
                <w:rFonts w:eastAsia="Aptos" w:cs="Times New Roman"/>
                <w:sz w:val="20"/>
                <w:szCs w:val="20"/>
                <w:lang w:val="en-US"/>
              </w:rPr>
            </w:pPr>
          </w:p>
        </w:tc>
        <w:tc>
          <w:tcPr>
            <w:tcW w:w="921" w:type="pct"/>
            <w:tcBorders>
              <w:left w:val="nil"/>
              <w:bottom w:val="single" w:sz="4" w:space="0" w:color="auto"/>
              <w:right w:val="nil"/>
            </w:tcBorders>
          </w:tcPr>
          <w:p w14:paraId="071EF21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Type of literacy measured</w:t>
            </w:r>
          </w:p>
        </w:tc>
        <w:tc>
          <w:tcPr>
            <w:tcW w:w="789" w:type="pct"/>
            <w:tcBorders>
              <w:left w:val="nil"/>
              <w:bottom w:val="single" w:sz="4" w:space="0" w:color="auto"/>
              <w:right w:val="nil"/>
            </w:tcBorders>
          </w:tcPr>
          <w:p w14:paraId="38B45FB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Scale characteristics</w:t>
            </w:r>
          </w:p>
          <w:p w14:paraId="49393A96" w14:textId="77777777" w:rsidR="00710711" w:rsidRPr="004F289D" w:rsidRDefault="00710711" w:rsidP="00DB132D">
            <w:pPr>
              <w:rPr>
                <w:rFonts w:eastAsia="Aptos" w:cs="Times New Roman"/>
                <w:sz w:val="20"/>
                <w:szCs w:val="20"/>
                <w:lang w:val="en-US"/>
              </w:rPr>
            </w:pPr>
          </w:p>
        </w:tc>
        <w:tc>
          <w:tcPr>
            <w:tcW w:w="1843" w:type="pct"/>
            <w:tcBorders>
              <w:left w:val="nil"/>
              <w:bottom w:val="single" w:sz="4" w:space="0" w:color="auto"/>
              <w:right w:val="nil"/>
            </w:tcBorders>
          </w:tcPr>
          <w:p w14:paraId="3389601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Dimensions</w:t>
            </w:r>
          </w:p>
        </w:tc>
        <w:tc>
          <w:tcPr>
            <w:tcW w:w="657" w:type="pct"/>
            <w:tcBorders>
              <w:left w:val="nil"/>
              <w:bottom w:val="single" w:sz="4" w:space="0" w:color="auto"/>
              <w:right w:val="nil"/>
            </w:tcBorders>
          </w:tcPr>
          <w:p w14:paraId="38390749" w14:textId="39B35B6B" w:rsidR="00DB132D" w:rsidRPr="004F289D" w:rsidRDefault="002C218D" w:rsidP="00DB132D">
            <w:pPr>
              <w:rPr>
                <w:rFonts w:eastAsia="Aptos" w:cs="Times New Roman"/>
                <w:sz w:val="20"/>
                <w:szCs w:val="20"/>
                <w:lang w:val="en-US"/>
              </w:rPr>
            </w:pPr>
            <w:r w:rsidRPr="004F289D">
              <w:rPr>
                <w:rFonts w:eastAsia="Aptos" w:cs="Times New Roman"/>
                <w:sz w:val="20"/>
                <w:szCs w:val="20"/>
                <w:lang w:val="en-US"/>
              </w:rPr>
              <w:t>Source</w:t>
            </w:r>
          </w:p>
        </w:tc>
      </w:tr>
      <w:bookmarkEnd w:id="0"/>
      <w:tr w:rsidR="004F289D" w:rsidRPr="004F289D" w14:paraId="48277E3C" w14:textId="77777777" w:rsidTr="00710711">
        <w:tc>
          <w:tcPr>
            <w:tcW w:w="790" w:type="pct"/>
            <w:vMerge w:val="restart"/>
            <w:tcBorders>
              <w:left w:val="nil"/>
              <w:bottom w:val="nil"/>
              <w:right w:val="nil"/>
            </w:tcBorders>
          </w:tcPr>
          <w:p w14:paraId="721FA26E" w14:textId="77777777" w:rsidR="00DB132D" w:rsidRPr="004F289D" w:rsidRDefault="00DB132D" w:rsidP="00DB132D">
            <w:pPr>
              <w:rPr>
                <w:rFonts w:eastAsia="Aptos" w:cs="Times New Roman"/>
                <w:b/>
                <w:bCs/>
                <w:sz w:val="20"/>
                <w:szCs w:val="20"/>
                <w:lang w:val="en-US"/>
              </w:rPr>
            </w:pPr>
            <w:r w:rsidRPr="004F289D">
              <w:rPr>
                <w:rFonts w:eastAsia="Aptos" w:cs="Times New Roman"/>
                <w:b/>
                <w:bCs/>
                <w:sz w:val="20"/>
                <w:szCs w:val="20"/>
                <w:lang w:val="en-US"/>
              </w:rPr>
              <w:t>Information Literacy</w:t>
            </w:r>
          </w:p>
        </w:tc>
        <w:tc>
          <w:tcPr>
            <w:tcW w:w="921" w:type="pct"/>
            <w:tcBorders>
              <w:left w:val="nil"/>
              <w:bottom w:val="nil"/>
              <w:right w:val="nil"/>
            </w:tcBorders>
          </w:tcPr>
          <w:p w14:paraId="41724A8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Ability to locate, evaluate, use, and communicate information</w:t>
            </w:r>
          </w:p>
          <w:p w14:paraId="42A7398A" w14:textId="77777777" w:rsidR="00710711" w:rsidRPr="004F289D" w:rsidRDefault="00710711" w:rsidP="00DB132D">
            <w:pPr>
              <w:rPr>
                <w:rFonts w:eastAsia="Aptos" w:cs="Times New Roman"/>
                <w:sz w:val="20"/>
                <w:szCs w:val="20"/>
                <w:lang w:val="en-US"/>
              </w:rPr>
            </w:pPr>
          </w:p>
        </w:tc>
        <w:tc>
          <w:tcPr>
            <w:tcW w:w="789" w:type="pct"/>
            <w:tcBorders>
              <w:left w:val="nil"/>
              <w:bottom w:val="nil"/>
              <w:right w:val="nil"/>
            </w:tcBorders>
          </w:tcPr>
          <w:p w14:paraId="24574C6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10 items on a 5-point Likert-type scale</w:t>
            </w:r>
          </w:p>
        </w:tc>
        <w:tc>
          <w:tcPr>
            <w:tcW w:w="1843" w:type="pct"/>
            <w:tcBorders>
              <w:left w:val="nil"/>
              <w:bottom w:val="nil"/>
              <w:right w:val="nil"/>
            </w:tcBorders>
          </w:tcPr>
          <w:p w14:paraId="441B137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tc>
        <w:tc>
          <w:tcPr>
            <w:tcW w:w="657" w:type="pct"/>
            <w:tcBorders>
              <w:left w:val="nil"/>
              <w:bottom w:val="nil"/>
              <w:right w:val="nil"/>
            </w:tcBorders>
          </w:tcPr>
          <w:p w14:paraId="5DC776DA"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Reddy et al. (2022)</w:t>
            </w:r>
          </w:p>
        </w:tc>
      </w:tr>
      <w:tr w:rsidR="004F289D" w:rsidRPr="004F289D" w14:paraId="54C1976F" w14:textId="77777777" w:rsidTr="00710711">
        <w:tc>
          <w:tcPr>
            <w:tcW w:w="790" w:type="pct"/>
            <w:vMerge/>
            <w:tcBorders>
              <w:top w:val="nil"/>
              <w:left w:val="nil"/>
              <w:bottom w:val="nil"/>
              <w:right w:val="nil"/>
            </w:tcBorders>
          </w:tcPr>
          <w:p w14:paraId="2E2292FF" w14:textId="77777777" w:rsidR="00DB132D" w:rsidRPr="004F289D" w:rsidRDefault="00DB132D" w:rsidP="00DB132D">
            <w:pPr>
              <w:rPr>
                <w:rFonts w:eastAsia="Aptos" w:cs="Times New Roman"/>
                <w:b/>
                <w:bCs/>
                <w:sz w:val="20"/>
                <w:szCs w:val="20"/>
                <w:lang w:val="en-US"/>
              </w:rPr>
            </w:pPr>
          </w:p>
        </w:tc>
        <w:tc>
          <w:tcPr>
            <w:tcW w:w="921" w:type="pct"/>
            <w:tcBorders>
              <w:top w:val="nil"/>
              <w:left w:val="nil"/>
              <w:bottom w:val="nil"/>
              <w:right w:val="nil"/>
            </w:tcBorders>
          </w:tcPr>
          <w:p w14:paraId="6CEA430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Information knowledge, skills, attitudes, awareness, and ethics</w:t>
            </w:r>
          </w:p>
          <w:p w14:paraId="7F6E1A3F" w14:textId="77777777" w:rsidR="00710711" w:rsidRPr="004F289D" w:rsidRDefault="00710711" w:rsidP="00DB132D">
            <w:pPr>
              <w:rPr>
                <w:rFonts w:eastAsia="Aptos" w:cs="Times New Roman"/>
                <w:sz w:val="20"/>
                <w:szCs w:val="20"/>
                <w:lang w:val="en-US"/>
              </w:rPr>
            </w:pPr>
          </w:p>
        </w:tc>
        <w:tc>
          <w:tcPr>
            <w:tcW w:w="789" w:type="pct"/>
            <w:tcBorders>
              <w:top w:val="nil"/>
              <w:left w:val="nil"/>
              <w:bottom w:val="nil"/>
              <w:right w:val="nil"/>
            </w:tcBorders>
          </w:tcPr>
          <w:p w14:paraId="3DF1EC6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34 items on a 5-point Likert-type scale</w:t>
            </w:r>
          </w:p>
        </w:tc>
        <w:tc>
          <w:tcPr>
            <w:tcW w:w="1843" w:type="pct"/>
            <w:tcBorders>
              <w:top w:val="nil"/>
              <w:left w:val="nil"/>
              <w:bottom w:val="nil"/>
              <w:right w:val="nil"/>
            </w:tcBorders>
          </w:tcPr>
          <w:p w14:paraId="05062B12" w14:textId="77777777" w:rsidR="00DB132D" w:rsidRPr="004F289D" w:rsidRDefault="00DB132D" w:rsidP="00DB132D">
            <w:pPr>
              <w:rPr>
                <w:rFonts w:eastAsia="Aptos" w:cs="Times New Roman"/>
                <w:sz w:val="20"/>
                <w:szCs w:val="20"/>
              </w:rPr>
            </w:pPr>
            <w:r w:rsidRPr="004F289D">
              <w:rPr>
                <w:rFonts w:eastAsia="Aptos" w:cs="Times New Roman"/>
                <w:sz w:val="20"/>
                <w:szCs w:val="20"/>
              </w:rPr>
              <w:t>Information consciousness; knowledge; ability; ethics (e.g., intellectual property, data security, citation norms)</w:t>
            </w:r>
          </w:p>
          <w:p w14:paraId="58AEFF3F" w14:textId="77777777" w:rsidR="00DB132D" w:rsidRPr="004F289D" w:rsidRDefault="00DB132D" w:rsidP="00DB132D">
            <w:pPr>
              <w:rPr>
                <w:rFonts w:eastAsia="Aptos" w:cs="Times New Roman"/>
                <w:sz w:val="20"/>
                <w:szCs w:val="20"/>
              </w:rPr>
            </w:pPr>
          </w:p>
        </w:tc>
        <w:tc>
          <w:tcPr>
            <w:tcW w:w="657" w:type="pct"/>
            <w:tcBorders>
              <w:top w:val="nil"/>
              <w:left w:val="nil"/>
              <w:bottom w:val="nil"/>
              <w:right w:val="nil"/>
            </w:tcBorders>
          </w:tcPr>
          <w:p w14:paraId="4C82E61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Li et al. (2025)</w:t>
            </w:r>
          </w:p>
        </w:tc>
      </w:tr>
      <w:tr w:rsidR="004F289D" w:rsidRPr="004F289D" w14:paraId="35119766" w14:textId="77777777" w:rsidTr="00710711">
        <w:tc>
          <w:tcPr>
            <w:tcW w:w="790" w:type="pct"/>
            <w:vMerge/>
            <w:tcBorders>
              <w:top w:val="nil"/>
              <w:left w:val="nil"/>
              <w:bottom w:val="nil"/>
              <w:right w:val="nil"/>
            </w:tcBorders>
          </w:tcPr>
          <w:p w14:paraId="21DB5511"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765B3B8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Self-efficacy information literacy scale</w:t>
            </w:r>
          </w:p>
        </w:tc>
        <w:tc>
          <w:tcPr>
            <w:tcW w:w="789" w:type="pct"/>
            <w:tcBorders>
              <w:top w:val="nil"/>
              <w:left w:val="nil"/>
              <w:bottom w:val="nil"/>
              <w:right w:val="nil"/>
            </w:tcBorders>
          </w:tcPr>
          <w:p w14:paraId="250869EA"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21 items on a 5-point Likert scale</w:t>
            </w:r>
          </w:p>
        </w:tc>
        <w:tc>
          <w:tcPr>
            <w:tcW w:w="1843" w:type="pct"/>
            <w:tcBorders>
              <w:top w:val="nil"/>
              <w:left w:val="nil"/>
              <w:bottom w:val="nil"/>
              <w:right w:val="nil"/>
            </w:tcBorders>
          </w:tcPr>
          <w:p w14:paraId="17EDF97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 Defining the need for information; (2) Initiating the search strategy; (3) Locating and accessing resources; (4) Assessing and comprehending information; (5) Interpreting, synthesizing, and using information; (6) Communicating information; (7) Evaluating the product and process</w:t>
            </w:r>
          </w:p>
          <w:p w14:paraId="4ED3F9D1" w14:textId="77777777" w:rsidR="00710711" w:rsidRPr="004F289D" w:rsidRDefault="00710711" w:rsidP="00DB132D">
            <w:pPr>
              <w:rPr>
                <w:rFonts w:eastAsia="Aptos" w:cs="Times New Roman"/>
                <w:sz w:val="20"/>
                <w:szCs w:val="20"/>
                <w:lang w:val="en-US"/>
              </w:rPr>
            </w:pPr>
          </w:p>
        </w:tc>
        <w:tc>
          <w:tcPr>
            <w:tcW w:w="657" w:type="pct"/>
            <w:tcBorders>
              <w:top w:val="nil"/>
              <w:left w:val="nil"/>
              <w:bottom w:val="nil"/>
              <w:right w:val="nil"/>
            </w:tcBorders>
          </w:tcPr>
          <w:p w14:paraId="3523AF87"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Kurbanoglu</w:t>
            </w:r>
            <w:proofErr w:type="spellEnd"/>
            <w:r w:rsidRPr="004F289D">
              <w:rPr>
                <w:rFonts w:eastAsia="Aptos" w:cs="Times New Roman"/>
                <w:sz w:val="20"/>
                <w:szCs w:val="20"/>
                <w:lang w:val="en-US"/>
              </w:rPr>
              <w:t xml:space="preserve"> et al. (2006); </w:t>
            </w:r>
            <w:proofErr w:type="spellStart"/>
            <w:r w:rsidRPr="004F289D">
              <w:rPr>
                <w:rFonts w:eastAsia="Aptos" w:cs="Times New Roman"/>
                <w:sz w:val="20"/>
                <w:szCs w:val="20"/>
                <w:lang w:val="en-US"/>
              </w:rPr>
              <w:t>Mughari</w:t>
            </w:r>
            <w:proofErr w:type="spellEnd"/>
            <w:r w:rsidRPr="004F289D">
              <w:rPr>
                <w:rFonts w:eastAsia="Aptos" w:cs="Times New Roman"/>
                <w:sz w:val="20"/>
                <w:szCs w:val="20"/>
                <w:lang w:val="en-US"/>
              </w:rPr>
              <w:t xml:space="preserve"> et al. (2025)</w:t>
            </w:r>
          </w:p>
        </w:tc>
      </w:tr>
      <w:tr w:rsidR="004F289D" w:rsidRPr="004F289D" w14:paraId="2F1BA56E" w14:textId="77777777" w:rsidTr="00710711">
        <w:tc>
          <w:tcPr>
            <w:tcW w:w="790" w:type="pct"/>
            <w:vMerge/>
            <w:tcBorders>
              <w:top w:val="nil"/>
              <w:left w:val="nil"/>
              <w:bottom w:val="nil"/>
              <w:right w:val="nil"/>
            </w:tcBorders>
          </w:tcPr>
          <w:p w14:paraId="7EE9F739"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70BE375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Social media information literacy</w:t>
            </w:r>
          </w:p>
        </w:tc>
        <w:tc>
          <w:tcPr>
            <w:tcW w:w="789" w:type="pct"/>
            <w:tcBorders>
              <w:top w:val="nil"/>
              <w:left w:val="nil"/>
              <w:bottom w:val="nil"/>
              <w:right w:val="nil"/>
            </w:tcBorders>
          </w:tcPr>
          <w:p w14:paraId="4B15C62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24 items. 7-point Likert-type scale (1 = difficult, 7 = easy)</w:t>
            </w:r>
          </w:p>
          <w:p w14:paraId="4C5F267B"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795416F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Navigation; Curation; Appraisal; Comprehension; Creation; Social interaction</w:t>
            </w:r>
          </w:p>
        </w:tc>
        <w:tc>
          <w:tcPr>
            <w:tcW w:w="657" w:type="pct"/>
            <w:tcBorders>
              <w:top w:val="nil"/>
              <w:left w:val="nil"/>
              <w:bottom w:val="nil"/>
              <w:right w:val="nil"/>
            </w:tcBorders>
          </w:tcPr>
          <w:p w14:paraId="2A022394"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Heiss</w:t>
            </w:r>
            <w:proofErr w:type="spellEnd"/>
            <w:r w:rsidRPr="004F289D">
              <w:rPr>
                <w:rFonts w:eastAsia="Aptos" w:cs="Times New Roman"/>
                <w:sz w:val="20"/>
                <w:szCs w:val="20"/>
                <w:lang w:val="en-US"/>
              </w:rPr>
              <w:t xml:space="preserve"> et al. (2023)</w:t>
            </w:r>
          </w:p>
        </w:tc>
      </w:tr>
      <w:tr w:rsidR="004F289D" w:rsidRPr="004F289D" w14:paraId="0992200A" w14:textId="77777777" w:rsidTr="00710711">
        <w:tc>
          <w:tcPr>
            <w:tcW w:w="790" w:type="pct"/>
            <w:vMerge/>
            <w:tcBorders>
              <w:top w:val="nil"/>
              <w:left w:val="nil"/>
              <w:bottom w:val="nil"/>
              <w:right w:val="nil"/>
            </w:tcBorders>
          </w:tcPr>
          <w:p w14:paraId="52A63D6F" w14:textId="77777777" w:rsidR="00DB132D" w:rsidRPr="004F289D" w:rsidRDefault="00DB132D" w:rsidP="00DB132D">
            <w:pPr>
              <w:rPr>
                <w:rFonts w:eastAsia="Aptos" w:cs="Times New Roman"/>
                <w:sz w:val="20"/>
                <w:szCs w:val="20"/>
              </w:rPr>
            </w:pPr>
          </w:p>
        </w:tc>
        <w:tc>
          <w:tcPr>
            <w:tcW w:w="921" w:type="pct"/>
            <w:tcBorders>
              <w:top w:val="nil"/>
              <w:left w:val="nil"/>
              <w:bottom w:val="nil"/>
              <w:right w:val="nil"/>
            </w:tcBorders>
          </w:tcPr>
          <w:p w14:paraId="4E8FA84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Information literacy in digital environment</w:t>
            </w:r>
          </w:p>
        </w:tc>
        <w:tc>
          <w:tcPr>
            <w:tcW w:w="789" w:type="pct"/>
            <w:tcBorders>
              <w:top w:val="nil"/>
              <w:left w:val="nil"/>
              <w:bottom w:val="nil"/>
              <w:right w:val="nil"/>
            </w:tcBorders>
          </w:tcPr>
          <w:p w14:paraId="7838C87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4 items on a 5-point Likert-type scale</w:t>
            </w:r>
          </w:p>
          <w:p w14:paraId="35709C42" w14:textId="77777777" w:rsidR="00DB132D" w:rsidRPr="004F289D" w:rsidRDefault="00DB132D" w:rsidP="00DB132D">
            <w:pPr>
              <w:rPr>
                <w:rFonts w:eastAsia="Aptos" w:cs="Times New Roman"/>
                <w:sz w:val="20"/>
                <w:szCs w:val="20"/>
                <w:lang w:val="en-US"/>
              </w:rPr>
            </w:pPr>
          </w:p>
          <w:p w14:paraId="3C276E03"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4FB4415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tc>
        <w:tc>
          <w:tcPr>
            <w:tcW w:w="657" w:type="pct"/>
            <w:tcBorders>
              <w:top w:val="nil"/>
              <w:left w:val="nil"/>
              <w:bottom w:val="nil"/>
              <w:right w:val="nil"/>
            </w:tcBorders>
          </w:tcPr>
          <w:p w14:paraId="513C18D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Sun and Dong (2024)</w:t>
            </w:r>
          </w:p>
        </w:tc>
      </w:tr>
      <w:tr w:rsidR="004F289D" w:rsidRPr="004F289D" w14:paraId="513A1B11" w14:textId="77777777" w:rsidTr="003E3E1B">
        <w:tc>
          <w:tcPr>
            <w:tcW w:w="790" w:type="pct"/>
            <w:vMerge/>
            <w:tcBorders>
              <w:top w:val="nil"/>
              <w:left w:val="nil"/>
              <w:bottom w:val="single" w:sz="4" w:space="0" w:color="auto"/>
              <w:right w:val="nil"/>
            </w:tcBorders>
          </w:tcPr>
          <w:p w14:paraId="45E3E5FE" w14:textId="77777777" w:rsidR="00DB132D" w:rsidRPr="004F289D" w:rsidRDefault="00DB132D" w:rsidP="00DB132D">
            <w:pPr>
              <w:rPr>
                <w:rFonts w:eastAsia="Aptos" w:cs="Times New Roman"/>
                <w:sz w:val="20"/>
                <w:szCs w:val="20"/>
              </w:rPr>
            </w:pPr>
          </w:p>
        </w:tc>
        <w:tc>
          <w:tcPr>
            <w:tcW w:w="921" w:type="pct"/>
            <w:tcBorders>
              <w:top w:val="nil"/>
              <w:left w:val="nil"/>
              <w:bottom w:val="single" w:sz="4" w:space="0" w:color="auto"/>
              <w:right w:val="nil"/>
            </w:tcBorders>
          </w:tcPr>
          <w:p w14:paraId="52FB0A4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Workplace information literacy (WIL)</w:t>
            </w:r>
          </w:p>
        </w:tc>
        <w:tc>
          <w:tcPr>
            <w:tcW w:w="789" w:type="pct"/>
            <w:tcBorders>
              <w:top w:val="nil"/>
              <w:left w:val="nil"/>
              <w:bottom w:val="single" w:sz="4" w:space="0" w:color="auto"/>
              <w:right w:val="nil"/>
            </w:tcBorders>
          </w:tcPr>
          <w:p w14:paraId="03C5364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62 items. </w:t>
            </w:r>
            <w:r w:rsidRPr="004F289D">
              <w:rPr>
                <w:rFonts w:eastAsia="Aptos" w:cs="Times New Roman"/>
                <w:sz w:val="20"/>
                <w:szCs w:val="20"/>
              </w:rPr>
              <w:t>5-point Likert-type scale</w:t>
            </w:r>
          </w:p>
        </w:tc>
        <w:tc>
          <w:tcPr>
            <w:tcW w:w="1843" w:type="pct"/>
            <w:tcBorders>
              <w:top w:val="nil"/>
              <w:left w:val="nil"/>
              <w:bottom w:val="single" w:sz="4" w:space="0" w:color="auto"/>
              <w:right w:val="nil"/>
            </w:tcBorders>
          </w:tcPr>
          <w:p w14:paraId="3FC12E3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Identify; Assess; Retrieve; Evaluate critically; Adapt; Organize; Communicate; Review </w:t>
            </w:r>
          </w:p>
          <w:p w14:paraId="7117ED8B" w14:textId="77777777" w:rsidR="00DB132D" w:rsidRPr="004F289D" w:rsidRDefault="00DB132D" w:rsidP="00DB132D">
            <w:pPr>
              <w:rPr>
                <w:rFonts w:eastAsia="Aptos" w:cs="Times New Roman"/>
                <w:sz w:val="20"/>
                <w:szCs w:val="20"/>
                <w:lang w:val="en-US"/>
              </w:rPr>
            </w:pPr>
          </w:p>
          <w:p w14:paraId="3E00D25A" w14:textId="77777777" w:rsidR="00DB132D" w:rsidRPr="004F289D" w:rsidRDefault="00DB132D" w:rsidP="00DB132D">
            <w:pPr>
              <w:rPr>
                <w:rFonts w:eastAsia="Aptos" w:cs="Times New Roman"/>
                <w:sz w:val="20"/>
                <w:szCs w:val="20"/>
                <w:lang w:val="en-US"/>
              </w:rPr>
            </w:pPr>
          </w:p>
        </w:tc>
        <w:tc>
          <w:tcPr>
            <w:tcW w:w="657" w:type="pct"/>
            <w:tcBorders>
              <w:top w:val="nil"/>
              <w:left w:val="nil"/>
              <w:bottom w:val="single" w:sz="4" w:space="0" w:color="auto"/>
              <w:right w:val="nil"/>
            </w:tcBorders>
          </w:tcPr>
          <w:p w14:paraId="40928D0E" w14:textId="77777777" w:rsidR="00DB132D" w:rsidRPr="004F289D" w:rsidRDefault="00DB132D" w:rsidP="00DB132D">
            <w:pPr>
              <w:rPr>
                <w:rFonts w:eastAsia="Aptos" w:cs="Times New Roman"/>
                <w:sz w:val="20"/>
                <w:szCs w:val="20"/>
              </w:rPr>
            </w:pPr>
            <w:r w:rsidRPr="004F289D">
              <w:rPr>
                <w:rFonts w:eastAsia="Aptos" w:cs="Times New Roman"/>
                <w:sz w:val="20"/>
                <w:szCs w:val="20"/>
              </w:rPr>
              <w:t>Aslam et al. (2025)</w:t>
            </w:r>
          </w:p>
        </w:tc>
      </w:tr>
      <w:tr w:rsidR="004F289D" w:rsidRPr="004F289D" w14:paraId="5F15FFA3" w14:textId="77777777" w:rsidTr="003E3E1B">
        <w:tc>
          <w:tcPr>
            <w:tcW w:w="790" w:type="pct"/>
            <w:vMerge w:val="restart"/>
            <w:tcBorders>
              <w:top w:val="single" w:sz="4" w:space="0" w:color="auto"/>
              <w:left w:val="nil"/>
              <w:bottom w:val="nil"/>
              <w:right w:val="nil"/>
            </w:tcBorders>
          </w:tcPr>
          <w:p w14:paraId="3D2D31DE" w14:textId="77777777" w:rsidR="00DB132D" w:rsidRPr="004F289D" w:rsidRDefault="00DB132D" w:rsidP="00DB132D">
            <w:pPr>
              <w:rPr>
                <w:rFonts w:eastAsia="Aptos" w:cs="Times New Roman"/>
                <w:b/>
                <w:bCs/>
                <w:sz w:val="20"/>
                <w:szCs w:val="20"/>
                <w:lang w:val="en-US"/>
              </w:rPr>
            </w:pPr>
            <w:r w:rsidRPr="004F289D">
              <w:rPr>
                <w:rFonts w:eastAsia="Aptos" w:cs="Times New Roman"/>
                <w:b/>
                <w:bCs/>
                <w:sz w:val="20"/>
                <w:szCs w:val="20"/>
                <w:lang w:val="en-US"/>
              </w:rPr>
              <w:t>Media literacy</w:t>
            </w:r>
          </w:p>
        </w:tc>
        <w:tc>
          <w:tcPr>
            <w:tcW w:w="921" w:type="pct"/>
            <w:tcBorders>
              <w:top w:val="single" w:sz="4" w:space="0" w:color="auto"/>
              <w:left w:val="nil"/>
              <w:bottom w:val="nil"/>
              <w:right w:val="nil"/>
            </w:tcBorders>
          </w:tcPr>
          <w:p w14:paraId="108A3E0A" w14:textId="77777777" w:rsidR="00DB132D" w:rsidRPr="004F289D" w:rsidRDefault="00DB132D" w:rsidP="00DB132D">
            <w:pPr>
              <w:rPr>
                <w:rFonts w:eastAsia="Aptos" w:cs="Times New Roman"/>
                <w:sz w:val="20"/>
                <w:szCs w:val="20"/>
              </w:rPr>
            </w:pPr>
            <w:r w:rsidRPr="004F289D">
              <w:rPr>
                <w:rFonts w:eastAsia="Aptos" w:cs="Times New Roman"/>
                <w:sz w:val="20"/>
                <w:szCs w:val="20"/>
              </w:rPr>
              <w:t>Ability to understand, analyze, evaluate and comprehend media messages in a variety of forms</w:t>
            </w:r>
          </w:p>
          <w:p w14:paraId="09DEF18F" w14:textId="77777777" w:rsidR="00710711" w:rsidRPr="004F289D" w:rsidRDefault="00710711" w:rsidP="00DB132D">
            <w:pPr>
              <w:rPr>
                <w:rFonts w:eastAsia="Aptos" w:cs="Times New Roman"/>
                <w:sz w:val="20"/>
                <w:szCs w:val="20"/>
                <w:lang w:val="en-US"/>
              </w:rPr>
            </w:pPr>
          </w:p>
        </w:tc>
        <w:tc>
          <w:tcPr>
            <w:tcW w:w="789" w:type="pct"/>
            <w:tcBorders>
              <w:top w:val="single" w:sz="4" w:space="0" w:color="auto"/>
              <w:left w:val="nil"/>
              <w:bottom w:val="nil"/>
              <w:right w:val="nil"/>
            </w:tcBorders>
          </w:tcPr>
          <w:p w14:paraId="48E5C19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24 items with a 6-point Likert scale</w:t>
            </w:r>
          </w:p>
        </w:tc>
        <w:tc>
          <w:tcPr>
            <w:tcW w:w="1843" w:type="pct"/>
            <w:tcBorders>
              <w:top w:val="single" w:sz="4" w:space="0" w:color="auto"/>
              <w:left w:val="nil"/>
              <w:bottom w:val="nil"/>
              <w:right w:val="nil"/>
            </w:tcBorders>
          </w:tcPr>
          <w:p w14:paraId="31413C2A"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Analyze; Evaluate; Comprehend</w:t>
            </w:r>
          </w:p>
        </w:tc>
        <w:tc>
          <w:tcPr>
            <w:tcW w:w="657" w:type="pct"/>
            <w:tcBorders>
              <w:top w:val="single" w:sz="4" w:space="0" w:color="auto"/>
              <w:left w:val="nil"/>
              <w:bottom w:val="nil"/>
              <w:right w:val="nil"/>
            </w:tcBorders>
          </w:tcPr>
          <w:p w14:paraId="2EADDD7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Arshad et al. (2022)</w:t>
            </w:r>
          </w:p>
        </w:tc>
      </w:tr>
      <w:tr w:rsidR="004F289D" w:rsidRPr="004F289D" w14:paraId="1710B1AE" w14:textId="77777777" w:rsidTr="00710711">
        <w:tc>
          <w:tcPr>
            <w:tcW w:w="790" w:type="pct"/>
            <w:vMerge/>
            <w:tcBorders>
              <w:top w:val="nil"/>
              <w:left w:val="nil"/>
              <w:bottom w:val="nil"/>
              <w:right w:val="nil"/>
            </w:tcBorders>
          </w:tcPr>
          <w:p w14:paraId="69FCEF26" w14:textId="77777777" w:rsidR="00DB132D" w:rsidRPr="004F289D" w:rsidRDefault="00DB132D" w:rsidP="00DB132D">
            <w:pPr>
              <w:rPr>
                <w:rFonts w:eastAsia="Aptos" w:cs="Times New Roman"/>
                <w:b/>
                <w:bCs/>
                <w:sz w:val="20"/>
                <w:szCs w:val="20"/>
                <w:lang w:val="en-US"/>
              </w:rPr>
            </w:pPr>
          </w:p>
        </w:tc>
        <w:tc>
          <w:tcPr>
            <w:tcW w:w="921" w:type="pct"/>
            <w:tcBorders>
              <w:top w:val="nil"/>
              <w:left w:val="nil"/>
              <w:bottom w:val="nil"/>
              <w:right w:val="nil"/>
            </w:tcBorders>
          </w:tcPr>
          <w:p w14:paraId="593EB74A"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New Media Literacy (focus on digital media)</w:t>
            </w:r>
          </w:p>
          <w:p w14:paraId="276F63F7" w14:textId="77777777" w:rsidR="00710711" w:rsidRPr="004F289D" w:rsidRDefault="00710711" w:rsidP="00DB132D">
            <w:pPr>
              <w:rPr>
                <w:rFonts w:eastAsia="Aptos" w:cs="Times New Roman"/>
                <w:sz w:val="20"/>
                <w:szCs w:val="20"/>
              </w:rPr>
            </w:pPr>
          </w:p>
        </w:tc>
        <w:tc>
          <w:tcPr>
            <w:tcW w:w="789" w:type="pct"/>
            <w:tcBorders>
              <w:top w:val="nil"/>
              <w:left w:val="nil"/>
              <w:bottom w:val="nil"/>
              <w:right w:val="nil"/>
            </w:tcBorders>
          </w:tcPr>
          <w:p w14:paraId="775AC86E"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35 items on a 5-point Likert-type scale</w:t>
            </w:r>
          </w:p>
        </w:tc>
        <w:tc>
          <w:tcPr>
            <w:tcW w:w="1843" w:type="pct"/>
            <w:tcBorders>
              <w:top w:val="nil"/>
              <w:left w:val="nil"/>
              <w:bottom w:val="nil"/>
              <w:right w:val="nil"/>
            </w:tcBorders>
          </w:tcPr>
          <w:p w14:paraId="70C80BA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Functional Consumption; Critical Consumption; Functional </w:t>
            </w:r>
            <w:proofErr w:type="spellStart"/>
            <w:r w:rsidRPr="004F289D">
              <w:rPr>
                <w:rFonts w:eastAsia="Aptos" w:cs="Times New Roman"/>
                <w:sz w:val="20"/>
                <w:szCs w:val="20"/>
                <w:lang w:val="en-US"/>
              </w:rPr>
              <w:t>Prosumption</w:t>
            </w:r>
            <w:proofErr w:type="spellEnd"/>
            <w:r w:rsidRPr="004F289D">
              <w:rPr>
                <w:rFonts w:eastAsia="Aptos" w:cs="Times New Roman"/>
                <w:sz w:val="20"/>
                <w:szCs w:val="20"/>
                <w:lang w:val="en-US"/>
              </w:rPr>
              <w:t xml:space="preserve">; Critical </w:t>
            </w:r>
            <w:proofErr w:type="spellStart"/>
            <w:r w:rsidRPr="004F289D">
              <w:rPr>
                <w:rFonts w:eastAsia="Aptos" w:cs="Times New Roman"/>
                <w:sz w:val="20"/>
                <w:szCs w:val="20"/>
                <w:lang w:val="en-US"/>
              </w:rPr>
              <w:t>Prosumption</w:t>
            </w:r>
            <w:proofErr w:type="spellEnd"/>
          </w:p>
        </w:tc>
        <w:tc>
          <w:tcPr>
            <w:tcW w:w="657" w:type="pct"/>
            <w:tcBorders>
              <w:top w:val="nil"/>
              <w:left w:val="nil"/>
              <w:bottom w:val="nil"/>
              <w:right w:val="nil"/>
            </w:tcBorders>
          </w:tcPr>
          <w:p w14:paraId="45743B38"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Koc</w:t>
            </w:r>
            <w:proofErr w:type="spellEnd"/>
            <w:r w:rsidRPr="004F289D">
              <w:rPr>
                <w:rFonts w:eastAsia="Aptos" w:cs="Times New Roman"/>
                <w:sz w:val="20"/>
                <w:szCs w:val="20"/>
                <w:lang w:val="en-US"/>
              </w:rPr>
              <w:t xml:space="preserve"> and Barut (2016)</w:t>
            </w:r>
          </w:p>
        </w:tc>
      </w:tr>
      <w:tr w:rsidR="004F289D" w:rsidRPr="004F289D" w14:paraId="42BE7B4E" w14:textId="77777777" w:rsidTr="00710711">
        <w:tc>
          <w:tcPr>
            <w:tcW w:w="790" w:type="pct"/>
            <w:vMerge/>
            <w:tcBorders>
              <w:top w:val="nil"/>
              <w:left w:val="nil"/>
              <w:bottom w:val="nil"/>
              <w:right w:val="nil"/>
            </w:tcBorders>
          </w:tcPr>
          <w:p w14:paraId="767D2DFC" w14:textId="77777777" w:rsidR="00DB132D" w:rsidRPr="004F289D" w:rsidRDefault="00DB132D" w:rsidP="00DB132D">
            <w:pPr>
              <w:rPr>
                <w:rFonts w:eastAsia="Aptos" w:cs="Times New Roman"/>
                <w:b/>
                <w:bCs/>
                <w:sz w:val="20"/>
                <w:szCs w:val="20"/>
                <w:lang w:val="en-US"/>
              </w:rPr>
            </w:pPr>
          </w:p>
        </w:tc>
        <w:tc>
          <w:tcPr>
            <w:tcW w:w="921" w:type="pct"/>
            <w:tcBorders>
              <w:top w:val="nil"/>
              <w:left w:val="nil"/>
              <w:bottom w:val="nil"/>
              <w:right w:val="nil"/>
            </w:tcBorders>
          </w:tcPr>
          <w:p w14:paraId="6CD87B9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New Media Literacy (focus on social media platforms)</w:t>
            </w:r>
          </w:p>
          <w:p w14:paraId="3B5A0B37" w14:textId="77777777" w:rsidR="00710711" w:rsidRPr="004F289D" w:rsidRDefault="00710711" w:rsidP="00DB132D">
            <w:pPr>
              <w:rPr>
                <w:rFonts w:eastAsia="Aptos" w:cs="Times New Roman"/>
                <w:sz w:val="20"/>
                <w:szCs w:val="20"/>
                <w:lang w:val="en-US"/>
              </w:rPr>
            </w:pPr>
          </w:p>
        </w:tc>
        <w:tc>
          <w:tcPr>
            <w:tcW w:w="789" w:type="pct"/>
            <w:tcBorders>
              <w:top w:val="nil"/>
              <w:left w:val="nil"/>
              <w:bottom w:val="nil"/>
              <w:right w:val="nil"/>
            </w:tcBorders>
          </w:tcPr>
          <w:p w14:paraId="086D21C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33 items on a 5-point Likert-type scale</w:t>
            </w:r>
          </w:p>
        </w:tc>
        <w:tc>
          <w:tcPr>
            <w:tcW w:w="1843" w:type="pct"/>
            <w:tcBorders>
              <w:top w:val="nil"/>
              <w:left w:val="nil"/>
              <w:bottom w:val="nil"/>
              <w:right w:val="nil"/>
            </w:tcBorders>
          </w:tcPr>
          <w:p w14:paraId="5DB4F51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Consuming skill; Understanding; Analysis; Evaluation; </w:t>
            </w:r>
            <w:proofErr w:type="spellStart"/>
            <w:r w:rsidRPr="004F289D">
              <w:rPr>
                <w:rFonts w:eastAsia="Aptos" w:cs="Times New Roman"/>
                <w:sz w:val="20"/>
                <w:szCs w:val="20"/>
                <w:lang w:val="en-US"/>
              </w:rPr>
              <w:t>Prosuming</w:t>
            </w:r>
            <w:proofErr w:type="spellEnd"/>
            <w:r w:rsidRPr="004F289D">
              <w:rPr>
                <w:rFonts w:eastAsia="Aptos" w:cs="Times New Roman"/>
                <w:sz w:val="20"/>
                <w:szCs w:val="20"/>
                <w:lang w:val="en-US"/>
              </w:rPr>
              <w:t xml:space="preserve"> skill; Distribution; Creation</w:t>
            </w:r>
          </w:p>
        </w:tc>
        <w:tc>
          <w:tcPr>
            <w:tcW w:w="657" w:type="pct"/>
            <w:tcBorders>
              <w:top w:val="nil"/>
              <w:left w:val="nil"/>
              <w:bottom w:val="nil"/>
              <w:right w:val="nil"/>
            </w:tcBorders>
          </w:tcPr>
          <w:p w14:paraId="022AE5C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Zhang et al. (2025)</w:t>
            </w:r>
          </w:p>
        </w:tc>
      </w:tr>
      <w:tr w:rsidR="004F289D" w:rsidRPr="004F289D" w14:paraId="51B20CE8" w14:textId="77777777" w:rsidTr="00710711">
        <w:tc>
          <w:tcPr>
            <w:tcW w:w="790" w:type="pct"/>
            <w:vMerge/>
            <w:tcBorders>
              <w:top w:val="nil"/>
              <w:left w:val="nil"/>
              <w:bottom w:val="nil"/>
              <w:right w:val="nil"/>
            </w:tcBorders>
          </w:tcPr>
          <w:p w14:paraId="208D4205" w14:textId="77777777" w:rsidR="00DB132D" w:rsidRPr="004F289D" w:rsidRDefault="00DB132D" w:rsidP="00DB132D">
            <w:pPr>
              <w:rPr>
                <w:rFonts w:eastAsia="Aptos" w:cs="Times New Roman"/>
                <w:b/>
                <w:bCs/>
                <w:sz w:val="20"/>
                <w:szCs w:val="20"/>
                <w:lang w:val="en-US"/>
              </w:rPr>
            </w:pPr>
          </w:p>
        </w:tc>
        <w:tc>
          <w:tcPr>
            <w:tcW w:w="921" w:type="pct"/>
            <w:tcBorders>
              <w:top w:val="nil"/>
              <w:left w:val="nil"/>
              <w:bottom w:val="nil"/>
              <w:right w:val="nil"/>
            </w:tcBorders>
          </w:tcPr>
          <w:p w14:paraId="3ABD06E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 xml:space="preserve">New Media Literacies for participation in </w:t>
            </w:r>
            <w:r w:rsidRPr="004F289D">
              <w:rPr>
                <w:rFonts w:eastAsia="Aptos" w:cs="Times New Roman"/>
                <w:sz w:val="20"/>
                <w:szCs w:val="20"/>
                <w:lang w:val="en-US"/>
              </w:rPr>
              <w:t>a digital and participatory media environment</w:t>
            </w:r>
          </w:p>
          <w:p w14:paraId="662A8CC3" w14:textId="77777777" w:rsidR="00710711" w:rsidRPr="004F289D" w:rsidRDefault="00710711" w:rsidP="00DB132D">
            <w:pPr>
              <w:rPr>
                <w:rFonts w:eastAsia="Aptos" w:cs="Times New Roman"/>
                <w:sz w:val="20"/>
                <w:szCs w:val="20"/>
                <w:lang w:val="en-US"/>
              </w:rPr>
            </w:pPr>
          </w:p>
        </w:tc>
        <w:tc>
          <w:tcPr>
            <w:tcW w:w="789" w:type="pct"/>
            <w:tcBorders>
              <w:top w:val="nil"/>
              <w:left w:val="nil"/>
              <w:bottom w:val="nil"/>
              <w:right w:val="nil"/>
            </w:tcBorders>
          </w:tcPr>
          <w:p w14:paraId="0966F19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28 items on a 5-point Likert-type scale</w:t>
            </w:r>
          </w:p>
        </w:tc>
        <w:tc>
          <w:tcPr>
            <w:tcW w:w="1843" w:type="pct"/>
            <w:tcBorders>
              <w:top w:val="nil"/>
              <w:left w:val="nil"/>
              <w:bottom w:val="nil"/>
              <w:right w:val="nil"/>
            </w:tcBorders>
          </w:tcPr>
          <w:p w14:paraId="4D4F75D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Negotiation; Networking; Multitasking; Judgment; Appropriation; Performance; Simulation; Transmedia Navigation; Collective Intelligence</w:t>
            </w:r>
          </w:p>
        </w:tc>
        <w:tc>
          <w:tcPr>
            <w:tcW w:w="657" w:type="pct"/>
            <w:tcBorders>
              <w:top w:val="nil"/>
              <w:left w:val="nil"/>
              <w:bottom w:val="nil"/>
              <w:right w:val="nil"/>
            </w:tcBorders>
          </w:tcPr>
          <w:p w14:paraId="7C688B3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Young (2015)</w:t>
            </w:r>
          </w:p>
        </w:tc>
      </w:tr>
      <w:tr w:rsidR="004F289D" w:rsidRPr="004F289D" w14:paraId="23F49916" w14:textId="77777777" w:rsidTr="00710711">
        <w:tc>
          <w:tcPr>
            <w:tcW w:w="790" w:type="pct"/>
            <w:vMerge/>
            <w:tcBorders>
              <w:top w:val="nil"/>
              <w:left w:val="nil"/>
              <w:bottom w:val="nil"/>
              <w:right w:val="nil"/>
            </w:tcBorders>
          </w:tcPr>
          <w:p w14:paraId="36A5FC38"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0A2385A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New Online Media and Reporting Literacy</w:t>
            </w:r>
          </w:p>
          <w:p w14:paraId="18C9C551" w14:textId="77777777" w:rsidR="00710711" w:rsidRPr="004F289D" w:rsidRDefault="00710711" w:rsidP="00DB132D">
            <w:pPr>
              <w:rPr>
                <w:rFonts w:eastAsia="Aptos" w:cs="Times New Roman"/>
                <w:sz w:val="20"/>
                <w:szCs w:val="20"/>
                <w:lang w:val="en-US"/>
              </w:rPr>
            </w:pPr>
          </w:p>
        </w:tc>
        <w:tc>
          <w:tcPr>
            <w:tcW w:w="789" w:type="pct"/>
            <w:tcBorders>
              <w:top w:val="nil"/>
              <w:left w:val="nil"/>
              <w:bottom w:val="nil"/>
              <w:right w:val="nil"/>
            </w:tcBorders>
          </w:tcPr>
          <w:p w14:paraId="0FA3672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22 items on a 5-point Likert-type scale</w:t>
            </w:r>
          </w:p>
        </w:tc>
        <w:tc>
          <w:tcPr>
            <w:tcW w:w="1843" w:type="pct"/>
            <w:tcBorders>
              <w:top w:val="nil"/>
              <w:left w:val="nil"/>
              <w:bottom w:val="nil"/>
              <w:right w:val="nil"/>
            </w:tcBorders>
          </w:tcPr>
          <w:p w14:paraId="0AB91BE3" w14:textId="77777777" w:rsidR="00DB132D" w:rsidRPr="004F289D" w:rsidRDefault="00DB132D" w:rsidP="00DB132D">
            <w:pPr>
              <w:rPr>
                <w:rFonts w:eastAsia="Aptos" w:cs="Times New Roman"/>
                <w:sz w:val="20"/>
                <w:szCs w:val="20"/>
              </w:rPr>
            </w:pPr>
            <w:r w:rsidRPr="004F289D">
              <w:rPr>
                <w:rFonts w:eastAsia="Aptos" w:cs="Times New Roman"/>
                <w:sz w:val="20"/>
                <w:szCs w:val="20"/>
              </w:rPr>
              <w:t>Functional Consuming; Critical Consuming; Functional Prosuming; Critical Prosuming; Behavioral Consuming; Behavioral Prosuming</w:t>
            </w:r>
          </w:p>
        </w:tc>
        <w:tc>
          <w:tcPr>
            <w:tcW w:w="657" w:type="pct"/>
            <w:tcBorders>
              <w:top w:val="nil"/>
              <w:left w:val="nil"/>
              <w:bottom w:val="nil"/>
              <w:right w:val="nil"/>
            </w:tcBorders>
          </w:tcPr>
          <w:p w14:paraId="7A6F895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Hsiao et al. (2023)</w:t>
            </w:r>
          </w:p>
        </w:tc>
      </w:tr>
      <w:tr w:rsidR="004F289D" w:rsidRPr="004F289D" w14:paraId="5A9561EF" w14:textId="77777777" w:rsidTr="00710711">
        <w:tc>
          <w:tcPr>
            <w:tcW w:w="790" w:type="pct"/>
            <w:vMerge/>
            <w:tcBorders>
              <w:top w:val="nil"/>
              <w:left w:val="nil"/>
              <w:bottom w:val="nil"/>
              <w:right w:val="nil"/>
            </w:tcBorders>
          </w:tcPr>
          <w:p w14:paraId="79A1A9BF"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49F9EC8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English New Media Literacy (ENML)</w:t>
            </w:r>
          </w:p>
        </w:tc>
        <w:tc>
          <w:tcPr>
            <w:tcW w:w="789" w:type="pct"/>
            <w:tcBorders>
              <w:top w:val="nil"/>
              <w:left w:val="nil"/>
              <w:bottom w:val="nil"/>
              <w:right w:val="nil"/>
            </w:tcBorders>
          </w:tcPr>
          <w:p w14:paraId="13F4303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35 items on a 5-point Likert-type scale</w:t>
            </w:r>
          </w:p>
        </w:tc>
        <w:tc>
          <w:tcPr>
            <w:tcW w:w="1843" w:type="pct"/>
            <w:tcBorders>
              <w:top w:val="nil"/>
              <w:left w:val="nil"/>
              <w:bottom w:val="nil"/>
              <w:right w:val="nil"/>
            </w:tcBorders>
          </w:tcPr>
          <w:p w14:paraId="19E99B4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Consuming skill; Understanding; Analysis; Synthesis; Evaluation; </w:t>
            </w:r>
            <w:proofErr w:type="spellStart"/>
            <w:r w:rsidRPr="004F289D">
              <w:rPr>
                <w:rFonts w:eastAsia="Aptos" w:cs="Times New Roman"/>
                <w:sz w:val="20"/>
                <w:szCs w:val="20"/>
                <w:lang w:val="en-US"/>
              </w:rPr>
              <w:t>Prosuming</w:t>
            </w:r>
            <w:proofErr w:type="spellEnd"/>
            <w:r w:rsidRPr="004F289D">
              <w:rPr>
                <w:rFonts w:eastAsia="Aptos" w:cs="Times New Roman"/>
                <w:sz w:val="20"/>
                <w:szCs w:val="20"/>
                <w:lang w:val="en-US"/>
              </w:rPr>
              <w:t xml:space="preserve"> skill; Distribution; Production; Participation; Feedback</w:t>
            </w:r>
          </w:p>
        </w:tc>
        <w:tc>
          <w:tcPr>
            <w:tcW w:w="657" w:type="pct"/>
            <w:tcBorders>
              <w:top w:val="nil"/>
              <w:left w:val="nil"/>
              <w:bottom w:val="nil"/>
              <w:right w:val="nil"/>
            </w:tcBorders>
          </w:tcPr>
          <w:p w14:paraId="31F68D3E"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Luan et al. (2023)</w:t>
            </w:r>
          </w:p>
        </w:tc>
      </w:tr>
      <w:tr w:rsidR="004F289D" w:rsidRPr="004F289D" w14:paraId="3FCDE9A4" w14:textId="77777777" w:rsidTr="003E3E1B">
        <w:tc>
          <w:tcPr>
            <w:tcW w:w="790" w:type="pct"/>
            <w:vMerge/>
            <w:tcBorders>
              <w:top w:val="nil"/>
              <w:left w:val="nil"/>
              <w:bottom w:val="single" w:sz="4" w:space="0" w:color="auto"/>
              <w:right w:val="nil"/>
            </w:tcBorders>
          </w:tcPr>
          <w:p w14:paraId="2FDAE292" w14:textId="77777777" w:rsidR="00DB132D" w:rsidRPr="004F289D" w:rsidRDefault="00DB132D" w:rsidP="00DB132D">
            <w:pPr>
              <w:rPr>
                <w:rFonts w:eastAsia="Aptos" w:cs="Times New Roman"/>
                <w:sz w:val="20"/>
                <w:szCs w:val="20"/>
                <w:lang w:val="en-US"/>
              </w:rPr>
            </w:pPr>
          </w:p>
        </w:tc>
        <w:tc>
          <w:tcPr>
            <w:tcW w:w="921" w:type="pct"/>
            <w:tcBorders>
              <w:top w:val="nil"/>
              <w:left w:val="nil"/>
              <w:bottom w:val="single" w:sz="4" w:space="0" w:color="auto"/>
              <w:right w:val="nil"/>
            </w:tcBorders>
          </w:tcPr>
          <w:p w14:paraId="1C15CFE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Critical Media Literacy (focus on sociocultural, ideological, and political contexts) </w:t>
            </w:r>
          </w:p>
          <w:p w14:paraId="7B32BF38" w14:textId="77777777" w:rsidR="00710711" w:rsidRPr="004F289D" w:rsidRDefault="00710711" w:rsidP="00DB132D">
            <w:pPr>
              <w:rPr>
                <w:rFonts w:eastAsia="Aptos" w:cs="Times New Roman"/>
                <w:sz w:val="20"/>
                <w:szCs w:val="20"/>
                <w:lang w:val="en-US"/>
              </w:rPr>
            </w:pPr>
          </w:p>
        </w:tc>
        <w:tc>
          <w:tcPr>
            <w:tcW w:w="789" w:type="pct"/>
            <w:tcBorders>
              <w:top w:val="nil"/>
              <w:left w:val="nil"/>
              <w:bottom w:val="single" w:sz="4" w:space="0" w:color="auto"/>
              <w:right w:val="nil"/>
            </w:tcBorders>
          </w:tcPr>
          <w:p w14:paraId="64DED2C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28 items on a 5-point Likert-type scale</w:t>
            </w:r>
          </w:p>
        </w:tc>
        <w:tc>
          <w:tcPr>
            <w:tcW w:w="1843" w:type="pct"/>
            <w:tcBorders>
              <w:top w:val="nil"/>
              <w:left w:val="nil"/>
              <w:bottom w:val="single" w:sz="4" w:space="0" w:color="auto"/>
              <w:right w:val="nil"/>
            </w:tcBorders>
          </w:tcPr>
          <w:p w14:paraId="5349443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Ability to assess situating discourse in a sociocultural context; Recognizing and participating in discursive practices; Calculating the impact of discourse on the community and oneself</w:t>
            </w:r>
          </w:p>
        </w:tc>
        <w:tc>
          <w:tcPr>
            <w:tcW w:w="657" w:type="pct"/>
            <w:tcBorders>
              <w:top w:val="nil"/>
              <w:left w:val="nil"/>
              <w:bottom w:val="single" w:sz="4" w:space="0" w:color="auto"/>
              <w:right w:val="nil"/>
            </w:tcBorders>
          </w:tcPr>
          <w:p w14:paraId="3CCA8144"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Neira</w:t>
            </w:r>
            <w:proofErr w:type="spellEnd"/>
            <w:r w:rsidRPr="004F289D">
              <w:rPr>
                <w:rFonts w:eastAsia="Aptos" w:cs="Times New Roman"/>
                <w:sz w:val="20"/>
                <w:szCs w:val="20"/>
                <w:lang w:val="en-US"/>
              </w:rPr>
              <w:t xml:space="preserve"> et al. (2024)</w:t>
            </w:r>
          </w:p>
        </w:tc>
      </w:tr>
      <w:tr w:rsidR="004F289D" w:rsidRPr="004F289D" w14:paraId="388B9925" w14:textId="77777777" w:rsidTr="003E3E1B">
        <w:tc>
          <w:tcPr>
            <w:tcW w:w="790" w:type="pct"/>
            <w:vMerge w:val="restart"/>
            <w:tcBorders>
              <w:top w:val="single" w:sz="4" w:space="0" w:color="auto"/>
              <w:left w:val="nil"/>
              <w:bottom w:val="nil"/>
              <w:right w:val="nil"/>
            </w:tcBorders>
          </w:tcPr>
          <w:p w14:paraId="59890D8C" w14:textId="77777777" w:rsidR="00DB132D" w:rsidRPr="004F289D" w:rsidRDefault="00DB132D" w:rsidP="00DB132D">
            <w:pPr>
              <w:rPr>
                <w:rFonts w:eastAsia="Aptos" w:cs="Times New Roman"/>
                <w:b/>
                <w:bCs/>
                <w:sz w:val="20"/>
                <w:szCs w:val="20"/>
                <w:lang w:val="en-US"/>
              </w:rPr>
            </w:pPr>
            <w:r w:rsidRPr="004F289D">
              <w:rPr>
                <w:rFonts w:eastAsia="Aptos" w:cs="Times New Roman"/>
                <w:b/>
                <w:bCs/>
                <w:sz w:val="20"/>
                <w:szCs w:val="20"/>
                <w:lang w:val="en-US"/>
              </w:rPr>
              <w:t>Privacy Literacy</w:t>
            </w:r>
          </w:p>
        </w:tc>
        <w:tc>
          <w:tcPr>
            <w:tcW w:w="921" w:type="pct"/>
            <w:tcBorders>
              <w:top w:val="single" w:sz="4" w:space="0" w:color="auto"/>
              <w:left w:val="nil"/>
              <w:bottom w:val="nil"/>
              <w:right w:val="nil"/>
            </w:tcBorders>
          </w:tcPr>
          <w:p w14:paraId="3D8AF694"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 xml:space="preserve">General (i.e., </w:t>
            </w:r>
            <w:r w:rsidRPr="004F289D">
              <w:rPr>
                <w:rFonts w:eastAsia="Aptos" w:cs="Times New Roman"/>
                <w:sz w:val="20"/>
                <w:szCs w:val="20"/>
              </w:rPr>
              <w:t>awareness and knowledge data practices and protection practices)</w:t>
            </w:r>
          </w:p>
          <w:p w14:paraId="79D98CF2" w14:textId="77777777" w:rsidR="00710711" w:rsidRPr="004F289D" w:rsidRDefault="00710711" w:rsidP="00DB132D">
            <w:pPr>
              <w:rPr>
                <w:rFonts w:eastAsia="Aptos" w:cs="Times New Roman"/>
                <w:sz w:val="20"/>
                <w:szCs w:val="20"/>
                <w:lang w:val="en-US"/>
              </w:rPr>
            </w:pPr>
          </w:p>
        </w:tc>
        <w:tc>
          <w:tcPr>
            <w:tcW w:w="789" w:type="pct"/>
            <w:tcBorders>
              <w:top w:val="single" w:sz="4" w:space="0" w:color="auto"/>
              <w:left w:val="nil"/>
              <w:bottom w:val="nil"/>
              <w:right w:val="nil"/>
            </w:tcBorders>
          </w:tcPr>
          <w:p w14:paraId="2A011EFE"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6-item objective knowledge test</w:t>
            </w:r>
          </w:p>
        </w:tc>
        <w:tc>
          <w:tcPr>
            <w:tcW w:w="1843" w:type="pct"/>
            <w:tcBorders>
              <w:top w:val="single" w:sz="4" w:space="0" w:color="auto"/>
              <w:left w:val="nil"/>
              <w:bottom w:val="nil"/>
              <w:right w:val="nil"/>
            </w:tcBorders>
          </w:tcPr>
          <w:p w14:paraId="080ED28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tc>
        <w:tc>
          <w:tcPr>
            <w:tcW w:w="657" w:type="pct"/>
            <w:tcBorders>
              <w:top w:val="single" w:sz="4" w:space="0" w:color="auto"/>
              <w:left w:val="nil"/>
              <w:bottom w:val="nil"/>
              <w:right w:val="nil"/>
            </w:tcBorders>
          </w:tcPr>
          <w:p w14:paraId="3BAEB612"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Desimpelaere</w:t>
            </w:r>
            <w:proofErr w:type="spellEnd"/>
            <w:r w:rsidRPr="004F289D">
              <w:rPr>
                <w:rFonts w:eastAsia="Aptos" w:cs="Times New Roman"/>
                <w:sz w:val="20"/>
                <w:szCs w:val="20"/>
                <w:lang w:val="en-US"/>
              </w:rPr>
              <w:t xml:space="preserve"> et al. (2020)</w:t>
            </w:r>
          </w:p>
        </w:tc>
      </w:tr>
      <w:tr w:rsidR="004F289D" w:rsidRPr="004F289D" w14:paraId="6CE54DED" w14:textId="77777777" w:rsidTr="00710711">
        <w:tc>
          <w:tcPr>
            <w:tcW w:w="790" w:type="pct"/>
            <w:vMerge/>
            <w:tcBorders>
              <w:top w:val="nil"/>
              <w:left w:val="nil"/>
              <w:bottom w:val="nil"/>
              <w:right w:val="nil"/>
            </w:tcBorders>
          </w:tcPr>
          <w:p w14:paraId="5E7EFAA7"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4862CD2E"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General (i.e., </w:t>
            </w:r>
            <w:r w:rsidRPr="004F289D">
              <w:rPr>
                <w:rFonts w:eastAsia="Aptos" w:cs="Times New Roman"/>
                <w:sz w:val="20"/>
                <w:szCs w:val="20"/>
              </w:rPr>
              <w:t>awareness and knowledge data practices and protection practices)</w:t>
            </w:r>
          </w:p>
        </w:tc>
        <w:tc>
          <w:tcPr>
            <w:tcW w:w="789" w:type="pct"/>
            <w:tcBorders>
              <w:top w:val="nil"/>
              <w:left w:val="nil"/>
              <w:bottom w:val="nil"/>
              <w:right w:val="nil"/>
            </w:tcBorders>
          </w:tcPr>
          <w:p w14:paraId="116648DD" w14:textId="77777777" w:rsidR="00DB132D" w:rsidRPr="004F289D" w:rsidRDefault="00DB132D" w:rsidP="00DB132D">
            <w:pPr>
              <w:rPr>
                <w:rFonts w:eastAsia="Aptos" w:cs="Times New Roman"/>
                <w:sz w:val="20"/>
                <w:szCs w:val="20"/>
              </w:rPr>
            </w:pPr>
            <w:r w:rsidRPr="004F289D">
              <w:rPr>
                <w:rFonts w:eastAsia="Aptos" w:cs="Times New Roman"/>
                <w:sz w:val="20"/>
                <w:szCs w:val="20"/>
              </w:rPr>
              <w:t>4 to 6 items, 5-point Likert-type scale</w:t>
            </w:r>
          </w:p>
        </w:tc>
        <w:tc>
          <w:tcPr>
            <w:tcW w:w="1843" w:type="pct"/>
            <w:tcBorders>
              <w:top w:val="nil"/>
              <w:left w:val="nil"/>
              <w:bottom w:val="nil"/>
              <w:right w:val="nil"/>
            </w:tcBorders>
          </w:tcPr>
          <w:p w14:paraId="1C05F00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p w14:paraId="2AD5D053" w14:textId="77777777" w:rsidR="00DB132D" w:rsidRPr="004F289D" w:rsidRDefault="00DB132D" w:rsidP="00DB132D">
            <w:pPr>
              <w:rPr>
                <w:rFonts w:eastAsia="Aptos" w:cs="Times New Roman"/>
                <w:sz w:val="20"/>
                <w:szCs w:val="20"/>
                <w:lang w:val="en-US"/>
              </w:rPr>
            </w:pPr>
          </w:p>
          <w:p w14:paraId="67A5D831" w14:textId="77777777" w:rsidR="00DB132D" w:rsidRPr="004F289D" w:rsidRDefault="00DB132D" w:rsidP="00DB132D">
            <w:pPr>
              <w:rPr>
                <w:rFonts w:eastAsia="Aptos" w:cs="Times New Roman"/>
                <w:sz w:val="20"/>
                <w:szCs w:val="20"/>
                <w:lang w:val="en-US"/>
              </w:rPr>
            </w:pPr>
          </w:p>
        </w:tc>
        <w:tc>
          <w:tcPr>
            <w:tcW w:w="657" w:type="pct"/>
            <w:tcBorders>
              <w:top w:val="nil"/>
              <w:left w:val="nil"/>
              <w:bottom w:val="nil"/>
              <w:right w:val="nil"/>
            </w:tcBorders>
          </w:tcPr>
          <w:p w14:paraId="6063BA0C"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Lyu</w:t>
            </w:r>
            <w:proofErr w:type="spellEnd"/>
            <w:r w:rsidRPr="004F289D">
              <w:rPr>
                <w:rFonts w:eastAsia="Aptos" w:cs="Times New Roman"/>
                <w:sz w:val="20"/>
                <w:szCs w:val="20"/>
                <w:lang w:val="en-US"/>
              </w:rPr>
              <w:t xml:space="preserve"> et al. (2024); Ma and Chen (2023); Rosenthal et al. (2020)</w:t>
            </w:r>
          </w:p>
        </w:tc>
      </w:tr>
      <w:tr w:rsidR="004F289D" w:rsidRPr="004F289D" w14:paraId="24E1C613" w14:textId="77777777" w:rsidTr="00710711">
        <w:tc>
          <w:tcPr>
            <w:tcW w:w="790" w:type="pct"/>
            <w:vMerge/>
            <w:tcBorders>
              <w:top w:val="nil"/>
              <w:left w:val="nil"/>
              <w:bottom w:val="nil"/>
              <w:right w:val="nil"/>
            </w:tcBorders>
          </w:tcPr>
          <w:p w14:paraId="33EB68B2"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691C483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Personal data privacy literacy</w:t>
            </w:r>
          </w:p>
          <w:p w14:paraId="7D0B0765" w14:textId="77777777" w:rsidR="00DB132D" w:rsidRPr="004F289D" w:rsidRDefault="00DB132D" w:rsidP="00DB132D">
            <w:pPr>
              <w:rPr>
                <w:rFonts w:eastAsia="Aptos" w:cs="Times New Roman"/>
                <w:sz w:val="20"/>
                <w:szCs w:val="20"/>
                <w:lang w:val="en-US"/>
              </w:rPr>
            </w:pPr>
          </w:p>
        </w:tc>
        <w:tc>
          <w:tcPr>
            <w:tcW w:w="789" w:type="pct"/>
            <w:tcBorders>
              <w:top w:val="nil"/>
              <w:left w:val="nil"/>
              <w:bottom w:val="nil"/>
              <w:right w:val="nil"/>
            </w:tcBorders>
          </w:tcPr>
          <w:p w14:paraId="2B27AE58" w14:textId="77777777" w:rsidR="00DB132D" w:rsidRPr="004F289D" w:rsidRDefault="00DB132D" w:rsidP="00DB132D">
            <w:pPr>
              <w:rPr>
                <w:rFonts w:eastAsia="Aptos" w:cs="Times New Roman"/>
                <w:sz w:val="20"/>
                <w:szCs w:val="20"/>
              </w:rPr>
            </w:pPr>
            <w:r w:rsidRPr="004F289D">
              <w:rPr>
                <w:rFonts w:eastAsia="Aptos" w:cs="Times New Roman"/>
                <w:sz w:val="20"/>
                <w:szCs w:val="20"/>
              </w:rPr>
              <w:t>27 items, 5-point Likert-type scale</w:t>
            </w:r>
          </w:p>
        </w:tc>
        <w:tc>
          <w:tcPr>
            <w:tcW w:w="1843" w:type="pct"/>
            <w:tcBorders>
              <w:top w:val="nil"/>
              <w:left w:val="nil"/>
              <w:bottom w:val="nil"/>
              <w:right w:val="nil"/>
            </w:tcBorders>
          </w:tcPr>
          <w:p w14:paraId="2C583B2A"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p w14:paraId="4FE281E3" w14:textId="77777777" w:rsidR="00DB132D" w:rsidRPr="004F289D" w:rsidRDefault="00DB132D" w:rsidP="00DB132D">
            <w:pPr>
              <w:rPr>
                <w:rFonts w:eastAsia="Aptos" w:cs="Times New Roman"/>
                <w:sz w:val="20"/>
                <w:szCs w:val="20"/>
                <w:lang w:val="en-US"/>
              </w:rPr>
            </w:pPr>
          </w:p>
        </w:tc>
        <w:tc>
          <w:tcPr>
            <w:tcW w:w="657" w:type="pct"/>
            <w:tcBorders>
              <w:top w:val="nil"/>
              <w:left w:val="nil"/>
              <w:bottom w:val="nil"/>
              <w:right w:val="nil"/>
            </w:tcBorders>
          </w:tcPr>
          <w:p w14:paraId="3F9DD42E"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Lund et al. (2025)</w:t>
            </w:r>
          </w:p>
        </w:tc>
      </w:tr>
      <w:tr w:rsidR="004F289D" w:rsidRPr="004F289D" w14:paraId="3C079F04" w14:textId="77777777" w:rsidTr="00710711">
        <w:tc>
          <w:tcPr>
            <w:tcW w:w="790" w:type="pct"/>
            <w:vMerge/>
            <w:tcBorders>
              <w:top w:val="nil"/>
              <w:left w:val="nil"/>
              <w:bottom w:val="nil"/>
              <w:right w:val="nil"/>
            </w:tcBorders>
          </w:tcPr>
          <w:p w14:paraId="047886D2"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1ED8D77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Online privacy literacy</w:t>
            </w:r>
          </w:p>
        </w:tc>
        <w:tc>
          <w:tcPr>
            <w:tcW w:w="789" w:type="pct"/>
            <w:tcBorders>
              <w:top w:val="nil"/>
              <w:left w:val="nil"/>
              <w:bottom w:val="nil"/>
              <w:right w:val="nil"/>
            </w:tcBorders>
          </w:tcPr>
          <w:p w14:paraId="7FCDE9E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20-item objective knowledge test</w:t>
            </w:r>
          </w:p>
        </w:tc>
        <w:tc>
          <w:tcPr>
            <w:tcW w:w="1843" w:type="pct"/>
            <w:tcBorders>
              <w:top w:val="nil"/>
              <w:left w:val="nil"/>
              <w:bottom w:val="nil"/>
              <w:right w:val="nil"/>
            </w:tcBorders>
          </w:tcPr>
          <w:p w14:paraId="1992692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tc>
        <w:tc>
          <w:tcPr>
            <w:tcW w:w="657" w:type="pct"/>
            <w:tcBorders>
              <w:top w:val="nil"/>
              <w:left w:val="nil"/>
              <w:bottom w:val="nil"/>
              <w:right w:val="nil"/>
            </w:tcBorders>
          </w:tcPr>
          <w:p w14:paraId="20D8E64B" w14:textId="77777777"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Bartsch</w:t>
            </w:r>
            <w:proofErr w:type="spellEnd"/>
            <w:r w:rsidRPr="004F289D">
              <w:rPr>
                <w:rFonts w:eastAsia="Aptos" w:cs="Times New Roman"/>
                <w:sz w:val="20"/>
                <w:szCs w:val="20"/>
                <w:lang w:val="en-US"/>
              </w:rPr>
              <w:t xml:space="preserve"> and </w:t>
            </w:r>
            <w:proofErr w:type="spellStart"/>
            <w:r w:rsidRPr="004F289D">
              <w:rPr>
                <w:rFonts w:eastAsia="Aptos" w:cs="Times New Roman"/>
                <w:sz w:val="20"/>
                <w:szCs w:val="20"/>
                <w:lang w:val="en-US"/>
              </w:rPr>
              <w:t>Dienlin</w:t>
            </w:r>
            <w:proofErr w:type="spellEnd"/>
            <w:r w:rsidRPr="004F289D">
              <w:rPr>
                <w:rFonts w:eastAsia="Aptos" w:cs="Times New Roman"/>
                <w:sz w:val="20"/>
                <w:szCs w:val="20"/>
                <w:lang w:val="en-US"/>
              </w:rPr>
              <w:t xml:space="preserve"> (2016); </w:t>
            </w:r>
            <w:proofErr w:type="spellStart"/>
            <w:r w:rsidRPr="004F289D">
              <w:rPr>
                <w:rFonts w:eastAsia="Aptos" w:cs="Times New Roman"/>
                <w:sz w:val="20"/>
                <w:szCs w:val="20"/>
                <w:lang w:val="en-US"/>
              </w:rPr>
              <w:t>Harborth</w:t>
            </w:r>
            <w:proofErr w:type="spellEnd"/>
            <w:r w:rsidRPr="004F289D">
              <w:rPr>
                <w:rFonts w:eastAsia="Aptos" w:cs="Times New Roman"/>
                <w:sz w:val="20"/>
                <w:szCs w:val="20"/>
                <w:lang w:val="en-US"/>
              </w:rPr>
              <w:t xml:space="preserve"> and Pape (2020); </w:t>
            </w:r>
            <w:proofErr w:type="spellStart"/>
            <w:r w:rsidRPr="004F289D">
              <w:rPr>
                <w:rFonts w:eastAsia="Aptos" w:cs="Times New Roman"/>
                <w:sz w:val="20"/>
                <w:szCs w:val="20"/>
                <w:lang w:val="en-US"/>
              </w:rPr>
              <w:t>Sindermann</w:t>
            </w:r>
            <w:proofErr w:type="spellEnd"/>
            <w:r w:rsidRPr="004F289D">
              <w:rPr>
                <w:rFonts w:eastAsia="Aptos" w:cs="Times New Roman"/>
                <w:sz w:val="20"/>
                <w:szCs w:val="20"/>
                <w:lang w:val="en-US"/>
              </w:rPr>
              <w:t xml:space="preserve"> et al. (2021)</w:t>
            </w:r>
          </w:p>
        </w:tc>
      </w:tr>
      <w:tr w:rsidR="004F289D" w:rsidRPr="004F289D" w14:paraId="7DC54E0E" w14:textId="77777777" w:rsidTr="003E3E1B">
        <w:tc>
          <w:tcPr>
            <w:tcW w:w="790" w:type="pct"/>
            <w:vMerge/>
            <w:tcBorders>
              <w:top w:val="nil"/>
              <w:left w:val="nil"/>
              <w:bottom w:val="single" w:sz="4" w:space="0" w:color="auto"/>
              <w:right w:val="nil"/>
            </w:tcBorders>
          </w:tcPr>
          <w:p w14:paraId="0B6C3925" w14:textId="77777777" w:rsidR="00DB132D" w:rsidRPr="004F289D" w:rsidRDefault="00DB132D" w:rsidP="00DB132D">
            <w:pPr>
              <w:rPr>
                <w:rFonts w:eastAsia="Aptos" w:cs="Times New Roman"/>
                <w:sz w:val="20"/>
                <w:szCs w:val="20"/>
                <w:lang w:val="en-US"/>
              </w:rPr>
            </w:pPr>
          </w:p>
        </w:tc>
        <w:tc>
          <w:tcPr>
            <w:tcW w:w="921" w:type="pct"/>
            <w:tcBorders>
              <w:top w:val="nil"/>
              <w:left w:val="nil"/>
              <w:bottom w:val="single" w:sz="4" w:space="0" w:color="auto"/>
              <w:right w:val="nil"/>
            </w:tcBorders>
          </w:tcPr>
          <w:p w14:paraId="51D8E80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Privacy literacy (on social media)</w:t>
            </w:r>
          </w:p>
        </w:tc>
        <w:tc>
          <w:tcPr>
            <w:tcW w:w="789" w:type="pct"/>
            <w:tcBorders>
              <w:top w:val="nil"/>
              <w:left w:val="nil"/>
              <w:bottom w:val="single" w:sz="4" w:space="0" w:color="auto"/>
              <w:right w:val="nil"/>
            </w:tcBorders>
          </w:tcPr>
          <w:p w14:paraId="0949449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 items on a 7-point Likert-type scale</w:t>
            </w:r>
          </w:p>
          <w:p w14:paraId="5AD9CAC5" w14:textId="77777777" w:rsidR="00DB132D" w:rsidRPr="004F289D" w:rsidRDefault="00DB132D" w:rsidP="00DB132D">
            <w:pPr>
              <w:rPr>
                <w:rFonts w:eastAsia="Aptos" w:cs="Times New Roman"/>
                <w:sz w:val="20"/>
                <w:szCs w:val="20"/>
                <w:lang w:val="en-US"/>
              </w:rPr>
            </w:pPr>
          </w:p>
        </w:tc>
        <w:tc>
          <w:tcPr>
            <w:tcW w:w="1843" w:type="pct"/>
            <w:tcBorders>
              <w:top w:val="nil"/>
              <w:left w:val="nil"/>
              <w:bottom w:val="single" w:sz="4" w:space="0" w:color="auto"/>
              <w:right w:val="nil"/>
            </w:tcBorders>
          </w:tcPr>
          <w:p w14:paraId="7044C6F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p w14:paraId="19913AE3" w14:textId="77777777" w:rsidR="00DB132D" w:rsidRPr="004F289D" w:rsidRDefault="00DB132D" w:rsidP="00DB132D">
            <w:pPr>
              <w:rPr>
                <w:rFonts w:eastAsia="Aptos" w:cs="Times New Roman"/>
                <w:sz w:val="20"/>
                <w:szCs w:val="20"/>
                <w:lang w:val="en-US"/>
              </w:rPr>
            </w:pPr>
          </w:p>
          <w:p w14:paraId="738CCB70" w14:textId="77777777" w:rsidR="00DB132D" w:rsidRPr="004F289D" w:rsidRDefault="00DB132D" w:rsidP="00DB132D">
            <w:pPr>
              <w:rPr>
                <w:rFonts w:eastAsia="Aptos" w:cs="Times New Roman"/>
                <w:sz w:val="20"/>
                <w:szCs w:val="20"/>
              </w:rPr>
            </w:pPr>
          </w:p>
        </w:tc>
        <w:tc>
          <w:tcPr>
            <w:tcW w:w="657" w:type="pct"/>
            <w:tcBorders>
              <w:top w:val="nil"/>
              <w:left w:val="nil"/>
              <w:bottom w:val="single" w:sz="4" w:space="0" w:color="auto"/>
              <w:right w:val="nil"/>
            </w:tcBorders>
          </w:tcPr>
          <w:p w14:paraId="7B6571A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Choi (2023)</w:t>
            </w:r>
          </w:p>
        </w:tc>
      </w:tr>
      <w:tr w:rsidR="004F289D" w:rsidRPr="004F289D" w14:paraId="7434AB87" w14:textId="77777777" w:rsidTr="003E3E1B">
        <w:tc>
          <w:tcPr>
            <w:tcW w:w="790" w:type="pct"/>
            <w:vMerge w:val="restart"/>
            <w:tcBorders>
              <w:top w:val="single" w:sz="4" w:space="0" w:color="auto"/>
              <w:left w:val="nil"/>
              <w:bottom w:val="nil"/>
              <w:right w:val="nil"/>
            </w:tcBorders>
          </w:tcPr>
          <w:p w14:paraId="1550792F" w14:textId="77777777" w:rsidR="00DB132D" w:rsidRPr="004F289D" w:rsidRDefault="00DB132D" w:rsidP="00DB132D">
            <w:pPr>
              <w:rPr>
                <w:rFonts w:eastAsia="Aptos" w:cs="Times New Roman"/>
                <w:b/>
                <w:bCs/>
                <w:sz w:val="20"/>
                <w:szCs w:val="20"/>
                <w:lang w:val="en-US"/>
              </w:rPr>
            </w:pPr>
            <w:r w:rsidRPr="004F289D">
              <w:rPr>
                <w:rFonts w:eastAsia="Aptos" w:cs="Times New Roman"/>
                <w:b/>
                <w:bCs/>
                <w:sz w:val="20"/>
                <w:szCs w:val="20"/>
                <w:lang w:val="en-US"/>
              </w:rPr>
              <w:t>Financial Literacy</w:t>
            </w:r>
          </w:p>
        </w:tc>
        <w:tc>
          <w:tcPr>
            <w:tcW w:w="921" w:type="pct"/>
            <w:vMerge w:val="restart"/>
            <w:tcBorders>
              <w:top w:val="single" w:sz="4" w:space="0" w:color="auto"/>
              <w:left w:val="nil"/>
              <w:bottom w:val="nil"/>
              <w:right w:val="nil"/>
            </w:tcBorders>
          </w:tcPr>
          <w:p w14:paraId="4B45AA8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“Big 3” financial literacy framework</w:t>
            </w:r>
          </w:p>
        </w:tc>
        <w:tc>
          <w:tcPr>
            <w:tcW w:w="789" w:type="pct"/>
            <w:tcBorders>
              <w:top w:val="single" w:sz="4" w:space="0" w:color="auto"/>
              <w:left w:val="nil"/>
              <w:bottom w:val="nil"/>
              <w:right w:val="nil"/>
            </w:tcBorders>
          </w:tcPr>
          <w:p w14:paraId="4AAD096A" w14:textId="77777777" w:rsidR="00DB132D" w:rsidRPr="004F289D" w:rsidRDefault="00DB132D" w:rsidP="00DB132D">
            <w:pPr>
              <w:rPr>
                <w:rFonts w:eastAsia="Aptos" w:cs="Times New Roman"/>
                <w:sz w:val="20"/>
                <w:szCs w:val="20"/>
              </w:rPr>
            </w:pPr>
            <w:r w:rsidRPr="004F289D">
              <w:rPr>
                <w:rFonts w:eastAsia="Aptos" w:cs="Times New Roman"/>
                <w:sz w:val="20"/>
                <w:szCs w:val="20"/>
              </w:rPr>
              <w:t xml:space="preserve"> (Interest rates; Inflation; Investment risk diversification). Captures objective knowledge</w:t>
            </w:r>
          </w:p>
        </w:tc>
        <w:tc>
          <w:tcPr>
            <w:tcW w:w="1843" w:type="pct"/>
            <w:tcBorders>
              <w:top w:val="single" w:sz="4" w:space="0" w:color="auto"/>
              <w:left w:val="nil"/>
              <w:bottom w:val="nil"/>
              <w:right w:val="nil"/>
            </w:tcBorders>
          </w:tcPr>
          <w:p w14:paraId="6B4EFCB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 (Sum of correct answers)</w:t>
            </w:r>
          </w:p>
        </w:tc>
        <w:tc>
          <w:tcPr>
            <w:tcW w:w="657" w:type="pct"/>
            <w:tcBorders>
              <w:top w:val="single" w:sz="4" w:space="0" w:color="auto"/>
              <w:left w:val="nil"/>
              <w:bottom w:val="nil"/>
              <w:right w:val="nil"/>
            </w:tcBorders>
          </w:tcPr>
          <w:p w14:paraId="50414D05" w14:textId="77777777" w:rsidR="00DB132D" w:rsidRPr="004F289D" w:rsidRDefault="00DB132D" w:rsidP="00DB132D">
            <w:pPr>
              <w:rPr>
                <w:rFonts w:eastAsia="Aptos" w:cs="Times New Roman"/>
                <w:sz w:val="20"/>
                <w:szCs w:val="20"/>
                <w:lang w:val="es-ES"/>
              </w:rPr>
            </w:pPr>
            <w:r w:rsidRPr="004F289D">
              <w:rPr>
                <w:rFonts w:eastAsia="Aptos" w:cs="Times New Roman"/>
                <w:sz w:val="20"/>
                <w:szCs w:val="20"/>
                <w:lang w:val="es-ES"/>
              </w:rPr>
              <w:t xml:space="preserve">He et al. (2025); </w:t>
            </w:r>
            <w:proofErr w:type="spellStart"/>
            <w:r w:rsidRPr="004F289D">
              <w:rPr>
                <w:rFonts w:eastAsia="Aptos" w:cs="Times New Roman"/>
                <w:sz w:val="20"/>
                <w:szCs w:val="20"/>
                <w:lang w:val="es-ES"/>
              </w:rPr>
              <w:t>Isaia</w:t>
            </w:r>
            <w:proofErr w:type="spellEnd"/>
            <w:r w:rsidRPr="004F289D">
              <w:rPr>
                <w:rFonts w:eastAsia="Aptos" w:cs="Times New Roman"/>
                <w:sz w:val="20"/>
                <w:szCs w:val="20"/>
                <w:lang w:val="es-ES"/>
              </w:rPr>
              <w:t xml:space="preserve"> et al. (2024); </w:t>
            </w:r>
            <w:proofErr w:type="spellStart"/>
            <w:r w:rsidRPr="004F289D">
              <w:rPr>
                <w:rFonts w:eastAsia="Aptos" w:cs="Times New Roman"/>
                <w:sz w:val="20"/>
                <w:szCs w:val="20"/>
                <w:lang w:val="es-ES"/>
              </w:rPr>
              <w:t>Yu</w:t>
            </w:r>
            <w:proofErr w:type="spellEnd"/>
            <w:r w:rsidRPr="004F289D">
              <w:rPr>
                <w:rFonts w:eastAsia="Aptos" w:cs="Times New Roman"/>
                <w:sz w:val="20"/>
                <w:szCs w:val="20"/>
                <w:lang w:val="es-ES"/>
              </w:rPr>
              <w:t xml:space="preserve"> et al. (2023); </w:t>
            </w:r>
            <w:proofErr w:type="spellStart"/>
            <w:r w:rsidRPr="004F289D">
              <w:rPr>
                <w:rFonts w:eastAsia="Aptos" w:cs="Times New Roman"/>
                <w:sz w:val="20"/>
                <w:szCs w:val="20"/>
                <w:lang w:val="es-ES"/>
              </w:rPr>
              <w:t>Zheng</w:t>
            </w:r>
            <w:proofErr w:type="spellEnd"/>
            <w:r w:rsidRPr="004F289D">
              <w:rPr>
                <w:rFonts w:eastAsia="Aptos" w:cs="Times New Roman"/>
                <w:sz w:val="20"/>
                <w:szCs w:val="20"/>
                <w:lang w:val="es-ES"/>
              </w:rPr>
              <w:t xml:space="preserve"> et al. (2024)</w:t>
            </w:r>
          </w:p>
        </w:tc>
      </w:tr>
      <w:tr w:rsidR="004F289D" w:rsidRPr="004F289D" w14:paraId="7990BCAB" w14:textId="77777777" w:rsidTr="00710711">
        <w:tc>
          <w:tcPr>
            <w:tcW w:w="790" w:type="pct"/>
            <w:vMerge/>
            <w:tcBorders>
              <w:top w:val="nil"/>
              <w:left w:val="nil"/>
              <w:bottom w:val="nil"/>
              <w:right w:val="nil"/>
            </w:tcBorders>
          </w:tcPr>
          <w:p w14:paraId="23A55DC5" w14:textId="77777777" w:rsidR="00DB132D" w:rsidRPr="004F289D" w:rsidRDefault="00DB132D" w:rsidP="00DB132D">
            <w:pPr>
              <w:rPr>
                <w:rFonts w:eastAsia="Aptos" w:cs="Times New Roman"/>
                <w:sz w:val="20"/>
                <w:szCs w:val="20"/>
                <w:lang w:val="es-ES"/>
              </w:rPr>
            </w:pPr>
          </w:p>
        </w:tc>
        <w:tc>
          <w:tcPr>
            <w:tcW w:w="921" w:type="pct"/>
            <w:vMerge/>
            <w:tcBorders>
              <w:top w:val="nil"/>
              <w:left w:val="nil"/>
              <w:bottom w:val="nil"/>
              <w:right w:val="nil"/>
            </w:tcBorders>
          </w:tcPr>
          <w:p w14:paraId="1A0B0EA2" w14:textId="77777777" w:rsidR="00DB132D" w:rsidRPr="004F289D" w:rsidRDefault="00DB132D" w:rsidP="00DB132D">
            <w:pPr>
              <w:rPr>
                <w:rFonts w:eastAsia="Aptos" w:cs="Times New Roman"/>
                <w:sz w:val="20"/>
                <w:szCs w:val="20"/>
                <w:lang w:val="es-ES"/>
              </w:rPr>
            </w:pPr>
          </w:p>
        </w:tc>
        <w:tc>
          <w:tcPr>
            <w:tcW w:w="789" w:type="pct"/>
            <w:tcBorders>
              <w:top w:val="nil"/>
              <w:left w:val="nil"/>
              <w:bottom w:val="nil"/>
              <w:right w:val="nil"/>
            </w:tcBorders>
          </w:tcPr>
          <w:p w14:paraId="69DA678E" w14:textId="77777777" w:rsidR="00DB132D" w:rsidRPr="004F289D" w:rsidRDefault="00DB132D" w:rsidP="00DB132D">
            <w:pPr>
              <w:rPr>
                <w:rFonts w:eastAsia="Aptos" w:cs="Times New Roman"/>
                <w:sz w:val="20"/>
                <w:szCs w:val="20"/>
              </w:rPr>
            </w:pPr>
            <w:r w:rsidRPr="004F289D">
              <w:rPr>
                <w:rFonts w:eastAsia="Aptos" w:cs="Times New Roman"/>
                <w:sz w:val="20"/>
                <w:szCs w:val="20"/>
              </w:rPr>
              <w:t>13 multiple-choice questions capturing objective knowledge (same concepts as above)</w:t>
            </w:r>
          </w:p>
          <w:p w14:paraId="69A229B9" w14:textId="77777777" w:rsidR="00710711" w:rsidRPr="004F289D" w:rsidRDefault="00710711" w:rsidP="00DB132D">
            <w:pPr>
              <w:rPr>
                <w:rFonts w:eastAsia="Aptos" w:cs="Times New Roman"/>
                <w:sz w:val="20"/>
                <w:szCs w:val="20"/>
              </w:rPr>
            </w:pPr>
          </w:p>
          <w:p w14:paraId="353D1BF1" w14:textId="77777777" w:rsidR="003E3E1B" w:rsidRPr="004F289D" w:rsidRDefault="003E3E1B" w:rsidP="00DB132D">
            <w:pPr>
              <w:rPr>
                <w:rFonts w:eastAsia="Aptos" w:cs="Times New Roman"/>
                <w:sz w:val="20"/>
                <w:szCs w:val="20"/>
              </w:rPr>
            </w:pPr>
          </w:p>
        </w:tc>
        <w:tc>
          <w:tcPr>
            <w:tcW w:w="1843" w:type="pct"/>
            <w:tcBorders>
              <w:top w:val="nil"/>
              <w:left w:val="nil"/>
              <w:bottom w:val="nil"/>
              <w:right w:val="nil"/>
            </w:tcBorders>
          </w:tcPr>
          <w:p w14:paraId="0465C425" w14:textId="77777777" w:rsidR="00DB132D" w:rsidRPr="004F289D" w:rsidRDefault="00DB132D" w:rsidP="00DB132D">
            <w:pPr>
              <w:tabs>
                <w:tab w:val="center" w:pos="945"/>
              </w:tabs>
              <w:rPr>
                <w:rFonts w:eastAsia="Aptos" w:cs="Times New Roman"/>
                <w:sz w:val="20"/>
                <w:szCs w:val="20"/>
                <w:lang w:val="en-US"/>
              </w:rPr>
            </w:pPr>
            <w:r w:rsidRPr="004F289D">
              <w:rPr>
                <w:rFonts w:eastAsia="Aptos" w:cs="Times New Roman"/>
                <w:sz w:val="20"/>
                <w:szCs w:val="20"/>
                <w:lang w:val="en-US"/>
              </w:rPr>
              <w:t>Unidimensional (Sum of correct answers)</w:t>
            </w:r>
          </w:p>
        </w:tc>
        <w:tc>
          <w:tcPr>
            <w:tcW w:w="657" w:type="pct"/>
            <w:tcBorders>
              <w:top w:val="nil"/>
              <w:left w:val="nil"/>
              <w:bottom w:val="nil"/>
              <w:right w:val="nil"/>
            </w:tcBorders>
          </w:tcPr>
          <w:p w14:paraId="4F227FE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Xiao et al. (2022)</w:t>
            </w:r>
          </w:p>
        </w:tc>
      </w:tr>
      <w:tr w:rsidR="004F289D" w:rsidRPr="004F289D" w14:paraId="58968A10" w14:textId="77777777" w:rsidTr="00710711">
        <w:tc>
          <w:tcPr>
            <w:tcW w:w="790" w:type="pct"/>
            <w:vMerge/>
            <w:tcBorders>
              <w:top w:val="nil"/>
              <w:left w:val="nil"/>
              <w:bottom w:val="nil"/>
              <w:right w:val="nil"/>
            </w:tcBorders>
          </w:tcPr>
          <w:p w14:paraId="40A2D578" w14:textId="77777777" w:rsidR="00DB132D" w:rsidRPr="004F289D" w:rsidRDefault="00DB132D" w:rsidP="00DB132D">
            <w:pPr>
              <w:rPr>
                <w:rFonts w:eastAsia="Aptos" w:cs="Times New Roman"/>
                <w:sz w:val="20"/>
                <w:szCs w:val="20"/>
                <w:lang w:val="es-ES"/>
              </w:rPr>
            </w:pPr>
          </w:p>
        </w:tc>
        <w:tc>
          <w:tcPr>
            <w:tcW w:w="921" w:type="pct"/>
            <w:vMerge w:val="restart"/>
            <w:tcBorders>
              <w:top w:val="nil"/>
              <w:left w:val="nil"/>
              <w:bottom w:val="nil"/>
              <w:right w:val="nil"/>
            </w:tcBorders>
          </w:tcPr>
          <w:p w14:paraId="41E4456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Other topics assess (beyond the “big 3”)</w:t>
            </w:r>
          </w:p>
        </w:tc>
        <w:tc>
          <w:tcPr>
            <w:tcW w:w="789" w:type="pct"/>
            <w:tcBorders>
              <w:top w:val="nil"/>
              <w:left w:val="nil"/>
              <w:bottom w:val="nil"/>
              <w:right w:val="nil"/>
            </w:tcBorders>
          </w:tcPr>
          <w:p w14:paraId="6D47F821" w14:textId="77777777" w:rsidR="00DB132D" w:rsidRPr="004F289D" w:rsidRDefault="00DB132D" w:rsidP="00DB132D">
            <w:pPr>
              <w:rPr>
                <w:rFonts w:eastAsia="Aptos" w:cs="Times New Roman"/>
                <w:sz w:val="20"/>
                <w:szCs w:val="20"/>
              </w:rPr>
            </w:pPr>
            <w:r w:rsidRPr="004F289D">
              <w:rPr>
                <w:rFonts w:eastAsia="Aptos" w:cs="Times New Roman"/>
                <w:sz w:val="20"/>
                <w:szCs w:val="20"/>
              </w:rPr>
              <w:t xml:space="preserve">13 multiple-choice questions capturing </w:t>
            </w:r>
            <w:r w:rsidRPr="004F289D">
              <w:rPr>
                <w:rFonts w:eastAsia="Aptos" w:cs="Times New Roman"/>
                <w:sz w:val="20"/>
                <w:szCs w:val="20"/>
              </w:rPr>
              <w:lastRenderedPageBreak/>
              <w:t xml:space="preserve">objective knowledge </w:t>
            </w:r>
          </w:p>
        </w:tc>
        <w:tc>
          <w:tcPr>
            <w:tcW w:w="1843" w:type="pct"/>
            <w:tcBorders>
              <w:top w:val="nil"/>
              <w:left w:val="nil"/>
              <w:bottom w:val="nil"/>
              <w:right w:val="nil"/>
            </w:tcBorders>
          </w:tcPr>
          <w:p w14:paraId="7D06F72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lastRenderedPageBreak/>
              <w:t>Unidimensional (Topics of the questions: Net worth, Interest and accounts, Credit and debt, Credit bureaus, Investment risk, Insurance, Time value of money)</w:t>
            </w:r>
          </w:p>
        </w:tc>
        <w:tc>
          <w:tcPr>
            <w:tcW w:w="657" w:type="pct"/>
            <w:tcBorders>
              <w:top w:val="nil"/>
              <w:left w:val="nil"/>
              <w:bottom w:val="nil"/>
              <w:right w:val="nil"/>
            </w:tcBorders>
          </w:tcPr>
          <w:p w14:paraId="0F44AC66" w14:textId="7E7066CD"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n-US"/>
              </w:rPr>
              <w:t>Pelawi</w:t>
            </w:r>
            <w:proofErr w:type="spellEnd"/>
            <w:r w:rsidRPr="004F289D">
              <w:rPr>
                <w:rFonts w:eastAsia="Aptos" w:cs="Times New Roman"/>
                <w:sz w:val="20"/>
                <w:szCs w:val="20"/>
                <w:lang w:val="en-US"/>
              </w:rPr>
              <w:t xml:space="preserve"> et al. (2025)</w:t>
            </w:r>
          </w:p>
        </w:tc>
      </w:tr>
      <w:tr w:rsidR="004F289D" w:rsidRPr="004F289D" w14:paraId="1412F1AC" w14:textId="77777777" w:rsidTr="00710711">
        <w:tc>
          <w:tcPr>
            <w:tcW w:w="790" w:type="pct"/>
            <w:vMerge/>
            <w:tcBorders>
              <w:top w:val="nil"/>
              <w:left w:val="nil"/>
              <w:bottom w:val="nil"/>
              <w:right w:val="nil"/>
            </w:tcBorders>
          </w:tcPr>
          <w:p w14:paraId="223B6CD1" w14:textId="77777777" w:rsidR="00DB132D" w:rsidRPr="004F289D" w:rsidRDefault="00DB132D" w:rsidP="00DB132D">
            <w:pPr>
              <w:rPr>
                <w:rFonts w:eastAsia="Aptos" w:cs="Times New Roman"/>
                <w:sz w:val="20"/>
                <w:szCs w:val="20"/>
                <w:lang w:val="en-US"/>
              </w:rPr>
            </w:pPr>
          </w:p>
        </w:tc>
        <w:tc>
          <w:tcPr>
            <w:tcW w:w="921" w:type="pct"/>
            <w:vMerge/>
            <w:tcBorders>
              <w:top w:val="nil"/>
              <w:left w:val="nil"/>
              <w:bottom w:val="nil"/>
              <w:right w:val="nil"/>
            </w:tcBorders>
          </w:tcPr>
          <w:p w14:paraId="5CCA6212" w14:textId="77777777" w:rsidR="00DB132D" w:rsidRPr="004F289D" w:rsidRDefault="00DB132D" w:rsidP="00DB132D">
            <w:pPr>
              <w:rPr>
                <w:rFonts w:eastAsia="Aptos" w:cs="Times New Roman"/>
                <w:sz w:val="20"/>
                <w:szCs w:val="20"/>
                <w:lang w:val="en-US"/>
              </w:rPr>
            </w:pPr>
          </w:p>
        </w:tc>
        <w:tc>
          <w:tcPr>
            <w:tcW w:w="789" w:type="pct"/>
            <w:tcBorders>
              <w:top w:val="nil"/>
              <w:left w:val="nil"/>
              <w:bottom w:val="nil"/>
              <w:right w:val="nil"/>
            </w:tcBorders>
          </w:tcPr>
          <w:p w14:paraId="5B2125B4" w14:textId="77777777" w:rsidR="00DB132D" w:rsidRPr="004F289D" w:rsidRDefault="00DB132D" w:rsidP="00DB132D">
            <w:pPr>
              <w:rPr>
                <w:rFonts w:eastAsia="Aptos" w:cs="Times New Roman"/>
                <w:sz w:val="20"/>
                <w:szCs w:val="20"/>
              </w:rPr>
            </w:pPr>
            <w:r w:rsidRPr="004F289D">
              <w:rPr>
                <w:rFonts w:eastAsia="Aptos" w:cs="Times New Roman"/>
                <w:sz w:val="20"/>
                <w:szCs w:val="20"/>
              </w:rPr>
              <w:t>6 questions (Mixed between self-reported and objective knowledge)</w:t>
            </w:r>
          </w:p>
        </w:tc>
        <w:tc>
          <w:tcPr>
            <w:tcW w:w="1843" w:type="pct"/>
            <w:tcBorders>
              <w:top w:val="nil"/>
              <w:left w:val="nil"/>
              <w:bottom w:val="nil"/>
              <w:right w:val="nil"/>
            </w:tcBorders>
          </w:tcPr>
          <w:p w14:paraId="21B04A1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Financial knowledge; </w:t>
            </w:r>
            <w:r w:rsidRPr="004F289D">
              <w:rPr>
                <w:rFonts w:eastAsia="Aptos" w:cs="Times New Roman"/>
                <w:sz w:val="20"/>
                <w:szCs w:val="20"/>
              </w:rPr>
              <w:t>Financial skills; Investment experience</w:t>
            </w:r>
          </w:p>
        </w:tc>
        <w:tc>
          <w:tcPr>
            <w:tcW w:w="657" w:type="pct"/>
            <w:tcBorders>
              <w:top w:val="nil"/>
              <w:left w:val="nil"/>
              <w:bottom w:val="nil"/>
              <w:right w:val="nil"/>
            </w:tcBorders>
          </w:tcPr>
          <w:p w14:paraId="0316930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Yang and Li (2025)</w:t>
            </w:r>
          </w:p>
        </w:tc>
      </w:tr>
      <w:tr w:rsidR="004F289D" w:rsidRPr="004F289D" w14:paraId="14307FC9" w14:textId="77777777" w:rsidTr="003E3E1B">
        <w:tc>
          <w:tcPr>
            <w:tcW w:w="790" w:type="pct"/>
            <w:vMerge/>
            <w:tcBorders>
              <w:top w:val="nil"/>
              <w:left w:val="nil"/>
              <w:bottom w:val="single" w:sz="4" w:space="0" w:color="auto"/>
              <w:right w:val="nil"/>
            </w:tcBorders>
          </w:tcPr>
          <w:p w14:paraId="35CE1892" w14:textId="77777777" w:rsidR="00DB132D" w:rsidRPr="004F289D" w:rsidRDefault="00DB132D" w:rsidP="00DB132D">
            <w:pPr>
              <w:rPr>
                <w:rFonts w:eastAsia="Aptos" w:cs="Times New Roman"/>
                <w:sz w:val="20"/>
                <w:szCs w:val="20"/>
                <w:lang w:val="en-US"/>
              </w:rPr>
            </w:pPr>
          </w:p>
        </w:tc>
        <w:tc>
          <w:tcPr>
            <w:tcW w:w="921" w:type="pct"/>
            <w:vMerge/>
            <w:tcBorders>
              <w:top w:val="nil"/>
              <w:left w:val="nil"/>
              <w:bottom w:val="single" w:sz="4" w:space="0" w:color="auto"/>
              <w:right w:val="nil"/>
            </w:tcBorders>
          </w:tcPr>
          <w:p w14:paraId="3E9175A7" w14:textId="77777777" w:rsidR="00DB132D" w:rsidRPr="004F289D" w:rsidRDefault="00DB132D" w:rsidP="00DB132D">
            <w:pPr>
              <w:rPr>
                <w:rFonts w:eastAsia="Aptos" w:cs="Times New Roman"/>
                <w:sz w:val="20"/>
                <w:szCs w:val="20"/>
                <w:lang w:val="en-US"/>
              </w:rPr>
            </w:pPr>
          </w:p>
        </w:tc>
        <w:tc>
          <w:tcPr>
            <w:tcW w:w="789" w:type="pct"/>
            <w:tcBorders>
              <w:top w:val="nil"/>
              <w:left w:val="nil"/>
              <w:bottom w:val="single" w:sz="4" w:space="0" w:color="auto"/>
              <w:right w:val="nil"/>
            </w:tcBorders>
          </w:tcPr>
          <w:p w14:paraId="3DC9226C" w14:textId="77777777" w:rsidR="00DB132D" w:rsidRPr="004F289D" w:rsidRDefault="00DB132D" w:rsidP="00DB132D">
            <w:pPr>
              <w:rPr>
                <w:rFonts w:eastAsia="Aptos" w:cs="Times New Roman"/>
                <w:sz w:val="20"/>
                <w:szCs w:val="20"/>
              </w:rPr>
            </w:pPr>
            <w:r w:rsidRPr="004F289D">
              <w:rPr>
                <w:rFonts w:eastAsia="Aptos" w:cs="Times New Roman"/>
                <w:sz w:val="20"/>
                <w:szCs w:val="20"/>
              </w:rPr>
              <w:t xml:space="preserve">13 multiple-choice questions capturing objective knowledge </w:t>
            </w:r>
          </w:p>
          <w:p w14:paraId="6D5B4E9F" w14:textId="77777777" w:rsidR="00710711" w:rsidRPr="004F289D" w:rsidRDefault="00710711" w:rsidP="00DB132D">
            <w:pPr>
              <w:rPr>
                <w:rFonts w:eastAsia="Aptos" w:cs="Times New Roman"/>
                <w:sz w:val="20"/>
                <w:szCs w:val="20"/>
              </w:rPr>
            </w:pPr>
          </w:p>
        </w:tc>
        <w:tc>
          <w:tcPr>
            <w:tcW w:w="1843" w:type="pct"/>
            <w:tcBorders>
              <w:top w:val="nil"/>
              <w:left w:val="nil"/>
              <w:bottom w:val="single" w:sz="4" w:space="0" w:color="auto"/>
              <w:right w:val="nil"/>
            </w:tcBorders>
          </w:tcPr>
          <w:p w14:paraId="62E42A7D"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 xml:space="preserve">Unidimensional (Topics of the questions: </w:t>
            </w:r>
            <w:r w:rsidRPr="004F289D">
              <w:rPr>
                <w:rFonts w:eastAsia="Aptos" w:cs="Times New Roman"/>
                <w:sz w:val="20"/>
                <w:szCs w:val="20"/>
              </w:rPr>
              <w:t>Compound interest Inflation; Risk diversification; Risk–return trade-off)</w:t>
            </w:r>
          </w:p>
        </w:tc>
        <w:tc>
          <w:tcPr>
            <w:tcW w:w="657" w:type="pct"/>
            <w:tcBorders>
              <w:top w:val="nil"/>
              <w:left w:val="nil"/>
              <w:bottom w:val="single" w:sz="4" w:space="0" w:color="auto"/>
              <w:right w:val="nil"/>
            </w:tcBorders>
          </w:tcPr>
          <w:p w14:paraId="663ED9A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Rey-Ares et al. (2024)</w:t>
            </w:r>
          </w:p>
        </w:tc>
      </w:tr>
      <w:tr w:rsidR="004F289D" w:rsidRPr="004F289D" w14:paraId="55D4FE23" w14:textId="77777777" w:rsidTr="003E3E1B">
        <w:tc>
          <w:tcPr>
            <w:tcW w:w="790" w:type="pct"/>
            <w:vMerge w:val="restart"/>
            <w:tcBorders>
              <w:top w:val="single" w:sz="4" w:space="0" w:color="auto"/>
              <w:left w:val="nil"/>
              <w:bottom w:val="nil"/>
              <w:right w:val="nil"/>
            </w:tcBorders>
          </w:tcPr>
          <w:p w14:paraId="23A30AA1" w14:textId="77777777" w:rsidR="00DB132D" w:rsidRPr="004F289D" w:rsidRDefault="00DB132D" w:rsidP="00DB132D">
            <w:pPr>
              <w:rPr>
                <w:rFonts w:eastAsia="Aptos" w:cs="Times New Roman"/>
                <w:b/>
                <w:bCs/>
                <w:sz w:val="20"/>
                <w:szCs w:val="20"/>
                <w:lang w:val="en-US"/>
              </w:rPr>
            </w:pPr>
            <w:r w:rsidRPr="004F289D">
              <w:rPr>
                <w:rFonts w:eastAsia="Aptos" w:cs="Times New Roman"/>
                <w:b/>
                <w:bCs/>
                <w:sz w:val="20"/>
                <w:szCs w:val="20"/>
                <w:lang w:val="en-US"/>
              </w:rPr>
              <w:t>Digital Literacy</w:t>
            </w:r>
          </w:p>
          <w:p w14:paraId="40DB7657" w14:textId="77777777" w:rsidR="00DB132D" w:rsidRPr="004F289D" w:rsidRDefault="00DB132D" w:rsidP="00DB132D">
            <w:pPr>
              <w:rPr>
                <w:rFonts w:eastAsia="Aptos" w:cs="Times New Roman"/>
                <w:sz w:val="20"/>
                <w:szCs w:val="20"/>
                <w:lang w:val="en-US"/>
              </w:rPr>
            </w:pPr>
          </w:p>
          <w:p w14:paraId="3E57B5C2" w14:textId="77777777" w:rsidR="00DB132D" w:rsidRPr="004F289D" w:rsidRDefault="00DB132D" w:rsidP="00DB132D">
            <w:pPr>
              <w:rPr>
                <w:rFonts w:eastAsia="Aptos" w:cs="Times New Roman"/>
                <w:sz w:val="20"/>
                <w:szCs w:val="20"/>
                <w:lang w:val="en-US"/>
              </w:rPr>
            </w:pPr>
          </w:p>
        </w:tc>
        <w:tc>
          <w:tcPr>
            <w:tcW w:w="921" w:type="pct"/>
            <w:vMerge w:val="restart"/>
            <w:tcBorders>
              <w:top w:val="single" w:sz="4" w:space="0" w:color="auto"/>
              <w:left w:val="nil"/>
              <w:bottom w:val="nil"/>
              <w:right w:val="nil"/>
            </w:tcBorders>
          </w:tcPr>
          <w:p w14:paraId="45E4984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Digital Literacy - General: The ability to identify, assess and use digital information</w:t>
            </w:r>
          </w:p>
        </w:tc>
        <w:tc>
          <w:tcPr>
            <w:tcW w:w="789" w:type="pct"/>
            <w:tcBorders>
              <w:top w:val="single" w:sz="4" w:space="0" w:color="auto"/>
              <w:left w:val="nil"/>
              <w:bottom w:val="nil"/>
              <w:right w:val="nil"/>
            </w:tcBorders>
          </w:tcPr>
          <w:p w14:paraId="6DB21270"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10 items on a 5-point Likert-type scale</w:t>
            </w:r>
          </w:p>
        </w:tc>
        <w:tc>
          <w:tcPr>
            <w:tcW w:w="1843" w:type="pct"/>
            <w:tcBorders>
              <w:top w:val="single" w:sz="4" w:space="0" w:color="auto"/>
              <w:left w:val="nil"/>
              <w:bottom w:val="nil"/>
              <w:right w:val="nil"/>
            </w:tcBorders>
          </w:tcPr>
          <w:p w14:paraId="637A333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Technical; Cognitive; Social-emotional</w:t>
            </w:r>
          </w:p>
        </w:tc>
        <w:tc>
          <w:tcPr>
            <w:tcW w:w="657" w:type="pct"/>
            <w:tcBorders>
              <w:top w:val="single" w:sz="4" w:space="0" w:color="auto"/>
              <w:left w:val="nil"/>
              <w:bottom w:val="nil"/>
              <w:right w:val="nil"/>
            </w:tcBorders>
          </w:tcPr>
          <w:p w14:paraId="620ADD34" w14:textId="1D34AAED" w:rsidR="00DB132D" w:rsidRPr="004F289D" w:rsidRDefault="00DB132D" w:rsidP="00DB132D">
            <w:pPr>
              <w:rPr>
                <w:rFonts w:eastAsia="Aptos" w:cs="Times New Roman"/>
                <w:sz w:val="20"/>
                <w:szCs w:val="20"/>
              </w:rPr>
            </w:pPr>
            <w:r w:rsidRPr="004F289D">
              <w:rPr>
                <w:rFonts w:eastAsia="Aptos" w:cs="Times New Roman"/>
                <w:sz w:val="20"/>
                <w:szCs w:val="20"/>
                <w:lang w:val="sv-SE"/>
              </w:rPr>
              <w:t xml:space="preserve">Erdem et al. (2023); Kocarslan </w:t>
            </w:r>
            <w:r w:rsidR="0047503F" w:rsidRPr="004F289D">
              <w:rPr>
                <w:rFonts w:eastAsia="Aptos" w:cs="Times New Roman"/>
                <w:sz w:val="20"/>
                <w:szCs w:val="20"/>
                <w:lang w:val="sv-SE"/>
              </w:rPr>
              <w:t>and</w:t>
            </w:r>
            <w:r w:rsidRPr="004F289D">
              <w:rPr>
                <w:rFonts w:eastAsia="Aptos" w:cs="Times New Roman"/>
                <w:sz w:val="20"/>
                <w:szCs w:val="20"/>
                <w:lang w:val="sv-SE"/>
              </w:rPr>
              <w:t xml:space="preserve"> Stoycheva (2025); Ng (2012); Nikou et al. </w:t>
            </w:r>
            <w:r w:rsidRPr="004F289D">
              <w:rPr>
                <w:rFonts w:eastAsia="Aptos" w:cs="Times New Roman"/>
                <w:sz w:val="20"/>
                <w:szCs w:val="20"/>
              </w:rPr>
              <w:t>(2022); Saritepeci et al. (2024)</w:t>
            </w:r>
          </w:p>
        </w:tc>
      </w:tr>
      <w:tr w:rsidR="004F289D" w:rsidRPr="004F289D" w14:paraId="5FAD9155" w14:textId="77777777" w:rsidTr="00710711">
        <w:tc>
          <w:tcPr>
            <w:tcW w:w="790" w:type="pct"/>
            <w:vMerge/>
            <w:tcBorders>
              <w:top w:val="nil"/>
              <w:left w:val="nil"/>
              <w:bottom w:val="nil"/>
              <w:right w:val="nil"/>
            </w:tcBorders>
          </w:tcPr>
          <w:p w14:paraId="67267448" w14:textId="77777777" w:rsidR="00DB132D" w:rsidRPr="004F289D" w:rsidRDefault="00DB132D" w:rsidP="00DB132D">
            <w:pPr>
              <w:rPr>
                <w:rFonts w:eastAsia="Aptos" w:cs="Times New Roman"/>
                <w:sz w:val="20"/>
                <w:szCs w:val="20"/>
                <w:lang w:val="en-US"/>
              </w:rPr>
            </w:pPr>
          </w:p>
        </w:tc>
        <w:tc>
          <w:tcPr>
            <w:tcW w:w="921" w:type="pct"/>
            <w:vMerge/>
            <w:tcBorders>
              <w:top w:val="nil"/>
              <w:left w:val="nil"/>
              <w:bottom w:val="nil"/>
              <w:right w:val="nil"/>
            </w:tcBorders>
          </w:tcPr>
          <w:p w14:paraId="4947D9C1" w14:textId="77777777" w:rsidR="00DB132D" w:rsidRPr="004F289D" w:rsidRDefault="00DB132D" w:rsidP="00DB132D">
            <w:pPr>
              <w:rPr>
                <w:rFonts w:eastAsia="Aptos" w:cs="Times New Roman"/>
                <w:sz w:val="20"/>
                <w:szCs w:val="20"/>
                <w:lang w:val="en-US"/>
              </w:rPr>
            </w:pPr>
          </w:p>
        </w:tc>
        <w:tc>
          <w:tcPr>
            <w:tcW w:w="789" w:type="pct"/>
            <w:tcBorders>
              <w:top w:val="nil"/>
              <w:left w:val="nil"/>
              <w:bottom w:val="nil"/>
              <w:right w:val="nil"/>
            </w:tcBorders>
          </w:tcPr>
          <w:p w14:paraId="2142B53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22 items on a 5-point Likert-type scale</w:t>
            </w:r>
          </w:p>
          <w:p w14:paraId="647994A8"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2748DF2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Operational skill; creative skill; social skill; information navigation; safety skill </w:t>
            </w:r>
          </w:p>
        </w:tc>
        <w:tc>
          <w:tcPr>
            <w:tcW w:w="657" w:type="pct"/>
            <w:tcBorders>
              <w:top w:val="nil"/>
              <w:left w:val="nil"/>
              <w:bottom w:val="nil"/>
              <w:right w:val="nil"/>
            </w:tcBorders>
          </w:tcPr>
          <w:p w14:paraId="31A69BA3" w14:textId="3E527234" w:rsidR="00DB132D" w:rsidRPr="004F289D" w:rsidRDefault="00DB132D" w:rsidP="00DB132D">
            <w:pPr>
              <w:rPr>
                <w:rFonts w:eastAsia="Aptos" w:cs="Times New Roman"/>
                <w:sz w:val="20"/>
                <w:szCs w:val="20"/>
                <w:lang w:val="sv-SE"/>
              </w:rPr>
            </w:pPr>
            <w:r w:rsidRPr="004F289D">
              <w:rPr>
                <w:rFonts w:eastAsia="Aptos" w:cs="Times New Roman"/>
                <w:sz w:val="20"/>
                <w:szCs w:val="20"/>
                <w:lang w:val="sv-SE"/>
              </w:rPr>
              <w:t xml:space="preserve">Li </w:t>
            </w:r>
            <w:r w:rsidR="009764C5" w:rsidRPr="004F289D">
              <w:rPr>
                <w:rFonts w:eastAsia="Aptos" w:cs="Times New Roman"/>
                <w:sz w:val="20"/>
                <w:szCs w:val="20"/>
                <w:lang w:val="sv-SE"/>
              </w:rPr>
              <w:t>and</w:t>
            </w:r>
            <w:r w:rsidRPr="004F289D">
              <w:rPr>
                <w:rFonts w:eastAsia="Aptos" w:cs="Times New Roman"/>
                <w:sz w:val="20"/>
                <w:szCs w:val="20"/>
                <w:lang w:val="sv-SE"/>
              </w:rPr>
              <w:t xml:space="preserve"> Hu (2022); Ren et al. (2022)</w:t>
            </w:r>
          </w:p>
        </w:tc>
      </w:tr>
      <w:tr w:rsidR="004F289D" w:rsidRPr="004F289D" w14:paraId="60DCC5E1" w14:textId="77777777" w:rsidTr="00710711">
        <w:tc>
          <w:tcPr>
            <w:tcW w:w="790" w:type="pct"/>
            <w:vMerge/>
            <w:tcBorders>
              <w:top w:val="nil"/>
              <w:left w:val="nil"/>
              <w:bottom w:val="nil"/>
              <w:right w:val="nil"/>
            </w:tcBorders>
          </w:tcPr>
          <w:p w14:paraId="20AD50E8" w14:textId="77777777" w:rsidR="00DB132D" w:rsidRPr="004F289D" w:rsidRDefault="00DB132D" w:rsidP="00DB132D">
            <w:pPr>
              <w:rPr>
                <w:rFonts w:eastAsia="Aptos" w:cs="Times New Roman"/>
                <w:sz w:val="20"/>
                <w:szCs w:val="20"/>
                <w:lang w:val="sv-SE"/>
              </w:rPr>
            </w:pPr>
          </w:p>
        </w:tc>
        <w:tc>
          <w:tcPr>
            <w:tcW w:w="921" w:type="pct"/>
            <w:vMerge/>
            <w:tcBorders>
              <w:top w:val="nil"/>
              <w:left w:val="nil"/>
              <w:bottom w:val="nil"/>
              <w:right w:val="nil"/>
            </w:tcBorders>
          </w:tcPr>
          <w:p w14:paraId="3405A4C1" w14:textId="77777777" w:rsidR="00DB132D" w:rsidRPr="004F289D" w:rsidRDefault="00DB132D" w:rsidP="00DB132D">
            <w:pPr>
              <w:rPr>
                <w:rFonts w:eastAsia="Aptos" w:cs="Times New Roman"/>
                <w:sz w:val="20"/>
                <w:szCs w:val="20"/>
                <w:lang w:val="sv-SE"/>
              </w:rPr>
            </w:pPr>
          </w:p>
        </w:tc>
        <w:tc>
          <w:tcPr>
            <w:tcW w:w="789" w:type="pct"/>
            <w:tcBorders>
              <w:top w:val="nil"/>
              <w:left w:val="nil"/>
              <w:bottom w:val="nil"/>
              <w:right w:val="nil"/>
            </w:tcBorders>
          </w:tcPr>
          <w:p w14:paraId="1411642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15 items on a 5-point Likert-type scale</w:t>
            </w:r>
          </w:p>
          <w:p w14:paraId="578E5D19" w14:textId="77777777" w:rsidR="00710711" w:rsidRPr="004F289D" w:rsidRDefault="00710711" w:rsidP="00DB132D">
            <w:pPr>
              <w:rPr>
                <w:rFonts w:eastAsia="Aptos" w:cs="Times New Roman"/>
                <w:sz w:val="20"/>
                <w:szCs w:val="20"/>
              </w:rPr>
            </w:pPr>
          </w:p>
        </w:tc>
        <w:tc>
          <w:tcPr>
            <w:tcW w:w="1843" w:type="pct"/>
            <w:tcBorders>
              <w:top w:val="nil"/>
              <w:left w:val="nil"/>
              <w:bottom w:val="nil"/>
              <w:right w:val="nil"/>
            </w:tcBorders>
          </w:tcPr>
          <w:p w14:paraId="0B9671E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Look; Find; Get; Evaluate; Use</w:t>
            </w:r>
          </w:p>
        </w:tc>
        <w:tc>
          <w:tcPr>
            <w:tcW w:w="657" w:type="pct"/>
            <w:tcBorders>
              <w:top w:val="nil"/>
              <w:left w:val="nil"/>
              <w:bottom w:val="nil"/>
              <w:right w:val="nil"/>
            </w:tcBorders>
          </w:tcPr>
          <w:p w14:paraId="259BB0DD"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Mahmood et al. (2022)</w:t>
            </w:r>
          </w:p>
        </w:tc>
      </w:tr>
      <w:tr w:rsidR="004F289D" w:rsidRPr="004F289D" w14:paraId="6CDB16AC" w14:textId="77777777" w:rsidTr="00710711">
        <w:tc>
          <w:tcPr>
            <w:tcW w:w="790" w:type="pct"/>
            <w:vMerge/>
            <w:tcBorders>
              <w:top w:val="nil"/>
              <w:left w:val="nil"/>
              <w:bottom w:val="nil"/>
              <w:right w:val="nil"/>
            </w:tcBorders>
          </w:tcPr>
          <w:p w14:paraId="10A04067" w14:textId="77777777" w:rsidR="00DB132D" w:rsidRPr="004F289D" w:rsidRDefault="00DB132D" w:rsidP="00DB132D">
            <w:pPr>
              <w:rPr>
                <w:rFonts w:eastAsia="Aptos" w:cs="Times New Roman"/>
                <w:sz w:val="20"/>
                <w:szCs w:val="20"/>
              </w:rPr>
            </w:pPr>
          </w:p>
        </w:tc>
        <w:tc>
          <w:tcPr>
            <w:tcW w:w="921" w:type="pct"/>
            <w:vMerge/>
            <w:tcBorders>
              <w:top w:val="nil"/>
              <w:left w:val="nil"/>
              <w:bottom w:val="nil"/>
              <w:right w:val="nil"/>
            </w:tcBorders>
          </w:tcPr>
          <w:p w14:paraId="6ED365F7" w14:textId="77777777" w:rsidR="00DB132D" w:rsidRPr="004F289D" w:rsidRDefault="00DB132D" w:rsidP="00DB132D">
            <w:pPr>
              <w:rPr>
                <w:rFonts w:eastAsia="Aptos" w:cs="Times New Roman"/>
                <w:sz w:val="20"/>
                <w:szCs w:val="20"/>
              </w:rPr>
            </w:pPr>
          </w:p>
        </w:tc>
        <w:tc>
          <w:tcPr>
            <w:tcW w:w="789" w:type="pct"/>
            <w:tcBorders>
              <w:top w:val="nil"/>
              <w:left w:val="nil"/>
              <w:bottom w:val="nil"/>
              <w:right w:val="nil"/>
            </w:tcBorders>
          </w:tcPr>
          <w:p w14:paraId="695DE7D0"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60 attributes or self-evaluated questions</w:t>
            </w:r>
          </w:p>
          <w:p w14:paraId="3EFB9790"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54F2394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Media literacy; Information Literacy; Visual Literacy; Communication Literacy; Technology Literacy and Computer Literacy</w:t>
            </w:r>
          </w:p>
        </w:tc>
        <w:tc>
          <w:tcPr>
            <w:tcW w:w="657" w:type="pct"/>
            <w:tcBorders>
              <w:top w:val="nil"/>
              <w:left w:val="nil"/>
              <w:bottom w:val="nil"/>
              <w:right w:val="nil"/>
            </w:tcBorders>
          </w:tcPr>
          <w:p w14:paraId="6B8BCA41" w14:textId="0DF86F5C" w:rsidR="00DB132D" w:rsidRPr="004F289D" w:rsidRDefault="00DB132D" w:rsidP="00DB132D">
            <w:pPr>
              <w:rPr>
                <w:rFonts w:eastAsia="Aptos" w:cs="Times New Roman"/>
                <w:sz w:val="20"/>
                <w:szCs w:val="20"/>
                <w:lang w:val="en-US"/>
              </w:rPr>
            </w:pPr>
            <w:proofErr w:type="spellStart"/>
            <w:r w:rsidRPr="004F289D">
              <w:rPr>
                <w:rFonts w:eastAsia="Aptos" w:cs="Times New Roman"/>
                <w:sz w:val="20"/>
                <w:szCs w:val="20"/>
                <w:lang w:val="es-ES"/>
              </w:rPr>
              <w:t>Reddy</w:t>
            </w:r>
            <w:proofErr w:type="spellEnd"/>
            <w:r w:rsidRPr="004F289D">
              <w:rPr>
                <w:rFonts w:eastAsia="Aptos" w:cs="Times New Roman"/>
                <w:sz w:val="20"/>
                <w:szCs w:val="20"/>
                <w:lang w:val="es-ES"/>
              </w:rPr>
              <w:t xml:space="preserve"> et al. (2023)</w:t>
            </w:r>
          </w:p>
        </w:tc>
      </w:tr>
      <w:tr w:rsidR="004F289D" w:rsidRPr="004F289D" w14:paraId="2BC6DC64" w14:textId="77777777" w:rsidTr="00710711">
        <w:tc>
          <w:tcPr>
            <w:tcW w:w="790" w:type="pct"/>
            <w:vMerge/>
            <w:tcBorders>
              <w:top w:val="nil"/>
              <w:left w:val="nil"/>
              <w:bottom w:val="nil"/>
              <w:right w:val="nil"/>
            </w:tcBorders>
          </w:tcPr>
          <w:p w14:paraId="2C01B674" w14:textId="77777777" w:rsidR="00DB132D" w:rsidRPr="004F289D" w:rsidRDefault="00DB132D" w:rsidP="00DB132D">
            <w:pPr>
              <w:rPr>
                <w:rFonts w:eastAsia="Aptos" w:cs="Times New Roman"/>
                <w:sz w:val="20"/>
                <w:szCs w:val="20"/>
              </w:rPr>
            </w:pPr>
          </w:p>
        </w:tc>
        <w:tc>
          <w:tcPr>
            <w:tcW w:w="921" w:type="pct"/>
            <w:vMerge/>
            <w:tcBorders>
              <w:top w:val="nil"/>
              <w:left w:val="nil"/>
              <w:bottom w:val="nil"/>
              <w:right w:val="nil"/>
            </w:tcBorders>
          </w:tcPr>
          <w:p w14:paraId="58C13E41" w14:textId="77777777" w:rsidR="00DB132D" w:rsidRPr="004F289D" w:rsidRDefault="00DB132D" w:rsidP="00DB132D">
            <w:pPr>
              <w:rPr>
                <w:rFonts w:eastAsia="Aptos" w:cs="Times New Roman"/>
                <w:sz w:val="20"/>
                <w:szCs w:val="20"/>
              </w:rPr>
            </w:pPr>
          </w:p>
        </w:tc>
        <w:tc>
          <w:tcPr>
            <w:tcW w:w="789" w:type="pct"/>
            <w:tcBorders>
              <w:top w:val="nil"/>
              <w:left w:val="nil"/>
              <w:bottom w:val="nil"/>
              <w:right w:val="nil"/>
            </w:tcBorders>
          </w:tcPr>
          <w:p w14:paraId="087E33B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20 items on a 5-point Likert-type scale</w:t>
            </w:r>
          </w:p>
          <w:p w14:paraId="6C927666" w14:textId="77777777" w:rsidR="00DB132D" w:rsidRPr="004F289D" w:rsidRDefault="00DB132D" w:rsidP="00DB132D">
            <w:pPr>
              <w:rPr>
                <w:rFonts w:eastAsia="Aptos" w:cs="Times New Roman"/>
                <w:sz w:val="20"/>
                <w:szCs w:val="20"/>
                <w:lang w:val="en-US"/>
              </w:rPr>
            </w:pPr>
          </w:p>
          <w:p w14:paraId="49D52A7B"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6E843E6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Theorized as multidimensional (Technical / operational skills; Information and content evaluation; Communication and interaction; Ethical, safe, and responsible use of digital technologies) but found only one dimension (i.e., unidimensional scale)</w:t>
            </w:r>
          </w:p>
          <w:p w14:paraId="11CB7B3E" w14:textId="77777777" w:rsidR="00710711" w:rsidRPr="004F289D" w:rsidRDefault="00710711" w:rsidP="00DB132D">
            <w:pPr>
              <w:rPr>
                <w:rFonts w:eastAsia="Aptos" w:cs="Times New Roman"/>
                <w:sz w:val="20"/>
                <w:szCs w:val="20"/>
                <w:lang w:val="en-US"/>
              </w:rPr>
            </w:pPr>
          </w:p>
        </w:tc>
        <w:tc>
          <w:tcPr>
            <w:tcW w:w="657" w:type="pct"/>
            <w:tcBorders>
              <w:top w:val="nil"/>
              <w:left w:val="nil"/>
              <w:bottom w:val="nil"/>
              <w:right w:val="nil"/>
            </w:tcBorders>
          </w:tcPr>
          <w:p w14:paraId="4643A2BC" w14:textId="1C9980E2" w:rsidR="00DB132D" w:rsidRPr="004F289D" w:rsidRDefault="00341148" w:rsidP="00DB132D">
            <w:pPr>
              <w:rPr>
                <w:rFonts w:eastAsia="Aptos" w:cs="Times New Roman"/>
                <w:sz w:val="20"/>
                <w:szCs w:val="20"/>
                <w:lang w:val="es-ES"/>
              </w:rPr>
            </w:pPr>
            <w:proofErr w:type="spellStart"/>
            <w:r w:rsidRPr="004F289D">
              <w:rPr>
                <w:rFonts w:eastAsia="Aptos" w:cs="Times New Roman"/>
                <w:sz w:val="20"/>
                <w:szCs w:val="20"/>
                <w:lang w:val="en-US"/>
              </w:rPr>
              <w:t>Avinç</w:t>
            </w:r>
            <w:proofErr w:type="spellEnd"/>
            <w:r w:rsidRPr="004F289D">
              <w:rPr>
                <w:rFonts w:eastAsia="Aptos" w:cs="Times New Roman"/>
                <w:sz w:val="20"/>
                <w:szCs w:val="20"/>
                <w:lang w:val="en-US"/>
              </w:rPr>
              <w:t xml:space="preserve"> </w:t>
            </w:r>
            <w:r w:rsidR="00DB132D" w:rsidRPr="004F289D">
              <w:rPr>
                <w:rFonts w:eastAsia="Aptos" w:cs="Times New Roman"/>
                <w:sz w:val="20"/>
                <w:szCs w:val="20"/>
                <w:lang w:val="en-US"/>
              </w:rPr>
              <w:t xml:space="preserve">and </w:t>
            </w:r>
            <w:proofErr w:type="spellStart"/>
            <w:r w:rsidR="009F37E8" w:rsidRPr="004F289D">
              <w:rPr>
                <w:rFonts w:eastAsia="Aptos" w:cs="Times New Roman"/>
                <w:sz w:val="20"/>
                <w:szCs w:val="20"/>
                <w:lang w:val="en-US"/>
              </w:rPr>
              <w:t>Doğan</w:t>
            </w:r>
            <w:proofErr w:type="spellEnd"/>
            <w:r w:rsidR="009F37E8" w:rsidRPr="004F289D">
              <w:rPr>
                <w:rFonts w:eastAsia="Aptos" w:cs="Times New Roman"/>
                <w:sz w:val="20"/>
                <w:szCs w:val="20"/>
                <w:lang w:val="en-US"/>
              </w:rPr>
              <w:t xml:space="preserve"> </w:t>
            </w:r>
            <w:r w:rsidR="00DB132D" w:rsidRPr="004F289D">
              <w:rPr>
                <w:rFonts w:eastAsia="Aptos" w:cs="Times New Roman"/>
                <w:sz w:val="20"/>
                <w:szCs w:val="20"/>
                <w:lang w:val="en-US"/>
              </w:rPr>
              <w:t>(2024)</w:t>
            </w:r>
          </w:p>
        </w:tc>
      </w:tr>
      <w:tr w:rsidR="004F289D" w:rsidRPr="004F289D" w14:paraId="53DB971F" w14:textId="77777777" w:rsidTr="00710711">
        <w:tc>
          <w:tcPr>
            <w:tcW w:w="790" w:type="pct"/>
            <w:vMerge/>
            <w:tcBorders>
              <w:top w:val="nil"/>
              <w:left w:val="nil"/>
              <w:bottom w:val="nil"/>
              <w:right w:val="nil"/>
            </w:tcBorders>
          </w:tcPr>
          <w:p w14:paraId="0701B6DB" w14:textId="77777777" w:rsidR="00DB132D" w:rsidRPr="004F289D" w:rsidRDefault="00DB132D" w:rsidP="00DB132D">
            <w:pPr>
              <w:rPr>
                <w:rFonts w:eastAsia="Aptos" w:cs="Times New Roman"/>
                <w:sz w:val="20"/>
                <w:szCs w:val="20"/>
              </w:rPr>
            </w:pPr>
          </w:p>
        </w:tc>
        <w:tc>
          <w:tcPr>
            <w:tcW w:w="921" w:type="pct"/>
            <w:vMerge/>
            <w:tcBorders>
              <w:top w:val="nil"/>
              <w:left w:val="nil"/>
              <w:bottom w:val="nil"/>
              <w:right w:val="nil"/>
            </w:tcBorders>
          </w:tcPr>
          <w:p w14:paraId="67D0B0D2" w14:textId="77777777" w:rsidR="00DB132D" w:rsidRPr="004F289D" w:rsidRDefault="00DB132D" w:rsidP="00DB132D">
            <w:pPr>
              <w:rPr>
                <w:rFonts w:eastAsia="Aptos" w:cs="Times New Roman"/>
                <w:sz w:val="20"/>
                <w:szCs w:val="20"/>
              </w:rPr>
            </w:pPr>
          </w:p>
        </w:tc>
        <w:tc>
          <w:tcPr>
            <w:tcW w:w="789" w:type="pct"/>
            <w:tcBorders>
              <w:top w:val="nil"/>
              <w:left w:val="nil"/>
              <w:bottom w:val="nil"/>
              <w:right w:val="nil"/>
            </w:tcBorders>
          </w:tcPr>
          <w:p w14:paraId="4C1C4A2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17 items on a 5-point Likert-type scale</w:t>
            </w:r>
          </w:p>
          <w:p w14:paraId="74554FD2"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07E4181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Affective literacy; Behavior literacy; Cognitive literacy; Ethical literacy</w:t>
            </w:r>
          </w:p>
        </w:tc>
        <w:tc>
          <w:tcPr>
            <w:tcW w:w="657" w:type="pct"/>
            <w:tcBorders>
              <w:top w:val="nil"/>
              <w:left w:val="nil"/>
              <w:bottom w:val="nil"/>
              <w:right w:val="nil"/>
            </w:tcBorders>
          </w:tcPr>
          <w:p w14:paraId="547CD3F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Liu et al. (2025)</w:t>
            </w:r>
          </w:p>
        </w:tc>
      </w:tr>
      <w:tr w:rsidR="004F289D" w:rsidRPr="004F289D" w14:paraId="45E48211" w14:textId="77777777" w:rsidTr="00710711">
        <w:tc>
          <w:tcPr>
            <w:tcW w:w="790" w:type="pct"/>
            <w:vMerge/>
            <w:tcBorders>
              <w:top w:val="nil"/>
              <w:left w:val="nil"/>
              <w:bottom w:val="nil"/>
              <w:right w:val="nil"/>
            </w:tcBorders>
          </w:tcPr>
          <w:p w14:paraId="2A41608C"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29219DFF"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Digital Literacy Skills</w:t>
            </w:r>
          </w:p>
        </w:tc>
        <w:tc>
          <w:tcPr>
            <w:tcW w:w="789" w:type="pct"/>
            <w:tcBorders>
              <w:top w:val="nil"/>
              <w:left w:val="nil"/>
              <w:bottom w:val="nil"/>
              <w:right w:val="nil"/>
            </w:tcBorders>
          </w:tcPr>
          <w:p w14:paraId="09B70FE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19 items on a 5-point Likert-type scale</w:t>
            </w:r>
          </w:p>
          <w:p w14:paraId="4EE93F8C"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6537ADA8" w14:textId="77777777" w:rsidR="00DB132D" w:rsidRPr="004F289D" w:rsidRDefault="00DB132D" w:rsidP="00DB132D">
            <w:pPr>
              <w:rPr>
                <w:rFonts w:eastAsia="Aptos" w:cs="Times New Roman"/>
                <w:sz w:val="20"/>
                <w:szCs w:val="20"/>
                <w:lang w:val="sv-SE"/>
              </w:rPr>
            </w:pPr>
            <w:r w:rsidRPr="004F289D">
              <w:rPr>
                <w:rFonts w:eastAsia="Aptos" w:cs="Times New Roman"/>
                <w:sz w:val="20"/>
                <w:szCs w:val="20"/>
                <w:lang w:val="sv-SE"/>
              </w:rPr>
              <w:t>Information skills; Digital tools usage; Digital transformation</w:t>
            </w:r>
          </w:p>
        </w:tc>
        <w:tc>
          <w:tcPr>
            <w:tcW w:w="657" w:type="pct"/>
            <w:tcBorders>
              <w:top w:val="nil"/>
              <w:left w:val="nil"/>
              <w:bottom w:val="nil"/>
              <w:right w:val="nil"/>
            </w:tcBorders>
          </w:tcPr>
          <w:p w14:paraId="240DF10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Kaeophanuek et al. (2018)</w:t>
            </w:r>
          </w:p>
        </w:tc>
      </w:tr>
      <w:tr w:rsidR="004F289D" w:rsidRPr="004F289D" w14:paraId="62AF0B3D" w14:textId="77777777" w:rsidTr="00710711">
        <w:tc>
          <w:tcPr>
            <w:tcW w:w="790" w:type="pct"/>
            <w:vMerge/>
            <w:tcBorders>
              <w:top w:val="nil"/>
              <w:left w:val="nil"/>
              <w:bottom w:val="nil"/>
              <w:right w:val="nil"/>
            </w:tcBorders>
          </w:tcPr>
          <w:p w14:paraId="6A5EAEEC" w14:textId="77777777" w:rsidR="00DB132D" w:rsidRPr="004F289D" w:rsidRDefault="00DB132D" w:rsidP="00DB132D">
            <w:pPr>
              <w:rPr>
                <w:rFonts w:eastAsia="Aptos" w:cs="Times New Roman"/>
                <w:sz w:val="20"/>
                <w:szCs w:val="20"/>
              </w:rPr>
            </w:pPr>
          </w:p>
        </w:tc>
        <w:tc>
          <w:tcPr>
            <w:tcW w:w="921" w:type="pct"/>
            <w:tcBorders>
              <w:top w:val="nil"/>
              <w:left w:val="nil"/>
              <w:bottom w:val="nil"/>
              <w:right w:val="nil"/>
            </w:tcBorders>
          </w:tcPr>
          <w:p w14:paraId="4D69916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Internet skills</w:t>
            </w:r>
          </w:p>
        </w:tc>
        <w:tc>
          <w:tcPr>
            <w:tcW w:w="789" w:type="pct"/>
            <w:tcBorders>
              <w:top w:val="nil"/>
              <w:left w:val="nil"/>
              <w:bottom w:val="nil"/>
              <w:right w:val="nil"/>
            </w:tcBorders>
          </w:tcPr>
          <w:p w14:paraId="449C352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23 items on a 5-point Likert-type scale</w:t>
            </w:r>
          </w:p>
          <w:p w14:paraId="65FB7441"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7AA7D40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Operational; navigation information; social; creative; mobile</w:t>
            </w:r>
          </w:p>
        </w:tc>
        <w:tc>
          <w:tcPr>
            <w:tcW w:w="657" w:type="pct"/>
            <w:tcBorders>
              <w:top w:val="nil"/>
              <w:left w:val="nil"/>
              <w:bottom w:val="nil"/>
              <w:right w:val="nil"/>
            </w:tcBorders>
          </w:tcPr>
          <w:p w14:paraId="137DF86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s-ES"/>
              </w:rPr>
              <w:t xml:space="preserve">van </w:t>
            </w:r>
            <w:proofErr w:type="spellStart"/>
            <w:r w:rsidRPr="004F289D">
              <w:rPr>
                <w:rFonts w:eastAsia="Aptos" w:cs="Times New Roman"/>
                <w:sz w:val="20"/>
                <w:szCs w:val="20"/>
                <w:lang w:val="es-ES"/>
              </w:rPr>
              <w:t>Deursen</w:t>
            </w:r>
            <w:proofErr w:type="spellEnd"/>
            <w:r w:rsidRPr="004F289D">
              <w:rPr>
                <w:rFonts w:eastAsia="Aptos" w:cs="Times New Roman"/>
                <w:sz w:val="20"/>
                <w:szCs w:val="20"/>
                <w:lang w:val="es-ES"/>
              </w:rPr>
              <w:t xml:space="preserve"> et al. </w:t>
            </w:r>
            <w:r w:rsidRPr="004F289D">
              <w:rPr>
                <w:rFonts w:eastAsia="Aptos" w:cs="Times New Roman"/>
                <w:sz w:val="20"/>
                <w:szCs w:val="20"/>
              </w:rPr>
              <w:t>(2016)</w:t>
            </w:r>
          </w:p>
        </w:tc>
      </w:tr>
      <w:tr w:rsidR="004F289D" w:rsidRPr="004F289D" w14:paraId="30ABF4F8" w14:textId="77777777" w:rsidTr="00710711">
        <w:tc>
          <w:tcPr>
            <w:tcW w:w="790" w:type="pct"/>
            <w:vMerge/>
            <w:tcBorders>
              <w:top w:val="nil"/>
              <w:left w:val="nil"/>
              <w:bottom w:val="nil"/>
              <w:right w:val="nil"/>
            </w:tcBorders>
          </w:tcPr>
          <w:p w14:paraId="704F071D"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22D0C93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Task-oriented digital literacy</w:t>
            </w:r>
          </w:p>
        </w:tc>
        <w:tc>
          <w:tcPr>
            <w:tcW w:w="789" w:type="pct"/>
            <w:tcBorders>
              <w:top w:val="nil"/>
              <w:left w:val="nil"/>
              <w:bottom w:val="nil"/>
              <w:right w:val="nil"/>
            </w:tcBorders>
          </w:tcPr>
          <w:p w14:paraId="3EC40930" w14:textId="77777777" w:rsidR="00DB132D" w:rsidRPr="004F289D" w:rsidRDefault="00DB132D" w:rsidP="00DB132D">
            <w:pPr>
              <w:rPr>
                <w:rFonts w:eastAsia="Aptos" w:cs="Times New Roman"/>
                <w:sz w:val="20"/>
                <w:szCs w:val="20"/>
              </w:rPr>
            </w:pPr>
            <w:r w:rsidRPr="004F289D">
              <w:rPr>
                <w:rFonts w:eastAsia="Aptos" w:cs="Times New Roman"/>
                <w:sz w:val="20"/>
                <w:szCs w:val="20"/>
              </w:rPr>
              <w:t>No scale (completing a series of tasks)</w:t>
            </w:r>
          </w:p>
        </w:tc>
        <w:tc>
          <w:tcPr>
            <w:tcW w:w="1843" w:type="pct"/>
            <w:tcBorders>
              <w:top w:val="nil"/>
              <w:left w:val="nil"/>
              <w:bottom w:val="nil"/>
              <w:right w:val="nil"/>
            </w:tcBorders>
          </w:tcPr>
          <w:p w14:paraId="01A157D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Photo-visual task; Reproduction task; Branching task; </w:t>
            </w:r>
          </w:p>
          <w:p w14:paraId="25B3D86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Information task</w:t>
            </w:r>
          </w:p>
        </w:tc>
        <w:tc>
          <w:tcPr>
            <w:tcW w:w="657" w:type="pct"/>
            <w:tcBorders>
              <w:top w:val="nil"/>
              <w:left w:val="nil"/>
              <w:bottom w:val="nil"/>
              <w:right w:val="nil"/>
            </w:tcBorders>
          </w:tcPr>
          <w:p w14:paraId="7F81C693" w14:textId="77777777" w:rsidR="00DB132D" w:rsidRPr="004F289D" w:rsidRDefault="00DB132D" w:rsidP="00DB132D">
            <w:pPr>
              <w:rPr>
                <w:rFonts w:eastAsia="Aptos" w:cs="Times New Roman"/>
                <w:sz w:val="20"/>
                <w:szCs w:val="20"/>
              </w:rPr>
            </w:pPr>
            <w:r w:rsidRPr="004F289D">
              <w:rPr>
                <w:rFonts w:eastAsia="Aptos" w:cs="Times New Roman"/>
                <w:sz w:val="20"/>
                <w:szCs w:val="20"/>
                <w:lang w:val="sv-SE"/>
              </w:rPr>
              <w:t xml:space="preserve">Eshet-Alkalai (2004, 2012); Eshet-Alkalai and Chajut (2009); Hadad et al. </w:t>
            </w:r>
            <w:r w:rsidRPr="004F289D">
              <w:rPr>
                <w:rFonts w:eastAsia="Aptos" w:cs="Times New Roman"/>
                <w:sz w:val="20"/>
                <w:szCs w:val="20"/>
              </w:rPr>
              <w:t xml:space="preserve">(2023); </w:t>
            </w:r>
          </w:p>
        </w:tc>
      </w:tr>
      <w:tr w:rsidR="004F289D" w:rsidRPr="004F289D" w14:paraId="181BF76F" w14:textId="77777777" w:rsidTr="00710711">
        <w:tc>
          <w:tcPr>
            <w:tcW w:w="790" w:type="pct"/>
            <w:vMerge/>
            <w:tcBorders>
              <w:top w:val="nil"/>
              <w:left w:val="nil"/>
              <w:bottom w:val="nil"/>
              <w:right w:val="nil"/>
            </w:tcBorders>
          </w:tcPr>
          <w:p w14:paraId="4FE19E31"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1D7E9E50"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Web-oriented digital literacy</w:t>
            </w:r>
          </w:p>
        </w:tc>
        <w:tc>
          <w:tcPr>
            <w:tcW w:w="789" w:type="pct"/>
            <w:tcBorders>
              <w:top w:val="nil"/>
              <w:left w:val="nil"/>
              <w:bottom w:val="nil"/>
              <w:right w:val="nil"/>
            </w:tcBorders>
          </w:tcPr>
          <w:p w14:paraId="0FCF0594" w14:textId="77777777" w:rsidR="00DB132D" w:rsidRPr="004F289D" w:rsidRDefault="00DB132D" w:rsidP="00DB132D">
            <w:pPr>
              <w:rPr>
                <w:rFonts w:eastAsia="Aptos" w:cs="Times New Roman"/>
                <w:sz w:val="20"/>
                <w:szCs w:val="20"/>
              </w:rPr>
            </w:pPr>
            <w:r w:rsidRPr="004F289D">
              <w:rPr>
                <w:rFonts w:eastAsia="Aptos" w:cs="Times New Roman"/>
                <w:sz w:val="20"/>
                <w:szCs w:val="20"/>
              </w:rPr>
              <w:t>No scale (completing a series of tasks)</w:t>
            </w:r>
          </w:p>
          <w:p w14:paraId="1D8C14BE" w14:textId="77777777" w:rsidR="00710711" w:rsidRPr="004F289D" w:rsidRDefault="00710711" w:rsidP="00DB132D">
            <w:pPr>
              <w:rPr>
                <w:rFonts w:eastAsia="Aptos" w:cs="Times New Roman"/>
                <w:sz w:val="20"/>
                <w:szCs w:val="20"/>
              </w:rPr>
            </w:pPr>
          </w:p>
        </w:tc>
        <w:tc>
          <w:tcPr>
            <w:tcW w:w="1843" w:type="pct"/>
            <w:tcBorders>
              <w:top w:val="nil"/>
              <w:left w:val="nil"/>
              <w:bottom w:val="nil"/>
              <w:right w:val="nil"/>
            </w:tcBorders>
          </w:tcPr>
          <w:p w14:paraId="220480E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Unidimensional</w:t>
            </w:r>
          </w:p>
        </w:tc>
        <w:tc>
          <w:tcPr>
            <w:tcW w:w="657" w:type="pct"/>
            <w:tcBorders>
              <w:top w:val="nil"/>
              <w:left w:val="nil"/>
              <w:bottom w:val="nil"/>
              <w:right w:val="nil"/>
            </w:tcBorders>
          </w:tcPr>
          <w:p w14:paraId="21D233DA" w14:textId="77777777" w:rsidR="00DB132D" w:rsidRPr="004F289D" w:rsidRDefault="00DB132D" w:rsidP="00DB132D">
            <w:pPr>
              <w:rPr>
                <w:rFonts w:eastAsia="Aptos" w:cs="Times New Roman"/>
                <w:sz w:val="20"/>
                <w:szCs w:val="20"/>
              </w:rPr>
            </w:pPr>
            <w:r w:rsidRPr="004F289D">
              <w:rPr>
                <w:rFonts w:eastAsia="Aptos" w:cs="Times New Roman"/>
                <w:sz w:val="20"/>
                <w:szCs w:val="20"/>
              </w:rPr>
              <w:t>Hargittai (2005)</w:t>
            </w:r>
          </w:p>
        </w:tc>
      </w:tr>
      <w:tr w:rsidR="004F289D" w:rsidRPr="004F289D" w14:paraId="4F9D2F71" w14:textId="77777777" w:rsidTr="00710711">
        <w:tc>
          <w:tcPr>
            <w:tcW w:w="790" w:type="pct"/>
            <w:vMerge/>
            <w:tcBorders>
              <w:top w:val="nil"/>
              <w:left w:val="nil"/>
              <w:bottom w:val="nil"/>
              <w:right w:val="nil"/>
            </w:tcBorders>
          </w:tcPr>
          <w:p w14:paraId="03F00A83"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2ACFE50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Computer skills</w:t>
            </w:r>
          </w:p>
        </w:tc>
        <w:tc>
          <w:tcPr>
            <w:tcW w:w="789" w:type="pct"/>
            <w:tcBorders>
              <w:top w:val="nil"/>
              <w:left w:val="nil"/>
              <w:bottom w:val="nil"/>
              <w:right w:val="nil"/>
            </w:tcBorders>
          </w:tcPr>
          <w:p w14:paraId="04915805"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Binary (Yes/No) questions</w:t>
            </w:r>
          </w:p>
        </w:tc>
        <w:tc>
          <w:tcPr>
            <w:tcW w:w="1843" w:type="pct"/>
            <w:tcBorders>
              <w:top w:val="nil"/>
              <w:left w:val="nil"/>
              <w:bottom w:val="nil"/>
              <w:right w:val="nil"/>
            </w:tcBorders>
          </w:tcPr>
          <w:p w14:paraId="56EA669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Computer operation skills; Digital navigation and interface use; Information search and retrieval;</w:t>
            </w:r>
          </w:p>
          <w:p w14:paraId="1BBB86F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Typing and keyboard proficiency</w:t>
            </w:r>
          </w:p>
          <w:p w14:paraId="796DD610" w14:textId="77777777" w:rsidR="00E26D28" w:rsidRPr="004F289D" w:rsidRDefault="00E26D28" w:rsidP="00DB132D">
            <w:pPr>
              <w:rPr>
                <w:rFonts w:eastAsia="Aptos" w:cs="Times New Roman"/>
                <w:sz w:val="20"/>
                <w:szCs w:val="20"/>
                <w:lang w:val="en-US"/>
              </w:rPr>
            </w:pPr>
          </w:p>
        </w:tc>
        <w:tc>
          <w:tcPr>
            <w:tcW w:w="657" w:type="pct"/>
            <w:tcBorders>
              <w:top w:val="nil"/>
              <w:left w:val="nil"/>
              <w:bottom w:val="nil"/>
              <w:right w:val="nil"/>
            </w:tcBorders>
          </w:tcPr>
          <w:p w14:paraId="05BA1AA7" w14:textId="77777777" w:rsidR="00DB132D" w:rsidRPr="004F289D" w:rsidRDefault="00DB132D" w:rsidP="00DB132D">
            <w:pPr>
              <w:rPr>
                <w:rFonts w:eastAsia="Aptos" w:cs="Times New Roman"/>
                <w:sz w:val="20"/>
                <w:szCs w:val="20"/>
              </w:rPr>
            </w:pPr>
            <w:proofErr w:type="spellStart"/>
            <w:r w:rsidRPr="004F289D">
              <w:rPr>
                <w:rFonts w:eastAsia="Aptos" w:cs="Times New Roman"/>
                <w:sz w:val="20"/>
                <w:szCs w:val="20"/>
                <w:lang w:val="en-US"/>
              </w:rPr>
              <w:t>Nurbekova</w:t>
            </w:r>
            <w:proofErr w:type="spellEnd"/>
            <w:r w:rsidRPr="004F289D">
              <w:rPr>
                <w:rFonts w:eastAsia="Aptos" w:cs="Times New Roman"/>
                <w:sz w:val="20"/>
                <w:szCs w:val="20"/>
                <w:lang w:val="en-US"/>
              </w:rPr>
              <w:t xml:space="preserve"> et al. (2025)</w:t>
            </w:r>
          </w:p>
        </w:tc>
      </w:tr>
      <w:tr w:rsidR="004F289D" w:rsidRPr="004F289D" w14:paraId="38D46EA8" w14:textId="77777777" w:rsidTr="00710711">
        <w:tc>
          <w:tcPr>
            <w:tcW w:w="790" w:type="pct"/>
            <w:vMerge/>
            <w:tcBorders>
              <w:top w:val="nil"/>
              <w:left w:val="nil"/>
              <w:bottom w:val="nil"/>
              <w:right w:val="nil"/>
            </w:tcBorders>
          </w:tcPr>
          <w:p w14:paraId="5C31D36C"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7E88BA1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Digital competence</w:t>
            </w:r>
          </w:p>
        </w:tc>
        <w:tc>
          <w:tcPr>
            <w:tcW w:w="789" w:type="pct"/>
            <w:tcBorders>
              <w:top w:val="nil"/>
              <w:left w:val="nil"/>
              <w:bottom w:val="nil"/>
              <w:right w:val="nil"/>
            </w:tcBorders>
          </w:tcPr>
          <w:p w14:paraId="214F501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10 items on a 5-point Likert-type scale</w:t>
            </w:r>
          </w:p>
          <w:p w14:paraId="5E58C93E"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0F2D4025"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Technical literacy; digital skills</w:t>
            </w:r>
          </w:p>
        </w:tc>
        <w:tc>
          <w:tcPr>
            <w:tcW w:w="657" w:type="pct"/>
            <w:tcBorders>
              <w:top w:val="nil"/>
              <w:left w:val="nil"/>
              <w:bottom w:val="nil"/>
              <w:right w:val="nil"/>
            </w:tcBorders>
          </w:tcPr>
          <w:p w14:paraId="56027F24" w14:textId="6B2E3CE3"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Wang </w:t>
            </w:r>
            <w:r w:rsidR="00771026" w:rsidRPr="004F289D">
              <w:rPr>
                <w:rFonts w:eastAsia="Aptos" w:cs="Times New Roman"/>
                <w:sz w:val="20"/>
                <w:szCs w:val="20"/>
                <w:lang w:val="en-US"/>
              </w:rPr>
              <w:t>et al.</w:t>
            </w:r>
            <w:r w:rsidRPr="004F289D">
              <w:rPr>
                <w:rFonts w:eastAsia="Aptos" w:cs="Times New Roman"/>
                <w:sz w:val="20"/>
                <w:szCs w:val="20"/>
                <w:lang w:val="en-US"/>
              </w:rPr>
              <w:t xml:space="preserve"> (202</w:t>
            </w:r>
            <w:r w:rsidR="00771026" w:rsidRPr="004F289D">
              <w:rPr>
                <w:rFonts w:eastAsia="Aptos" w:cs="Times New Roman"/>
                <w:sz w:val="20"/>
                <w:szCs w:val="20"/>
                <w:lang w:val="en-US"/>
              </w:rPr>
              <w:t>1</w:t>
            </w:r>
            <w:r w:rsidRPr="004F289D">
              <w:rPr>
                <w:rFonts w:eastAsia="Aptos" w:cs="Times New Roman"/>
                <w:sz w:val="20"/>
                <w:szCs w:val="20"/>
                <w:lang w:val="en-US"/>
              </w:rPr>
              <w:t>)</w:t>
            </w:r>
          </w:p>
        </w:tc>
      </w:tr>
      <w:tr w:rsidR="004F289D" w:rsidRPr="004F289D" w14:paraId="7E7C8F9B" w14:textId="77777777" w:rsidTr="00710711">
        <w:tc>
          <w:tcPr>
            <w:tcW w:w="790" w:type="pct"/>
            <w:vMerge/>
            <w:tcBorders>
              <w:top w:val="nil"/>
              <w:left w:val="nil"/>
              <w:bottom w:val="nil"/>
              <w:right w:val="nil"/>
            </w:tcBorders>
          </w:tcPr>
          <w:p w14:paraId="48A5F00F"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20F73ECD"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Technological habit</w:t>
            </w:r>
          </w:p>
        </w:tc>
        <w:tc>
          <w:tcPr>
            <w:tcW w:w="789" w:type="pct"/>
            <w:tcBorders>
              <w:top w:val="nil"/>
              <w:left w:val="nil"/>
              <w:bottom w:val="nil"/>
              <w:right w:val="nil"/>
            </w:tcBorders>
          </w:tcPr>
          <w:p w14:paraId="32EDB97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3 items on a 5-point Likert-type scale</w:t>
            </w:r>
          </w:p>
          <w:p w14:paraId="4830FFA9" w14:textId="77777777" w:rsidR="00710711" w:rsidRPr="004F289D" w:rsidRDefault="00710711" w:rsidP="00DB132D">
            <w:pPr>
              <w:rPr>
                <w:rFonts w:eastAsia="Aptos" w:cs="Times New Roman"/>
                <w:sz w:val="20"/>
                <w:szCs w:val="20"/>
              </w:rPr>
            </w:pPr>
          </w:p>
        </w:tc>
        <w:tc>
          <w:tcPr>
            <w:tcW w:w="1843" w:type="pct"/>
            <w:tcBorders>
              <w:top w:val="nil"/>
              <w:left w:val="nil"/>
              <w:bottom w:val="nil"/>
              <w:right w:val="nil"/>
            </w:tcBorders>
          </w:tcPr>
          <w:p w14:paraId="1ACCD149"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One dimension</w:t>
            </w:r>
          </w:p>
        </w:tc>
        <w:tc>
          <w:tcPr>
            <w:tcW w:w="657" w:type="pct"/>
            <w:tcBorders>
              <w:top w:val="nil"/>
              <w:left w:val="nil"/>
              <w:bottom w:val="nil"/>
              <w:right w:val="nil"/>
            </w:tcBorders>
          </w:tcPr>
          <w:p w14:paraId="3E859DA9" w14:textId="77777777" w:rsidR="00DB132D" w:rsidRPr="004F289D" w:rsidRDefault="00DB132D" w:rsidP="00DB132D">
            <w:pPr>
              <w:rPr>
                <w:rFonts w:eastAsia="Aptos" w:cs="Times New Roman"/>
                <w:sz w:val="20"/>
                <w:szCs w:val="20"/>
              </w:rPr>
            </w:pPr>
            <w:r w:rsidRPr="004F289D">
              <w:rPr>
                <w:rFonts w:eastAsia="Aptos" w:cs="Times New Roman"/>
                <w:sz w:val="20"/>
                <w:szCs w:val="20"/>
              </w:rPr>
              <w:t>Limayem et al. (2007)</w:t>
            </w:r>
          </w:p>
          <w:p w14:paraId="26FE2274" w14:textId="77777777" w:rsidR="00DB132D" w:rsidRPr="004F289D" w:rsidRDefault="00DB132D" w:rsidP="00DB132D">
            <w:pPr>
              <w:rPr>
                <w:rFonts w:eastAsia="Aptos" w:cs="Times New Roman"/>
                <w:sz w:val="20"/>
                <w:szCs w:val="20"/>
              </w:rPr>
            </w:pPr>
          </w:p>
        </w:tc>
      </w:tr>
      <w:tr w:rsidR="004F289D" w:rsidRPr="004F289D" w14:paraId="580087DE" w14:textId="77777777" w:rsidTr="00710711">
        <w:tc>
          <w:tcPr>
            <w:tcW w:w="790" w:type="pct"/>
            <w:vMerge/>
            <w:tcBorders>
              <w:top w:val="nil"/>
              <w:left w:val="nil"/>
              <w:bottom w:val="nil"/>
              <w:right w:val="nil"/>
            </w:tcBorders>
          </w:tcPr>
          <w:p w14:paraId="0B9E3ADA"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5044755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Digital literacy scale for postgraduate teacher educators</w:t>
            </w:r>
          </w:p>
        </w:tc>
        <w:tc>
          <w:tcPr>
            <w:tcW w:w="789" w:type="pct"/>
            <w:tcBorders>
              <w:top w:val="nil"/>
              <w:left w:val="nil"/>
              <w:bottom w:val="nil"/>
              <w:right w:val="nil"/>
            </w:tcBorders>
          </w:tcPr>
          <w:p w14:paraId="6D558023"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44 items on a 5-point Likert-type scale</w:t>
            </w:r>
          </w:p>
        </w:tc>
        <w:tc>
          <w:tcPr>
            <w:tcW w:w="1843" w:type="pct"/>
            <w:tcBorders>
              <w:top w:val="nil"/>
              <w:left w:val="nil"/>
              <w:bottom w:val="nil"/>
              <w:right w:val="nil"/>
            </w:tcBorders>
          </w:tcPr>
          <w:p w14:paraId="5CAAD93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Communicating and Sharing Digital Content; Creating Digital Content; Access and Usage of Digital Content; Safety Measures of Digital Tools</w:t>
            </w:r>
          </w:p>
          <w:p w14:paraId="0421A525" w14:textId="77777777" w:rsidR="00E26D28" w:rsidRPr="004F289D" w:rsidRDefault="00E26D28" w:rsidP="00DB132D">
            <w:pPr>
              <w:rPr>
                <w:rFonts w:eastAsia="Aptos" w:cs="Times New Roman"/>
                <w:sz w:val="20"/>
                <w:szCs w:val="20"/>
                <w:lang w:val="en-US"/>
              </w:rPr>
            </w:pPr>
          </w:p>
        </w:tc>
        <w:tc>
          <w:tcPr>
            <w:tcW w:w="657" w:type="pct"/>
            <w:tcBorders>
              <w:top w:val="nil"/>
              <w:left w:val="nil"/>
              <w:bottom w:val="nil"/>
              <w:right w:val="nil"/>
            </w:tcBorders>
          </w:tcPr>
          <w:p w14:paraId="19C93B9C" w14:textId="77777777" w:rsidR="00DB132D" w:rsidRPr="004F289D" w:rsidRDefault="00DB132D" w:rsidP="00DB132D">
            <w:pPr>
              <w:rPr>
                <w:rFonts w:eastAsia="Aptos" w:cs="Times New Roman"/>
                <w:sz w:val="20"/>
                <w:szCs w:val="20"/>
              </w:rPr>
            </w:pPr>
            <w:proofErr w:type="spellStart"/>
            <w:r w:rsidRPr="004F289D">
              <w:rPr>
                <w:rFonts w:eastAsia="Aptos" w:cs="Times New Roman"/>
                <w:sz w:val="20"/>
                <w:szCs w:val="20"/>
                <w:lang w:val="en-US"/>
              </w:rPr>
              <w:t>Alom</w:t>
            </w:r>
            <w:proofErr w:type="spellEnd"/>
            <w:r w:rsidRPr="004F289D">
              <w:rPr>
                <w:rFonts w:eastAsia="Aptos" w:cs="Times New Roman"/>
                <w:sz w:val="20"/>
                <w:szCs w:val="20"/>
                <w:lang w:val="en-US"/>
              </w:rPr>
              <w:t xml:space="preserve"> and </w:t>
            </w:r>
            <w:proofErr w:type="spellStart"/>
            <w:r w:rsidRPr="004F289D">
              <w:rPr>
                <w:rFonts w:eastAsia="Aptos" w:cs="Times New Roman"/>
                <w:sz w:val="20"/>
                <w:szCs w:val="20"/>
                <w:lang w:val="en-US"/>
              </w:rPr>
              <w:t>Ramalingappa</w:t>
            </w:r>
            <w:proofErr w:type="spellEnd"/>
            <w:r w:rsidRPr="004F289D">
              <w:rPr>
                <w:rFonts w:eastAsia="Aptos" w:cs="Times New Roman"/>
                <w:sz w:val="20"/>
                <w:szCs w:val="20"/>
                <w:lang w:val="en-US"/>
              </w:rPr>
              <w:t xml:space="preserve"> (2025)</w:t>
            </w:r>
          </w:p>
        </w:tc>
      </w:tr>
      <w:tr w:rsidR="004F289D" w:rsidRPr="004F289D" w14:paraId="5C4F37AD" w14:textId="77777777" w:rsidTr="00710711">
        <w:tc>
          <w:tcPr>
            <w:tcW w:w="790" w:type="pct"/>
            <w:vMerge/>
            <w:tcBorders>
              <w:top w:val="nil"/>
              <w:left w:val="nil"/>
              <w:bottom w:val="nil"/>
              <w:right w:val="nil"/>
            </w:tcBorders>
          </w:tcPr>
          <w:p w14:paraId="27693255"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09BCA2D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Digital literacy scale in medicine (focus on well-being)</w:t>
            </w:r>
          </w:p>
        </w:tc>
        <w:tc>
          <w:tcPr>
            <w:tcW w:w="789" w:type="pct"/>
            <w:tcBorders>
              <w:top w:val="nil"/>
              <w:left w:val="nil"/>
              <w:bottom w:val="nil"/>
              <w:right w:val="nil"/>
            </w:tcBorders>
          </w:tcPr>
          <w:p w14:paraId="24BF381E"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22 items on a 5-point Likert-type scale</w:t>
            </w:r>
          </w:p>
          <w:p w14:paraId="56D8AAF8"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5123BE4A"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Information and communication; Content creation and management; Safety and security </w:t>
            </w:r>
          </w:p>
        </w:tc>
        <w:tc>
          <w:tcPr>
            <w:tcW w:w="657" w:type="pct"/>
            <w:tcBorders>
              <w:top w:val="nil"/>
              <w:left w:val="nil"/>
              <w:bottom w:val="nil"/>
              <w:right w:val="nil"/>
            </w:tcBorders>
          </w:tcPr>
          <w:p w14:paraId="634800A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Choi et al. (2023)</w:t>
            </w:r>
          </w:p>
        </w:tc>
      </w:tr>
      <w:tr w:rsidR="004F289D" w:rsidRPr="004F289D" w14:paraId="6C0D69E1" w14:textId="77777777" w:rsidTr="00710711">
        <w:tc>
          <w:tcPr>
            <w:tcW w:w="790" w:type="pct"/>
            <w:vMerge/>
            <w:tcBorders>
              <w:top w:val="nil"/>
              <w:left w:val="nil"/>
              <w:bottom w:val="nil"/>
              <w:right w:val="nil"/>
            </w:tcBorders>
          </w:tcPr>
          <w:p w14:paraId="6617DC95"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3C76402F"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rPr>
              <w:t>Digital Literacy Scale for Teenagers</w:t>
            </w:r>
          </w:p>
        </w:tc>
        <w:tc>
          <w:tcPr>
            <w:tcW w:w="789" w:type="pct"/>
            <w:tcBorders>
              <w:top w:val="nil"/>
              <w:left w:val="nil"/>
              <w:bottom w:val="nil"/>
              <w:right w:val="nil"/>
            </w:tcBorders>
          </w:tcPr>
          <w:p w14:paraId="1F890ED0"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29 items on a 5-point Likert-type scale</w:t>
            </w:r>
          </w:p>
          <w:p w14:paraId="6809FCD4"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34FF8D3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Technological (or Instrumental) Skill; Communication Skill; Informational Skill; Critical Skill; Personal Security Skill; Devices Security Skill</w:t>
            </w:r>
          </w:p>
          <w:p w14:paraId="623544DA" w14:textId="77777777" w:rsidR="002E3C2B" w:rsidRPr="004F289D" w:rsidRDefault="002E3C2B" w:rsidP="00DB132D">
            <w:pPr>
              <w:rPr>
                <w:rFonts w:eastAsia="Aptos" w:cs="Times New Roman"/>
                <w:sz w:val="20"/>
                <w:szCs w:val="20"/>
                <w:lang w:val="en-US"/>
              </w:rPr>
            </w:pPr>
          </w:p>
        </w:tc>
        <w:tc>
          <w:tcPr>
            <w:tcW w:w="657" w:type="pct"/>
            <w:tcBorders>
              <w:top w:val="nil"/>
              <w:left w:val="nil"/>
              <w:bottom w:val="nil"/>
              <w:right w:val="nil"/>
            </w:tcBorders>
          </w:tcPr>
          <w:p w14:paraId="309F585B" w14:textId="5000BA5F" w:rsidR="00DB132D" w:rsidRPr="004F289D" w:rsidRDefault="00DB132D" w:rsidP="00DB132D">
            <w:pPr>
              <w:rPr>
                <w:rFonts w:eastAsia="Aptos" w:cs="Times New Roman"/>
                <w:sz w:val="20"/>
                <w:szCs w:val="20"/>
                <w:lang w:val="en-US"/>
              </w:rPr>
            </w:pPr>
            <w:r w:rsidRPr="004F289D">
              <w:rPr>
                <w:rFonts w:eastAsia="Aptos" w:cs="Times New Roman"/>
                <w:sz w:val="20"/>
                <w:szCs w:val="20"/>
                <w:lang w:val="es-ES"/>
              </w:rPr>
              <w:t xml:space="preserve">Rodríguez-de-Dios et al. </w:t>
            </w:r>
            <w:r w:rsidRPr="004F289D">
              <w:rPr>
                <w:rFonts w:eastAsia="Aptos" w:cs="Times New Roman"/>
                <w:sz w:val="20"/>
                <w:szCs w:val="20"/>
                <w:lang w:val="en-US"/>
              </w:rPr>
              <w:t>(20</w:t>
            </w:r>
            <w:r w:rsidR="007B055F" w:rsidRPr="004F289D">
              <w:rPr>
                <w:rFonts w:eastAsia="Aptos" w:cs="Times New Roman"/>
                <w:sz w:val="20"/>
                <w:szCs w:val="20"/>
                <w:lang w:val="en-US"/>
              </w:rPr>
              <w:t>1</w:t>
            </w:r>
            <w:r w:rsidRPr="004F289D">
              <w:rPr>
                <w:rFonts w:eastAsia="Aptos" w:cs="Times New Roman"/>
                <w:sz w:val="20"/>
                <w:szCs w:val="20"/>
                <w:lang w:val="en-US"/>
              </w:rPr>
              <w:t>6)</w:t>
            </w:r>
          </w:p>
        </w:tc>
      </w:tr>
      <w:tr w:rsidR="004F289D" w:rsidRPr="004F289D" w14:paraId="5C1C6164" w14:textId="77777777" w:rsidTr="00710711">
        <w:tc>
          <w:tcPr>
            <w:tcW w:w="790" w:type="pct"/>
            <w:vMerge/>
            <w:tcBorders>
              <w:top w:val="nil"/>
              <w:left w:val="nil"/>
              <w:bottom w:val="nil"/>
              <w:right w:val="nil"/>
            </w:tcBorders>
          </w:tcPr>
          <w:p w14:paraId="59A3E03C"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7EDE559B" w14:textId="77777777" w:rsidR="00DB132D" w:rsidRPr="004F289D" w:rsidRDefault="00DB132D" w:rsidP="00DB132D">
            <w:pPr>
              <w:rPr>
                <w:rFonts w:eastAsia="Aptos" w:cs="Times New Roman"/>
                <w:sz w:val="20"/>
                <w:szCs w:val="20"/>
              </w:rPr>
            </w:pPr>
            <w:r w:rsidRPr="004F289D">
              <w:rPr>
                <w:rFonts w:eastAsia="Aptos" w:cs="Times New Roman"/>
                <w:sz w:val="20"/>
                <w:szCs w:val="20"/>
              </w:rPr>
              <w:t>Digital Literacy among Patients (in medicine)</w:t>
            </w:r>
          </w:p>
        </w:tc>
        <w:tc>
          <w:tcPr>
            <w:tcW w:w="789" w:type="pct"/>
            <w:tcBorders>
              <w:top w:val="nil"/>
              <w:left w:val="nil"/>
              <w:bottom w:val="nil"/>
              <w:right w:val="nil"/>
            </w:tcBorders>
          </w:tcPr>
          <w:p w14:paraId="32870628"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24 items on a 5-point Likert-type scale</w:t>
            </w:r>
          </w:p>
          <w:p w14:paraId="01040746"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1297BAA2"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 xml:space="preserve">Technology; Competence; Attitude; Knowledge </w:t>
            </w:r>
          </w:p>
        </w:tc>
        <w:tc>
          <w:tcPr>
            <w:tcW w:w="657" w:type="pct"/>
            <w:tcBorders>
              <w:top w:val="nil"/>
              <w:left w:val="nil"/>
              <w:bottom w:val="nil"/>
              <w:right w:val="nil"/>
            </w:tcBorders>
          </w:tcPr>
          <w:p w14:paraId="61DFA727" w14:textId="77777777" w:rsidR="00DB132D" w:rsidRPr="004F289D" w:rsidRDefault="00DB132D" w:rsidP="00DB132D">
            <w:pPr>
              <w:rPr>
                <w:rFonts w:eastAsia="Aptos" w:cs="Times New Roman"/>
                <w:sz w:val="20"/>
                <w:szCs w:val="20"/>
                <w:lang w:val="es-ES"/>
              </w:rPr>
            </w:pPr>
            <w:r w:rsidRPr="004F289D">
              <w:rPr>
                <w:rFonts w:eastAsia="Aptos" w:cs="Times New Roman"/>
                <w:sz w:val="20"/>
                <w:szCs w:val="20"/>
                <w:lang w:val="en-US"/>
              </w:rPr>
              <w:t>Wang et al. (2025)</w:t>
            </w:r>
          </w:p>
        </w:tc>
      </w:tr>
      <w:tr w:rsidR="004F289D" w:rsidRPr="004F289D" w14:paraId="1C3E8507" w14:textId="77777777" w:rsidTr="00710711">
        <w:tc>
          <w:tcPr>
            <w:tcW w:w="790" w:type="pct"/>
            <w:vMerge/>
            <w:tcBorders>
              <w:top w:val="nil"/>
              <w:left w:val="nil"/>
              <w:bottom w:val="nil"/>
              <w:right w:val="nil"/>
            </w:tcBorders>
          </w:tcPr>
          <w:p w14:paraId="47D10FCC"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3A57D01D" w14:textId="77777777" w:rsidR="00DB132D" w:rsidRPr="004F289D" w:rsidRDefault="00DB132D" w:rsidP="00DB132D">
            <w:pPr>
              <w:rPr>
                <w:rFonts w:eastAsia="Aptos" w:cs="Times New Roman"/>
                <w:sz w:val="20"/>
                <w:szCs w:val="20"/>
              </w:rPr>
            </w:pPr>
            <w:r w:rsidRPr="004F289D">
              <w:rPr>
                <w:rFonts w:eastAsia="Aptos" w:cs="Times New Roman"/>
                <w:sz w:val="20"/>
                <w:szCs w:val="20"/>
              </w:rPr>
              <w:t>Digital Literacy Scale for Older Adults in China</w:t>
            </w:r>
          </w:p>
        </w:tc>
        <w:tc>
          <w:tcPr>
            <w:tcW w:w="789" w:type="pct"/>
            <w:tcBorders>
              <w:top w:val="nil"/>
              <w:left w:val="nil"/>
              <w:bottom w:val="nil"/>
              <w:right w:val="nil"/>
            </w:tcBorders>
          </w:tcPr>
          <w:p w14:paraId="24CD114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19 items on a 5-point Likert-type scale</w:t>
            </w:r>
          </w:p>
          <w:p w14:paraId="55D7BB8E"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50431A5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Basic technology; Communication; Problem-solving; Security literacy</w:t>
            </w:r>
          </w:p>
        </w:tc>
        <w:tc>
          <w:tcPr>
            <w:tcW w:w="657" w:type="pct"/>
            <w:tcBorders>
              <w:top w:val="nil"/>
              <w:left w:val="nil"/>
              <w:bottom w:val="nil"/>
              <w:right w:val="nil"/>
            </w:tcBorders>
          </w:tcPr>
          <w:p w14:paraId="3955663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Yu et al. (2025)</w:t>
            </w:r>
          </w:p>
        </w:tc>
      </w:tr>
      <w:tr w:rsidR="004F289D" w:rsidRPr="004F289D" w14:paraId="76DF8E49" w14:textId="77777777" w:rsidTr="00710711">
        <w:tc>
          <w:tcPr>
            <w:tcW w:w="790" w:type="pct"/>
            <w:vMerge/>
            <w:tcBorders>
              <w:top w:val="nil"/>
              <w:left w:val="nil"/>
              <w:bottom w:val="nil"/>
              <w:right w:val="nil"/>
            </w:tcBorders>
          </w:tcPr>
          <w:p w14:paraId="2582107F"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09BF9F66"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For university students</w:t>
            </w:r>
          </w:p>
        </w:tc>
        <w:tc>
          <w:tcPr>
            <w:tcW w:w="789" w:type="pct"/>
            <w:tcBorders>
              <w:top w:val="nil"/>
              <w:left w:val="nil"/>
              <w:bottom w:val="nil"/>
              <w:right w:val="nil"/>
            </w:tcBorders>
          </w:tcPr>
          <w:p w14:paraId="657DC08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36 items on a 5-point Likert-type scale</w:t>
            </w:r>
          </w:p>
          <w:p w14:paraId="1752B591" w14:textId="77777777" w:rsidR="00710711" w:rsidRPr="004F289D" w:rsidRDefault="00710711" w:rsidP="00DB132D">
            <w:pPr>
              <w:rPr>
                <w:rFonts w:eastAsia="Aptos" w:cs="Times New Roman"/>
                <w:sz w:val="20"/>
                <w:szCs w:val="20"/>
                <w:lang w:val="en-US"/>
              </w:rPr>
            </w:pPr>
          </w:p>
        </w:tc>
        <w:tc>
          <w:tcPr>
            <w:tcW w:w="1843" w:type="pct"/>
            <w:tcBorders>
              <w:top w:val="nil"/>
              <w:left w:val="nil"/>
              <w:bottom w:val="nil"/>
              <w:right w:val="nil"/>
            </w:tcBorders>
          </w:tcPr>
          <w:p w14:paraId="5B0C474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Communication; Copyright; Critical Thinking; Character; Citizenship; Curation; Connectedness; Creativity; Collaboration</w:t>
            </w:r>
          </w:p>
        </w:tc>
        <w:tc>
          <w:tcPr>
            <w:tcW w:w="657" w:type="pct"/>
            <w:tcBorders>
              <w:top w:val="nil"/>
              <w:left w:val="nil"/>
              <w:bottom w:val="nil"/>
              <w:right w:val="nil"/>
            </w:tcBorders>
          </w:tcPr>
          <w:p w14:paraId="0117533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Amin et al. (2021)</w:t>
            </w:r>
          </w:p>
        </w:tc>
      </w:tr>
      <w:tr w:rsidR="004F289D" w:rsidRPr="004F289D" w14:paraId="3AF33DE2" w14:textId="77777777" w:rsidTr="00710711">
        <w:tc>
          <w:tcPr>
            <w:tcW w:w="790" w:type="pct"/>
            <w:vMerge/>
            <w:tcBorders>
              <w:top w:val="nil"/>
              <w:left w:val="nil"/>
              <w:bottom w:val="nil"/>
              <w:right w:val="nil"/>
            </w:tcBorders>
          </w:tcPr>
          <w:p w14:paraId="796280A7" w14:textId="77777777" w:rsidR="00DB132D" w:rsidRPr="004F289D" w:rsidRDefault="00DB132D" w:rsidP="00DB132D">
            <w:pPr>
              <w:rPr>
                <w:rFonts w:eastAsia="Aptos" w:cs="Times New Roman"/>
                <w:sz w:val="20"/>
                <w:szCs w:val="20"/>
                <w:lang w:val="en-US"/>
              </w:rPr>
            </w:pPr>
          </w:p>
        </w:tc>
        <w:tc>
          <w:tcPr>
            <w:tcW w:w="921" w:type="pct"/>
            <w:tcBorders>
              <w:top w:val="nil"/>
              <w:left w:val="nil"/>
              <w:bottom w:val="nil"/>
              <w:right w:val="nil"/>
            </w:tcBorders>
          </w:tcPr>
          <w:p w14:paraId="52EE6EE4"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Other prior work to consider</w:t>
            </w:r>
          </w:p>
        </w:tc>
        <w:tc>
          <w:tcPr>
            <w:tcW w:w="789" w:type="pct"/>
            <w:tcBorders>
              <w:top w:val="nil"/>
              <w:left w:val="nil"/>
              <w:bottom w:val="nil"/>
              <w:right w:val="nil"/>
            </w:tcBorders>
          </w:tcPr>
          <w:p w14:paraId="20211425"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No measurement (conceptual)</w:t>
            </w:r>
          </w:p>
        </w:tc>
        <w:tc>
          <w:tcPr>
            <w:tcW w:w="1843" w:type="pct"/>
            <w:tcBorders>
              <w:top w:val="nil"/>
              <w:left w:val="nil"/>
              <w:bottom w:val="nil"/>
              <w:right w:val="nil"/>
            </w:tcBorders>
          </w:tcPr>
          <w:p w14:paraId="300E97D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Information literacy; Computer literacy; Media literacy; Communication literacy; Technology literacy</w:t>
            </w:r>
          </w:p>
        </w:tc>
        <w:tc>
          <w:tcPr>
            <w:tcW w:w="657" w:type="pct"/>
            <w:tcBorders>
              <w:top w:val="nil"/>
              <w:left w:val="nil"/>
              <w:bottom w:val="nil"/>
              <w:right w:val="nil"/>
            </w:tcBorders>
          </w:tcPr>
          <w:p w14:paraId="1DE00E7D" w14:textId="77777777" w:rsidR="00DB132D" w:rsidRPr="004F289D" w:rsidRDefault="00DB132D" w:rsidP="00DB132D">
            <w:pPr>
              <w:rPr>
                <w:rFonts w:eastAsia="Aptos" w:cs="Times New Roman"/>
                <w:sz w:val="20"/>
                <w:szCs w:val="20"/>
              </w:rPr>
            </w:pPr>
            <w:proofErr w:type="spellStart"/>
            <w:r w:rsidRPr="004F289D">
              <w:rPr>
                <w:rFonts w:eastAsia="Aptos" w:cs="Times New Roman"/>
                <w:sz w:val="20"/>
                <w:szCs w:val="20"/>
                <w:lang w:val="en-US"/>
              </w:rPr>
              <w:t>Chetty</w:t>
            </w:r>
            <w:proofErr w:type="spellEnd"/>
            <w:r w:rsidRPr="004F289D">
              <w:rPr>
                <w:rFonts w:eastAsia="Aptos" w:cs="Times New Roman"/>
                <w:sz w:val="20"/>
                <w:szCs w:val="20"/>
                <w:lang w:val="en-US"/>
              </w:rPr>
              <w:t xml:space="preserve"> et al. (2018); </w:t>
            </w:r>
            <w:proofErr w:type="spellStart"/>
            <w:r w:rsidRPr="004F289D">
              <w:rPr>
                <w:rFonts w:eastAsia="Aptos" w:cs="Times New Roman"/>
                <w:sz w:val="20"/>
                <w:szCs w:val="20"/>
                <w:lang w:val="en-US"/>
              </w:rPr>
              <w:t>Choudhary</w:t>
            </w:r>
            <w:proofErr w:type="spellEnd"/>
            <w:r w:rsidRPr="004F289D">
              <w:rPr>
                <w:rFonts w:eastAsia="Aptos" w:cs="Times New Roman"/>
                <w:sz w:val="20"/>
                <w:szCs w:val="20"/>
                <w:lang w:val="en-US"/>
              </w:rPr>
              <w:t xml:space="preserve"> and Bansal (2022); </w:t>
            </w:r>
            <w:r w:rsidRPr="004F289D">
              <w:rPr>
                <w:rFonts w:eastAsia="Aptos" w:cs="Times New Roman"/>
                <w:sz w:val="20"/>
                <w:szCs w:val="20"/>
              </w:rPr>
              <w:t>Cordell (2013)</w:t>
            </w:r>
          </w:p>
          <w:p w14:paraId="3AE33EF6" w14:textId="3FED0527" w:rsidR="00710711" w:rsidRPr="004F289D" w:rsidRDefault="00710711" w:rsidP="00DB132D">
            <w:pPr>
              <w:rPr>
                <w:rFonts w:eastAsia="Aptos" w:cs="Times New Roman"/>
                <w:sz w:val="20"/>
                <w:szCs w:val="20"/>
              </w:rPr>
            </w:pPr>
          </w:p>
        </w:tc>
      </w:tr>
      <w:tr w:rsidR="004F289D" w:rsidRPr="004F289D" w14:paraId="7AD4A20F" w14:textId="77777777" w:rsidTr="00710711">
        <w:tc>
          <w:tcPr>
            <w:tcW w:w="790" w:type="pct"/>
            <w:vMerge/>
            <w:tcBorders>
              <w:top w:val="nil"/>
              <w:left w:val="nil"/>
              <w:bottom w:val="nil"/>
              <w:right w:val="nil"/>
            </w:tcBorders>
          </w:tcPr>
          <w:p w14:paraId="2099CAC4" w14:textId="77777777" w:rsidR="00DB132D" w:rsidRPr="004F289D" w:rsidRDefault="00DB132D" w:rsidP="00DB132D">
            <w:pPr>
              <w:rPr>
                <w:rFonts w:eastAsia="Aptos" w:cs="Times New Roman"/>
                <w:sz w:val="20"/>
                <w:szCs w:val="20"/>
                <w:lang w:val="en-US"/>
              </w:rPr>
            </w:pPr>
          </w:p>
        </w:tc>
        <w:tc>
          <w:tcPr>
            <w:tcW w:w="921" w:type="pct"/>
            <w:vMerge w:val="restart"/>
            <w:tcBorders>
              <w:top w:val="nil"/>
              <w:left w:val="nil"/>
              <w:bottom w:val="nil"/>
              <w:right w:val="nil"/>
            </w:tcBorders>
          </w:tcPr>
          <w:p w14:paraId="47047581"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Focus on artificial intelligence</w:t>
            </w:r>
          </w:p>
        </w:tc>
        <w:tc>
          <w:tcPr>
            <w:tcW w:w="789" w:type="pct"/>
            <w:tcBorders>
              <w:top w:val="nil"/>
              <w:left w:val="nil"/>
              <w:bottom w:val="nil"/>
              <w:right w:val="nil"/>
            </w:tcBorders>
          </w:tcPr>
          <w:p w14:paraId="111CA777"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19 items on a 5-point Likert-type scale</w:t>
            </w:r>
          </w:p>
          <w:p w14:paraId="13512C4B" w14:textId="77777777" w:rsidR="00DB132D" w:rsidRPr="004F289D" w:rsidRDefault="00DB132D" w:rsidP="00DB132D">
            <w:pPr>
              <w:rPr>
                <w:rFonts w:eastAsia="Aptos" w:cs="Times New Roman"/>
                <w:sz w:val="20"/>
                <w:szCs w:val="20"/>
                <w:lang w:val="en-US"/>
              </w:rPr>
            </w:pPr>
          </w:p>
        </w:tc>
        <w:tc>
          <w:tcPr>
            <w:tcW w:w="1843" w:type="pct"/>
            <w:tcBorders>
              <w:top w:val="nil"/>
              <w:left w:val="nil"/>
              <w:bottom w:val="nil"/>
              <w:right w:val="nil"/>
            </w:tcBorders>
          </w:tcPr>
          <w:p w14:paraId="2C1CE53B"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Awareness;  Competence and Application; Responsibilities; Professional Development</w:t>
            </w:r>
          </w:p>
        </w:tc>
        <w:tc>
          <w:tcPr>
            <w:tcW w:w="657" w:type="pct"/>
            <w:tcBorders>
              <w:top w:val="nil"/>
              <w:left w:val="nil"/>
              <w:bottom w:val="nil"/>
              <w:right w:val="nil"/>
            </w:tcBorders>
          </w:tcPr>
          <w:p w14:paraId="6B92D3CF"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Luo and Zou (2025)</w:t>
            </w:r>
          </w:p>
        </w:tc>
      </w:tr>
      <w:tr w:rsidR="004F289D" w:rsidRPr="004F289D" w14:paraId="7C64506A" w14:textId="77777777" w:rsidTr="00710711">
        <w:tc>
          <w:tcPr>
            <w:tcW w:w="790" w:type="pct"/>
            <w:vMerge/>
            <w:tcBorders>
              <w:top w:val="nil"/>
              <w:left w:val="nil"/>
              <w:right w:val="nil"/>
            </w:tcBorders>
          </w:tcPr>
          <w:p w14:paraId="4A5A0F03" w14:textId="77777777" w:rsidR="00DB132D" w:rsidRPr="004F289D" w:rsidRDefault="00DB132D" w:rsidP="00DB132D">
            <w:pPr>
              <w:rPr>
                <w:rFonts w:eastAsia="Aptos" w:cs="Times New Roman"/>
                <w:sz w:val="20"/>
                <w:szCs w:val="20"/>
                <w:lang w:val="en-US"/>
              </w:rPr>
            </w:pPr>
          </w:p>
        </w:tc>
        <w:tc>
          <w:tcPr>
            <w:tcW w:w="921" w:type="pct"/>
            <w:vMerge/>
            <w:tcBorders>
              <w:top w:val="nil"/>
              <w:left w:val="nil"/>
              <w:right w:val="nil"/>
            </w:tcBorders>
          </w:tcPr>
          <w:p w14:paraId="7BFEBFC7" w14:textId="77777777" w:rsidR="00DB132D" w:rsidRPr="004F289D" w:rsidRDefault="00DB132D" w:rsidP="00DB132D">
            <w:pPr>
              <w:rPr>
                <w:rFonts w:eastAsia="Aptos" w:cs="Times New Roman"/>
                <w:sz w:val="20"/>
                <w:szCs w:val="20"/>
                <w:lang w:val="en-US"/>
              </w:rPr>
            </w:pPr>
          </w:p>
        </w:tc>
        <w:tc>
          <w:tcPr>
            <w:tcW w:w="789" w:type="pct"/>
            <w:tcBorders>
              <w:top w:val="nil"/>
              <w:left w:val="nil"/>
              <w:right w:val="nil"/>
            </w:tcBorders>
          </w:tcPr>
          <w:p w14:paraId="77101F63"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18 items on a 5-point Likert-type scale</w:t>
            </w:r>
          </w:p>
          <w:p w14:paraId="409120F6" w14:textId="77777777" w:rsidR="00DB132D" w:rsidRPr="004F289D" w:rsidRDefault="00DB132D" w:rsidP="00DB132D">
            <w:pPr>
              <w:rPr>
                <w:rFonts w:eastAsia="Aptos" w:cs="Times New Roman"/>
                <w:sz w:val="20"/>
                <w:szCs w:val="20"/>
              </w:rPr>
            </w:pPr>
          </w:p>
        </w:tc>
        <w:tc>
          <w:tcPr>
            <w:tcW w:w="1843" w:type="pct"/>
            <w:tcBorders>
              <w:top w:val="nil"/>
              <w:left w:val="nil"/>
              <w:right w:val="nil"/>
            </w:tcBorders>
          </w:tcPr>
          <w:p w14:paraId="1AAA4AEC" w14:textId="77777777" w:rsidR="00DB132D" w:rsidRPr="004F289D" w:rsidRDefault="00DB132D" w:rsidP="00DB132D">
            <w:pPr>
              <w:rPr>
                <w:rFonts w:eastAsia="Aptos" w:cs="Times New Roman"/>
                <w:sz w:val="20"/>
                <w:szCs w:val="20"/>
                <w:lang w:val="en-US"/>
              </w:rPr>
            </w:pPr>
            <w:r w:rsidRPr="004F289D">
              <w:rPr>
                <w:rFonts w:eastAsia="Aptos" w:cs="Times New Roman"/>
                <w:sz w:val="20"/>
                <w:szCs w:val="20"/>
                <w:lang w:val="en-US"/>
              </w:rPr>
              <w:t>Knowledge; Application; Critical Understanding; Ethics and Responsibility</w:t>
            </w:r>
          </w:p>
        </w:tc>
        <w:tc>
          <w:tcPr>
            <w:tcW w:w="657" w:type="pct"/>
            <w:tcBorders>
              <w:top w:val="nil"/>
              <w:left w:val="nil"/>
              <w:right w:val="nil"/>
            </w:tcBorders>
          </w:tcPr>
          <w:p w14:paraId="1208F323" w14:textId="77777777" w:rsidR="00DB132D" w:rsidRPr="004F289D" w:rsidRDefault="00DB132D" w:rsidP="00DB132D">
            <w:pPr>
              <w:rPr>
                <w:rFonts w:eastAsia="Aptos" w:cs="Times New Roman"/>
                <w:sz w:val="20"/>
                <w:szCs w:val="20"/>
              </w:rPr>
            </w:pPr>
            <w:r w:rsidRPr="004F289D">
              <w:rPr>
                <w:rFonts w:eastAsia="Aptos" w:cs="Times New Roman"/>
                <w:sz w:val="20"/>
                <w:szCs w:val="20"/>
                <w:lang w:val="en-US"/>
              </w:rPr>
              <w:t>Pan et al. (2024)</w:t>
            </w:r>
          </w:p>
        </w:tc>
      </w:tr>
    </w:tbl>
    <w:p w14:paraId="23399D5C" w14:textId="77777777" w:rsidR="00F34CE2" w:rsidRPr="004F289D" w:rsidRDefault="00F34CE2" w:rsidP="00F34CE2">
      <w:pPr>
        <w:spacing w:line="256" w:lineRule="auto"/>
        <w:rPr>
          <w:rFonts w:eastAsia="ScalaOT" w:cs="Times New Roman"/>
          <w:lang w:val="en-US"/>
        </w:rPr>
      </w:pPr>
      <w:r w:rsidRPr="004F289D">
        <w:rPr>
          <w:rFonts w:eastAsia="Aptos" w:cs="Times New Roman"/>
        </w:rPr>
        <w:t>Source: Author’s own work</w:t>
      </w:r>
    </w:p>
    <w:p w14:paraId="7E9CC069" w14:textId="0D16428C" w:rsidR="00DB132D" w:rsidRPr="004F289D" w:rsidRDefault="00DB132D" w:rsidP="00DB132D">
      <w:pPr>
        <w:spacing w:line="278" w:lineRule="auto"/>
        <w:rPr>
          <w:rFonts w:eastAsia="Aptos" w:cs="Times New Roman"/>
          <w:b/>
          <w:bCs/>
          <w:lang/>
        </w:rPr>
      </w:pPr>
      <w:r w:rsidRPr="004F289D">
        <w:rPr>
          <w:rFonts w:eastAsia="Aptos" w:cs="Times New Roman"/>
          <w:b/>
          <w:bCs/>
          <w:lang/>
        </w:rPr>
        <w:lastRenderedPageBreak/>
        <w:t>Reference list (Table A1)</w:t>
      </w:r>
    </w:p>
    <w:p w14:paraId="5E8E8317" w14:textId="08CBF6FE" w:rsidR="00DB132D" w:rsidRPr="004F289D" w:rsidRDefault="00DB132D" w:rsidP="00DB132D">
      <w:pPr>
        <w:spacing w:line="278" w:lineRule="auto"/>
        <w:rPr>
          <w:rFonts w:eastAsia="Aptos" w:cs="Times New Roman"/>
          <w:lang/>
        </w:rPr>
      </w:pPr>
      <w:r w:rsidRPr="004F289D">
        <w:rPr>
          <w:rFonts w:eastAsia="Aptos" w:cs="Times New Roman"/>
          <w:lang/>
        </w:rPr>
        <w:t xml:space="preserve">Alom, M.M. and Ramalingappa, V. (2025), “Development and validation of a digital literacy scale and the evaluation of post-graduate teacher educators’ digital literacy”, </w:t>
      </w:r>
      <w:r w:rsidRPr="004F289D">
        <w:rPr>
          <w:rFonts w:eastAsia="Aptos" w:cs="Times New Roman"/>
          <w:i/>
          <w:iCs/>
          <w:lang/>
        </w:rPr>
        <w:t>International Journal of Information and Education Technology</w:t>
      </w:r>
      <w:r w:rsidRPr="004F289D">
        <w:rPr>
          <w:rFonts w:eastAsia="Aptos" w:cs="Times New Roman"/>
          <w:lang/>
        </w:rPr>
        <w:t>, Vol. 15 No. 10, pp. 2249–2263.</w:t>
      </w:r>
    </w:p>
    <w:p w14:paraId="1C47E871" w14:textId="13CF2E0A" w:rsidR="00DB132D" w:rsidRPr="004F289D" w:rsidRDefault="00DB132D" w:rsidP="00DB132D">
      <w:pPr>
        <w:spacing w:line="278" w:lineRule="auto"/>
        <w:rPr>
          <w:rFonts w:eastAsia="Aptos" w:cs="Times New Roman"/>
          <w:lang/>
        </w:rPr>
      </w:pPr>
      <w:r w:rsidRPr="004F289D">
        <w:rPr>
          <w:rFonts w:eastAsia="Aptos" w:cs="Times New Roman"/>
          <w:lang/>
        </w:rPr>
        <w:t xml:space="preserve">Amin, H., Malik, M.A. and Akkaya, B. (2021), “Development and validation of digital literacy scale (DLS) and its implication for higher education”, </w:t>
      </w:r>
      <w:r w:rsidRPr="004F289D">
        <w:rPr>
          <w:rFonts w:eastAsia="Aptos" w:cs="Times New Roman"/>
          <w:i/>
          <w:iCs/>
          <w:lang/>
        </w:rPr>
        <w:t>International Journal of Distance Education and E-Learning</w:t>
      </w:r>
      <w:r w:rsidRPr="004F289D">
        <w:rPr>
          <w:rFonts w:eastAsia="Aptos" w:cs="Times New Roman"/>
          <w:lang/>
        </w:rPr>
        <w:t>, Vol. 7 No. 1, pp. 24–43.</w:t>
      </w:r>
    </w:p>
    <w:p w14:paraId="0DACFDC9" w14:textId="0E25FF37" w:rsidR="00DB132D" w:rsidRPr="004F289D" w:rsidRDefault="00DB132D" w:rsidP="00DB132D">
      <w:pPr>
        <w:spacing w:line="278" w:lineRule="auto"/>
        <w:rPr>
          <w:rFonts w:eastAsia="Aptos" w:cs="Times New Roman"/>
          <w:lang/>
        </w:rPr>
      </w:pPr>
      <w:r w:rsidRPr="004F289D">
        <w:rPr>
          <w:rFonts w:eastAsia="Aptos" w:cs="Times New Roman"/>
          <w:lang/>
        </w:rPr>
        <w:t xml:space="preserve">Arshad, M., Ahmad, A. and Qureshi, M.A. (2022), “Development and validation of a media literacy scale”, </w:t>
      </w:r>
      <w:r w:rsidRPr="004F289D">
        <w:rPr>
          <w:rFonts w:eastAsia="Aptos" w:cs="Times New Roman"/>
          <w:i/>
          <w:iCs/>
          <w:lang/>
        </w:rPr>
        <w:t>Journal of Educational and Social Research</w:t>
      </w:r>
      <w:r w:rsidRPr="004F289D">
        <w:rPr>
          <w:rFonts w:eastAsia="Aptos" w:cs="Times New Roman"/>
          <w:lang/>
        </w:rPr>
        <w:t>, Vol. 12 No. 2, pp. 190–201.</w:t>
      </w:r>
    </w:p>
    <w:p w14:paraId="4090CD7A" w14:textId="62BCA2B1" w:rsidR="00DB132D" w:rsidRPr="004F289D" w:rsidRDefault="00DB132D" w:rsidP="00DB132D">
      <w:pPr>
        <w:spacing w:line="278" w:lineRule="auto"/>
        <w:rPr>
          <w:rFonts w:eastAsia="Aptos" w:cs="Times New Roman"/>
          <w:lang/>
        </w:rPr>
      </w:pPr>
      <w:r w:rsidRPr="004F289D">
        <w:rPr>
          <w:rFonts w:eastAsia="Aptos" w:cs="Times New Roman"/>
          <w:lang/>
        </w:rPr>
        <w:t xml:space="preserve">Aslam, M., Batool, S.H. and Ameen, K. (2025), “Workplace information literacy in context: Scale development and validation”, </w:t>
      </w:r>
      <w:r w:rsidRPr="004F289D">
        <w:rPr>
          <w:rFonts w:eastAsia="Aptos" w:cs="Times New Roman"/>
          <w:i/>
          <w:iCs/>
          <w:lang/>
        </w:rPr>
        <w:t>Global Knowledge, Memory and Communication</w:t>
      </w:r>
      <w:r w:rsidRPr="004F289D">
        <w:rPr>
          <w:rFonts w:eastAsia="Aptos" w:cs="Times New Roman"/>
          <w:lang/>
        </w:rPr>
        <w:t>, Vol. 74 Nos. 7–8, pp. 2552–2571.</w:t>
      </w:r>
    </w:p>
    <w:p w14:paraId="0E27A9C6"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Avinç, E. and Doğan, F. (2024), “Digital literacy scale: Validity and reliability study with the Rasch model”, </w:t>
      </w:r>
      <w:r w:rsidRPr="004F289D">
        <w:rPr>
          <w:rFonts w:eastAsia="Aptos" w:cs="Times New Roman"/>
          <w:i/>
          <w:iCs/>
          <w:lang/>
        </w:rPr>
        <w:t>Education and Information Technologies</w:t>
      </w:r>
      <w:r w:rsidRPr="004F289D">
        <w:rPr>
          <w:rFonts w:eastAsia="Aptos" w:cs="Times New Roman"/>
          <w:lang/>
        </w:rPr>
        <w:t>, Vol. 29, pp. 22895–22941.</w:t>
      </w:r>
    </w:p>
    <w:p w14:paraId="22A8CC5A"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Bartsch, M. and Dienlin, T. (2016), “Control your Facebook: An analysis of online privacy literacy”, </w:t>
      </w:r>
      <w:r w:rsidRPr="004F289D">
        <w:rPr>
          <w:rFonts w:eastAsia="Aptos" w:cs="Times New Roman"/>
          <w:i/>
          <w:iCs/>
          <w:lang/>
        </w:rPr>
        <w:t>Computers in Human Behavior</w:t>
      </w:r>
      <w:r w:rsidRPr="004F289D">
        <w:rPr>
          <w:rFonts w:eastAsia="Aptos" w:cs="Times New Roman"/>
          <w:lang/>
        </w:rPr>
        <w:t>, Vol. 56, pp. 147–154.</w:t>
      </w:r>
    </w:p>
    <w:p w14:paraId="601762F0"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Chetty, K., Qigui, L., Gcora, N., Josie, J., Wenwei, L. and Fang, C. (2018), “Bridging the digital divide: Measuring digital literacy”, </w:t>
      </w:r>
      <w:r w:rsidRPr="004F289D">
        <w:rPr>
          <w:rFonts w:eastAsia="Aptos" w:cs="Times New Roman"/>
          <w:i/>
          <w:iCs/>
          <w:lang/>
        </w:rPr>
        <w:t>Economics: The Open-Access, Open-Assessment E-Journal</w:t>
      </w:r>
      <w:r w:rsidRPr="004F289D">
        <w:rPr>
          <w:rFonts w:eastAsia="Aptos" w:cs="Times New Roman"/>
          <w:lang/>
        </w:rPr>
        <w:t>, Vol. 12, pp. 1–20.</w:t>
      </w:r>
    </w:p>
    <w:p w14:paraId="7C3B871F" w14:textId="79BA459A" w:rsidR="00DB132D" w:rsidRPr="004F289D" w:rsidRDefault="00DB132D" w:rsidP="00DB132D">
      <w:pPr>
        <w:spacing w:line="278" w:lineRule="auto"/>
        <w:rPr>
          <w:rFonts w:eastAsia="Aptos" w:cs="Times New Roman"/>
          <w:lang/>
        </w:rPr>
      </w:pPr>
      <w:r w:rsidRPr="004F289D">
        <w:rPr>
          <w:rFonts w:eastAsia="Aptos" w:cs="Times New Roman"/>
          <w:lang/>
        </w:rPr>
        <w:t xml:space="preserve">Choi, J., Choi, S., Song, K., Baek, J., Kim, H., Choi, M., Kim, Y., Chu, S.H. and Shin, J. (2023), “Everyday digital literacy questionnaire for older adults: Instrument development and validation study”, </w:t>
      </w:r>
      <w:r w:rsidRPr="004F289D">
        <w:rPr>
          <w:rFonts w:eastAsia="Aptos" w:cs="Times New Roman"/>
          <w:i/>
          <w:iCs/>
          <w:lang/>
        </w:rPr>
        <w:t>Journal of Medical Internet Research</w:t>
      </w:r>
      <w:r w:rsidRPr="004F289D">
        <w:rPr>
          <w:rFonts w:eastAsia="Aptos" w:cs="Times New Roman"/>
          <w:lang/>
        </w:rPr>
        <w:t>, Vol. 25, Article e51616.</w:t>
      </w:r>
    </w:p>
    <w:p w14:paraId="12BBACB9"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Choi, S. (2023), “Privacy literacy on social media: Its predictors and outcomes”, </w:t>
      </w:r>
      <w:r w:rsidRPr="004F289D">
        <w:rPr>
          <w:rFonts w:eastAsia="Aptos" w:cs="Times New Roman"/>
          <w:i/>
          <w:iCs/>
          <w:lang/>
        </w:rPr>
        <w:t>International Journal of Human–Computer Interaction</w:t>
      </w:r>
      <w:r w:rsidRPr="004F289D">
        <w:rPr>
          <w:rFonts w:eastAsia="Aptos" w:cs="Times New Roman"/>
          <w:lang/>
        </w:rPr>
        <w:t>, Vol. 39 No. 1, pp. 217–232.</w:t>
      </w:r>
    </w:p>
    <w:p w14:paraId="44DDDD72"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Choudhary, H. and Bansal, N. (2022), “Addressing digital divide through digital literacy training programs: A systematic literature review”, </w:t>
      </w:r>
      <w:r w:rsidRPr="004F289D">
        <w:rPr>
          <w:rFonts w:eastAsia="Aptos" w:cs="Times New Roman"/>
          <w:i/>
          <w:iCs/>
          <w:lang/>
        </w:rPr>
        <w:t>Digital Education Review</w:t>
      </w:r>
      <w:r w:rsidRPr="004F289D">
        <w:rPr>
          <w:rFonts w:eastAsia="Aptos" w:cs="Times New Roman"/>
          <w:lang/>
        </w:rPr>
        <w:t>, Vol. 41, pp. 224–248.</w:t>
      </w:r>
    </w:p>
    <w:p w14:paraId="0E8526A6" w14:textId="7A0D14F6" w:rsidR="00DB132D" w:rsidRPr="004F289D" w:rsidRDefault="00DB132D" w:rsidP="00DB132D">
      <w:pPr>
        <w:spacing w:line="278" w:lineRule="auto"/>
        <w:rPr>
          <w:rFonts w:eastAsia="Aptos" w:cs="Times New Roman"/>
          <w:lang/>
        </w:rPr>
      </w:pPr>
      <w:r w:rsidRPr="004F289D">
        <w:rPr>
          <w:rFonts w:eastAsia="Aptos" w:cs="Times New Roman"/>
          <w:lang/>
        </w:rPr>
        <w:t xml:space="preserve">Cordell, R.M. (2013), “Information literacy and digital literacy: Competing or complementary?”, </w:t>
      </w:r>
      <w:r w:rsidRPr="004F289D">
        <w:rPr>
          <w:rFonts w:eastAsia="Aptos" w:cs="Times New Roman"/>
          <w:i/>
          <w:iCs/>
          <w:lang/>
        </w:rPr>
        <w:t>Communications in Information Literacy</w:t>
      </w:r>
      <w:r w:rsidRPr="004F289D">
        <w:rPr>
          <w:rFonts w:eastAsia="Aptos" w:cs="Times New Roman"/>
          <w:lang/>
        </w:rPr>
        <w:t>, Vol. 7 No. 2, pp. 177–183.</w:t>
      </w:r>
    </w:p>
    <w:p w14:paraId="252865AE"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Desimpelaere, L., Hudders, L. and Van de Sompel, D. (2020), “Knowledge as a strategy for privacy protection: How a privacy literacy training affects children’s online disclosure behavior”, </w:t>
      </w:r>
      <w:r w:rsidRPr="004F289D">
        <w:rPr>
          <w:rFonts w:eastAsia="Aptos" w:cs="Times New Roman"/>
          <w:i/>
          <w:iCs/>
          <w:lang/>
        </w:rPr>
        <w:t>Computers in Human Behavior</w:t>
      </w:r>
      <w:r w:rsidRPr="004F289D">
        <w:rPr>
          <w:rFonts w:eastAsia="Aptos" w:cs="Times New Roman"/>
          <w:lang/>
        </w:rPr>
        <w:t>, Vol. 110, Article 106382.</w:t>
      </w:r>
    </w:p>
    <w:p w14:paraId="19D1809B"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Erdem, C., Oruç, E., Atar, C. and Bağcı, H. (2023), “The mediating effect of digital literacy in the relationship between media literacy and digital citizenship”, </w:t>
      </w:r>
      <w:r w:rsidRPr="004F289D">
        <w:rPr>
          <w:rFonts w:eastAsia="Aptos" w:cs="Times New Roman"/>
          <w:i/>
          <w:iCs/>
          <w:lang/>
        </w:rPr>
        <w:t>Education and Information Technologies</w:t>
      </w:r>
      <w:r w:rsidRPr="004F289D">
        <w:rPr>
          <w:rFonts w:eastAsia="Aptos" w:cs="Times New Roman"/>
          <w:lang/>
        </w:rPr>
        <w:t>, Vol. 28, pp. 4875–4891.</w:t>
      </w:r>
    </w:p>
    <w:p w14:paraId="153F7D39"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Eshet-Alkalai, Y. (2004), “Digital literacy: A conceptual framework for survival skills in the digital era”, </w:t>
      </w:r>
      <w:r w:rsidRPr="004F289D">
        <w:rPr>
          <w:rFonts w:eastAsia="Aptos" w:cs="Times New Roman"/>
          <w:i/>
          <w:iCs/>
          <w:lang/>
        </w:rPr>
        <w:t>Journal of Educational Multimedia and Hypermedia</w:t>
      </w:r>
      <w:r w:rsidRPr="004F289D">
        <w:rPr>
          <w:rFonts w:eastAsia="Aptos" w:cs="Times New Roman"/>
          <w:lang/>
        </w:rPr>
        <w:t>, Vol. 13 No. 1, pp. 93–106.</w:t>
      </w:r>
    </w:p>
    <w:p w14:paraId="3FB3AF0D"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Eshet-Alkalai, Y. (2012), “Thinking in the digital era: A revised model for digital literacy”, </w:t>
      </w:r>
      <w:r w:rsidRPr="004F289D">
        <w:rPr>
          <w:rFonts w:eastAsia="Aptos" w:cs="Times New Roman"/>
          <w:i/>
          <w:iCs/>
          <w:lang/>
        </w:rPr>
        <w:t>Issues in Informing Science and Information Technology</w:t>
      </w:r>
      <w:r w:rsidRPr="004F289D">
        <w:rPr>
          <w:rFonts w:eastAsia="Aptos" w:cs="Times New Roman"/>
          <w:lang/>
        </w:rPr>
        <w:t>, Vol. 9 No. 2, pp. 267–276.</w:t>
      </w:r>
    </w:p>
    <w:p w14:paraId="6B4F5A2A" w14:textId="77777777" w:rsidR="00DB132D" w:rsidRPr="004F289D" w:rsidRDefault="00DB132D" w:rsidP="00DB132D">
      <w:pPr>
        <w:spacing w:line="278" w:lineRule="auto"/>
        <w:rPr>
          <w:rFonts w:eastAsia="Aptos" w:cs="Times New Roman"/>
          <w:lang/>
        </w:rPr>
      </w:pPr>
      <w:r w:rsidRPr="004F289D">
        <w:rPr>
          <w:rFonts w:eastAsia="Aptos" w:cs="Times New Roman"/>
          <w:lang/>
        </w:rPr>
        <w:lastRenderedPageBreak/>
        <w:t xml:space="preserve">Eshet-Alkalai, Y. and Chajut, E. (2009), “Changes over time in digital literacy”, </w:t>
      </w:r>
      <w:r w:rsidRPr="004F289D">
        <w:rPr>
          <w:rFonts w:eastAsia="Aptos" w:cs="Times New Roman"/>
          <w:i/>
          <w:iCs/>
          <w:lang/>
        </w:rPr>
        <w:t>CyberPsychology &amp; Behavior</w:t>
      </w:r>
      <w:r w:rsidRPr="004F289D">
        <w:rPr>
          <w:rFonts w:eastAsia="Aptos" w:cs="Times New Roman"/>
          <w:lang/>
        </w:rPr>
        <w:t>, Vol. 12 No. 6, pp. 713–715.</w:t>
      </w:r>
    </w:p>
    <w:p w14:paraId="5E42F24B"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Hadad, S., Hadad, Y. and Lerer, N. (2023), “Students’ perceived and actual digital literacy: A multidimensional assessment”, </w:t>
      </w:r>
      <w:r w:rsidRPr="004F289D">
        <w:rPr>
          <w:rFonts w:eastAsia="Aptos" w:cs="Times New Roman"/>
          <w:i/>
          <w:iCs/>
          <w:lang/>
        </w:rPr>
        <w:t>Education and Information Technologies</w:t>
      </w:r>
      <w:r w:rsidRPr="004F289D">
        <w:rPr>
          <w:rFonts w:eastAsia="Aptos" w:cs="Times New Roman"/>
          <w:lang/>
        </w:rPr>
        <w:t>, Vol. 28, pp. 13841–13872.</w:t>
      </w:r>
    </w:p>
    <w:p w14:paraId="49561CF5"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Harborth, D. and Pape, S. (2020), “How privacy concerns, trust and risk beliefs, and privacy literacy influence users’ intentions to use privacy-enhancing technologies—The case of Tor”, </w:t>
      </w:r>
      <w:r w:rsidRPr="004F289D">
        <w:rPr>
          <w:rFonts w:eastAsia="Aptos" w:cs="Times New Roman"/>
          <w:i/>
          <w:iCs/>
          <w:lang/>
        </w:rPr>
        <w:t>The DATA BASE for Advances in Information Systems</w:t>
      </w:r>
      <w:r w:rsidRPr="004F289D">
        <w:rPr>
          <w:rFonts w:eastAsia="Aptos" w:cs="Times New Roman"/>
          <w:lang/>
        </w:rPr>
        <w:t>, Vol. 51 No. 1, pp. 51–90.</w:t>
      </w:r>
    </w:p>
    <w:p w14:paraId="07A1CA8F"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Hargittai, E. (2005), “Survey measures of web-oriented digital literacy”, </w:t>
      </w:r>
      <w:r w:rsidRPr="004F289D">
        <w:rPr>
          <w:rFonts w:eastAsia="Aptos" w:cs="Times New Roman"/>
          <w:i/>
          <w:iCs/>
          <w:lang/>
        </w:rPr>
        <w:t>Social Science Computer Review</w:t>
      </w:r>
      <w:r w:rsidRPr="004F289D">
        <w:rPr>
          <w:rFonts w:eastAsia="Aptos" w:cs="Times New Roman"/>
          <w:lang/>
        </w:rPr>
        <w:t>, Vol. 23 No. 3, pp. 371–379.</w:t>
      </w:r>
    </w:p>
    <w:p w14:paraId="64E48479"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He, W., Ling, W. and Chen, Z. (2025), “Financial literacy, old-age dependency ratio and household fraud risk”, </w:t>
      </w:r>
      <w:r w:rsidRPr="004F289D">
        <w:rPr>
          <w:rFonts w:eastAsia="Aptos" w:cs="Times New Roman"/>
          <w:i/>
          <w:iCs/>
          <w:lang/>
        </w:rPr>
        <w:t>Finance Research Letters</w:t>
      </w:r>
      <w:r w:rsidRPr="004F289D">
        <w:rPr>
          <w:rFonts w:eastAsia="Aptos" w:cs="Times New Roman"/>
          <w:lang/>
        </w:rPr>
        <w:t>, Vol. 75.</w:t>
      </w:r>
    </w:p>
    <w:p w14:paraId="2DBAFC76"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Heiss, R., Nanz, A. and Matthes, J. (2023), “Social media information literacy: Conceptualization and associations with information overload, news avoidance and conspiracy mentality”, </w:t>
      </w:r>
      <w:r w:rsidRPr="004F289D">
        <w:rPr>
          <w:rFonts w:eastAsia="Aptos" w:cs="Times New Roman"/>
          <w:i/>
          <w:iCs/>
          <w:lang/>
        </w:rPr>
        <w:t>Computers in Human Behavior</w:t>
      </w:r>
      <w:r w:rsidRPr="004F289D">
        <w:rPr>
          <w:rFonts w:eastAsia="Aptos" w:cs="Times New Roman"/>
          <w:lang/>
        </w:rPr>
        <w:t>, Vol. 148, Article 107908.</w:t>
      </w:r>
    </w:p>
    <w:p w14:paraId="797400EC"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Hsiao, K.-L., Ku, Y.-Y. and Lee, Y.-T. (2023), “Development and validation of a scale for assessing university students’ new online media and reporting literacy”, </w:t>
      </w:r>
      <w:r w:rsidRPr="004F289D">
        <w:rPr>
          <w:rFonts w:eastAsia="Aptos" w:cs="Times New Roman"/>
          <w:i/>
          <w:iCs/>
          <w:lang/>
        </w:rPr>
        <w:t>Education and Information Technologies</w:t>
      </w:r>
      <w:r w:rsidRPr="004F289D">
        <w:rPr>
          <w:rFonts w:eastAsia="Aptos" w:cs="Times New Roman"/>
          <w:lang/>
        </w:rPr>
        <w:t>, Vol. 28, pp. 13569–13594.</w:t>
      </w:r>
    </w:p>
    <w:p w14:paraId="72545791"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Isaia, E., Oggero, N. and Sandretto, D. (2024), “Is financial literacy a protection tool from online fraud in the digital era?”, </w:t>
      </w:r>
      <w:r w:rsidRPr="004F289D">
        <w:rPr>
          <w:rFonts w:eastAsia="Aptos" w:cs="Times New Roman"/>
          <w:i/>
          <w:iCs/>
          <w:lang/>
        </w:rPr>
        <w:t>Journal of Behavioral and Experimental Finance</w:t>
      </w:r>
      <w:r w:rsidRPr="004F289D">
        <w:rPr>
          <w:rFonts w:eastAsia="Aptos" w:cs="Times New Roman"/>
          <w:lang/>
        </w:rPr>
        <w:t>, Vol. 44, Article 100977.</w:t>
      </w:r>
    </w:p>
    <w:p w14:paraId="28B03D01"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Kaeophanuek, S., Na-Songkhla, J. and Nilsook, P. (2018), “How to enhance digital literacy skills among information sciences students”, </w:t>
      </w:r>
      <w:r w:rsidRPr="004F289D">
        <w:rPr>
          <w:rFonts w:eastAsia="Aptos" w:cs="Times New Roman"/>
          <w:i/>
          <w:iCs/>
          <w:lang/>
        </w:rPr>
        <w:t>International Journal of Information and Education Technology</w:t>
      </w:r>
      <w:r w:rsidRPr="004F289D">
        <w:rPr>
          <w:rFonts w:eastAsia="Aptos" w:cs="Times New Roman"/>
          <w:lang/>
        </w:rPr>
        <w:t>, Vol. 8 No. 4, pp. 292–297.</w:t>
      </w:r>
    </w:p>
    <w:p w14:paraId="0C21156D"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Koc, M. and Barut, E. (2016), “Development and validation of New Media Literacy Scale (NMLS) for university students”, </w:t>
      </w:r>
      <w:r w:rsidRPr="004F289D">
        <w:rPr>
          <w:rFonts w:eastAsia="Aptos" w:cs="Times New Roman"/>
          <w:i/>
          <w:iCs/>
          <w:lang/>
        </w:rPr>
        <w:t>Computers in Human Behavior</w:t>
      </w:r>
      <w:r w:rsidRPr="004F289D">
        <w:rPr>
          <w:rFonts w:eastAsia="Aptos" w:cs="Times New Roman"/>
          <w:lang/>
        </w:rPr>
        <w:t>, Vol. 63, pp. 834–843.</w:t>
      </w:r>
    </w:p>
    <w:p w14:paraId="6C3FA3B4"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Kocarslan, H. and Stoycheva, B. (2025), “The effect of digital literacy on online purchase intention: The mediating role of social media use”, </w:t>
      </w:r>
      <w:r w:rsidRPr="004F289D">
        <w:rPr>
          <w:rFonts w:eastAsia="Aptos" w:cs="Times New Roman"/>
          <w:i/>
          <w:iCs/>
          <w:lang/>
        </w:rPr>
        <w:t>Journal of Theoretical and Applied Electronic Commerce Research</w:t>
      </w:r>
      <w:r w:rsidRPr="004F289D">
        <w:rPr>
          <w:rFonts w:eastAsia="Aptos" w:cs="Times New Roman"/>
          <w:lang/>
        </w:rPr>
        <w:t>, Vol. 20 No. 4, Article 355.</w:t>
      </w:r>
    </w:p>
    <w:p w14:paraId="60781791" w14:textId="62EA107C" w:rsidR="00DB132D" w:rsidRPr="004F289D" w:rsidRDefault="00DB132D" w:rsidP="00DB132D">
      <w:pPr>
        <w:spacing w:line="278" w:lineRule="auto"/>
        <w:rPr>
          <w:rFonts w:eastAsia="Aptos" w:cs="Times New Roman"/>
          <w:lang/>
        </w:rPr>
      </w:pPr>
      <w:r w:rsidRPr="004F289D">
        <w:rPr>
          <w:rFonts w:eastAsia="Aptos" w:cs="Times New Roman"/>
          <w:lang/>
        </w:rPr>
        <w:t xml:space="preserve">Kurbanoglu, S.S., Akkoyunlu, B. and Umay, A. (2006), “Developing the information literacy self-efficacy scale”, </w:t>
      </w:r>
      <w:r w:rsidRPr="004F289D">
        <w:rPr>
          <w:rFonts w:eastAsia="Aptos" w:cs="Times New Roman"/>
          <w:i/>
          <w:iCs/>
          <w:lang/>
        </w:rPr>
        <w:t>Journal of Documentation</w:t>
      </w:r>
      <w:r w:rsidRPr="004F289D">
        <w:rPr>
          <w:rFonts w:eastAsia="Aptos" w:cs="Times New Roman"/>
          <w:lang/>
        </w:rPr>
        <w:t>, Vol. 62 No. 6, pp. 730–743.</w:t>
      </w:r>
    </w:p>
    <w:p w14:paraId="7A2CF428"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Li, H., Li, K.-Y., Hu, X.-R., Hong, X., He, Y.-T., Xiong, H.-W. and Zhang, Y.-L. (2025), “Development and validation of the Information Literacy Measurement Scale (ILMS-34) in Chinese public health practitioners”, </w:t>
      </w:r>
      <w:r w:rsidRPr="004F289D">
        <w:rPr>
          <w:rFonts w:eastAsia="Aptos" w:cs="Times New Roman"/>
          <w:i/>
          <w:iCs/>
          <w:lang/>
        </w:rPr>
        <w:t>BMC Medical Education</w:t>
      </w:r>
      <w:r w:rsidRPr="004F289D">
        <w:rPr>
          <w:rFonts w:eastAsia="Aptos" w:cs="Times New Roman"/>
          <w:lang/>
        </w:rPr>
        <w:t>, Vol. 25, Article 75.</w:t>
      </w:r>
    </w:p>
    <w:p w14:paraId="6C7AB4BC"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Li, X. and Hu, R. (2022), “Developing and validating the digital skills scale for school children (DSS-SC)”, </w:t>
      </w:r>
      <w:r w:rsidRPr="004F289D">
        <w:rPr>
          <w:rFonts w:eastAsia="Aptos" w:cs="Times New Roman"/>
          <w:i/>
          <w:iCs/>
          <w:lang/>
        </w:rPr>
        <w:t>Information, Communication &amp; Society</w:t>
      </w:r>
      <w:r w:rsidRPr="004F289D">
        <w:rPr>
          <w:rFonts w:eastAsia="Aptos" w:cs="Times New Roman"/>
          <w:lang/>
        </w:rPr>
        <w:t>, Vol. 25 No. 10, pp. 1365–1382.</w:t>
      </w:r>
    </w:p>
    <w:p w14:paraId="3A7475C0" w14:textId="309EEF1D" w:rsidR="00DB132D" w:rsidRPr="004F289D" w:rsidRDefault="00DB132D" w:rsidP="00DB132D">
      <w:pPr>
        <w:spacing w:line="278" w:lineRule="auto"/>
        <w:rPr>
          <w:rFonts w:eastAsia="Aptos" w:cs="Times New Roman"/>
          <w:lang/>
        </w:rPr>
      </w:pPr>
      <w:r w:rsidRPr="004F289D">
        <w:rPr>
          <w:rFonts w:eastAsia="Aptos" w:cs="Times New Roman"/>
          <w:lang/>
        </w:rPr>
        <w:t xml:space="preserve">Limayem, M., Hirt, S.G. and Cheung, C.M.K. (2007), “How habit limits the predictive power of intention: The case of information systems continuance”, </w:t>
      </w:r>
      <w:r w:rsidRPr="004F289D">
        <w:rPr>
          <w:rFonts w:eastAsia="Aptos" w:cs="Times New Roman"/>
          <w:i/>
          <w:iCs/>
          <w:lang/>
        </w:rPr>
        <w:t>MIS Quarterly</w:t>
      </w:r>
      <w:r w:rsidRPr="004F289D">
        <w:rPr>
          <w:rFonts w:eastAsia="Aptos" w:cs="Times New Roman"/>
          <w:lang/>
        </w:rPr>
        <w:t>, Vol. 31 No. 4, pp. 705–737.</w:t>
      </w:r>
    </w:p>
    <w:p w14:paraId="20D61E7E" w14:textId="5C47F4F7" w:rsidR="00DB132D" w:rsidRPr="004F289D" w:rsidRDefault="00DB132D" w:rsidP="00DB132D">
      <w:pPr>
        <w:spacing w:line="278" w:lineRule="auto"/>
        <w:rPr>
          <w:rFonts w:eastAsia="Aptos" w:cs="Times New Roman"/>
          <w:lang/>
        </w:rPr>
      </w:pPr>
      <w:r w:rsidRPr="004F289D">
        <w:rPr>
          <w:rFonts w:eastAsia="Aptos" w:cs="Times New Roman"/>
          <w:lang/>
        </w:rPr>
        <w:lastRenderedPageBreak/>
        <w:t xml:space="preserve">Liu, M., Zhang, L.J. and Zhang, D. (2025), “Enhancing student generative AI literacy in digital multimodal composing through development and validation of a scale”, </w:t>
      </w:r>
      <w:r w:rsidRPr="004F289D">
        <w:rPr>
          <w:rFonts w:eastAsia="Aptos" w:cs="Times New Roman"/>
          <w:i/>
          <w:iCs/>
          <w:lang/>
        </w:rPr>
        <w:t>Computers in Human Behavior</w:t>
      </w:r>
      <w:r w:rsidRPr="004F289D">
        <w:rPr>
          <w:rFonts w:eastAsia="Aptos" w:cs="Times New Roman"/>
          <w:lang/>
        </w:rPr>
        <w:t>, Vol. 166, Article 108569.</w:t>
      </w:r>
    </w:p>
    <w:p w14:paraId="515C9626"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Luan, L., Liang, J.-C., Chai, C. S., Lin, T.-B. and Dong, Y. (2023), “Development of the new media literacy scale for EFL learners in China: A validation study”, </w:t>
      </w:r>
      <w:r w:rsidRPr="004F289D">
        <w:rPr>
          <w:rFonts w:eastAsia="Aptos" w:cs="Times New Roman"/>
          <w:i/>
          <w:iCs/>
          <w:lang/>
        </w:rPr>
        <w:t>Interactive Learning Environments</w:t>
      </w:r>
      <w:r w:rsidRPr="004F289D">
        <w:rPr>
          <w:rFonts w:eastAsia="Aptos" w:cs="Times New Roman"/>
          <w:lang/>
        </w:rPr>
        <w:t>, Vol. 31 No. 1, pp. 244–257.</w:t>
      </w:r>
    </w:p>
    <w:p w14:paraId="67F9097E" w14:textId="4F8D81DE" w:rsidR="00DB132D" w:rsidRPr="004F289D" w:rsidRDefault="00DB132D" w:rsidP="00DB132D">
      <w:pPr>
        <w:spacing w:line="278" w:lineRule="auto"/>
        <w:rPr>
          <w:rFonts w:eastAsia="Aptos" w:cs="Times New Roman"/>
          <w:lang/>
        </w:rPr>
      </w:pPr>
      <w:r w:rsidRPr="004F289D">
        <w:rPr>
          <w:rFonts w:eastAsia="Aptos" w:cs="Times New Roman"/>
          <w:lang/>
        </w:rPr>
        <w:t xml:space="preserve">Lund, B.D., Anderson, B., Roeschley, A. and Hossain, G. (2025), “Understanding the relationship between personal data privacy literacy and data privacy information sharing by university students”, </w:t>
      </w:r>
      <w:r w:rsidRPr="004F289D">
        <w:rPr>
          <w:rFonts w:eastAsia="Aptos" w:cs="Times New Roman"/>
          <w:i/>
          <w:iCs/>
          <w:lang/>
        </w:rPr>
        <w:t>Journal of Information Science</w:t>
      </w:r>
      <w:r w:rsidRPr="004F289D">
        <w:rPr>
          <w:rFonts w:eastAsia="Aptos" w:cs="Times New Roman"/>
          <w:lang/>
        </w:rPr>
        <w:t>, pp. 1–9.</w:t>
      </w:r>
    </w:p>
    <w:p w14:paraId="57EE10DF"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Luo, S. and Zou, D. (2025), “K-12 English teachers’ ChatGPT-based digital literacy: Scale development and validation”, </w:t>
      </w:r>
      <w:r w:rsidRPr="004F289D">
        <w:rPr>
          <w:rFonts w:eastAsia="Aptos" w:cs="Times New Roman"/>
          <w:i/>
          <w:iCs/>
          <w:lang/>
        </w:rPr>
        <w:t>European Journal of Education</w:t>
      </w:r>
      <w:r w:rsidRPr="004F289D">
        <w:rPr>
          <w:rFonts w:eastAsia="Aptos" w:cs="Times New Roman"/>
          <w:lang/>
        </w:rPr>
        <w:t>, Vol. 60, Article e70273.</w:t>
      </w:r>
    </w:p>
    <w:p w14:paraId="630A1CA4"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Lyu, T., Guo, Y. and Chen, H. (2024), “Understanding the privacy protection disengagement behaviour of contactless digital service users: The roles of privacy fatigue and privacy literacy”, </w:t>
      </w:r>
      <w:r w:rsidRPr="004F289D">
        <w:rPr>
          <w:rFonts w:eastAsia="Aptos" w:cs="Times New Roman"/>
          <w:i/>
          <w:iCs/>
          <w:lang/>
        </w:rPr>
        <w:t>Behaviour &amp; Information Technology</w:t>
      </w:r>
      <w:r w:rsidRPr="004F289D">
        <w:rPr>
          <w:rFonts w:eastAsia="Aptos" w:cs="Times New Roman"/>
          <w:lang/>
        </w:rPr>
        <w:t>, Vol. 43 No. 10, pp. 2007–2023.</w:t>
      </w:r>
    </w:p>
    <w:p w14:paraId="15F9B36C"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Ma, S. and Chen, C. (2023), “Are digital natives overconfident in their privacy literacy? Discrepancy between self-assessed and actual privacy literacy, and their impacts on privacy protection behavior”, </w:t>
      </w:r>
      <w:r w:rsidRPr="004F289D">
        <w:rPr>
          <w:rFonts w:eastAsia="Aptos" w:cs="Times New Roman"/>
          <w:i/>
          <w:iCs/>
          <w:lang/>
        </w:rPr>
        <w:t>Frontiers in Psychology</w:t>
      </w:r>
      <w:r w:rsidRPr="004F289D">
        <w:rPr>
          <w:rFonts w:eastAsia="Aptos" w:cs="Times New Roman"/>
          <w:lang/>
        </w:rPr>
        <w:t>, Vol. 14, Article 1224168.</w:t>
      </w:r>
    </w:p>
    <w:p w14:paraId="2764E2AB" w14:textId="02BC0F33" w:rsidR="00DB132D" w:rsidRPr="004F289D" w:rsidRDefault="00DB132D" w:rsidP="00DB132D">
      <w:pPr>
        <w:spacing w:line="278" w:lineRule="auto"/>
        <w:rPr>
          <w:rFonts w:eastAsia="Aptos" w:cs="Times New Roman"/>
          <w:lang/>
        </w:rPr>
      </w:pPr>
      <w:r w:rsidRPr="004F289D">
        <w:rPr>
          <w:rFonts w:eastAsia="Aptos" w:cs="Times New Roman"/>
          <w:lang/>
        </w:rPr>
        <w:t xml:space="preserve">Mahmood, M., Batool, S.H., Rafiq, M. and Safdar, M. (2022), “Examining digital information literacy as a determinant of women’s online shopping behavior”, </w:t>
      </w:r>
      <w:r w:rsidRPr="004F289D">
        <w:rPr>
          <w:rFonts w:eastAsia="Aptos" w:cs="Times New Roman"/>
          <w:i/>
          <w:iCs/>
          <w:lang/>
        </w:rPr>
        <w:t>Information Technology &amp; People</w:t>
      </w:r>
      <w:r w:rsidRPr="004F289D">
        <w:rPr>
          <w:rFonts w:eastAsia="Aptos" w:cs="Times New Roman"/>
          <w:lang/>
        </w:rPr>
        <w:t>, Vol. 35 No. 7, pp. 2098–2114.</w:t>
      </w:r>
    </w:p>
    <w:p w14:paraId="338A890D" w14:textId="21B21444" w:rsidR="00DB132D" w:rsidRPr="004F289D" w:rsidRDefault="00DB132D" w:rsidP="00DB132D">
      <w:pPr>
        <w:spacing w:line="278" w:lineRule="auto"/>
        <w:rPr>
          <w:rFonts w:eastAsia="Aptos" w:cs="Times New Roman"/>
          <w:lang/>
        </w:rPr>
      </w:pPr>
      <w:r w:rsidRPr="004F289D">
        <w:rPr>
          <w:rFonts w:eastAsia="Aptos" w:cs="Times New Roman"/>
          <w:lang/>
        </w:rPr>
        <w:t xml:space="preserve">Mughari, S., Naveed, M.A. and Rafique, G.M. (2025), “Information literate students are more engaged and successful: Role of information literacy in higher education”, </w:t>
      </w:r>
      <w:r w:rsidRPr="004F289D">
        <w:rPr>
          <w:rFonts w:eastAsia="Aptos" w:cs="Times New Roman"/>
          <w:i/>
          <w:iCs/>
          <w:lang/>
        </w:rPr>
        <w:t>Online Information Review</w:t>
      </w:r>
      <w:r w:rsidRPr="004F289D">
        <w:rPr>
          <w:rFonts w:eastAsia="Aptos" w:cs="Times New Roman"/>
          <w:lang/>
        </w:rPr>
        <w:t>, Vol. 49 No. 2, pp. 418–437.</w:t>
      </w:r>
    </w:p>
    <w:p w14:paraId="64B88918"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Neira, A., Fuentes-Riffo, K., Vine, A., García, F. and Naranjo, G. (2024), “Development and validation of a self-perception instrument for critical media literacy in Chilean pre-service teachers”, </w:t>
      </w:r>
      <w:r w:rsidRPr="004F289D">
        <w:rPr>
          <w:rFonts w:eastAsia="Aptos" w:cs="Times New Roman"/>
          <w:i/>
          <w:iCs/>
          <w:lang/>
        </w:rPr>
        <w:t>Frontiers in Education</w:t>
      </w:r>
      <w:r w:rsidRPr="004F289D">
        <w:rPr>
          <w:rFonts w:eastAsia="Aptos" w:cs="Times New Roman"/>
          <w:lang/>
        </w:rPr>
        <w:t>, Vol. 9, Article 1476500.</w:t>
      </w:r>
    </w:p>
    <w:p w14:paraId="1670419A"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Ng, W. (2012), “Can we teach digital natives digital literacy?”, </w:t>
      </w:r>
      <w:r w:rsidRPr="004F289D">
        <w:rPr>
          <w:rFonts w:eastAsia="Aptos" w:cs="Times New Roman"/>
          <w:i/>
          <w:iCs/>
          <w:lang/>
        </w:rPr>
        <w:t>Computers &amp; Education</w:t>
      </w:r>
      <w:r w:rsidRPr="004F289D">
        <w:rPr>
          <w:rFonts w:eastAsia="Aptos" w:cs="Times New Roman"/>
          <w:lang/>
        </w:rPr>
        <w:t>, Vol. 59 No. 3, pp. 1065–1078.</w:t>
      </w:r>
    </w:p>
    <w:p w14:paraId="6118B253" w14:textId="77777777" w:rsidR="00E26D28" w:rsidRPr="004F289D" w:rsidRDefault="00E26D28" w:rsidP="00DB132D">
      <w:pPr>
        <w:spacing w:line="278" w:lineRule="auto"/>
        <w:rPr>
          <w:rFonts w:eastAsia="Aptos" w:cs="Times New Roman"/>
          <w:lang/>
        </w:rPr>
      </w:pPr>
      <w:r w:rsidRPr="004F289D">
        <w:rPr>
          <w:rFonts w:eastAsia="Aptos" w:cs="Times New Roman"/>
          <w:lang/>
        </w:rPr>
        <w:t xml:space="preserve">Nikou, S., De Reuver, M. and Mahboob Kanafi, M. (2022), “Workplace literacy skills—how information and digital literacy affect adoption of digital technology”, </w:t>
      </w:r>
      <w:r w:rsidRPr="004F289D">
        <w:rPr>
          <w:rFonts w:eastAsia="Aptos" w:cs="Times New Roman"/>
          <w:i/>
          <w:iCs/>
          <w:lang/>
        </w:rPr>
        <w:t>Journal of Documentation</w:t>
      </w:r>
      <w:r w:rsidRPr="004F289D">
        <w:rPr>
          <w:rFonts w:eastAsia="Aptos" w:cs="Times New Roman"/>
          <w:lang/>
        </w:rPr>
        <w:t>, Vol. 78 No. 7, pp. 371–391.</w:t>
      </w:r>
    </w:p>
    <w:p w14:paraId="6B91694A" w14:textId="5682558C" w:rsidR="00DB132D" w:rsidRPr="004F289D" w:rsidRDefault="00DB132D" w:rsidP="00DB132D">
      <w:pPr>
        <w:spacing w:line="278" w:lineRule="auto"/>
        <w:rPr>
          <w:rFonts w:eastAsia="Aptos" w:cs="Times New Roman"/>
          <w:lang/>
        </w:rPr>
      </w:pPr>
      <w:r w:rsidRPr="004F289D">
        <w:rPr>
          <w:rFonts w:eastAsia="Aptos" w:cs="Times New Roman"/>
          <w:lang/>
        </w:rPr>
        <w:t xml:space="preserve">Nurbekova, G., Orazbayeva, B., Dildabek, A. and Zhilmagambetova, R. (2025), “The use of information technology in preparation for international educational research”, </w:t>
      </w:r>
      <w:r w:rsidRPr="004F289D">
        <w:rPr>
          <w:rFonts w:eastAsia="Aptos" w:cs="Times New Roman"/>
          <w:i/>
          <w:iCs/>
          <w:lang/>
        </w:rPr>
        <w:t>International Journal of Information and Education Technology</w:t>
      </w:r>
      <w:r w:rsidRPr="004F289D">
        <w:rPr>
          <w:rFonts w:eastAsia="Aptos" w:cs="Times New Roman"/>
          <w:lang/>
        </w:rPr>
        <w:t>, Vol. 15 No. 8, pp. 1743–1751.</w:t>
      </w:r>
    </w:p>
    <w:p w14:paraId="44812C80"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Pan, Y., Wang, Y., Li, X. and Zhang, J. (2024), “Development and validation of an artificial intelligence literacy scale for students”, </w:t>
      </w:r>
      <w:r w:rsidRPr="004F289D">
        <w:rPr>
          <w:rFonts w:eastAsia="Aptos" w:cs="Times New Roman"/>
          <w:i/>
          <w:iCs/>
          <w:lang/>
        </w:rPr>
        <w:t>Computers &amp; Education: Artificial Intelligence</w:t>
      </w:r>
      <w:r w:rsidRPr="004F289D">
        <w:rPr>
          <w:rFonts w:eastAsia="Aptos" w:cs="Times New Roman"/>
          <w:lang/>
        </w:rPr>
        <w:t>, Vol. 5, Article 100163.</w:t>
      </w:r>
    </w:p>
    <w:p w14:paraId="2A9504A4" w14:textId="2F1AAB67" w:rsidR="00DB132D" w:rsidRPr="004F289D" w:rsidRDefault="00DB132D" w:rsidP="00DB132D">
      <w:pPr>
        <w:spacing w:line="278" w:lineRule="auto"/>
        <w:rPr>
          <w:rFonts w:eastAsia="Aptos" w:cs="Times New Roman"/>
          <w:lang/>
        </w:rPr>
      </w:pPr>
      <w:r w:rsidRPr="004F289D">
        <w:rPr>
          <w:rFonts w:eastAsia="Aptos" w:cs="Times New Roman"/>
          <w:lang/>
        </w:rPr>
        <w:t xml:space="preserve">Pelawi, R.Y., Tandelilin, E., Lantara, I.W.N. and Junarsin, E. (2025), “Empowered to detect: How vigilance and financial literacy shield us from the rising tide of financial frauds”, </w:t>
      </w:r>
      <w:r w:rsidRPr="004F289D">
        <w:rPr>
          <w:rFonts w:eastAsia="Aptos" w:cs="Times New Roman"/>
          <w:i/>
          <w:iCs/>
          <w:lang/>
        </w:rPr>
        <w:t>Journal of Risk and Financial Management</w:t>
      </w:r>
      <w:r w:rsidRPr="004F289D">
        <w:rPr>
          <w:rFonts w:eastAsia="Aptos" w:cs="Times New Roman"/>
          <w:lang/>
        </w:rPr>
        <w:t>, Vol. 18 No. 8, Article 425.</w:t>
      </w:r>
    </w:p>
    <w:p w14:paraId="31DFCEC3" w14:textId="77777777" w:rsidR="00DB132D" w:rsidRPr="004F289D" w:rsidRDefault="00DB132D" w:rsidP="00DB132D">
      <w:pPr>
        <w:spacing w:line="278" w:lineRule="auto"/>
        <w:rPr>
          <w:rFonts w:eastAsia="Aptos" w:cs="Times New Roman"/>
          <w:lang/>
        </w:rPr>
      </w:pPr>
      <w:r w:rsidRPr="004F289D">
        <w:rPr>
          <w:rFonts w:eastAsia="Aptos" w:cs="Times New Roman"/>
          <w:lang/>
        </w:rPr>
        <w:lastRenderedPageBreak/>
        <w:t xml:space="preserve">Reddy, P., Chaudhary, K. and Hussein, S. (2023), “A digital literacy model to narrow the digital literacy skills gap”, </w:t>
      </w:r>
      <w:r w:rsidRPr="004F289D">
        <w:rPr>
          <w:rFonts w:eastAsia="Aptos" w:cs="Times New Roman"/>
          <w:i/>
          <w:iCs/>
          <w:lang/>
        </w:rPr>
        <w:t>Heliyon</w:t>
      </w:r>
      <w:r w:rsidRPr="004F289D">
        <w:rPr>
          <w:rFonts w:eastAsia="Aptos" w:cs="Times New Roman"/>
          <w:lang/>
        </w:rPr>
        <w:t>, Vol. 9 No. 4, Article e14878.</w:t>
      </w:r>
    </w:p>
    <w:p w14:paraId="720BD7BE"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Reddy, P., Sharma, B., Chaudhary, K., Lolohea, O. and Tamath, R. (2022), “Information literacy: A desideratum of the 21st century”, </w:t>
      </w:r>
      <w:r w:rsidRPr="004F289D">
        <w:rPr>
          <w:rFonts w:eastAsia="Aptos" w:cs="Times New Roman"/>
          <w:i/>
          <w:iCs/>
          <w:lang/>
        </w:rPr>
        <w:t>Online Information Review</w:t>
      </w:r>
      <w:r w:rsidRPr="004F289D">
        <w:rPr>
          <w:rFonts w:eastAsia="Aptos" w:cs="Times New Roman"/>
          <w:lang/>
        </w:rPr>
        <w:t>, Vol. 46 No. 3, pp. 441–463.</w:t>
      </w:r>
    </w:p>
    <w:p w14:paraId="4B608A1C"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Ren, W., Zhu, X. and Yang, J. (2022), “The SES-based difference of adolescents’ digital skills and usages: An explanation from family cultural capital”, </w:t>
      </w:r>
      <w:r w:rsidRPr="004F289D">
        <w:rPr>
          <w:rFonts w:eastAsia="Aptos" w:cs="Times New Roman"/>
          <w:i/>
          <w:iCs/>
          <w:lang/>
        </w:rPr>
        <w:t>Computers &amp; Education</w:t>
      </w:r>
      <w:r w:rsidRPr="004F289D">
        <w:rPr>
          <w:rFonts w:eastAsia="Aptos" w:cs="Times New Roman"/>
          <w:lang/>
        </w:rPr>
        <w:t>, Vol. 177, Article 104382.</w:t>
      </w:r>
    </w:p>
    <w:p w14:paraId="519F3833"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Rey-Ares, L., Fernández-López, S. and Álvarez-Espiño, M. (2024), “The role of financial literacy in consumer financial fraud exposure (via email) and victimisation: Evidence from Spain”, </w:t>
      </w:r>
      <w:r w:rsidRPr="004F289D">
        <w:rPr>
          <w:rFonts w:eastAsia="Aptos" w:cs="Times New Roman"/>
          <w:i/>
          <w:iCs/>
          <w:lang/>
        </w:rPr>
        <w:t>International Journal of Bank Marketing</w:t>
      </w:r>
      <w:r w:rsidRPr="004F289D">
        <w:rPr>
          <w:rFonts w:eastAsia="Aptos" w:cs="Times New Roman"/>
          <w:lang/>
        </w:rPr>
        <w:t>, Vol. 42 No. 6, pp. 1388–1413.</w:t>
      </w:r>
    </w:p>
    <w:p w14:paraId="643BE92C"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Rodríguez-de-Dios, I., Igartua, J.-J. and González-Vázquez, A. (2016), “Development and validation of a digital literacy scale for teenagers”, </w:t>
      </w:r>
      <w:r w:rsidRPr="004F289D">
        <w:rPr>
          <w:rFonts w:eastAsia="Aptos" w:cs="Times New Roman"/>
          <w:i/>
          <w:iCs/>
          <w:lang/>
        </w:rPr>
        <w:t>Proceedings of the Fourth International Conference on Technological Ecosystems for Enhancing Multiculturality (TEEM ’16)</w:t>
      </w:r>
      <w:r w:rsidRPr="004F289D">
        <w:rPr>
          <w:rFonts w:eastAsia="Aptos" w:cs="Times New Roman"/>
          <w:lang/>
        </w:rPr>
        <w:t>, pp. 1067–1073.</w:t>
      </w:r>
    </w:p>
    <w:p w14:paraId="696D255B"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Rosenthal, S., Wasenden, O.-C., Gronnevet, G.-A. and Ling, R. (2020), “A tripartite model of trust in Facebook: Acceptance of information personalization, privacy concern, and privacy literacy”, </w:t>
      </w:r>
      <w:r w:rsidRPr="004F289D">
        <w:rPr>
          <w:rFonts w:eastAsia="Aptos" w:cs="Times New Roman"/>
          <w:i/>
          <w:iCs/>
          <w:lang/>
        </w:rPr>
        <w:t>Media Psychology</w:t>
      </w:r>
      <w:r w:rsidRPr="004F289D">
        <w:rPr>
          <w:rFonts w:eastAsia="Aptos" w:cs="Times New Roman"/>
          <w:lang/>
        </w:rPr>
        <w:t>, Vol. 23 No. 6, pp. 840–864.</w:t>
      </w:r>
    </w:p>
    <w:p w14:paraId="1B3F153D"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Saritepeci, M., Yildiz Durak, H., Özüdogru, G. and Atman Uslu, N. (2024), “The role of digital literacy and digital data security awareness in online privacy concerns: A multi-group analysis with gender”, </w:t>
      </w:r>
      <w:r w:rsidRPr="004F289D">
        <w:rPr>
          <w:rFonts w:eastAsia="Aptos" w:cs="Times New Roman"/>
          <w:i/>
          <w:iCs/>
          <w:lang/>
        </w:rPr>
        <w:t>Online Information Review</w:t>
      </w:r>
      <w:r w:rsidRPr="004F289D">
        <w:rPr>
          <w:rFonts w:eastAsia="Aptos" w:cs="Times New Roman"/>
          <w:lang/>
        </w:rPr>
        <w:t>, Vol. 48 No. 5, pp. 983–1001.</w:t>
      </w:r>
    </w:p>
    <w:p w14:paraId="5E1E7E54"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Sindermann, C., Schmitt, H. S., Kargl, F., Herbert, C. and Montag, C. (2021), “Online privacy literacy and online privacy behavior – The role of crystallized intelligence and personality”, </w:t>
      </w:r>
      <w:r w:rsidRPr="004F289D">
        <w:rPr>
          <w:rFonts w:eastAsia="Aptos" w:cs="Times New Roman"/>
          <w:i/>
          <w:iCs/>
          <w:lang/>
        </w:rPr>
        <w:t>International Journal of Human–Computer Interaction</w:t>
      </w:r>
      <w:r w:rsidRPr="004F289D">
        <w:rPr>
          <w:rFonts w:eastAsia="Aptos" w:cs="Times New Roman"/>
          <w:lang/>
        </w:rPr>
        <w:t>, Vol. 37 No. 15, pp. 1455–1466.</w:t>
      </w:r>
    </w:p>
    <w:p w14:paraId="52E14D0F"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Sun, M. and Dong, X. (2024), “Factors influencing correction upon exposure to health misinformation on social media: The moderating role of active social media use”, </w:t>
      </w:r>
      <w:r w:rsidRPr="004F289D">
        <w:rPr>
          <w:rFonts w:eastAsia="Aptos" w:cs="Times New Roman"/>
          <w:i/>
          <w:iCs/>
          <w:lang/>
        </w:rPr>
        <w:t>Online Information Review</w:t>
      </w:r>
      <w:r w:rsidRPr="004F289D">
        <w:rPr>
          <w:rFonts w:eastAsia="Aptos" w:cs="Times New Roman"/>
          <w:lang/>
        </w:rPr>
        <w:t>, Vol. 48 No. 7, pp. 1313–1330.</w:t>
      </w:r>
    </w:p>
    <w:p w14:paraId="28560B8C" w14:textId="081E5671" w:rsidR="00DB132D" w:rsidRPr="004F289D" w:rsidRDefault="00DB132D" w:rsidP="00DB132D">
      <w:pPr>
        <w:spacing w:line="278" w:lineRule="auto"/>
        <w:rPr>
          <w:rFonts w:eastAsia="Aptos" w:cs="Times New Roman"/>
          <w:lang/>
        </w:rPr>
      </w:pPr>
      <w:r w:rsidRPr="004F289D">
        <w:rPr>
          <w:rFonts w:eastAsia="Aptos" w:cs="Times New Roman"/>
          <w:lang/>
        </w:rPr>
        <w:t xml:space="preserve">van Deursen, A.J.A.M., Helsper, E.J. and Eynon, R. (2016), “Development and validation of the Internet Skills Scale (ISS)”, </w:t>
      </w:r>
      <w:r w:rsidRPr="004F289D">
        <w:rPr>
          <w:rFonts w:eastAsia="Aptos" w:cs="Times New Roman"/>
          <w:i/>
          <w:iCs/>
          <w:lang/>
        </w:rPr>
        <w:t>Information, Communication &amp; Society</w:t>
      </w:r>
      <w:r w:rsidRPr="004F289D">
        <w:rPr>
          <w:rFonts w:eastAsia="Aptos" w:cs="Times New Roman"/>
          <w:lang/>
        </w:rPr>
        <w:t>, Vol. 19 No. 6, pp. 804–823.</w:t>
      </w:r>
    </w:p>
    <w:p w14:paraId="0805BE33"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Wang, X., Wang, Z., Wang, Q., Chen, W. and Pi, Z. (2021), “Supporting digitally enhanced learning through measurement in higher education: Development and validation of a university students’ digital competence scale”, </w:t>
      </w:r>
      <w:r w:rsidRPr="004F289D">
        <w:rPr>
          <w:rFonts w:eastAsia="Aptos" w:cs="Times New Roman"/>
          <w:i/>
          <w:iCs/>
          <w:lang/>
        </w:rPr>
        <w:t>Journal of Computer Assisted Learning</w:t>
      </w:r>
      <w:r w:rsidRPr="004F289D">
        <w:rPr>
          <w:rFonts w:eastAsia="Aptos" w:cs="Times New Roman"/>
          <w:lang/>
        </w:rPr>
        <w:t>, Vol. 37, pp. 1063–1076.</w:t>
      </w:r>
    </w:p>
    <w:p w14:paraId="5F5E50D0"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Wang, Y., Liu, Q., Zhang, X. and Chen, Z. (2025), “Development and validation of the Digital Literacy Across Disciplines scale for medical students”, </w:t>
      </w:r>
      <w:r w:rsidRPr="004F289D">
        <w:rPr>
          <w:rFonts w:eastAsia="Aptos" w:cs="Times New Roman"/>
          <w:i/>
          <w:iCs/>
          <w:lang/>
        </w:rPr>
        <w:t>BMC Medical Education</w:t>
      </w:r>
      <w:r w:rsidRPr="004F289D">
        <w:rPr>
          <w:rFonts w:eastAsia="Aptos" w:cs="Times New Roman"/>
          <w:lang/>
        </w:rPr>
        <w:t>, Vol. 25, Article 87.</w:t>
      </w:r>
    </w:p>
    <w:p w14:paraId="404F34CC"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Xiao, X., Li, X. and Zhou, Y. (2022), “Financial literacy overconfidence and investment fraud victimization”, </w:t>
      </w:r>
      <w:r w:rsidRPr="004F289D">
        <w:rPr>
          <w:rFonts w:eastAsia="Aptos" w:cs="Times New Roman"/>
          <w:i/>
          <w:iCs/>
          <w:lang/>
        </w:rPr>
        <w:t>Economics Letters</w:t>
      </w:r>
      <w:r w:rsidRPr="004F289D">
        <w:rPr>
          <w:rFonts w:eastAsia="Aptos" w:cs="Times New Roman"/>
          <w:lang/>
        </w:rPr>
        <w:t>, Vol. 212, Article 110308.</w:t>
      </w:r>
    </w:p>
    <w:p w14:paraId="39A94BE7"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Yang, H. and Li, X. (2025), “Household financial environment, financial literacy and fraud risk”, </w:t>
      </w:r>
      <w:r w:rsidRPr="004F289D">
        <w:rPr>
          <w:rFonts w:eastAsia="Aptos" w:cs="Times New Roman"/>
          <w:i/>
          <w:iCs/>
          <w:lang/>
        </w:rPr>
        <w:t>Finance Research Letters</w:t>
      </w:r>
      <w:r w:rsidRPr="004F289D">
        <w:rPr>
          <w:rFonts w:eastAsia="Aptos" w:cs="Times New Roman"/>
          <w:lang/>
        </w:rPr>
        <w:t>, Vol. 86, Article 108385.</w:t>
      </w:r>
    </w:p>
    <w:p w14:paraId="2ED1B5EF" w14:textId="77777777" w:rsidR="00DB132D" w:rsidRPr="004F289D" w:rsidRDefault="00DB132D" w:rsidP="00DB132D">
      <w:pPr>
        <w:spacing w:line="278" w:lineRule="auto"/>
        <w:rPr>
          <w:rFonts w:eastAsia="Aptos" w:cs="Times New Roman"/>
          <w:lang/>
        </w:rPr>
      </w:pPr>
      <w:r w:rsidRPr="004F289D">
        <w:rPr>
          <w:rFonts w:eastAsia="Aptos" w:cs="Times New Roman"/>
          <w:lang/>
        </w:rPr>
        <w:lastRenderedPageBreak/>
        <w:t xml:space="preserve">Young, J. A. (2015), “Assessing new media literacies in social work education: The development and validation of a comprehensive assessment instrument”, </w:t>
      </w:r>
      <w:r w:rsidRPr="004F289D">
        <w:rPr>
          <w:rFonts w:eastAsia="Aptos" w:cs="Times New Roman"/>
          <w:i/>
          <w:iCs/>
          <w:lang/>
        </w:rPr>
        <w:t>Journal of Technology in Human Services</w:t>
      </w:r>
      <w:r w:rsidRPr="004F289D">
        <w:rPr>
          <w:rFonts w:eastAsia="Aptos" w:cs="Times New Roman"/>
          <w:lang/>
        </w:rPr>
        <w:t>, Vol. 33 No. 1, pp. 72–86.</w:t>
      </w:r>
    </w:p>
    <w:p w14:paraId="3E3D6392" w14:textId="1E3A5DFB" w:rsidR="00DB132D" w:rsidRPr="004F289D" w:rsidRDefault="00DB132D" w:rsidP="00DB132D">
      <w:pPr>
        <w:spacing w:line="278" w:lineRule="auto"/>
        <w:rPr>
          <w:rFonts w:eastAsia="Aptos" w:cs="Times New Roman"/>
          <w:lang/>
        </w:rPr>
      </w:pPr>
      <w:r w:rsidRPr="004F289D">
        <w:rPr>
          <w:rFonts w:eastAsia="Aptos" w:cs="Times New Roman"/>
          <w:lang/>
        </w:rPr>
        <w:t xml:space="preserve">Yu, L., Wu, F. and Yang, H.H. (2025), “Bridging the digital divide: Development and validation of a digital literacy scale for older adults in China”, </w:t>
      </w:r>
      <w:r w:rsidRPr="004F289D">
        <w:rPr>
          <w:rFonts w:eastAsia="Aptos" w:cs="Times New Roman"/>
          <w:i/>
          <w:iCs/>
          <w:lang/>
        </w:rPr>
        <w:t>Humanities and Social Sciences Communications</w:t>
      </w:r>
      <w:r w:rsidRPr="004F289D">
        <w:rPr>
          <w:rFonts w:eastAsia="Aptos" w:cs="Times New Roman"/>
          <w:lang/>
        </w:rPr>
        <w:t>, Vol. 12, Article 1715.</w:t>
      </w:r>
    </w:p>
    <w:p w14:paraId="5421B865" w14:textId="77777777" w:rsidR="00DB132D" w:rsidRPr="004F289D" w:rsidRDefault="00DB132D" w:rsidP="00DB132D">
      <w:pPr>
        <w:spacing w:line="278" w:lineRule="auto"/>
        <w:rPr>
          <w:rFonts w:eastAsia="Aptos" w:cs="Times New Roman"/>
          <w:lang/>
        </w:rPr>
      </w:pPr>
      <w:r w:rsidRPr="004F289D">
        <w:rPr>
          <w:rFonts w:eastAsia="Aptos" w:cs="Times New Roman"/>
          <w:lang/>
        </w:rPr>
        <w:t xml:space="preserve">Yu, S.-J., Kuo, C.-T. and Tseng, Y.-C. (2023), “Association of financial literacy and risk preference with fraud exposure and victimization among middle-aged and older adults in China”, </w:t>
      </w:r>
      <w:r w:rsidRPr="004F289D">
        <w:rPr>
          <w:rFonts w:eastAsia="Aptos" w:cs="Times New Roman"/>
          <w:i/>
          <w:iCs/>
          <w:lang/>
        </w:rPr>
        <w:t>Journal of Applied Gerontology</w:t>
      </w:r>
      <w:r w:rsidRPr="004F289D">
        <w:rPr>
          <w:rFonts w:eastAsia="Aptos" w:cs="Times New Roman"/>
          <w:lang/>
        </w:rPr>
        <w:t>, Vol. 42 No. 1, pp. 89–98.</w:t>
      </w:r>
    </w:p>
    <w:p w14:paraId="2B0D4962" w14:textId="77777777" w:rsidR="00A46C9C" w:rsidRPr="004F289D" w:rsidRDefault="00A46C9C" w:rsidP="00DB132D">
      <w:pPr>
        <w:spacing w:line="278" w:lineRule="auto"/>
        <w:rPr>
          <w:rFonts w:eastAsia="Aptos" w:cs="Times New Roman"/>
          <w:lang/>
        </w:rPr>
      </w:pPr>
      <w:r w:rsidRPr="004F289D">
        <w:rPr>
          <w:rFonts w:eastAsia="Aptos" w:cs="Times New Roman"/>
          <w:lang/>
        </w:rPr>
        <w:t xml:space="preserve">Zhang, D., Wu, Y. and Wu, J.G. (2025), “Exploring language learners’ new media literacy: instrument development and validation”, </w:t>
      </w:r>
      <w:r w:rsidRPr="004F289D">
        <w:rPr>
          <w:rFonts w:eastAsia="Aptos" w:cs="Times New Roman"/>
          <w:i/>
          <w:iCs/>
          <w:lang/>
        </w:rPr>
        <w:t>Innovation in Language Learning and Teaching</w:t>
      </w:r>
      <w:r w:rsidRPr="004F289D">
        <w:rPr>
          <w:rFonts w:eastAsia="Aptos" w:cs="Times New Roman"/>
          <w:lang/>
        </w:rPr>
        <w:t>, pp. 1–18, doi: 10.1080/17501229.2025.2473597.</w:t>
      </w:r>
    </w:p>
    <w:p w14:paraId="02DCAE8B" w14:textId="42BEC160" w:rsidR="00BF573A" w:rsidRPr="004F289D" w:rsidRDefault="00DB132D" w:rsidP="00DB132D">
      <w:pPr>
        <w:spacing w:line="278" w:lineRule="auto"/>
        <w:rPr>
          <w:rFonts w:eastAsia="Aptos" w:cs="Times New Roman"/>
          <w:lang/>
        </w:rPr>
        <w:sectPr w:rsidR="00BF573A" w:rsidRPr="004F289D" w:rsidSect="00A10A79">
          <w:footerReference w:type="default" r:id="rId7"/>
          <w:pgSz w:w="11906" w:h="16838"/>
          <w:pgMar w:top="1440" w:right="1416" w:bottom="1440" w:left="1871" w:header="709" w:footer="0" w:gutter="0"/>
          <w:cols w:space="708"/>
          <w:docGrid w:linePitch="360"/>
        </w:sectPr>
      </w:pPr>
      <w:r w:rsidRPr="004F289D">
        <w:rPr>
          <w:rFonts w:eastAsia="Aptos" w:cs="Times New Roman"/>
          <w:lang/>
        </w:rPr>
        <w:t xml:space="preserve">Zheng, H., Li, Q. and Xia, C. (2024), “Does financial literacy contribute to facilitating residents in safeguarding their rights as financial consumers? A three-stage study based on the perspective of ‘fraud’ phenomenon”, </w:t>
      </w:r>
      <w:r w:rsidRPr="004F289D">
        <w:rPr>
          <w:rFonts w:eastAsia="Aptos" w:cs="Times New Roman"/>
          <w:i/>
          <w:iCs/>
          <w:lang/>
        </w:rPr>
        <w:t>International Review of Economics and Finance</w:t>
      </w:r>
      <w:r w:rsidRPr="004F289D">
        <w:rPr>
          <w:rFonts w:eastAsia="Aptos" w:cs="Times New Roman"/>
          <w:lang/>
        </w:rPr>
        <w:t>, Vol. 93, pp. 720–735.</w:t>
      </w:r>
    </w:p>
    <w:p w14:paraId="3DB5249E" w14:textId="6A295324" w:rsidR="00BF573A" w:rsidRPr="004F289D" w:rsidRDefault="00710711" w:rsidP="00BF573A">
      <w:pPr>
        <w:spacing w:line="278" w:lineRule="auto"/>
        <w:rPr>
          <w:rFonts w:eastAsia="Aptos" w:cs="Times New Roman"/>
          <w:b/>
          <w:bCs/>
          <w:sz w:val="24"/>
          <w:szCs w:val="24"/>
          <w:lang w:val="en-US"/>
        </w:rPr>
      </w:pPr>
      <w:r w:rsidRPr="004F289D">
        <w:rPr>
          <w:rFonts w:eastAsia="Aptos" w:cs="Times New Roman"/>
          <w:b/>
          <w:bCs/>
          <w:sz w:val="24"/>
          <w:szCs w:val="24"/>
          <w:lang w:val="en-US"/>
        </w:rPr>
        <w:lastRenderedPageBreak/>
        <w:t xml:space="preserve">Table </w:t>
      </w:r>
      <w:r w:rsidR="00BF573A" w:rsidRPr="004F289D">
        <w:rPr>
          <w:rFonts w:eastAsia="Aptos" w:cs="Times New Roman"/>
          <w:b/>
          <w:bCs/>
          <w:sz w:val="24"/>
          <w:szCs w:val="24"/>
          <w:lang w:val="en-US"/>
        </w:rPr>
        <w:t xml:space="preserve">A2. </w:t>
      </w:r>
      <w:r w:rsidR="00BF573A" w:rsidRPr="004F289D">
        <w:rPr>
          <w:rFonts w:eastAsia="Aptos" w:cs="Times New Roman"/>
          <w:sz w:val="24"/>
          <w:szCs w:val="24"/>
          <w:lang w:val="en-US"/>
        </w:rPr>
        <w:t>Important knowledge for fraud detection and protection</w:t>
      </w:r>
      <w:r w:rsidR="00122FE9" w:rsidRPr="004F289D">
        <w:rPr>
          <w:rFonts w:eastAsia="Aptos" w:cs="Times New Roman"/>
          <w:b/>
          <w:bCs/>
          <w:lang w:val="en-US"/>
        </w:rPr>
        <w:t>*</w:t>
      </w:r>
    </w:p>
    <w:tbl>
      <w:tblPr>
        <w:tblStyle w:val="TableGrid4"/>
        <w:tblW w:w="5000" w:type="pct"/>
        <w:tblLook w:val="04A0" w:firstRow="1" w:lastRow="0" w:firstColumn="1" w:lastColumn="0" w:noHBand="0" w:noVBand="1"/>
      </w:tblPr>
      <w:tblGrid>
        <w:gridCol w:w="1620"/>
        <w:gridCol w:w="3107"/>
        <w:gridCol w:w="10671"/>
      </w:tblGrid>
      <w:tr w:rsidR="004F289D" w:rsidRPr="004F289D" w14:paraId="29B1F101" w14:textId="77777777" w:rsidTr="00710711">
        <w:tc>
          <w:tcPr>
            <w:tcW w:w="526" w:type="pct"/>
            <w:tcBorders>
              <w:left w:val="nil"/>
              <w:bottom w:val="single" w:sz="4" w:space="0" w:color="auto"/>
              <w:right w:val="nil"/>
            </w:tcBorders>
          </w:tcPr>
          <w:p w14:paraId="694AA92C"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lang w:val="en-US"/>
              </w:rPr>
              <w:t>Concept Identified</w:t>
            </w:r>
          </w:p>
        </w:tc>
        <w:tc>
          <w:tcPr>
            <w:tcW w:w="1009" w:type="pct"/>
            <w:tcBorders>
              <w:left w:val="nil"/>
              <w:bottom w:val="single" w:sz="4" w:space="0" w:color="auto"/>
              <w:right w:val="nil"/>
            </w:tcBorders>
          </w:tcPr>
          <w:p w14:paraId="7048ECC6"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lang w:val="en-US"/>
              </w:rPr>
              <w:t>Prior Research Discussing It</w:t>
            </w:r>
          </w:p>
        </w:tc>
        <w:tc>
          <w:tcPr>
            <w:tcW w:w="3465" w:type="pct"/>
            <w:tcBorders>
              <w:left w:val="nil"/>
              <w:bottom w:val="single" w:sz="4" w:space="0" w:color="auto"/>
              <w:right w:val="nil"/>
            </w:tcBorders>
          </w:tcPr>
          <w:p w14:paraId="38B0686F"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lang w:val="en-US"/>
              </w:rPr>
              <w:t>Examples of quotes in prior research about needed knowledge identified for fraud detection and protection</w:t>
            </w:r>
          </w:p>
          <w:p w14:paraId="62A33194" w14:textId="77777777" w:rsidR="00BF573A" w:rsidRPr="004F289D" w:rsidRDefault="00BF573A" w:rsidP="00BF573A">
            <w:pPr>
              <w:rPr>
                <w:rFonts w:eastAsia="Aptos" w:cs="Times New Roman"/>
                <w:b/>
                <w:bCs/>
                <w:sz w:val="22"/>
                <w:szCs w:val="22"/>
                <w:lang w:val="en-US"/>
              </w:rPr>
            </w:pPr>
          </w:p>
        </w:tc>
      </w:tr>
      <w:tr w:rsidR="004F289D" w:rsidRPr="004F289D" w14:paraId="13172E76" w14:textId="77777777" w:rsidTr="00710711">
        <w:tc>
          <w:tcPr>
            <w:tcW w:w="526" w:type="pct"/>
            <w:tcBorders>
              <w:left w:val="nil"/>
              <w:bottom w:val="single" w:sz="4" w:space="0" w:color="auto"/>
              <w:right w:val="nil"/>
            </w:tcBorders>
          </w:tcPr>
          <w:p w14:paraId="2A777EF8" w14:textId="77777777" w:rsidR="00BF573A" w:rsidRPr="004F289D" w:rsidRDefault="00BF573A" w:rsidP="00BF573A">
            <w:pPr>
              <w:rPr>
                <w:rFonts w:eastAsia="Aptos" w:cs="Times New Roman"/>
                <w:b/>
                <w:bCs/>
                <w:sz w:val="22"/>
                <w:szCs w:val="22"/>
              </w:rPr>
            </w:pPr>
          </w:p>
          <w:p w14:paraId="454EAE22"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rPr>
              <w:t>Identity theft</w:t>
            </w:r>
          </w:p>
        </w:tc>
        <w:tc>
          <w:tcPr>
            <w:tcW w:w="1009" w:type="pct"/>
            <w:tcBorders>
              <w:left w:val="nil"/>
              <w:bottom w:val="single" w:sz="4" w:space="0" w:color="auto"/>
              <w:right w:val="nil"/>
            </w:tcBorders>
          </w:tcPr>
          <w:p w14:paraId="767B3779" w14:textId="1430920C" w:rsidR="00BF573A" w:rsidRPr="004F289D" w:rsidRDefault="00467D92" w:rsidP="00BF573A">
            <w:pPr>
              <w:rPr>
                <w:rFonts w:eastAsia="Aptos" w:cs="Times New Roman"/>
                <w:sz w:val="22"/>
                <w:szCs w:val="22"/>
                <w:lang w:val="en-US"/>
              </w:rPr>
            </w:pPr>
            <w:r w:rsidRPr="004F289D">
              <w:rPr>
                <w:rFonts w:eastAsia="Aptos" w:cs="Times New Roman"/>
                <w:sz w:val="22"/>
                <w:szCs w:val="22"/>
                <w:lang w:val="sv-SE"/>
              </w:rPr>
              <w:t xml:space="preserve">Afzal et al. (2025); </w:t>
            </w:r>
            <w:r w:rsidR="00FF4518" w:rsidRPr="004F289D">
              <w:rPr>
                <w:rFonts w:eastAsia="Aptos" w:cs="Times New Roman"/>
                <w:sz w:val="22"/>
                <w:szCs w:val="22"/>
                <w:lang w:val="sv-SE"/>
              </w:rPr>
              <w:t xml:space="preserve">Ahuja and </w:t>
            </w:r>
            <w:r w:rsidR="00FF4518" w:rsidRPr="004F289D">
              <w:rPr>
                <w:rFonts w:eastAsia="Times New Roman" w:cs="Times New Roman"/>
                <w:kern w:val="0"/>
                <w:sz w:val="22"/>
                <w:szCs w:val="22"/>
                <w:lang w:val="sv-SE"/>
                <w14:ligatures w14:val="none"/>
              </w:rPr>
              <w:t>Singh</w:t>
            </w:r>
            <w:r w:rsidR="00FF4518" w:rsidRPr="004F289D">
              <w:rPr>
                <w:rFonts w:eastAsia="Aptos" w:cs="Times New Roman"/>
                <w:sz w:val="22"/>
                <w:szCs w:val="22"/>
                <w:lang w:val="sv-SE"/>
              </w:rPr>
              <w:t xml:space="preserve"> (2017); </w:t>
            </w:r>
            <w:r w:rsidR="00BF573A" w:rsidRPr="004F289D">
              <w:rPr>
                <w:rFonts w:eastAsia="Aptos" w:cs="Times New Roman"/>
                <w:sz w:val="22"/>
                <w:szCs w:val="22"/>
                <w:lang w:val="sv-SE"/>
              </w:rPr>
              <w:t xml:space="preserve">Baker (1999); Balakrishnan et al. (2025); Bansal et al. (2025); Benson et al. (2015); Bera et al. (2023); Bian et al. (2023); Chawla and Kumar (2022); Cross (2015, 2016); Cross and Kelly (2016); DeLiema et al. </w:t>
            </w:r>
            <w:r w:rsidR="00BF573A" w:rsidRPr="004F289D">
              <w:rPr>
                <w:rFonts w:eastAsia="Aptos" w:cs="Times New Roman"/>
                <w:sz w:val="22"/>
                <w:szCs w:val="22"/>
                <w:lang w:val="es-ES"/>
              </w:rPr>
              <w:t xml:space="preserve">(2023); </w:t>
            </w:r>
            <w:proofErr w:type="spellStart"/>
            <w:r w:rsidR="00BF573A" w:rsidRPr="004F289D">
              <w:rPr>
                <w:rFonts w:eastAsia="Aptos" w:cs="Times New Roman"/>
                <w:sz w:val="22"/>
                <w:szCs w:val="22"/>
                <w:lang w:val="es-ES"/>
              </w:rPr>
              <w:t>Douglass</w:t>
            </w:r>
            <w:proofErr w:type="spellEnd"/>
            <w:r w:rsidR="00BF573A" w:rsidRPr="004F289D">
              <w:rPr>
                <w:rFonts w:eastAsia="Aptos" w:cs="Times New Roman"/>
                <w:sz w:val="22"/>
                <w:szCs w:val="22"/>
                <w:lang w:val="es-ES"/>
              </w:rPr>
              <w:t xml:space="preserve"> (2009); </w:t>
            </w:r>
            <w:proofErr w:type="spellStart"/>
            <w:r w:rsidR="00FC7205" w:rsidRPr="004F289D">
              <w:rPr>
                <w:rFonts w:eastAsia="Aptos" w:cs="Times New Roman"/>
                <w:sz w:val="22"/>
                <w:szCs w:val="22"/>
                <w:lang w:val="es-ES"/>
              </w:rPr>
              <w:t>Ertan</w:t>
            </w:r>
            <w:proofErr w:type="spellEnd"/>
            <w:r w:rsidR="00FC7205" w:rsidRPr="004F289D">
              <w:rPr>
                <w:rFonts w:eastAsia="Aptos" w:cs="Times New Roman"/>
                <w:sz w:val="22"/>
                <w:szCs w:val="22"/>
                <w:lang w:val="es-ES"/>
              </w:rPr>
              <w:t xml:space="preserve"> et al. (2018); </w:t>
            </w:r>
            <w:proofErr w:type="spellStart"/>
            <w:r w:rsidR="00BF573A" w:rsidRPr="004F289D">
              <w:rPr>
                <w:rFonts w:eastAsia="Aptos" w:cs="Times New Roman"/>
                <w:sz w:val="22"/>
                <w:szCs w:val="22"/>
                <w:lang w:val="es-ES"/>
              </w:rPr>
              <w:t>Fernandes</w:t>
            </w:r>
            <w:proofErr w:type="spellEnd"/>
            <w:r w:rsidR="00BF573A" w:rsidRPr="004F289D">
              <w:rPr>
                <w:rFonts w:eastAsia="Aptos" w:cs="Times New Roman"/>
                <w:sz w:val="22"/>
                <w:szCs w:val="22"/>
                <w:lang w:val="es-ES"/>
              </w:rPr>
              <w:t xml:space="preserve"> (2013); Fonseca et al. (2022); </w:t>
            </w:r>
            <w:proofErr w:type="spellStart"/>
            <w:r w:rsidR="00BF573A" w:rsidRPr="004F289D">
              <w:rPr>
                <w:rFonts w:eastAsia="Aptos" w:cs="Times New Roman"/>
                <w:sz w:val="22"/>
                <w:szCs w:val="22"/>
                <w:lang w:val="es-ES"/>
              </w:rPr>
              <w:t>Hille</w:t>
            </w:r>
            <w:proofErr w:type="spellEnd"/>
            <w:r w:rsidR="00BF573A" w:rsidRPr="004F289D">
              <w:rPr>
                <w:rFonts w:eastAsia="Aptos" w:cs="Times New Roman"/>
                <w:sz w:val="22"/>
                <w:szCs w:val="22"/>
                <w:lang w:val="es-ES"/>
              </w:rPr>
              <w:t xml:space="preserve"> et al. </w:t>
            </w:r>
            <w:r w:rsidR="00BF573A" w:rsidRPr="004F289D">
              <w:rPr>
                <w:rFonts w:eastAsia="Aptos" w:cs="Times New Roman"/>
                <w:sz w:val="22"/>
                <w:szCs w:val="22"/>
                <w:lang w:val="sv-SE"/>
              </w:rPr>
              <w:t xml:space="preserve">(2015); Hu et al. (2010); Kemp et al. (2025); </w:t>
            </w:r>
            <w:r w:rsidR="007B3AE7" w:rsidRPr="004F289D">
              <w:rPr>
                <w:rFonts w:eastAsia="Aptos" w:cs="Times New Roman"/>
                <w:sz w:val="22"/>
                <w:szCs w:val="22"/>
                <w:lang w:val="sv-SE"/>
              </w:rPr>
              <w:t xml:space="preserve">Kraiwanit et al. (2025); </w:t>
            </w:r>
            <w:r w:rsidR="00FF4518" w:rsidRPr="004F289D">
              <w:rPr>
                <w:rFonts w:eastAsia="Aptos" w:cs="Times New Roman"/>
                <w:sz w:val="22"/>
                <w:szCs w:val="22"/>
                <w:lang w:val="sv-SE"/>
              </w:rPr>
              <w:t xml:space="preserve">Lee (2022); </w:t>
            </w:r>
            <w:r w:rsidR="00BF573A" w:rsidRPr="004F289D">
              <w:rPr>
                <w:rFonts w:eastAsia="Aptos" w:cs="Times New Roman"/>
                <w:sz w:val="22"/>
                <w:szCs w:val="22"/>
                <w:lang w:val="sv-SE"/>
              </w:rPr>
              <w:t xml:space="preserve">Liu et al. </w:t>
            </w:r>
            <w:r w:rsidR="00BF573A" w:rsidRPr="004F289D">
              <w:rPr>
                <w:rFonts w:eastAsia="Aptos" w:cs="Times New Roman"/>
                <w:sz w:val="22"/>
                <w:szCs w:val="22"/>
                <w:lang w:val="en-US"/>
              </w:rPr>
              <w:t xml:space="preserve">(2005); </w:t>
            </w:r>
            <w:proofErr w:type="spellStart"/>
            <w:r w:rsidR="00BF573A" w:rsidRPr="004F289D">
              <w:rPr>
                <w:rFonts w:eastAsia="Aptos" w:cs="Times New Roman"/>
                <w:sz w:val="22"/>
                <w:szCs w:val="22"/>
                <w:lang w:val="en-US"/>
              </w:rPr>
              <w:t>Lyu</w:t>
            </w:r>
            <w:proofErr w:type="spellEnd"/>
            <w:r w:rsidR="00BF573A" w:rsidRPr="004F289D">
              <w:rPr>
                <w:rFonts w:eastAsia="Aptos" w:cs="Times New Roman"/>
                <w:sz w:val="22"/>
                <w:szCs w:val="22"/>
                <w:lang w:val="en-US"/>
              </w:rPr>
              <w:t xml:space="preserve"> et al. (2022, 2025); </w:t>
            </w:r>
            <w:proofErr w:type="spellStart"/>
            <w:r w:rsidRPr="004F289D">
              <w:rPr>
                <w:rFonts w:eastAsia="Aptos" w:cs="Times New Roman"/>
                <w:sz w:val="22"/>
                <w:szCs w:val="22"/>
                <w:lang w:val="en-US"/>
              </w:rPr>
              <w:t>Moustafa</w:t>
            </w:r>
            <w:proofErr w:type="spellEnd"/>
            <w:r w:rsidRPr="004F289D">
              <w:rPr>
                <w:rFonts w:eastAsia="Aptos" w:cs="Times New Roman"/>
                <w:sz w:val="22"/>
                <w:szCs w:val="22"/>
                <w:lang w:val="en-US"/>
              </w:rPr>
              <w:t xml:space="preserve"> et al. (2021); </w:t>
            </w:r>
            <w:r w:rsidR="00BF573A" w:rsidRPr="004F289D">
              <w:rPr>
                <w:rFonts w:eastAsia="Aptos" w:cs="Times New Roman"/>
                <w:sz w:val="22"/>
                <w:szCs w:val="22"/>
                <w:lang w:val="en-US"/>
              </w:rPr>
              <w:t xml:space="preserve">Ross et al. (2014); </w:t>
            </w:r>
            <w:r w:rsidRPr="004F289D">
              <w:rPr>
                <w:rFonts w:eastAsia="Aptos" w:cs="Times New Roman"/>
                <w:sz w:val="22"/>
                <w:szCs w:val="22"/>
                <w:lang w:val="en-US"/>
              </w:rPr>
              <w:t xml:space="preserve">Shandilya et al. (2024); </w:t>
            </w:r>
            <w:r w:rsidR="00BF573A" w:rsidRPr="004F289D">
              <w:rPr>
                <w:rFonts w:eastAsia="Aptos" w:cs="Times New Roman"/>
                <w:sz w:val="22"/>
                <w:szCs w:val="22"/>
                <w:lang w:val="en-US"/>
              </w:rPr>
              <w:t xml:space="preserve">Shim and Lee (2010); </w:t>
            </w:r>
            <w:r w:rsidR="00F47CCD" w:rsidRPr="004F289D">
              <w:rPr>
                <w:rFonts w:eastAsia="Times New Roman" w:cs="Times New Roman"/>
                <w:kern w:val="0"/>
                <w:sz w:val="22"/>
                <w:szCs w:val="22"/>
                <w:lang/>
                <w14:ligatures w14:val="none"/>
              </w:rPr>
              <w:t xml:space="preserve">Sri Lestari </w:t>
            </w:r>
            <w:r w:rsidR="00BF573A" w:rsidRPr="004F289D">
              <w:rPr>
                <w:rFonts w:eastAsia="Aptos" w:cs="Times New Roman"/>
                <w:sz w:val="22"/>
                <w:szCs w:val="22"/>
                <w:lang w:val="en-US"/>
              </w:rPr>
              <w:t>et al. (2024); Suzuki (2024)</w:t>
            </w:r>
            <w:r w:rsidR="007B3AE7" w:rsidRPr="004F289D">
              <w:rPr>
                <w:rFonts w:eastAsia="Aptos" w:cs="Times New Roman"/>
                <w:sz w:val="22"/>
                <w:szCs w:val="22"/>
                <w:lang w:val="en-US"/>
              </w:rPr>
              <w:t xml:space="preserve">; </w:t>
            </w:r>
            <w:proofErr w:type="spellStart"/>
            <w:r w:rsidR="007B3AE7" w:rsidRPr="004F289D">
              <w:rPr>
                <w:rFonts w:eastAsia="Aptos" w:cs="Times New Roman"/>
                <w:sz w:val="22"/>
                <w:szCs w:val="22"/>
                <w:lang w:val="en-US"/>
              </w:rPr>
              <w:t>Whitty</w:t>
            </w:r>
            <w:proofErr w:type="spellEnd"/>
            <w:r w:rsidR="007B3AE7" w:rsidRPr="004F289D">
              <w:rPr>
                <w:rFonts w:eastAsia="Aptos" w:cs="Times New Roman"/>
                <w:sz w:val="22"/>
                <w:szCs w:val="22"/>
                <w:lang w:val="en-US"/>
              </w:rPr>
              <w:t xml:space="preserve"> (2019)</w:t>
            </w:r>
          </w:p>
        </w:tc>
        <w:tc>
          <w:tcPr>
            <w:tcW w:w="3465" w:type="pct"/>
            <w:tcBorders>
              <w:left w:val="nil"/>
              <w:bottom w:val="single" w:sz="4" w:space="0" w:color="auto"/>
              <w:right w:val="nil"/>
            </w:tcBorders>
          </w:tcPr>
          <w:p w14:paraId="1E621AC9" w14:textId="77777777" w:rsidR="00F013F2" w:rsidRPr="004F289D" w:rsidRDefault="00F013F2" w:rsidP="00F013F2">
            <w:pPr>
              <w:rPr>
                <w:rFonts w:eastAsia="Aptos" w:cs="Times New Roman"/>
                <w:sz w:val="22"/>
                <w:szCs w:val="22"/>
                <w:lang w:val="en-US"/>
              </w:rPr>
            </w:pPr>
            <w:r w:rsidRPr="004F289D">
              <w:rPr>
                <w:rFonts w:eastAsia="Aptos" w:cs="Times New Roman"/>
                <w:sz w:val="22"/>
                <w:szCs w:val="22"/>
                <w:lang w:val="en-US"/>
              </w:rPr>
              <w:t>“…some of the common threats involve data theft…” (Afzal et al., 2025, p. 90)</w:t>
            </w:r>
          </w:p>
          <w:p w14:paraId="06D8625C" w14:textId="77777777" w:rsidR="00F013F2" w:rsidRPr="004F289D" w:rsidRDefault="00F013F2" w:rsidP="00BF573A">
            <w:pPr>
              <w:rPr>
                <w:rFonts w:eastAsia="Aptos" w:cs="Times New Roman"/>
                <w:sz w:val="22"/>
                <w:szCs w:val="22"/>
                <w:lang w:val="en-US"/>
              </w:rPr>
            </w:pPr>
          </w:p>
          <w:p w14:paraId="700C1716" w14:textId="34AA5DAC"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 xml:space="preserve">“…identity theft robs victims of their money, credit rating, and personal identity” (Ahuja and </w:t>
            </w:r>
            <w:r w:rsidR="0079626B" w:rsidRPr="004F289D">
              <w:rPr>
                <w:rFonts w:eastAsia="Times New Roman" w:cs="Times New Roman"/>
                <w:kern w:val="0"/>
                <w:sz w:val="22"/>
                <w:szCs w:val="22"/>
                <w:lang/>
                <w14:ligatures w14:val="none"/>
              </w:rPr>
              <w:t>Singh</w:t>
            </w:r>
            <w:r w:rsidRPr="004F289D">
              <w:rPr>
                <w:rFonts w:eastAsia="Aptos" w:cs="Times New Roman"/>
                <w:sz w:val="22"/>
                <w:szCs w:val="22"/>
                <w:lang w:val="en-US"/>
              </w:rPr>
              <w:t xml:space="preserve">, </w:t>
            </w:r>
            <w:r w:rsidR="00C57B4B" w:rsidRPr="004F289D">
              <w:rPr>
                <w:rFonts w:eastAsia="Aptos" w:cs="Times New Roman"/>
                <w:sz w:val="22"/>
                <w:szCs w:val="22"/>
                <w:lang w:val="en-US"/>
              </w:rPr>
              <w:t xml:space="preserve">2017, </w:t>
            </w:r>
            <w:r w:rsidRPr="004F289D">
              <w:rPr>
                <w:rFonts w:eastAsia="Aptos" w:cs="Times New Roman"/>
                <w:sz w:val="22"/>
                <w:szCs w:val="22"/>
                <w:lang w:val="en-US"/>
              </w:rPr>
              <w:t>p. 2511)</w:t>
            </w:r>
          </w:p>
          <w:p w14:paraId="1ADEAA32" w14:textId="77777777" w:rsidR="00BF573A" w:rsidRPr="004F289D" w:rsidRDefault="00BF573A" w:rsidP="00BF573A">
            <w:pPr>
              <w:rPr>
                <w:rFonts w:eastAsia="Aptos" w:cs="Times New Roman"/>
                <w:sz w:val="22"/>
                <w:szCs w:val="22"/>
                <w:lang w:val="en-US"/>
              </w:rPr>
            </w:pPr>
          </w:p>
          <w:p w14:paraId="6B33F5BC" w14:textId="77777777" w:rsidR="00BF573A" w:rsidRPr="004F289D" w:rsidRDefault="00BF573A" w:rsidP="00BF573A">
            <w:pPr>
              <w:rPr>
                <w:rFonts w:eastAsia="Aptos" w:cs="Times New Roman"/>
                <w:sz w:val="22"/>
                <w:szCs w:val="22"/>
              </w:rPr>
            </w:pPr>
            <w:r w:rsidRPr="004F289D">
              <w:rPr>
                <w:rFonts w:eastAsia="Aptos" w:cs="Times New Roman"/>
                <w:sz w:val="22"/>
                <w:szCs w:val="22"/>
                <w:lang w:val="en-US"/>
              </w:rPr>
              <w:t>“…</w:t>
            </w:r>
            <w:r w:rsidRPr="004F289D">
              <w:rPr>
                <w:rFonts w:eastAsia="Aptos" w:cs="Times New Roman"/>
                <w:sz w:val="22"/>
                <w:szCs w:val="22"/>
              </w:rPr>
              <w:t>aware that malicious websites may lead to identity theft...” (Balakrishnan et al., 2025, p. 8)</w:t>
            </w:r>
          </w:p>
          <w:p w14:paraId="436728A1" w14:textId="77777777" w:rsidR="00BF573A" w:rsidRPr="004F289D" w:rsidRDefault="00BF573A" w:rsidP="00BF573A">
            <w:pPr>
              <w:rPr>
                <w:rFonts w:eastAsia="Aptos" w:cs="Times New Roman"/>
                <w:sz w:val="22"/>
                <w:szCs w:val="22"/>
                <w:lang w:val="en-US"/>
              </w:rPr>
            </w:pPr>
          </w:p>
          <w:p w14:paraId="678E81BA" w14:textId="48242C48"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w:t>
            </w:r>
            <w:r w:rsidRPr="004F289D">
              <w:rPr>
                <w:rFonts w:eastAsia="Aptos" w:cs="Times New Roman"/>
                <w:sz w:val="22"/>
                <w:szCs w:val="22"/>
              </w:rPr>
              <w:t>access their victims’ accounts and obtain personal information such as names, passwords, bank account information and more” (</w:t>
            </w:r>
            <w:r w:rsidRPr="004F289D">
              <w:rPr>
                <w:rFonts w:eastAsia="Aptos" w:cs="Times New Roman"/>
                <w:sz w:val="22"/>
                <w:szCs w:val="22"/>
                <w:lang w:val="en-US"/>
              </w:rPr>
              <w:t xml:space="preserve">Bansal et al., 2025, p. </w:t>
            </w:r>
            <w:r w:rsidR="008E4A8C" w:rsidRPr="004F289D">
              <w:rPr>
                <w:rFonts w:eastAsia="Aptos" w:cs="Times New Roman"/>
                <w:sz w:val="22"/>
                <w:szCs w:val="22"/>
                <w:lang w:val="en-US"/>
              </w:rPr>
              <w:t>201</w:t>
            </w:r>
            <w:r w:rsidRPr="004F289D">
              <w:rPr>
                <w:rFonts w:eastAsia="Aptos" w:cs="Times New Roman"/>
                <w:sz w:val="22"/>
                <w:szCs w:val="22"/>
                <w:lang w:val="en-US"/>
              </w:rPr>
              <w:t>)</w:t>
            </w:r>
          </w:p>
          <w:p w14:paraId="6113A338" w14:textId="77777777" w:rsidR="00BF573A" w:rsidRPr="004F289D" w:rsidRDefault="00BF573A" w:rsidP="00BF573A">
            <w:pPr>
              <w:rPr>
                <w:rFonts w:eastAsia="Aptos" w:cs="Times New Roman"/>
                <w:sz w:val="22"/>
                <w:szCs w:val="22"/>
                <w:lang w:val="en-US"/>
              </w:rPr>
            </w:pPr>
          </w:p>
          <w:p w14:paraId="496995B4" w14:textId="77777777"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“Personal and security sensitive information losses resulting from cybercrime, including online identity theft…” (Benson et al., 2015, p. 37)</w:t>
            </w:r>
          </w:p>
          <w:p w14:paraId="72A0E59E" w14:textId="77777777" w:rsidR="00BF573A" w:rsidRPr="004F289D" w:rsidRDefault="00BF573A" w:rsidP="00BF573A">
            <w:pPr>
              <w:rPr>
                <w:rFonts w:eastAsia="Aptos" w:cs="Times New Roman"/>
                <w:sz w:val="22"/>
                <w:szCs w:val="22"/>
                <w:lang w:val="en-US"/>
              </w:rPr>
            </w:pPr>
          </w:p>
          <w:p w14:paraId="2195C653" w14:textId="77777777" w:rsidR="00BF573A" w:rsidRPr="004F289D" w:rsidRDefault="00BF573A" w:rsidP="00BF573A">
            <w:pPr>
              <w:rPr>
                <w:rFonts w:eastAsia="Aptos" w:cs="Times New Roman"/>
                <w:sz w:val="22"/>
                <w:szCs w:val="22"/>
              </w:rPr>
            </w:pPr>
            <w:r w:rsidRPr="004F289D">
              <w:rPr>
                <w:rFonts w:eastAsia="Aptos" w:cs="Times New Roman"/>
                <w:sz w:val="22"/>
                <w:szCs w:val="22"/>
                <w:lang w:val="en-US"/>
              </w:rPr>
              <w:t>“…</w:t>
            </w:r>
            <w:r w:rsidRPr="004F289D">
              <w:rPr>
                <w:rFonts w:eastAsia="Aptos" w:cs="Times New Roman"/>
                <w:sz w:val="22"/>
                <w:szCs w:val="22"/>
              </w:rPr>
              <w:t>identity theft is the most cited reason for privacy worries among US households.” (Bian et al., 2023, p. 9)</w:t>
            </w:r>
          </w:p>
          <w:p w14:paraId="09E63599" w14:textId="77777777" w:rsidR="00BF573A" w:rsidRPr="004F289D" w:rsidRDefault="00BF573A" w:rsidP="00BF573A">
            <w:pPr>
              <w:rPr>
                <w:rFonts w:eastAsia="Aptos" w:cs="Times New Roman"/>
                <w:sz w:val="22"/>
                <w:szCs w:val="22"/>
                <w:lang w:val="en-US"/>
              </w:rPr>
            </w:pPr>
          </w:p>
          <w:p w14:paraId="5FA2E115" w14:textId="079A52DA" w:rsidR="00BF573A" w:rsidRPr="004F289D" w:rsidRDefault="00BF573A" w:rsidP="00BF573A">
            <w:pPr>
              <w:rPr>
                <w:rFonts w:eastAsia="Aptos" w:cs="Times New Roman"/>
                <w:sz w:val="22"/>
                <w:szCs w:val="22"/>
              </w:rPr>
            </w:pPr>
            <w:r w:rsidRPr="004F289D">
              <w:rPr>
                <w:rFonts w:eastAsia="Aptos" w:cs="Times New Roman"/>
                <w:sz w:val="22"/>
                <w:szCs w:val="22"/>
                <w:lang w:val="en-US"/>
              </w:rPr>
              <w:t>“…</w:t>
            </w:r>
            <w:r w:rsidRPr="004F289D">
              <w:rPr>
                <w:rFonts w:eastAsia="Aptos" w:cs="Times New Roman"/>
                <w:sz w:val="22"/>
                <w:szCs w:val="22"/>
              </w:rPr>
              <w:t xml:space="preserve">Phishing seeks to obtain personal information...” (Cross, 2016, p. </w:t>
            </w:r>
            <w:r w:rsidR="008E4A8C" w:rsidRPr="004F289D">
              <w:rPr>
                <w:rFonts w:eastAsia="Aptos" w:cs="Times New Roman"/>
                <w:sz w:val="22"/>
                <w:szCs w:val="22"/>
              </w:rPr>
              <w:t>128</w:t>
            </w:r>
            <w:r w:rsidRPr="004F289D">
              <w:rPr>
                <w:rFonts w:eastAsia="Aptos" w:cs="Times New Roman"/>
                <w:sz w:val="22"/>
                <w:szCs w:val="22"/>
              </w:rPr>
              <w:t>)</w:t>
            </w:r>
          </w:p>
          <w:p w14:paraId="06A1CCCE" w14:textId="77777777" w:rsidR="00BF573A" w:rsidRPr="004F289D" w:rsidRDefault="00BF573A" w:rsidP="00BF573A">
            <w:pPr>
              <w:rPr>
                <w:rFonts w:eastAsia="Aptos" w:cs="Times New Roman"/>
                <w:sz w:val="22"/>
                <w:szCs w:val="22"/>
                <w:lang w:val="en-US"/>
              </w:rPr>
            </w:pPr>
          </w:p>
          <w:p w14:paraId="083ABD14" w14:textId="77777777" w:rsidR="00BF573A" w:rsidRPr="004F289D" w:rsidRDefault="00BF573A" w:rsidP="00BF573A">
            <w:pPr>
              <w:rPr>
                <w:rFonts w:eastAsia="Aptos" w:cs="Times New Roman"/>
                <w:sz w:val="22"/>
                <w:szCs w:val="22"/>
              </w:rPr>
            </w:pPr>
            <w:r w:rsidRPr="004F289D">
              <w:rPr>
                <w:rFonts w:eastAsia="Aptos" w:cs="Times New Roman"/>
                <w:sz w:val="22"/>
                <w:szCs w:val="22"/>
              </w:rPr>
              <w:t>“...mislead the target into providing personal information or passwords” (DeLiema et al., 2023, p. 1047)</w:t>
            </w:r>
          </w:p>
          <w:p w14:paraId="50744B42" w14:textId="77777777" w:rsidR="00BF573A" w:rsidRPr="004F289D" w:rsidRDefault="00BF573A" w:rsidP="00BF573A">
            <w:pPr>
              <w:rPr>
                <w:rFonts w:eastAsia="Aptos" w:cs="Times New Roman"/>
                <w:sz w:val="22"/>
                <w:szCs w:val="22"/>
              </w:rPr>
            </w:pPr>
          </w:p>
          <w:p w14:paraId="1877F626" w14:textId="77777777" w:rsidR="00BF573A" w:rsidRPr="004F289D" w:rsidRDefault="00BF573A" w:rsidP="00BF573A">
            <w:pPr>
              <w:rPr>
                <w:rFonts w:eastAsia="Aptos" w:cs="Times New Roman"/>
                <w:sz w:val="22"/>
                <w:szCs w:val="22"/>
              </w:rPr>
            </w:pPr>
            <w:r w:rsidRPr="004F289D">
              <w:rPr>
                <w:rFonts w:eastAsia="Aptos" w:cs="Times New Roman"/>
                <w:sz w:val="22"/>
                <w:szCs w:val="22"/>
              </w:rPr>
              <w:t>“...lure consumers into revealing personal identification information that can be used for nefarious purposes” (Douglass, 2009, p. 43)</w:t>
            </w:r>
          </w:p>
          <w:p w14:paraId="4EAF6C4E" w14:textId="77777777" w:rsidR="00FC7205" w:rsidRPr="004F289D" w:rsidRDefault="00FC7205" w:rsidP="00BF573A">
            <w:pPr>
              <w:rPr>
                <w:rFonts w:eastAsia="Aptos" w:cs="Times New Roman"/>
                <w:sz w:val="22"/>
                <w:szCs w:val="22"/>
              </w:rPr>
            </w:pPr>
          </w:p>
          <w:p w14:paraId="74818E92" w14:textId="20566AA6" w:rsidR="00FC7205" w:rsidRPr="004F289D" w:rsidRDefault="00FC7205" w:rsidP="00BF573A">
            <w:pPr>
              <w:rPr>
                <w:rFonts w:eastAsia="Aptos" w:cs="Times New Roman"/>
                <w:sz w:val="22"/>
                <w:szCs w:val="22"/>
              </w:rPr>
            </w:pPr>
            <w:r w:rsidRPr="004F289D">
              <w:rPr>
                <w:rFonts w:eastAsia="Aptos" w:cs="Times New Roman"/>
                <w:sz w:val="22"/>
                <w:szCs w:val="22"/>
              </w:rPr>
              <w:t>“...steal consumers’ personal identity data and financial account credentials... online identity theft...’” (</w:t>
            </w:r>
            <w:proofErr w:type="spellStart"/>
            <w:r w:rsidRPr="004F289D">
              <w:rPr>
                <w:rFonts w:eastAsia="Aptos" w:cs="Times New Roman"/>
                <w:sz w:val="22"/>
                <w:szCs w:val="22"/>
                <w:lang w:val="en-US"/>
              </w:rPr>
              <w:t>Ertan</w:t>
            </w:r>
            <w:proofErr w:type="spellEnd"/>
            <w:r w:rsidRPr="004F289D">
              <w:rPr>
                <w:rFonts w:eastAsia="Aptos" w:cs="Times New Roman"/>
                <w:sz w:val="22"/>
                <w:szCs w:val="22"/>
                <w:lang w:val="en-US"/>
              </w:rPr>
              <w:t xml:space="preserve"> et al., 2018, p. </w:t>
            </w:r>
            <w:r w:rsidRPr="004F289D">
              <w:rPr>
                <w:rFonts w:eastAsia="Aptos" w:cs="Times New Roman"/>
                <w:sz w:val="22"/>
                <w:szCs w:val="22"/>
              </w:rPr>
              <w:t>18)</w:t>
            </w:r>
          </w:p>
          <w:p w14:paraId="4D2ADB1B" w14:textId="77777777" w:rsidR="00BF573A" w:rsidRPr="004F289D" w:rsidRDefault="00BF573A" w:rsidP="00BF573A">
            <w:pPr>
              <w:rPr>
                <w:rFonts w:eastAsia="Aptos" w:cs="Times New Roman"/>
                <w:sz w:val="22"/>
                <w:szCs w:val="22"/>
                <w:lang w:val="en-US"/>
              </w:rPr>
            </w:pPr>
          </w:p>
          <w:p w14:paraId="584DF110" w14:textId="77777777" w:rsidR="00BF573A" w:rsidRPr="004F289D" w:rsidRDefault="00BF573A" w:rsidP="00EA4E67">
            <w:pPr>
              <w:rPr>
                <w:rFonts w:eastAsia="Aptos" w:cs="Times New Roman"/>
                <w:sz w:val="22"/>
                <w:szCs w:val="22"/>
              </w:rPr>
            </w:pPr>
            <w:r w:rsidRPr="004F289D">
              <w:rPr>
                <w:rFonts w:eastAsia="Aptos" w:cs="Times New Roman"/>
                <w:sz w:val="22"/>
                <w:szCs w:val="22"/>
              </w:rPr>
              <w:t>“Consumer awareness and education is important in order to reduce identity theft” (Fernandes, 2013, p. 28)</w:t>
            </w:r>
          </w:p>
          <w:p w14:paraId="14DA2FC4" w14:textId="77777777" w:rsidR="007B3AE7" w:rsidRPr="004F289D" w:rsidRDefault="007B3AE7" w:rsidP="00EA4E67">
            <w:pPr>
              <w:rPr>
                <w:rFonts w:eastAsia="Aptos" w:cs="Times New Roman"/>
                <w:sz w:val="22"/>
                <w:szCs w:val="22"/>
              </w:rPr>
            </w:pPr>
          </w:p>
          <w:p w14:paraId="40DD6AB0" w14:textId="3314769E" w:rsidR="007B3AE7" w:rsidRPr="004F289D" w:rsidRDefault="007B3AE7" w:rsidP="00EA4E67">
            <w:pPr>
              <w:rPr>
                <w:rFonts w:eastAsia="Aptos" w:cs="Times New Roman"/>
                <w:sz w:val="22"/>
                <w:szCs w:val="22"/>
              </w:rPr>
            </w:pPr>
            <w:r w:rsidRPr="004F289D">
              <w:rPr>
                <w:rFonts w:eastAsia="Aptos" w:cs="Times New Roman"/>
                <w:sz w:val="22"/>
                <w:szCs w:val="22"/>
              </w:rPr>
              <w:t>“...Digital fraud encompasses a wide range of illicit activities conducted via digital channels, including phishing, identity theft...” (Kraiwanit et al., 2025, p. 2)</w:t>
            </w:r>
          </w:p>
          <w:p w14:paraId="0424DB5B" w14:textId="77777777" w:rsidR="00467D92" w:rsidRPr="004F289D" w:rsidRDefault="00467D92" w:rsidP="00EA4E67">
            <w:pPr>
              <w:rPr>
                <w:rFonts w:eastAsia="Aptos" w:cs="Times New Roman"/>
                <w:sz w:val="22"/>
                <w:szCs w:val="22"/>
                <w:lang w:val="en-US"/>
              </w:rPr>
            </w:pPr>
          </w:p>
          <w:p w14:paraId="638D621A" w14:textId="77777777" w:rsidR="00467D92" w:rsidRPr="004F289D" w:rsidRDefault="00467D92" w:rsidP="00EA4E67">
            <w:pPr>
              <w:rPr>
                <w:rFonts w:eastAsia="Aptos" w:cs="Times New Roman"/>
                <w:sz w:val="22"/>
                <w:szCs w:val="22"/>
                <w:lang w:val="en-US"/>
              </w:rPr>
            </w:pPr>
            <w:r w:rsidRPr="004F289D">
              <w:rPr>
                <w:rFonts w:eastAsia="Aptos" w:cs="Times New Roman"/>
                <w:sz w:val="22"/>
                <w:szCs w:val="22"/>
                <w:lang w:val="en-US"/>
              </w:rPr>
              <w:t>“…to acquire their credentials.” (</w:t>
            </w:r>
            <w:proofErr w:type="spellStart"/>
            <w:r w:rsidRPr="004F289D">
              <w:rPr>
                <w:rFonts w:eastAsia="Aptos" w:cs="Times New Roman"/>
                <w:sz w:val="22"/>
                <w:szCs w:val="22"/>
                <w:lang w:val="en-US"/>
              </w:rPr>
              <w:t>Moustafa</w:t>
            </w:r>
            <w:proofErr w:type="spellEnd"/>
            <w:r w:rsidRPr="004F289D">
              <w:rPr>
                <w:rFonts w:eastAsia="Aptos" w:cs="Times New Roman"/>
                <w:sz w:val="22"/>
                <w:szCs w:val="22"/>
                <w:lang w:val="en-US"/>
              </w:rPr>
              <w:t xml:space="preserve"> et al., 2021, p. 1)</w:t>
            </w:r>
          </w:p>
          <w:p w14:paraId="19A8EBBE" w14:textId="77777777" w:rsidR="00467D92" w:rsidRPr="004F289D" w:rsidRDefault="00467D92" w:rsidP="00EA4E67">
            <w:pPr>
              <w:rPr>
                <w:rFonts w:eastAsia="Aptos" w:cs="Times New Roman"/>
                <w:sz w:val="22"/>
                <w:szCs w:val="22"/>
                <w:lang w:val="en-US"/>
              </w:rPr>
            </w:pPr>
          </w:p>
          <w:p w14:paraId="5A93656B" w14:textId="0F791531" w:rsidR="00122FE9" w:rsidRPr="004F289D" w:rsidRDefault="00467D92" w:rsidP="00EA4E67">
            <w:pPr>
              <w:rPr>
                <w:rFonts w:eastAsia="Aptos" w:cs="Times New Roman"/>
                <w:sz w:val="22"/>
                <w:szCs w:val="22"/>
                <w:lang w:val="en-US"/>
              </w:rPr>
            </w:pPr>
            <w:r w:rsidRPr="004F289D">
              <w:rPr>
                <w:rFonts w:eastAsia="Aptos" w:cs="Times New Roman"/>
                <w:sz w:val="22"/>
                <w:szCs w:val="22"/>
                <w:lang w:val="en-US"/>
              </w:rPr>
              <w:t>“…The issue of identity theft is a major concern for individuals, as it presents a formidable obstacle due to the potential exposure of various sensitive information” (Shandilya et al., 2024, p. 281)</w:t>
            </w:r>
          </w:p>
          <w:p w14:paraId="21268ADF" w14:textId="77777777" w:rsidR="00122FE9" w:rsidRPr="004F289D" w:rsidRDefault="00122FE9" w:rsidP="00EA4E67">
            <w:pPr>
              <w:rPr>
                <w:rFonts w:eastAsia="Aptos" w:cs="Times New Roman"/>
                <w:sz w:val="22"/>
                <w:szCs w:val="22"/>
                <w:lang w:val="en-US"/>
              </w:rPr>
            </w:pPr>
          </w:p>
          <w:p w14:paraId="0AED42BB" w14:textId="77777777" w:rsidR="00122FE9" w:rsidRPr="004F289D" w:rsidRDefault="00122FE9" w:rsidP="00EA4E67">
            <w:pPr>
              <w:rPr>
                <w:rFonts w:eastAsia="Aptos" w:cs="Times New Roman"/>
                <w:sz w:val="22"/>
                <w:szCs w:val="22"/>
                <w:lang w:val="en-US"/>
              </w:rPr>
            </w:pPr>
          </w:p>
          <w:p w14:paraId="72005DB0" w14:textId="68D91FA8" w:rsidR="00122FE9" w:rsidRPr="004F289D" w:rsidRDefault="00122FE9" w:rsidP="00EA4E67">
            <w:pPr>
              <w:rPr>
                <w:rFonts w:eastAsia="Aptos" w:cs="Times New Roman"/>
                <w:sz w:val="22"/>
                <w:szCs w:val="22"/>
                <w:lang w:val="en-US"/>
              </w:rPr>
            </w:pPr>
          </w:p>
        </w:tc>
      </w:tr>
      <w:tr w:rsidR="004F289D" w:rsidRPr="004F289D" w14:paraId="7D9ABF36" w14:textId="77777777" w:rsidTr="00710711">
        <w:tc>
          <w:tcPr>
            <w:tcW w:w="526" w:type="pct"/>
            <w:tcBorders>
              <w:top w:val="single" w:sz="4" w:space="0" w:color="auto"/>
              <w:left w:val="nil"/>
              <w:bottom w:val="single" w:sz="4" w:space="0" w:color="auto"/>
              <w:right w:val="nil"/>
            </w:tcBorders>
          </w:tcPr>
          <w:p w14:paraId="7B5E32B7"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rPr>
              <w:lastRenderedPageBreak/>
              <w:t>Legitimacy of companies</w:t>
            </w:r>
          </w:p>
        </w:tc>
        <w:tc>
          <w:tcPr>
            <w:tcW w:w="1009" w:type="pct"/>
            <w:tcBorders>
              <w:top w:val="single" w:sz="4" w:space="0" w:color="auto"/>
              <w:left w:val="nil"/>
              <w:bottom w:val="single" w:sz="4" w:space="0" w:color="auto"/>
              <w:right w:val="nil"/>
            </w:tcBorders>
          </w:tcPr>
          <w:p w14:paraId="67CC8C1E" w14:textId="6DE31782" w:rsidR="00BF573A" w:rsidRPr="004F289D" w:rsidRDefault="00BF573A" w:rsidP="00BF573A">
            <w:pPr>
              <w:rPr>
                <w:rFonts w:eastAsia="Aptos" w:cs="Times New Roman"/>
                <w:b/>
                <w:bCs/>
                <w:sz w:val="22"/>
                <w:szCs w:val="22"/>
                <w:lang w:val="en-US"/>
              </w:rPr>
            </w:pPr>
            <w:r w:rsidRPr="004F289D">
              <w:rPr>
                <w:rFonts w:eastAsia="Aptos" w:cs="Times New Roman"/>
                <w:sz w:val="22"/>
                <w:szCs w:val="22"/>
                <w:lang w:val="en-US"/>
              </w:rPr>
              <w:t xml:space="preserve">Ahuja and </w:t>
            </w:r>
            <w:r w:rsidR="0079626B" w:rsidRPr="004F289D">
              <w:rPr>
                <w:rFonts w:eastAsia="Times New Roman" w:cs="Times New Roman"/>
                <w:kern w:val="0"/>
                <w:sz w:val="22"/>
                <w:szCs w:val="22"/>
                <w:lang/>
                <w14:ligatures w14:val="none"/>
              </w:rPr>
              <w:t>Singh</w:t>
            </w:r>
            <w:r w:rsidR="0079626B" w:rsidRPr="004F289D">
              <w:rPr>
                <w:rFonts w:eastAsia="Aptos" w:cs="Times New Roman"/>
                <w:sz w:val="22"/>
                <w:szCs w:val="22"/>
                <w:lang w:val="en-US"/>
              </w:rPr>
              <w:t xml:space="preserve"> </w:t>
            </w:r>
            <w:r w:rsidRPr="004F289D">
              <w:rPr>
                <w:rFonts w:eastAsia="Aptos" w:cs="Times New Roman"/>
                <w:sz w:val="22"/>
                <w:szCs w:val="22"/>
                <w:lang w:val="en-US"/>
              </w:rPr>
              <w:t xml:space="preserve">(2017); </w:t>
            </w:r>
            <w:proofErr w:type="spellStart"/>
            <w:r w:rsidR="00122FE9" w:rsidRPr="004F289D">
              <w:rPr>
                <w:rFonts w:eastAsia="Aptos" w:cs="Times New Roman"/>
                <w:sz w:val="22"/>
                <w:szCs w:val="22"/>
                <w:lang w:val="en-US"/>
              </w:rPr>
              <w:t>Arachchilage</w:t>
            </w:r>
            <w:proofErr w:type="spellEnd"/>
            <w:r w:rsidR="00122FE9" w:rsidRPr="004F289D">
              <w:rPr>
                <w:rFonts w:eastAsia="Aptos" w:cs="Times New Roman"/>
                <w:sz w:val="22"/>
                <w:szCs w:val="22"/>
                <w:lang w:val="en-US"/>
              </w:rPr>
              <w:t xml:space="preserve"> and Love (2014); </w:t>
            </w:r>
            <w:proofErr w:type="spellStart"/>
            <w:r w:rsidR="00122FE9" w:rsidRPr="004F289D">
              <w:rPr>
                <w:sz w:val="22"/>
                <w:szCs w:val="22"/>
                <w:lang w:val="en-US"/>
              </w:rPr>
              <w:t>Arachchilage</w:t>
            </w:r>
            <w:proofErr w:type="spellEnd"/>
            <w:r w:rsidR="00122FE9" w:rsidRPr="004F289D">
              <w:rPr>
                <w:sz w:val="22"/>
                <w:szCs w:val="22"/>
                <w:lang w:val="en-US"/>
              </w:rPr>
              <w:t xml:space="preserve"> et al. </w:t>
            </w:r>
            <w:r w:rsidR="00122FE9" w:rsidRPr="004F289D">
              <w:rPr>
                <w:sz w:val="22"/>
                <w:szCs w:val="22"/>
                <w:lang w:val="sv-SE"/>
              </w:rPr>
              <w:t xml:space="preserve">(2016); </w:t>
            </w:r>
            <w:r w:rsidRPr="004F289D">
              <w:rPr>
                <w:rFonts w:eastAsia="Aptos" w:cs="Times New Roman"/>
                <w:sz w:val="22"/>
                <w:szCs w:val="22"/>
                <w:lang w:val="sv-SE"/>
              </w:rPr>
              <w:t xml:space="preserve">Baker (1999); Balakrishnan et al. (2025); Bauerly (2009); Benson et al. (2015); Bera et al. </w:t>
            </w:r>
            <w:r w:rsidRPr="004F289D">
              <w:rPr>
                <w:rFonts w:eastAsia="Aptos" w:cs="Times New Roman"/>
                <w:sz w:val="22"/>
                <w:szCs w:val="22"/>
                <w:lang w:val="es-ES"/>
              </w:rPr>
              <w:t xml:space="preserve">(2023); </w:t>
            </w:r>
            <w:proofErr w:type="spellStart"/>
            <w:r w:rsidRPr="004F289D">
              <w:rPr>
                <w:rFonts w:eastAsia="Aptos" w:cs="Times New Roman"/>
                <w:sz w:val="22"/>
                <w:szCs w:val="22"/>
                <w:lang w:val="es-ES"/>
              </w:rPr>
              <w:t>Button</w:t>
            </w:r>
            <w:proofErr w:type="spellEnd"/>
            <w:r w:rsidRPr="004F289D">
              <w:rPr>
                <w:rFonts w:eastAsia="Aptos" w:cs="Times New Roman"/>
                <w:sz w:val="22"/>
                <w:szCs w:val="22"/>
                <w:lang w:val="es-ES"/>
              </w:rPr>
              <w:t xml:space="preserve"> et al. (2014); </w:t>
            </w:r>
            <w:proofErr w:type="spellStart"/>
            <w:r w:rsidRPr="004F289D">
              <w:rPr>
                <w:rFonts w:eastAsia="Aptos" w:cs="Times New Roman"/>
                <w:sz w:val="22"/>
                <w:szCs w:val="22"/>
                <w:lang w:val="es-ES"/>
              </w:rPr>
              <w:t>Chua</w:t>
            </w:r>
            <w:proofErr w:type="spellEnd"/>
            <w:r w:rsidRPr="004F289D">
              <w:rPr>
                <w:rFonts w:eastAsia="Aptos" w:cs="Times New Roman"/>
                <w:sz w:val="22"/>
                <w:szCs w:val="22"/>
                <w:lang w:val="es-ES"/>
              </w:rPr>
              <w:t xml:space="preserve"> et al. (2007); Cross (2015, 2016); </w:t>
            </w:r>
            <w:proofErr w:type="spellStart"/>
            <w:r w:rsidRPr="004F289D">
              <w:rPr>
                <w:rFonts w:eastAsia="Aptos" w:cs="Times New Roman"/>
                <w:sz w:val="22"/>
                <w:szCs w:val="22"/>
                <w:lang w:val="es-ES"/>
              </w:rPr>
              <w:t>DeLiema</w:t>
            </w:r>
            <w:proofErr w:type="spellEnd"/>
            <w:r w:rsidRPr="004F289D">
              <w:rPr>
                <w:rFonts w:eastAsia="Aptos" w:cs="Times New Roman"/>
                <w:sz w:val="22"/>
                <w:szCs w:val="22"/>
                <w:lang w:val="es-ES"/>
              </w:rPr>
              <w:t xml:space="preserve"> et al. (2020, 2023); Dong et al. (2009); Edwards et al. (2025); </w:t>
            </w:r>
            <w:proofErr w:type="spellStart"/>
            <w:r w:rsidR="00FC7205" w:rsidRPr="004F289D">
              <w:rPr>
                <w:rFonts w:eastAsia="Aptos" w:cs="Times New Roman"/>
                <w:sz w:val="22"/>
                <w:szCs w:val="22"/>
                <w:lang w:val="es-ES"/>
              </w:rPr>
              <w:t>Ertan</w:t>
            </w:r>
            <w:proofErr w:type="spellEnd"/>
            <w:r w:rsidR="00FC7205" w:rsidRPr="004F289D">
              <w:rPr>
                <w:rFonts w:eastAsia="Aptos" w:cs="Times New Roman"/>
                <w:sz w:val="22"/>
                <w:szCs w:val="22"/>
                <w:lang w:val="es-ES"/>
              </w:rPr>
              <w:t xml:space="preserve"> et al. (2018); </w:t>
            </w:r>
            <w:proofErr w:type="spellStart"/>
            <w:r w:rsidRPr="004F289D">
              <w:rPr>
                <w:rFonts w:eastAsia="Aptos" w:cs="Times New Roman"/>
                <w:sz w:val="22"/>
                <w:szCs w:val="22"/>
                <w:lang w:val="es-ES"/>
              </w:rPr>
              <w:t>Fernandes</w:t>
            </w:r>
            <w:proofErr w:type="spellEnd"/>
            <w:r w:rsidRPr="004F289D">
              <w:rPr>
                <w:rFonts w:eastAsia="Aptos" w:cs="Times New Roman"/>
                <w:sz w:val="22"/>
                <w:szCs w:val="22"/>
                <w:lang w:val="es-ES"/>
              </w:rPr>
              <w:t xml:space="preserve"> (2013); </w:t>
            </w:r>
            <w:proofErr w:type="spellStart"/>
            <w:r w:rsidRPr="004F289D">
              <w:rPr>
                <w:rFonts w:eastAsia="Aptos" w:cs="Times New Roman"/>
                <w:sz w:val="22"/>
                <w:szCs w:val="22"/>
                <w:lang w:val="es-ES"/>
              </w:rPr>
              <w:t>Grosz</w:t>
            </w:r>
            <w:proofErr w:type="spellEnd"/>
            <w:r w:rsidRPr="004F289D">
              <w:rPr>
                <w:rFonts w:eastAsia="Aptos" w:cs="Times New Roman"/>
                <w:sz w:val="22"/>
                <w:szCs w:val="22"/>
                <w:lang w:val="es-ES"/>
              </w:rPr>
              <w:t xml:space="preserve"> and </w:t>
            </w:r>
            <w:proofErr w:type="spellStart"/>
            <w:r w:rsidRPr="004F289D">
              <w:rPr>
                <w:rFonts w:eastAsia="Aptos" w:cs="Times New Roman"/>
                <w:sz w:val="22"/>
                <w:szCs w:val="22"/>
                <w:lang w:val="es-ES"/>
              </w:rPr>
              <w:t>Raval</w:t>
            </w:r>
            <w:proofErr w:type="spellEnd"/>
            <w:r w:rsidRPr="004F289D">
              <w:rPr>
                <w:rFonts w:eastAsia="Aptos" w:cs="Times New Roman"/>
                <w:sz w:val="22"/>
                <w:szCs w:val="22"/>
                <w:lang w:val="es-ES"/>
              </w:rPr>
              <w:t xml:space="preserve"> (2025); </w:t>
            </w:r>
            <w:proofErr w:type="spellStart"/>
            <w:r w:rsidRPr="004F289D">
              <w:rPr>
                <w:rFonts w:eastAsia="Aptos" w:cs="Times New Roman"/>
                <w:sz w:val="22"/>
                <w:szCs w:val="22"/>
                <w:lang w:val="es-ES"/>
              </w:rPr>
              <w:t>Hille</w:t>
            </w:r>
            <w:proofErr w:type="spellEnd"/>
            <w:r w:rsidRPr="004F289D">
              <w:rPr>
                <w:rFonts w:eastAsia="Aptos" w:cs="Times New Roman"/>
                <w:sz w:val="22"/>
                <w:szCs w:val="22"/>
                <w:lang w:val="es-ES"/>
              </w:rPr>
              <w:t xml:space="preserve"> et al. (2015); </w:t>
            </w:r>
            <w:proofErr w:type="spellStart"/>
            <w:r w:rsidRPr="004F289D">
              <w:rPr>
                <w:rFonts w:eastAsia="Aptos" w:cs="Times New Roman"/>
                <w:sz w:val="22"/>
                <w:szCs w:val="22"/>
                <w:lang w:val="es-ES"/>
              </w:rPr>
              <w:t>Hu</w:t>
            </w:r>
            <w:proofErr w:type="spellEnd"/>
            <w:r w:rsidRPr="004F289D">
              <w:rPr>
                <w:rFonts w:eastAsia="Aptos" w:cs="Times New Roman"/>
                <w:sz w:val="22"/>
                <w:szCs w:val="22"/>
                <w:lang w:val="es-ES"/>
              </w:rPr>
              <w:t xml:space="preserve"> et al. (2010); </w:t>
            </w:r>
            <w:proofErr w:type="spellStart"/>
            <w:r w:rsidRPr="004F289D">
              <w:rPr>
                <w:rFonts w:eastAsia="Aptos" w:cs="Times New Roman"/>
                <w:sz w:val="22"/>
                <w:szCs w:val="22"/>
                <w:lang w:val="es-ES"/>
              </w:rPr>
              <w:t>Kemp</w:t>
            </w:r>
            <w:proofErr w:type="spellEnd"/>
            <w:r w:rsidRPr="004F289D">
              <w:rPr>
                <w:rFonts w:eastAsia="Aptos" w:cs="Times New Roman"/>
                <w:sz w:val="22"/>
                <w:szCs w:val="22"/>
                <w:lang w:val="es-ES"/>
              </w:rPr>
              <w:t xml:space="preserve"> and </w:t>
            </w:r>
            <w:proofErr w:type="spellStart"/>
            <w:r w:rsidRPr="004F289D">
              <w:rPr>
                <w:rFonts w:eastAsia="Aptos" w:cs="Times New Roman"/>
                <w:sz w:val="22"/>
                <w:szCs w:val="22"/>
                <w:lang w:val="es-ES"/>
              </w:rPr>
              <w:t>Erades</w:t>
            </w:r>
            <w:proofErr w:type="spellEnd"/>
            <w:r w:rsidRPr="004F289D">
              <w:rPr>
                <w:rFonts w:eastAsia="Aptos" w:cs="Times New Roman"/>
                <w:sz w:val="22"/>
                <w:szCs w:val="22"/>
                <w:lang w:val="es-ES"/>
              </w:rPr>
              <w:t xml:space="preserve"> Pérez (2023); </w:t>
            </w:r>
            <w:r w:rsidRPr="004F289D">
              <w:rPr>
                <w:rFonts w:eastAsia="Aptos" w:cs="Times New Roman"/>
                <w:sz w:val="22"/>
                <w:szCs w:val="22"/>
              </w:rPr>
              <w:t xml:space="preserve">Lee (2022); Narayanan et al. (2012); Ross et al. (2014); </w:t>
            </w:r>
            <w:r w:rsidR="00467D92" w:rsidRPr="004F289D">
              <w:rPr>
                <w:rFonts w:eastAsia="Aptos" w:cs="Times New Roman"/>
                <w:sz w:val="22"/>
                <w:szCs w:val="22"/>
              </w:rPr>
              <w:t xml:space="preserve">Shandilya et al. (2024); </w:t>
            </w:r>
            <w:r w:rsidRPr="004F289D">
              <w:rPr>
                <w:rFonts w:eastAsia="Aptos" w:cs="Times New Roman"/>
                <w:sz w:val="22"/>
                <w:szCs w:val="22"/>
              </w:rPr>
              <w:t>Song et al. (2025); Suzuki (2024)</w:t>
            </w:r>
          </w:p>
        </w:tc>
        <w:tc>
          <w:tcPr>
            <w:tcW w:w="3465" w:type="pct"/>
            <w:tcBorders>
              <w:top w:val="single" w:sz="4" w:space="0" w:color="auto"/>
              <w:left w:val="nil"/>
              <w:bottom w:val="single" w:sz="4" w:space="0" w:color="auto"/>
              <w:right w:val="nil"/>
            </w:tcBorders>
          </w:tcPr>
          <w:p w14:paraId="2D283BA2" w14:textId="7D1DEFFE"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 xml:space="preserve">“Recognizing whether the store that exists in cyberspace is often not real in the customers concern” (Ahuja and </w:t>
            </w:r>
            <w:r w:rsidR="0079626B" w:rsidRPr="004F289D">
              <w:rPr>
                <w:rFonts w:eastAsia="Times New Roman" w:cs="Times New Roman"/>
                <w:kern w:val="0"/>
                <w:sz w:val="22"/>
                <w:szCs w:val="22"/>
                <w:lang/>
                <w14:ligatures w14:val="none"/>
              </w:rPr>
              <w:t>Singh</w:t>
            </w:r>
            <w:r w:rsidRPr="004F289D">
              <w:rPr>
                <w:rFonts w:eastAsia="Aptos" w:cs="Times New Roman"/>
                <w:sz w:val="22"/>
                <w:szCs w:val="22"/>
                <w:lang w:val="en-US"/>
              </w:rPr>
              <w:t xml:space="preserve">, </w:t>
            </w:r>
            <w:r w:rsidR="005E0A7B" w:rsidRPr="004F289D">
              <w:rPr>
                <w:rFonts w:eastAsia="Aptos" w:cs="Times New Roman"/>
                <w:sz w:val="22"/>
                <w:szCs w:val="22"/>
                <w:lang w:val="en-US"/>
              </w:rPr>
              <w:t xml:space="preserve">2017, </w:t>
            </w:r>
            <w:r w:rsidRPr="004F289D">
              <w:rPr>
                <w:rFonts w:eastAsia="Aptos" w:cs="Times New Roman"/>
                <w:sz w:val="22"/>
                <w:szCs w:val="22"/>
                <w:lang w:val="en-US"/>
              </w:rPr>
              <w:t>p. 2510)</w:t>
            </w:r>
          </w:p>
          <w:p w14:paraId="648E2787" w14:textId="77777777" w:rsidR="00122FE9" w:rsidRPr="004F289D" w:rsidRDefault="00122FE9" w:rsidP="00BF573A">
            <w:pPr>
              <w:rPr>
                <w:rFonts w:eastAsia="Aptos" w:cs="Times New Roman"/>
                <w:sz w:val="22"/>
                <w:szCs w:val="22"/>
                <w:lang w:val="en-US"/>
              </w:rPr>
            </w:pPr>
          </w:p>
          <w:p w14:paraId="5FD1A46B" w14:textId="7DEF768F" w:rsidR="00122FE9" w:rsidRPr="004F289D" w:rsidRDefault="00122FE9" w:rsidP="00122FE9">
            <w:pPr>
              <w:rPr>
                <w:rFonts w:eastAsia="Aptos" w:cs="Times New Roman"/>
                <w:sz w:val="22"/>
                <w:szCs w:val="22"/>
                <w:lang w:val="en-US"/>
              </w:rPr>
            </w:pPr>
            <w:r w:rsidRPr="004F289D">
              <w:rPr>
                <w:rFonts w:eastAsia="Aptos" w:cs="Times New Roman"/>
                <w:sz w:val="22"/>
                <w:szCs w:val="22"/>
                <w:lang w:val="en-US"/>
              </w:rPr>
              <w:t>“…The attacker creates a fraudulent website, which has the look-and-feel of a legitimate website…” (</w:t>
            </w:r>
            <w:proofErr w:type="spellStart"/>
            <w:r w:rsidRPr="004F289D">
              <w:rPr>
                <w:rFonts w:eastAsia="Aptos" w:cs="Times New Roman"/>
                <w:sz w:val="22"/>
                <w:szCs w:val="22"/>
                <w:lang w:val="en-US"/>
              </w:rPr>
              <w:t>Arachchilage</w:t>
            </w:r>
            <w:proofErr w:type="spellEnd"/>
            <w:r w:rsidRPr="004F289D">
              <w:rPr>
                <w:rFonts w:eastAsia="Aptos" w:cs="Times New Roman"/>
                <w:sz w:val="22"/>
                <w:szCs w:val="22"/>
                <w:lang w:val="en-US"/>
              </w:rPr>
              <w:t xml:space="preserve"> and Love, 2014, p. 305)”; “Fake replicas” (</w:t>
            </w:r>
            <w:proofErr w:type="spellStart"/>
            <w:r w:rsidRPr="004F289D">
              <w:rPr>
                <w:rFonts w:eastAsia="Aptos" w:cs="Times New Roman"/>
                <w:sz w:val="22"/>
                <w:szCs w:val="22"/>
                <w:lang w:val="en-US"/>
              </w:rPr>
              <w:t>Arachchilage</w:t>
            </w:r>
            <w:proofErr w:type="spellEnd"/>
            <w:r w:rsidRPr="004F289D">
              <w:rPr>
                <w:rFonts w:eastAsia="Aptos" w:cs="Times New Roman"/>
                <w:sz w:val="22"/>
                <w:szCs w:val="22"/>
                <w:lang w:val="en-US"/>
              </w:rPr>
              <w:t xml:space="preserve"> et al., 2016, p. 185)</w:t>
            </w:r>
          </w:p>
          <w:p w14:paraId="7B847C6E" w14:textId="77777777" w:rsidR="00BF573A" w:rsidRPr="004F289D" w:rsidRDefault="00BF573A" w:rsidP="00BF573A">
            <w:pPr>
              <w:rPr>
                <w:rFonts w:eastAsia="Aptos" w:cs="Times New Roman"/>
                <w:sz w:val="22"/>
                <w:szCs w:val="22"/>
                <w:lang w:val="en-US"/>
              </w:rPr>
            </w:pPr>
          </w:p>
          <w:p w14:paraId="24A68C36" w14:textId="77777777" w:rsidR="00BF573A" w:rsidRPr="004F289D" w:rsidRDefault="00BF573A" w:rsidP="00BF573A">
            <w:pPr>
              <w:rPr>
                <w:rFonts w:eastAsia="Aptos" w:cs="Times New Roman"/>
                <w:sz w:val="22"/>
                <w:szCs w:val="22"/>
              </w:rPr>
            </w:pPr>
            <w:r w:rsidRPr="004F289D">
              <w:rPr>
                <w:rFonts w:eastAsia="Aptos" w:cs="Times New Roman"/>
                <w:sz w:val="22"/>
                <w:szCs w:val="22"/>
                <w:lang w:val="en-US"/>
              </w:rPr>
              <w:t>“…</w:t>
            </w:r>
            <w:r w:rsidRPr="004F289D">
              <w:rPr>
                <w:rFonts w:eastAsia="Aptos" w:cs="Times New Roman"/>
                <w:sz w:val="22"/>
                <w:szCs w:val="22"/>
              </w:rPr>
              <w:t>aware that there are a lot of fake websites on the internet” (Balakrishnan et al., 2025, p. 8)</w:t>
            </w:r>
          </w:p>
          <w:p w14:paraId="245DBE06" w14:textId="77777777" w:rsidR="00BF573A" w:rsidRPr="004F289D" w:rsidRDefault="00BF573A" w:rsidP="00BF573A">
            <w:pPr>
              <w:rPr>
                <w:rFonts w:eastAsia="Aptos" w:cs="Times New Roman"/>
                <w:sz w:val="22"/>
                <w:szCs w:val="22"/>
              </w:rPr>
            </w:pPr>
          </w:p>
          <w:p w14:paraId="3B4FADD1" w14:textId="77777777" w:rsidR="00BF573A" w:rsidRPr="004F289D" w:rsidRDefault="00BF573A" w:rsidP="00BF573A">
            <w:pPr>
              <w:rPr>
                <w:rFonts w:eastAsia="Aptos" w:cs="Times New Roman"/>
                <w:sz w:val="22"/>
                <w:szCs w:val="22"/>
              </w:rPr>
            </w:pPr>
            <w:r w:rsidRPr="004F289D">
              <w:rPr>
                <w:rFonts w:eastAsia="Aptos" w:cs="Times New Roman"/>
                <w:sz w:val="22"/>
                <w:szCs w:val="22"/>
              </w:rPr>
              <w:t>“...allows buyers to decide if the seller is legitimate.” (</w:t>
            </w:r>
            <w:proofErr w:type="spellStart"/>
            <w:r w:rsidRPr="004F289D">
              <w:rPr>
                <w:rFonts w:eastAsia="Aptos" w:cs="Times New Roman"/>
                <w:sz w:val="22"/>
                <w:szCs w:val="22"/>
                <w:lang w:val="en-US"/>
              </w:rPr>
              <w:t>Bauerly</w:t>
            </w:r>
            <w:proofErr w:type="spellEnd"/>
            <w:r w:rsidRPr="004F289D">
              <w:rPr>
                <w:rFonts w:eastAsia="Aptos" w:cs="Times New Roman"/>
                <w:sz w:val="22"/>
                <w:szCs w:val="22"/>
                <w:lang w:val="en-US"/>
              </w:rPr>
              <w:t xml:space="preserve">, 2009, </w:t>
            </w:r>
            <w:r w:rsidRPr="004F289D">
              <w:rPr>
                <w:rFonts w:eastAsia="Aptos" w:cs="Times New Roman"/>
                <w:sz w:val="22"/>
                <w:szCs w:val="22"/>
              </w:rPr>
              <w:t>p. 141)</w:t>
            </w:r>
          </w:p>
          <w:p w14:paraId="7ACC0942" w14:textId="77777777" w:rsidR="00BF573A" w:rsidRPr="004F289D" w:rsidRDefault="00BF573A" w:rsidP="00BF573A">
            <w:pPr>
              <w:rPr>
                <w:rFonts w:eastAsia="Aptos" w:cs="Times New Roman"/>
                <w:sz w:val="22"/>
                <w:szCs w:val="22"/>
              </w:rPr>
            </w:pPr>
          </w:p>
          <w:p w14:paraId="008C1D1F" w14:textId="77777777"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w:t>
            </w:r>
            <w:r w:rsidRPr="004F289D">
              <w:rPr>
                <w:rFonts w:eastAsia="Aptos" w:cs="Times New Roman"/>
                <w:sz w:val="22"/>
                <w:szCs w:val="22"/>
              </w:rPr>
              <w:t>assuming a professional or legitimate façade...” “use well-known logos of existing legitimate companies” (Button et al., 2014, p. 400)</w:t>
            </w:r>
          </w:p>
          <w:p w14:paraId="1A45D05B" w14:textId="77777777" w:rsidR="00BF573A" w:rsidRPr="004F289D" w:rsidRDefault="00BF573A" w:rsidP="00BF573A">
            <w:pPr>
              <w:rPr>
                <w:rFonts w:eastAsia="Aptos" w:cs="Times New Roman"/>
                <w:sz w:val="22"/>
                <w:szCs w:val="22"/>
                <w:lang w:val="en-US"/>
              </w:rPr>
            </w:pPr>
          </w:p>
          <w:p w14:paraId="0356FF57" w14:textId="01630430" w:rsidR="00BF573A" w:rsidRPr="004F289D" w:rsidRDefault="00BF573A" w:rsidP="00BF573A">
            <w:pPr>
              <w:rPr>
                <w:rFonts w:eastAsia="Aptos" w:cs="Times New Roman"/>
                <w:sz w:val="22"/>
                <w:szCs w:val="22"/>
              </w:rPr>
            </w:pPr>
            <w:r w:rsidRPr="004F289D">
              <w:rPr>
                <w:rFonts w:eastAsia="Aptos" w:cs="Times New Roman"/>
                <w:sz w:val="22"/>
                <w:szCs w:val="22"/>
                <w:lang w:val="en-US"/>
              </w:rPr>
              <w:t>“</w:t>
            </w:r>
            <w:r w:rsidRPr="004F289D">
              <w:rPr>
                <w:rFonts w:eastAsia="Aptos" w:cs="Times New Roman"/>
                <w:sz w:val="22"/>
                <w:szCs w:val="22"/>
              </w:rPr>
              <w:t xml:space="preserve">The victim believes in the legitimacy...” (Cross, 2015, p. </w:t>
            </w:r>
            <w:r w:rsidR="008E4A8C" w:rsidRPr="004F289D">
              <w:rPr>
                <w:rFonts w:eastAsia="Aptos" w:cs="Times New Roman"/>
                <w:sz w:val="22"/>
                <w:szCs w:val="22"/>
              </w:rPr>
              <w:t>193</w:t>
            </w:r>
            <w:r w:rsidRPr="004F289D">
              <w:rPr>
                <w:rFonts w:eastAsia="Aptos" w:cs="Times New Roman"/>
                <w:sz w:val="22"/>
                <w:szCs w:val="22"/>
              </w:rPr>
              <w:t>)</w:t>
            </w:r>
          </w:p>
          <w:p w14:paraId="3B8E6823" w14:textId="77777777" w:rsidR="00BF573A" w:rsidRPr="004F289D" w:rsidRDefault="00BF573A" w:rsidP="00BF573A">
            <w:pPr>
              <w:rPr>
                <w:rFonts w:eastAsia="Aptos" w:cs="Times New Roman"/>
                <w:sz w:val="22"/>
                <w:szCs w:val="22"/>
                <w:lang w:val="en-US"/>
              </w:rPr>
            </w:pPr>
          </w:p>
          <w:p w14:paraId="613DD966" w14:textId="683405A8" w:rsidR="00BF573A" w:rsidRPr="004F289D" w:rsidRDefault="00BF573A" w:rsidP="00BF573A">
            <w:pPr>
              <w:rPr>
                <w:rFonts w:eastAsia="Aptos" w:cs="Times New Roman"/>
                <w:sz w:val="22"/>
                <w:szCs w:val="22"/>
              </w:rPr>
            </w:pPr>
            <w:r w:rsidRPr="004F289D">
              <w:rPr>
                <w:rFonts w:eastAsia="Aptos" w:cs="Times New Roman"/>
                <w:sz w:val="22"/>
                <w:szCs w:val="22"/>
              </w:rPr>
              <w:t xml:space="preserve">“....not be able to discern a legitimate personal or company identity” (Cross, 2016, p. </w:t>
            </w:r>
            <w:r w:rsidR="008E4A8C" w:rsidRPr="004F289D">
              <w:rPr>
                <w:rFonts w:eastAsia="Aptos" w:cs="Times New Roman"/>
                <w:sz w:val="22"/>
                <w:szCs w:val="22"/>
              </w:rPr>
              <w:t>1</w:t>
            </w:r>
            <w:r w:rsidR="00044CB4" w:rsidRPr="004F289D">
              <w:rPr>
                <w:rFonts w:eastAsia="Aptos" w:cs="Times New Roman"/>
                <w:sz w:val="22"/>
                <w:szCs w:val="22"/>
              </w:rPr>
              <w:t>26</w:t>
            </w:r>
            <w:r w:rsidRPr="004F289D">
              <w:rPr>
                <w:rFonts w:eastAsia="Aptos" w:cs="Times New Roman"/>
                <w:sz w:val="22"/>
                <w:szCs w:val="22"/>
              </w:rPr>
              <w:t>)</w:t>
            </w:r>
          </w:p>
          <w:p w14:paraId="5389099F" w14:textId="77777777" w:rsidR="00FC7205" w:rsidRPr="004F289D" w:rsidRDefault="00FC7205" w:rsidP="00BF573A">
            <w:pPr>
              <w:rPr>
                <w:rFonts w:eastAsia="Aptos" w:cs="Times New Roman"/>
                <w:sz w:val="22"/>
                <w:szCs w:val="22"/>
              </w:rPr>
            </w:pPr>
          </w:p>
          <w:p w14:paraId="619E5869" w14:textId="329D8CFC" w:rsidR="00FC7205" w:rsidRPr="004F289D" w:rsidRDefault="00FC7205" w:rsidP="00BF573A">
            <w:pPr>
              <w:rPr>
                <w:rFonts w:eastAsia="Aptos" w:cs="Times New Roman"/>
                <w:sz w:val="22"/>
                <w:szCs w:val="22"/>
              </w:rPr>
            </w:pPr>
            <w:r w:rsidRPr="004F289D">
              <w:rPr>
                <w:rFonts w:eastAsia="Aptos" w:cs="Times New Roman"/>
                <w:sz w:val="22"/>
                <w:szCs w:val="22"/>
              </w:rPr>
              <w:t>“...determine between genuine and not...” (</w:t>
            </w:r>
            <w:proofErr w:type="spellStart"/>
            <w:r w:rsidRPr="004F289D">
              <w:rPr>
                <w:rFonts w:eastAsia="Aptos" w:cs="Times New Roman"/>
                <w:sz w:val="22"/>
                <w:szCs w:val="22"/>
                <w:lang w:val="en-US"/>
              </w:rPr>
              <w:t>Ertan</w:t>
            </w:r>
            <w:proofErr w:type="spellEnd"/>
            <w:r w:rsidRPr="004F289D">
              <w:rPr>
                <w:rFonts w:eastAsia="Aptos" w:cs="Times New Roman"/>
                <w:sz w:val="22"/>
                <w:szCs w:val="22"/>
                <w:lang w:val="en-US"/>
              </w:rPr>
              <w:t xml:space="preserve"> et al., 2018, p. </w:t>
            </w:r>
            <w:r w:rsidRPr="004F289D">
              <w:rPr>
                <w:rFonts w:eastAsia="Aptos" w:cs="Times New Roman"/>
                <w:sz w:val="22"/>
                <w:szCs w:val="22"/>
              </w:rPr>
              <w:t>18)</w:t>
            </w:r>
          </w:p>
          <w:p w14:paraId="1CC9F593" w14:textId="77777777" w:rsidR="00BF573A" w:rsidRPr="004F289D" w:rsidRDefault="00BF573A" w:rsidP="00BF573A">
            <w:pPr>
              <w:rPr>
                <w:rFonts w:eastAsia="Aptos" w:cs="Times New Roman"/>
                <w:sz w:val="22"/>
                <w:szCs w:val="22"/>
                <w:lang w:val="en-US"/>
              </w:rPr>
            </w:pPr>
          </w:p>
          <w:p w14:paraId="4D68340E" w14:textId="77777777" w:rsidR="00BF573A" w:rsidRPr="004F289D" w:rsidRDefault="00BF573A" w:rsidP="00EA4E67">
            <w:pPr>
              <w:rPr>
                <w:rFonts w:eastAsia="Aptos" w:cs="Times New Roman"/>
                <w:sz w:val="22"/>
                <w:szCs w:val="22"/>
              </w:rPr>
            </w:pPr>
            <w:r w:rsidRPr="004F289D">
              <w:rPr>
                <w:rFonts w:eastAsia="Aptos" w:cs="Times New Roman"/>
                <w:sz w:val="22"/>
                <w:szCs w:val="22"/>
                <w:lang w:val="en-US"/>
              </w:rPr>
              <w:t>“A consumer’s inability to discriminate fraudulent sites is a serious obstacle for the viability of e-commerce” (</w:t>
            </w:r>
            <w:r w:rsidRPr="004F289D">
              <w:rPr>
                <w:rFonts w:eastAsia="Aptos" w:cs="Times New Roman"/>
                <w:sz w:val="22"/>
                <w:szCs w:val="22"/>
              </w:rPr>
              <w:t>Narayanan et al., 2012, p. 1615)</w:t>
            </w:r>
          </w:p>
          <w:p w14:paraId="27D07E81" w14:textId="77777777" w:rsidR="00467D92" w:rsidRPr="004F289D" w:rsidRDefault="00467D92" w:rsidP="00EA4E67">
            <w:pPr>
              <w:rPr>
                <w:rFonts w:eastAsia="Aptos" w:cs="Times New Roman"/>
                <w:sz w:val="22"/>
                <w:szCs w:val="22"/>
              </w:rPr>
            </w:pPr>
          </w:p>
          <w:p w14:paraId="572A6D7B" w14:textId="77777777" w:rsidR="00122FE9" w:rsidRPr="004F289D" w:rsidRDefault="00467D92" w:rsidP="00122FE9">
            <w:pPr>
              <w:rPr>
                <w:rFonts w:eastAsia="Aptos" w:cs="Times New Roman"/>
                <w:sz w:val="22"/>
                <w:szCs w:val="22"/>
              </w:rPr>
            </w:pPr>
            <w:r w:rsidRPr="004F289D">
              <w:rPr>
                <w:rFonts w:eastAsia="Aptos" w:cs="Times New Roman"/>
                <w:sz w:val="22"/>
                <w:szCs w:val="22"/>
              </w:rPr>
              <w:t>“...false imitation of legitimate companies to trick individuals...” (Shandilya et al., 2024, p. 6)</w:t>
            </w:r>
          </w:p>
          <w:p w14:paraId="574B44C9" w14:textId="5EAA540B" w:rsidR="00122FE9" w:rsidRPr="004F289D" w:rsidRDefault="00122FE9" w:rsidP="00122FE9">
            <w:pPr>
              <w:rPr>
                <w:rFonts w:eastAsia="Aptos" w:cs="Times New Roman"/>
                <w:sz w:val="22"/>
                <w:szCs w:val="22"/>
                <w:lang w:val="en-US"/>
              </w:rPr>
            </w:pPr>
          </w:p>
        </w:tc>
      </w:tr>
      <w:tr w:rsidR="004F289D" w:rsidRPr="004F289D" w14:paraId="76541D62" w14:textId="77777777" w:rsidTr="00710711">
        <w:tc>
          <w:tcPr>
            <w:tcW w:w="526" w:type="pct"/>
            <w:tcBorders>
              <w:top w:val="single" w:sz="4" w:space="0" w:color="auto"/>
              <w:left w:val="nil"/>
              <w:bottom w:val="single" w:sz="4" w:space="0" w:color="auto"/>
              <w:right w:val="nil"/>
            </w:tcBorders>
          </w:tcPr>
          <w:p w14:paraId="34A685E9"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rPr>
              <w:t>Reporting fraud</w:t>
            </w:r>
          </w:p>
        </w:tc>
        <w:tc>
          <w:tcPr>
            <w:tcW w:w="1009" w:type="pct"/>
            <w:tcBorders>
              <w:top w:val="single" w:sz="4" w:space="0" w:color="auto"/>
              <w:left w:val="nil"/>
              <w:bottom w:val="single" w:sz="4" w:space="0" w:color="auto"/>
              <w:right w:val="nil"/>
            </w:tcBorders>
          </w:tcPr>
          <w:p w14:paraId="736C08E5" w14:textId="79DFE7AE" w:rsidR="009A3129" w:rsidRPr="004F289D" w:rsidRDefault="00467D92" w:rsidP="00EA4E67">
            <w:pPr>
              <w:rPr>
                <w:rFonts w:eastAsia="Aptos" w:cs="Times New Roman"/>
                <w:sz w:val="22"/>
                <w:szCs w:val="22"/>
                <w:lang w:val="en-US"/>
              </w:rPr>
            </w:pPr>
            <w:r w:rsidRPr="004F289D">
              <w:rPr>
                <w:rFonts w:eastAsia="Aptos" w:cs="Times New Roman"/>
                <w:sz w:val="22"/>
                <w:szCs w:val="22"/>
                <w:lang w:val="en-US"/>
              </w:rPr>
              <w:t xml:space="preserve">Afzal et al. (2024); </w:t>
            </w:r>
            <w:r w:rsidR="00BF573A" w:rsidRPr="004F289D">
              <w:rPr>
                <w:rFonts w:eastAsia="Aptos" w:cs="Times New Roman"/>
                <w:sz w:val="22"/>
                <w:szCs w:val="22"/>
                <w:lang w:val="en-US"/>
              </w:rPr>
              <w:t xml:space="preserve">Ahuja and </w:t>
            </w:r>
            <w:r w:rsidR="0079626B" w:rsidRPr="004F289D">
              <w:rPr>
                <w:rFonts w:eastAsia="Times New Roman" w:cs="Times New Roman"/>
                <w:kern w:val="0"/>
                <w:sz w:val="22"/>
                <w:szCs w:val="22"/>
                <w:lang/>
                <w14:ligatures w14:val="none"/>
              </w:rPr>
              <w:t>Singh</w:t>
            </w:r>
            <w:r w:rsidR="0079626B" w:rsidRPr="004F289D">
              <w:rPr>
                <w:rFonts w:eastAsia="Aptos" w:cs="Times New Roman"/>
                <w:sz w:val="22"/>
                <w:szCs w:val="22"/>
                <w:lang w:val="en-US"/>
              </w:rPr>
              <w:t xml:space="preserve"> </w:t>
            </w:r>
            <w:r w:rsidR="00BF573A" w:rsidRPr="004F289D">
              <w:rPr>
                <w:rFonts w:eastAsia="Aptos" w:cs="Times New Roman"/>
                <w:sz w:val="22"/>
                <w:szCs w:val="22"/>
                <w:lang w:val="en-US"/>
              </w:rPr>
              <w:t xml:space="preserve">(2017); Baker (1999); Bansal et al. (2025); </w:t>
            </w:r>
            <w:proofErr w:type="spellStart"/>
            <w:r w:rsidR="00BF573A" w:rsidRPr="004F289D">
              <w:rPr>
                <w:rFonts w:eastAsia="Aptos" w:cs="Times New Roman"/>
                <w:sz w:val="22"/>
                <w:szCs w:val="22"/>
                <w:lang w:val="en-US"/>
              </w:rPr>
              <w:t>Bauerly</w:t>
            </w:r>
            <w:proofErr w:type="spellEnd"/>
            <w:r w:rsidR="00BF573A" w:rsidRPr="004F289D">
              <w:rPr>
                <w:rFonts w:eastAsia="Aptos" w:cs="Times New Roman"/>
                <w:sz w:val="22"/>
                <w:szCs w:val="22"/>
                <w:lang w:val="en-US"/>
              </w:rPr>
              <w:t xml:space="preserve"> (2009); </w:t>
            </w:r>
            <w:r w:rsidR="007367D1" w:rsidRPr="004F289D">
              <w:rPr>
                <w:rFonts w:eastAsia="Times New Roman" w:cs="Times New Roman"/>
                <w:kern w:val="0"/>
                <w:sz w:val="22"/>
                <w:szCs w:val="22"/>
                <w:lang/>
                <w14:ligatures w14:val="none"/>
              </w:rPr>
              <w:t xml:space="preserve">Beranek and Knizek </w:t>
            </w:r>
            <w:r w:rsidR="00BF573A" w:rsidRPr="004F289D">
              <w:rPr>
                <w:rFonts w:eastAsia="Aptos" w:cs="Times New Roman"/>
                <w:sz w:val="22"/>
                <w:szCs w:val="22"/>
                <w:lang w:val="en-US"/>
              </w:rPr>
              <w:t xml:space="preserve">(2013); </w:t>
            </w:r>
            <w:r w:rsidR="00BF573A" w:rsidRPr="004F289D">
              <w:rPr>
                <w:rFonts w:eastAsia="Aptos" w:cs="Times New Roman"/>
                <w:sz w:val="22"/>
                <w:szCs w:val="22"/>
              </w:rPr>
              <w:t xml:space="preserve">Bian et al. (2023); Button et al. (2014); Cross (2015, 2016); Cross and Kelly (2016); DeLiema et al. (2020); Edwards et al. (2025); Fonseca et al. (2022); Gilbert and Archer (2012); Grosz and Raval (2025); </w:t>
            </w:r>
            <w:r w:rsidR="007B3AE7" w:rsidRPr="004F289D">
              <w:rPr>
                <w:rFonts w:eastAsia="Aptos" w:cs="Times New Roman"/>
                <w:sz w:val="22"/>
                <w:szCs w:val="22"/>
              </w:rPr>
              <w:t xml:space="preserve">Kraiwanit et al. (2025); </w:t>
            </w:r>
            <w:r w:rsidR="00BF573A" w:rsidRPr="004F289D">
              <w:rPr>
                <w:rFonts w:eastAsia="Aptos" w:cs="Times New Roman"/>
                <w:sz w:val="22"/>
                <w:szCs w:val="22"/>
              </w:rPr>
              <w:t xml:space="preserve">Lai et al. (2023); Lee (2022); Lim and Letkiewicz (2023); Maher (2025); Nikitkov and Bay (2008); Puspitarini et al. </w:t>
            </w:r>
            <w:r w:rsidR="00BF573A" w:rsidRPr="004F289D">
              <w:rPr>
                <w:rFonts w:eastAsia="Aptos" w:cs="Times New Roman"/>
                <w:sz w:val="22"/>
                <w:szCs w:val="22"/>
                <w:lang w:val="es-ES"/>
              </w:rPr>
              <w:t xml:space="preserve">(2021); </w:t>
            </w:r>
            <w:proofErr w:type="spellStart"/>
            <w:r w:rsidR="00BF573A" w:rsidRPr="004F289D">
              <w:rPr>
                <w:rFonts w:eastAsia="Aptos" w:cs="Times New Roman"/>
                <w:sz w:val="22"/>
                <w:szCs w:val="22"/>
                <w:lang w:val="es-ES"/>
              </w:rPr>
              <w:t>Segal</w:t>
            </w:r>
            <w:proofErr w:type="spellEnd"/>
            <w:r w:rsidR="00BF573A" w:rsidRPr="004F289D">
              <w:rPr>
                <w:rFonts w:eastAsia="Aptos" w:cs="Times New Roman"/>
                <w:sz w:val="22"/>
                <w:szCs w:val="22"/>
                <w:lang w:val="es-ES"/>
              </w:rPr>
              <w:t xml:space="preserve"> et al. (2021); </w:t>
            </w:r>
            <w:proofErr w:type="spellStart"/>
            <w:r w:rsidR="009D5E24" w:rsidRPr="004F289D">
              <w:rPr>
                <w:rFonts w:eastAsia="Aptos" w:cs="Times New Roman"/>
                <w:sz w:val="22"/>
                <w:szCs w:val="22"/>
                <w:lang w:val="es-ES"/>
              </w:rPr>
              <w:t>Shandilya</w:t>
            </w:r>
            <w:proofErr w:type="spellEnd"/>
            <w:r w:rsidR="009D5E24" w:rsidRPr="004F289D">
              <w:rPr>
                <w:rFonts w:eastAsia="Aptos" w:cs="Times New Roman"/>
                <w:sz w:val="22"/>
                <w:szCs w:val="22"/>
                <w:lang w:val="es-ES"/>
              </w:rPr>
              <w:t xml:space="preserve"> et </w:t>
            </w:r>
            <w:r w:rsidR="009D5E24" w:rsidRPr="004F289D">
              <w:rPr>
                <w:rFonts w:eastAsia="Aptos" w:cs="Times New Roman"/>
                <w:sz w:val="22"/>
                <w:szCs w:val="22"/>
                <w:lang w:val="es-ES"/>
              </w:rPr>
              <w:lastRenderedPageBreak/>
              <w:t xml:space="preserve">al. (2024); </w:t>
            </w:r>
            <w:proofErr w:type="spellStart"/>
            <w:r w:rsidR="00BF573A" w:rsidRPr="004F289D">
              <w:rPr>
                <w:rFonts w:eastAsia="Aptos" w:cs="Times New Roman"/>
                <w:sz w:val="22"/>
                <w:szCs w:val="22"/>
                <w:lang w:val="es-ES"/>
              </w:rPr>
              <w:t>Shree</w:t>
            </w:r>
            <w:proofErr w:type="spellEnd"/>
            <w:r w:rsidR="00BF573A" w:rsidRPr="004F289D">
              <w:rPr>
                <w:rFonts w:eastAsia="Aptos" w:cs="Times New Roman"/>
                <w:sz w:val="22"/>
                <w:szCs w:val="22"/>
                <w:lang w:val="es-ES"/>
              </w:rPr>
              <w:t xml:space="preserve"> et al. (2021); </w:t>
            </w:r>
            <w:r w:rsidR="00F47CCD" w:rsidRPr="004F289D">
              <w:rPr>
                <w:rFonts w:eastAsia="Times New Roman" w:cs="Times New Roman"/>
                <w:kern w:val="0"/>
                <w:sz w:val="22"/>
                <w:szCs w:val="22"/>
                <w:lang w:val="es-ES"/>
                <w14:ligatures w14:val="none"/>
              </w:rPr>
              <w:t xml:space="preserve">Sri </w:t>
            </w:r>
            <w:proofErr w:type="spellStart"/>
            <w:r w:rsidR="00F47CCD" w:rsidRPr="004F289D">
              <w:rPr>
                <w:rFonts w:eastAsia="Times New Roman" w:cs="Times New Roman"/>
                <w:kern w:val="0"/>
                <w:sz w:val="22"/>
                <w:szCs w:val="22"/>
                <w:lang w:val="es-ES"/>
                <w14:ligatures w14:val="none"/>
              </w:rPr>
              <w:t>Lestari</w:t>
            </w:r>
            <w:proofErr w:type="spellEnd"/>
            <w:r w:rsidR="00F47CCD" w:rsidRPr="004F289D">
              <w:rPr>
                <w:rFonts w:eastAsia="Times New Roman" w:cs="Times New Roman"/>
                <w:kern w:val="0"/>
                <w:sz w:val="22"/>
                <w:szCs w:val="22"/>
                <w:lang w:val="es-ES"/>
                <w14:ligatures w14:val="none"/>
              </w:rPr>
              <w:t xml:space="preserve"> </w:t>
            </w:r>
            <w:r w:rsidR="00BF573A" w:rsidRPr="004F289D">
              <w:rPr>
                <w:rFonts w:eastAsia="Aptos" w:cs="Times New Roman"/>
                <w:sz w:val="22"/>
                <w:szCs w:val="22"/>
                <w:lang w:val="es-ES"/>
              </w:rPr>
              <w:t>et al. (2024);</w:t>
            </w:r>
            <w:r w:rsidR="00641F7E" w:rsidRPr="004F289D">
              <w:rPr>
                <w:rFonts w:eastAsia="Aptos" w:cs="Times New Roman"/>
                <w:sz w:val="22"/>
                <w:szCs w:val="22"/>
                <w:lang w:val="es-ES"/>
              </w:rPr>
              <w:t xml:space="preserve"> </w:t>
            </w:r>
            <w:r w:rsidR="00641F7E" w:rsidRPr="004F289D">
              <w:rPr>
                <w:rFonts w:eastAsia="Aptos" w:cs="Times New Roman"/>
                <w:sz w:val="22"/>
                <w:szCs w:val="22"/>
              </w:rPr>
              <w:t>Suzuki (2024);</w:t>
            </w:r>
            <w:r w:rsidR="00BF573A" w:rsidRPr="004F289D">
              <w:rPr>
                <w:rFonts w:eastAsia="Aptos" w:cs="Times New Roman"/>
                <w:sz w:val="22"/>
                <w:szCs w:val="22"/>
                <w:lang w:val="es-ES"/>
              </w:rPr>
              <w:t xml:space="preserve"> van de </w:t>
            </w:r>
            <w:proofErr w:type="spellStart"/>
            <w:r w:rsidR="00BF573A" w:rsidRPr="004F289D">
              <w:rPr>
                <w:rFonts w:eastAsia="Aptos" w:cs="Times New Roman"/>
                <w:sz w:val="22"/>
                <w:szCs w:val="22"/>
                <w:lang w:val="es-ES"/>
              </w:rPr>
              <w:t>Weijer</w:t>
            </w:r>
            <w:proofErr w:type="spellEnd"/>
            <w:r w:rsidR="00BF573A" w:rsidRPr="004F289D">
              <w:rPr>
                <w:rFonts w:eastAsia="Aptos" w:cs="Times New Roman"/>
                <w:sz w:val="22"/>
                <w:szCs w:val="22"/>
                <w:lang w:val="es-ES"/>
              </w:rPr>
              <w:t xml:space="preserve"> et al. (2019); Wang et al. (2025)</w:t>
            </w:r>
          </w:p>
        </w:tc>
        <w:tc>
          <w:tcPr>
            <w:tcW w:w="3465" w:type="pct"/>
            <w:tcBorders>
              <w:top w:val="single" w:sz="4" w:space="0" w:color="auto"/>
              <w:left w:val="nil"/>
              <w:bottom w:val="single" w:sz="4" w:space="0" w:color="auto"/>
              <w:right w:val="nil"/>
            </w:tcBorders>
          </w:tcPr>
          <w:p w14:paraId="39DBE657" w14:textId="07D6109B" w:rsidR="00467D92" w:rsidRPr="004F289D" w:rsidRDefault="00467D92" w:rsidP="00BF573A">
            <w:pPr>
              <w:rPr>
                <w:rFonts w:eastAsia="Aptos" w:cs="Times New Roman"/>
                <w:sz w:val="22"/>
                <w:szCs w:val="22"/>
              </w:rPr>
            </w:pPr>
            <w:r w:rsidRPr="004F289D">
              <w:rPr>
                <w:rFonts w:eastAsia="Aptos" w:cs="Times New Roman"/>
                <w:sz w:val="22"/>
                <w:szCs w:val="22"/>
              </w:rPr>
              <w:lastRenderedPageBreak/>
              <w:t>“Develop new rules and regulations regarding cyberfraud reporting...” (Afzal et al., 2024, p. 1517)</w:t>
            </w:r>
          </w:p>
          <w:p w14:paraId="2D75FF86" w14:textId="77777777" w:rsidR="00467D92" w:rsidRPr="004F289D" w:rsidRDefault="00467D92" w:rsidP="00BF573A">
            <w:pPr>
              <w:rPr>
                <w:rFonts w:eastAsia="Aptos" w:cs="Times New Roman"/>
                <w:sz w:val="22"/>
                <w:szCs w:val="22"/>
              </w:rPr>
            </w:pPr>
          </w:p>
          <w:p w14:paraId="129E1D73" w14:textId="44207D5C" w:rsidR="00BF573A" w:rsidRPr="004F289D" w:rsidRDefault="00BF573A" w:rsidP="00BF573A">
            <w:pPr>
              <w:rPr>
                <w:rFonts w:eastAsia="Aptos" w:cs="Times New Roman"/>
                <w:sz w:val="22"/>
                <w:szCs w:val="22"/>
              </w:rPr>
            </w:pPr>
            <w:r w:rsidRPr="004F289D">
              <w:rPr>
                <w:rFonts w:eastAsia="Aptos" w:cs="Times New Roman"/>
                <w:sz w:val="22"/>
                <w:szCs w:val="22"/>
              </w:rPr>
              <w:t>“...low rates of reporting. This is attributed to … not knowing who to go to.” (Button et al., 2014, p. 394)</w:t>
            </w:r>
          </w:p>
          <w:p w14:paraId="56DC79C0" w14:textId="77777777" w:rsidR="00BF573A" w:rsidRPr="004F289D" w:rsidRDefault="00BF573A" w:rsidP="00BF573A">
            <w:pPr>
              <w:rPr>
                <w:rFonts w:eastAsia="Aptos" w:cs="Times New Roman"/>
                <w:sz w:val="22"/>
                <w:szCs w:val="22"/>
                <w:lang w:val="en-US"/>
              </w:rPr>
            </w:pPr>
          </w:p>
          <w:p w14:paraId="6337A4B2" w14:textId="0F6E88AB" w:rsidR="00BF573A" w:rsidRPr="004F289D" w:rsidRDefault="00BF573A" w:rsidP="00BF573A">
            <w:pPr>
              <w:rPr>
                <w:rFonts w:eastAsia="Aptos" w:cs="Times New Roman"/>
                <w:sz w:val="22"/>
                <w:szCs w:val="22"/>
              </w:rPr>
            </w:pPr>
            <w:r w:rsidRPr="004F289D">
              <w:rPr>
                <w:rFonts w:eastAsia="Aptos" w:cs="Times New Roman"/>
                <w:sz w:val="22"/>
                <w:szCs w:val="22"/>
                <w:lang w:val="en-US"/>
              </w:rPr>
              <w:t xml:space="preserve">“a lack of knowledge of who to report the incident to” </w:t>
            </w:r>
            <w:r w:rsidRPr="004F289D">
              <w:rPr>
                <w:rFonts w:eastAsia="Aptos" w:cs="Times New Roman"/>
                <w:sz w:val="22"/>
                <w:szCs w:val="22"/>
              </w:rPr>
              <w:t xml:space="preserve">(Cross, 2015, p. </w:t>
            </w:r>
            <w:r w:rsidR="00E77531" w:rsidRPr="004F289D">
              <w:rPr>
                <w:rFonts w:eastAsia="Aptos" w:cs="Times New Roman"/>
                <w:sz w:val="22"/>
                <w:szCs w:val="22"/>
              </w:rPr>
              <w:t>199</w:t>
            </w:r>
            <w:r w:rsidRPr="004F289D">
              <w:rPr>
                <w:rFonts w:eastAsia="Aptos" w:cs="Times New Roman"/>
                <w:sz w:val="22"/>
                <w:szCs w:val="22"/>
              </w:rPr>
              <w:t>)</w:t>
            </w:r>
          </w:p>
          <w:p w14:paraId="68B63AB8" w14:textId="77777777" w:rsidR="00BF573A" w:rsidRPr="004F289D" w:rsidRDefault="00BF573A" w:rsidP="00BF573A">
            <w:pPr>
              <w:rPr>
                <w:rFonts w:eastAsia="Aptos" w:cs="Times New Roman"/>
                <w:sz w:val="22"/>
                <w:szCs w:val="22"/>
              </w:rPr>
            </w:pPr>
          </w:p>
          <w:p w14:paraId="31F7A0ED" w14:textId="77777777" w:rsidR="00BF573A" w:rsidRPr="004F289D" w:rsidRDefault="00BF573A" w:rsidP="00BF573A">
            <w:pPr>
              <w:rPr>
                <w:rFonts w:eastAsia="Aptos" w:cs="Times New Roman"/>
                <w:sz w:val="22"/>
                <w:szCs w:val="22"/>
              </w:rPr>
            </w:pPr>
            <w:r w:rsidRPr="004F289D">
              <w:rPr>
                <w:rFonts w:eastAsia="Aptos" w:cs="Times New Roman"/>
                <w:sz w:val="22"/>
                <w:szCs w:val="22"/>
              </w:rPr>
              <w:t>“...did not know where and to whom I could report the situation.” (Fonseca et al., 2022, p. 764)</w:t>
            </w:r>
          </w:p>
          <w:p w14:paraId="03E57626" w14:textId="77777777" w:rsidR="00BF573A" w:rsidRPr="004F289D" w:rsidRDefault="00BF573A" w:rsidP="00BF573A">
            <w:pPr>
              <w:rPr>
                <w:rFonts w:eastAsia="Aptos" w:cs="Times New Roman"/>
                <w:sz w:val="22"/>
                <w:szCs w:val="22"/>
              </w:rPr>
            </w:pPr>
          </w:p>
          <w:p w14:paraId="14F23F50" w14:textId="77777777" w:rsidR="00BF573A" w:rsidRPr="004F289D" w:rsidRDefault="00BF573A" w:rsidP="00BF573A">
            <w:pPr>
              <w:rPr>
                <w:rFonts w:eastAsia="Aptos" w:cs="Times New Roman"/>
                <w:sz w:val="22"/>
                <w:szCs w:val="22"/>
              </w:rPr>
            </w:pPr>
            <w:r w:rsidRPr="004F289D">
              <w:rPr>
                <w:rFonts w:eastAsia="Aptos" w:cs="Times New Roman"/>
                <w:sz w:val="22"/>
                <w:szCs w:val="22"/>
              </w:rPr>
              <w:t>“Victims of fraud may be hesitant to report because of their embarrassment or ignorance of the reporting process” (Lim and Letkiewicz, 2023, p. 110)</w:t>
            </w:r>
          </w:p>
          <w:p w14:paraId="123818FB" w14:textId="77777777" w:rsidR="00467D92" w:rsidRPr="004F289D" w:rsidRDefault="00467D92" w:rsidP="00BF573A">
            <w:pPr>
              <w:rPr>
                <w:rFonts w:eastAsia="Aptos" w:cs="Times New Roman"/>
                <w:sz w:val="22"/>
                <w:szCs w:val="22"/>
              </w:rPr>
            </w:pPr>
          </w:p>
          <w:p w14:paraId="3B97E58B" w14:textId="3F8EF723" w:rsidR="00DD66A3" w:rsidRPr="004F289D" w:rsidRDefault="00DD66A3" w:rsidP="00467D92">
            <w:pPr>
              <w:rPr>
                <w:rFonts w:eastAsia="Aptos" w:cs="Times New Roman"/>
                <w:sz w:val="22"/>
                <w:szCs w:val="22"/>
              </w:rPr>
            </w:pPr>
            <w:r w:rsidRPr="004F289D">
              <w:rPr>
                <w:rFonts w:eastAsia="Aptos" w:cs="Times New Roman"/>
                <w:sz w:val="22"/>
                <w:szCs w:val="22"/>
              </w:rPr>
              <w:t>“You have no idea whom to turn to. Even when you feel your rights are violated, you don’t know whom to turn to.” (Segal et al., 2021, p. 11)</w:t>
            </w:r>
          </w:p>
          <w:p w14:paraId="2C7399AF" w14:textId="77777777" w:rsidR="00BF573A" w:rsidRPr="004F289D" w:rsidRDefault="00BF573A" w:rsidP="00BF573A">
            <w:pPr>
              <w:rPr>
                <w:rFonts w:eastAsia="Aptos" w:cs="Times New Roman"/>
                <w:sz w:val="22"/>
                <w:szCs w:val="22"/>
              </w:rPr>
            </w:pPr>
          </w:p>
          <w:p w14:paraId="6AABE0BD" w14:textId="77777777" w:rsidR="00DD66A3" w:rsidRPr="004F289D" w:rsidRDefault="00DD66A3" w:rsidP="00DD66A3">
            <w:pPr>
              <w:rPr>
                <w:rFonts w:eastAsia="Aptos" w:cs="Times New Roman"/>
                <w:sz w:val="22"/>
                <w:szCs w:val="22"/>
              </w:rPr>
            </w:pPr>
            <w:r w:rsidRPr="004F289D">
              <w:rPr>
                <w:rFonts w:eastAsia="Aptos" w:cs="Times New Roman"/>
                <w:sz w:val="22"/>
                <w:szCs w:val="22"/>
              </w:rPr>
              <w:t>“Incident Reporting: The process of swiftly notifying... about a cyber incident to initiate the response and recovery procedures” (Shandilya et al., 2024, p. 513)</w:t>
            </w:r>
          </w:p>
          <w:p w14:paraId="29043143" w14:textId="77777777" w:rsidR="00BF573A" w:rsidRPr="004F289D" w:rsidRDefault="00BF573A" w:rsidP="00BF573A">
            <w:pPr>
              <w:rPr>
                <w:rFonts w:eastAsia="Aptos" w:cs="Times New Roman"/>
                <w:sz w:val="22"/>
                <w:szCs w:val="22"/>
              </w:rPr>
            </w:pPr>
          </w:p>
          <w:p w14:paraId="20E29DED" w14:textId="77777777" w:rsidR="00BF573A" w:rsidRPr="004F289D" w:rsidRDefault="00BF573A" w:rsidP="00BF573A">
            <w:pPr>
              <w:rPr>
                <w:rFonts w:eastAsia="Aptos" w:cs="Times New Roman"/>
                <w:sz w:val="22"/>
                <w:szCs w:val="22"/>
              </w:rPr>
            </w:pPr>
            <w:r w:rsidRPr="004F289D">
              <w:rPr>
                <w:rFonts w:eastAsia="Aptos" w:cs="Times New Roman"/>
                <w:sz w:val="22"/>
                <w:szCs w:val="22"/>
              </w:rPr>
              <w:lastRenderedPageBreak/>
              <w:t>“Only 10.7 to 31.9% of respondents were aware of the available support services for victims of consumer fraud and related issues” (Suzuki, 2024, p. 381)</w:t>
            </w:r>
          </w:p>
          <w:p w14:paraId="30D1449F" w14:textId="77777777" w:rsidR="00BF573A" w:rsidRPr="004F289D" w:rsidRDefault="00BF573A" w:rsidP="00BF573A">
            <w:pPr>
              <w:rPr>
                <w:rFonts w:eastAsia="Aptos" w:cs="Times New Roman"/>
                <w:sz w:val="22"/>
                <w:szCs w:val="22"/>
              </w:rPr>
            </w:pPr>
          </w:p>
          <w:p w14:paraId="3160D30F" w14:textId="77777777" w:rsidR="00BF573A" w:rsidRPr="004F289D" w:rsidRDefault="00BF573A" w:rsidP="00BF573A">
            <w:pPr>
              <w:rPr>
                <w:rFonts w:eastAsia="Aptos" w:cs="Times New Roman"/>
                <w:sz w:val="22"/>
                <w:szCs w:val="22"/>
              </w:rPr>
            </w:pPr>
            <w:r w:rsidRPr="004F289D">
              <w:rPr>
                <w:rFonts w:eastAsia="Aptos" w:cs="Times New Roman"/>
                <w:sz w:val="22"/>
                <w:szCs w:val="22"/>
              </w:rPr>
              <w:t>“As a consequence, the victims might not know to which organization they should report their victimization” (van de Weijer et al., 2019, p. 487)</w:t>
            </w:r>
          </w:p>
          <w:p w14:paraId="67425217" w14:textId="77777777" w:rsidR="00122FE9" w:rsidRPr="004F289D" w:rsidRDefault="00122FE9" w:rsidP="00BF573A">
            <w:pPr>
              <w:rPr>
                <w:rFonts w:eastAsia="Aptos" w:cs="Times New Roman"/>
                <w:sz w:val="22"/>
                <w:szCs w:val="22"/>
              </w:rPr>
            </w:pPr>
          </w:p>
        </w:tc>
      </w:tr>
      <w:tr w:rsidR="004F289D" w:rsidRPr="004F289D" w14:paraId="08152D23" w14:textId="77777777" w:rsidTr="00710711">
        <w:tc>
          <w:tcPr>
            <w:tcW w:w="526" w:type="pct"/>
            <w:tcBorders>
              <w:top w:val="single" w:sz="4" w:space="0" w:color="auto"/>
              <w:left w:val="nil"/>
              <w:bottom w:val="single" w:sz="4" w:space="0" w:color="auto"/>
              <w:right w:val="nil"/>
            </w:tcBorders>
          </w:tcPr>
          <w:p w14:paraId="13F8416C" w14:textId="5C71BEEC" w:rsidR="00BF573A" w:rsidRPr="004F289D" w:rsidRDefault="00BF573A" w:rsidP="00BF573A">
            <w:pPr>
              <w:rPr>
                <w:rFonts w:eastAsia="Aptos" w:cs="Times New Roman"/>
                <w:b/>
                <w:bCs/>
                <w:sz w:val="22"/>
                <w:szCs w:val="22"/>
                <w:lang w:val="en-US"/>
              </w:rPr>
            </w:pPr>
            <w:r w:rsidRPr="004F289D">
              <w:rPr>
                <w:rFonts w:eastAsia="Aptos" w:cs="Times New Roman"/>
                <w:b/>
                <w:bCs/>
                <w:sz w:val="22"/>
                <w:szCs w:val="22"/>
              </w:rPr>
              <w:lastRenderedPageBreak/>
              <w:t>Checking red</w:t>
            </w:r>
            <w:r w:rsidR="00F96F7C" w:rsidRPr="004F289D">
              <w:rPr>
                <w:rFonts w:eastAsia="Aptos" w:cs="Times New Roman"/>
                <w:b/>
                <w:bCs/>
                <w:sz w:val="22"/>
                <w:szCs w:val="22"/>
              </w:rPr>
              <w:t xml:space="preserve"> </w:t>
            </w:r>
            <w:r w:rsidRPr="004F289D">
              <w:rPr>
                <w:rFonts w:eastAsia="Aptos" w:cs="Times New Roman"/>
                <w:b/>
                <w:bCs/>
                <w:sz w:val="22"/>
                <w:szCs w:val="22"/>
              </w:rPr>
              <w:t>flags</w:t>
            </w:r>
          </w:p>
        </w:tc>
        <w:tc>
          <w:tcPr>
            <w:tcW w:w="1009" w:type="pct"/>
            <w:tcBorders>
              <w:top w:val="single" w:sz="4" w:space="0" w:color="auto"/>
              <w:left w:val="nil"/>
              <w:bottom w:val="single" w:sz="4" w:space="0" w:color="auto"/>
              <w:right w:val="nil"/>
            </w:tcBorders>
          </w:tcPr>
          <w:p w14:paraId="35F299C9" w14:textId="6CA29949"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 xml:space="preserve">Ahuja and </w:t>
            </w:r>
            <w:r w:rsidR="0079626B" w:rsidRPr="004F289D">
              <w:rPr>
                <w:rFonts w:eastAsia="Times New Roman" w:cs="Times New Roman"/>
                <w:kern w:val="0"/>
                <w:sz w:val="22"/>
                <w:szCs w:val="22"/>
                <w:lang/>
                <w14:ligatures w14:val="none"/>
              </w:rPr>
              <w:t>Singh</w:t>
            </w:r>
            <w:r w:rsidR="0079626B" w:rsidRPr="004F289D">
              <w:rPr>
                <w:rFonts w:eastAsia="Aptos" w:cs="Times New Roman"/>
                <w:sz w:val="22"/>
                <w:szCs w:val="22"/>
                <w:lang w:val="en-US"/>
              </w:rPr>
              <w:t xml:space="preserve"> </w:t>
            </w:r>
            <w:r w:rsidRPr="004F289D">
              <w:rPr>
                <w:rFonts w:eastAsia="Aptos" w:cs="Times New Roman"/>
                <w:sz w:val="22"/>
                <w:szCs w:val="22"/>
                <w:lang w:val="en-US"/>
              </w:rPr>
              <w:t xml:space="preserve">(2017); </w:t>
            </w:r>
            <w:proofErr w:type="spellStart"/>
            <w:r w:rsidR="00122FE9" w:rsidRPr="004F289D">
              <w:rPr>
                <w:rFonts w:eastAsia="Aptos" w:cs="Times New Roman"/>
                <w:sz w:val="22"/>
                <w:szCs w:val="22"/>
                <w:lang w:val="en-US"/>
              </w:rPr>
              <w:t>Arachchilage</w:t>
            </w:r>
            <w:proofErr w:type="spellEnd"/>
            <w:r w:rsidR="00122FE9" w:rsidRPr="004F289D">
              <w:rPr>
                <w:rFonts w:eastAsia="Aptos" w:cs="Times New Roman"/>
                <w:sz w:val="22"/>
                <w:szCs w:val="22"/>
                <w:lang w:val="en-US"/>
              </w:rPr>
              <w:t xml:space="preserve"> and Love (2014); </w:t>
            </w:r>
            <w:proofErr w:type="spellStart"/>
            <w:r w:rsidR="00122FE9" w:rsidRPr="004F289D">
              <w:rPr>
                <w:sz w:val="22"/>
                <w:szCs w:val="22"/>
                <w:lang w:val="en-US"/>
              </w:rPr>
              <w:t>Arachchilage</w:t>
            </w:r>
            <w:proofErr w:type="spellEnd"/>
            <w:r w:rsidR="00122FE9" w:rsidRPr="004F289D">
              <w:rPr>
                <w:sz w:val="22"/>
                <w:szCs w:val="22"/>
                <w:lang w:val="en-US"/>
              </w:rPr>
              <w:t xml:space="preserve"> et al. (2016); </w:t>
            </w:r>
            <w:proofErr w:type="spellStart"/>
            <w:r w:rsidRPr="004F289D">
              <w:rPr>
                <w:rFonts w:eastAsia="Aptos" w:cs="Times New Roman"/>
                <w:sz w:val="22"/>
                <w:szCs w:val="22"/>
                <w:lang w:val="en-US"/>
              </w:rPr>
              <w:t>Balakrishnan</w:t>
            </w:r>
            <w:proofErr w:type="spellEnd"/>
            <w:r w:rsidRPr="004F289D">
              <w:rPr>
                <w:rFonts w:eastAsia="Aptos" w:cs="Times New Roman"/>
                <w:sz w:val="22"/>
                <w:szCs w:val="22"/>
                <w:lang w:val="en-US"/>
              </w:rPr>
              <w:t xml:space="preserve"> et al. (2025); Bansal et al. (2025); </w:t>
            </w:r>
            <w:proofErr w:type="spellStart"/>
            <w:r w:rsidRPr="004F289D">
              <w:rPr>
                <w:rFonts w:eastAsia="Aptos" w:cs="Times New Roman"/>
                <w:sz w:val="22"/>
                <w:szCs w:val="22"/>
                <w:lang w:val="en-US"/>
              </w:rPr>
              <w:t>Bauerly</w:t>
            </w:r>
            <w:proofErr w:type="spellEnd"/>
            <w:r w:rsidRPr="004F289D">
              <w:rPr>
                <w:rFonts w:eastAsia="Aptos" w:cs="Times New Roman"/>
                <w:sz w:val="22"/>
                <w:szCs w:val="22"/>
                <w:lang w:val="en-US"/>
              </w:rPr>
              <w:t xml:space="preserve"> (2009); </w:t>
            </w:r>
            <w:proofErr w:type="spellStart"/>
            <w:r w:rsidRPr="004F289D">
              <w:rPr>
                <w:rFonts w:eastAsia="Aptos" w:cs="Times New Roman"/>
                <w:sz w:val="22"/>
                <w:szCs w:val="22"/>
                <w:lang w:val="en-US"/>
              </w:rPr>
              <w:t>Bera</w:t>
            </w:r>
            <w:proofErr w:type="spellEnd"/>
            <w:r w:rsidRPr="004F289D">
              <w:rPr>
                <w:rFonts w:eastAsia="Aptos" w:cs="Times New Roman"/>
                <w:sz w:val="22"/>
                <w:szCs w:val="22"/>
                <w:lang w:val="en-US"/>
              </w:rPr>
              <w:t xml:space="preserve"> et al. (2023); </w:t>
            </w:r>
            <w:r w:rsidR="007367D1" w:rsidRPr="004F289D">
              <w:rPr>
                <w:rFonts w:eastAsia="Times New Roman" w:cs="Times New Roman"/>
                <w:kern w:val="0"/>
                <w:sz w:val="22"/>
                <w:szCs w:val="22"/>
                <w:lang/>
                <w14:ligatures w14:val="none"/>
              </w:rPr>
              <w:t xml:space="preserve">Beranek and Knizek </w:t>
            </w:r>
            <w:r w:rsidRPr="004F289D">
              <w:rPr>
                <w:rFonts w:eastAsia="Aptos" w:cs="Times New Roman"/>
                <w:sz w:val="22"/>
                <w:szCs w:val="22"/>
                <w:lang w:val="en-US"/>
              </w:rPr>
              <w:t xml:space="preserve">(2013); </w:t>
            </w:r>
            <w:r w:rsidRPr="004F289D">
              <w:rPr>
                <w:rFonts w:eastAsia="Aptos" w:cs="Times New Roman"/>
                <w:sz w:val="22"/>
                <w:szCs w:val="22"/>
              </w:rPr>
              <w:t xml:space="preserve">Cross and Kelly (2016); DeLiema et al. (2020); Dong et al. (2009); Edwards et al. (2025); Hille et al. (2015); Hoskins and Leick (2019); Langenderfer and Shimp (2001); Lee (2022); Lyu et al. (2025); </w:t>
            </w:r>
            <w:r w:rsidR="007B3AE7" w:rsidRPr="004F289D">
              <w:rPr>
                <w:rFonts w:eastAsia="Aptos" w:cs="Times New Roman"/>
                <w:sz w:val="22"/>
                <w:szCs w:val="22"/>
              </w:rPr>
              <w:t xml:space="preserve">Mahida et al. (2025); </w:t>
            </w:r>
            <w:r w:rsidRPr="004F289D">
              <w:rPr>
                <w:rFonts w:eastAsia="Aptos" w:cs="Times New Roman"/>
                <w:sz w:val="22"/>
                <w:szCs w:val="22"/>
              </w:rPr>
              <w:t>Norris et al. (2019); Ross et al. (2014)</w:t>
            </w:r>
            <w:r w:rsidR="00467D92" w:rsidRPr="004F289D">
              <w:rPr>
                <w:rFonts w:eastAsia="Aptos" w:cs="Times New Roman"/>
                <w:sz w:val="22"/>
                <w:szCs w:val="22"/>
              </w:rPr>
              <w:t>; Shandilya et al. (2024)</w:t>
            </w:r>
          </w:p>
        </w:tc>
        <w:tc>
          <w:tcPr>
            <w:tcW w:w="3465" w:type="pct"/>
            <w:tcBorders>
              <w:top w:val="single" w:sz="4" w:space="0" w:color="auto"/>
              <w:left w:val="nil"/>
              <w:bottom w:val="single" w:sz="4" w:space="0" w:color="auto"/>
              <w:right w:val="nil"/>
            </w:tcBorders>
          </w:tcPr>
          <w:p w14:paraId="37028DC9" w14:textId="19F7AFF2"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 xml:space="preserve">“The perpetrator will often display unusual behavior, that when taken as a whole is a strong indicator of fraud” (Ahuja and </w:t>
            </w:r>
            <w:r w:rsidR="0079626B" w:rsidRPr="004F289D">
              <w:rPr>
                <w:rFonts w:eastAsia="Times New Roman" w:cs="Times New Roman"/>
                <w:kern w:val="0"/>
                <w:sz w:val="22"/>
                <w:szCs w:val="22"/>
                <w:lang/>
                <w14:ligatures w14:val="none"/>
              </w:rPr>
              <w:t>Singh</w:t>
            </w:r>
            <w:r w:rsidRPr="004F289D">
              <w:rPr>
                <w:rFonts w:eastAsia="Aptos" w:cs="Times New Roman"/>
                <w:sz w:val="22"/>
                <w:szCs w:val="22"/>
                <w:lang w:val="en-US"/>
              </w:rPr>
              <w:t xml:space="preserve">, </w:t>
            </w:r>
            <w:r w:rsidR="00DA7F69" w:rsidRPr="004F289D">
              <w:rPr>
                <w:rFonts w:eastAsia="Aptos" w:cs="Times New Roman"/>
                <w:sz w:val="22"/>
                <w:szCs w:val="22"/>
                <w:lang w:val="en-US"/>
              </w:rPr>
              <w:t xml:space="preserve">2017, </w:t>
            </w:r>
            <w:r w:rsidRPr="004F289D">
              <w:rPr>
                <w:rFonts w:eastAsia="Aptos" w:cs="Times New Roman"/>
                <w:sz w:val="22"/>
                <w:szCs w:val="22"/>
                <w:lang w:val="en-US"/>
              </w:rPr>
              <w:t>p. 2511)</w:t>
            </w:r>
          </w:p>
          <w:p w14:paraId="780622B8" w14:textId="77777777" w:rsidR="00BF573A" w:rsidRPr="004F289D" w:rsidRDefault="00BF573A" w:rsidP="00BF573A">
            <w:pPr>
              <w:rPr>
                <w:rFonts w:eastAsia="Aptos" w:cs="Times New Roman"/>
                <w:sz w:val="22"/>
                <w:szCs w:val="22"/>
                <w:lang w:val="en-US"/>
              </w:rPr>
            </w:pPr>
          </w:p>
          <w:p w14:paraId="1E6EF0B8" w14:textId="5A4F2250"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 xml:space="preserve">“Documents which are unable to be located can be a red flag for fraud” (Ahuja and </w:t>
            </w:r>
            <w:r w:rsidR="0079626B" w:rsidRPr="004F289D">
              <w:rPr>
                <w:rFonts w:eastAsia="Times New Roman" w:cs="Times New Roman"/>
                <w:kern w:val="0"/>
                <w:sz w:val="22"/>
                <w:szCs w:val="22"/>
                <w:lang/>
                <w14:ligatures w14:val="none"/>
              </w:rPr>
              <w:t>Singh</w:t>
            </w:r>
            <w:r w:rsidRPr="004F289D">
              <w:rPr>
                <w:rFonts w:eastAsia="Aptos" w:cs="Times New Roman"/>
                <w:sz w:val="22"/>
                <w:szCs w:val="22"/>
                <w:lang w:val="en-US"/>
              </w:rPr>
              <w:t xml:space="preserve">, </w:t>
            </w:r>
            <w:r w:rsidR="00DA7F69" w:rsidRPr="004F289D">
              <w:rPr>
                <w:rFonts w:eastAsia="Aptos" w:cs="Times New Roman"/>
                <w:sz w:val="22"/>
                <w:szCs w:val="22"/>
                <w:lang w:val="en-US"/>
              </w:rPr>
              <w:t xml:space="preserve">2017, </w:t>
            </w:r>
            <w:r w:rsidRPr="004F289D">
              <w:rPr>
                <w:rFonts w:eastAsia="Aptos" w:cs="Times New Roman"/>
                <w:sz w:val="22"/>
                <w:szCs w:val="22"/>
                <w:lang w:val="en-US"/>
              </w:rPr>
              <w:t>p. 2512)</w:t>
            </w:r>
          </w:p>
          <w:p w14:paraId="211590B2" w14:textId="77777777" w:rsidR="00BF573A" w:rsidRPr="004F289D" w:rsidRDefault="00BF573A" w:rsidP="00BF573A">
            <w:pPr>
              <w:rPr>
                <w:rFonts w:eastAsia="Aptos" w:cs="Times New Roman"/>
                <w:sz w:val="22"/>
                <w:szCs w:val="22"/>
                <w:lang w:val="en-US"/>
              </w:rPr>
            </w:pPr>
          </w:p>
          <w:p w14:paraId="535CCBF0" w14:textId="77777777" w:rsidR="00BF573A" w:rsidRPr="004F289D" w:rsidRDefault="00BF573A" w:rsidP="00BF573A">
            <w:pPr>
              <w:rPr>
                <w:rFonts w:eastAsia="Aptos" w:cs="Times New Roman"/>
                <w:sz w:val="22"/>
                <w:szCs w:val="22"/>
              </w:rPr>
            </w:pPr>
            <w:r w:rsidRPr="004F289D">
              <w:rPr>
                <w:rFonts w:eastAsia="Aptos" w:cs="Times New Roman"/>
                <w:sz w:val="22"/>
                <w:szCs w:val="22"/>
                <w:lang w:val="en-US"/>
              </w:rPr>
              <w:t>“…</w:t>
            </w:r>
            <w:r w:rsidRPr="004F289D">
              <w:rPr>
                <w:rFonts w:eastAsia="Aptos" w:cs="Times New Roman"/>
                <w:sz w:val="22"/>
                <w:szCs w:val="22"/>
              </w:rPr>
              <w:t>know which suspicious pop-up messages on websites to be ignored” (Balakrishnan et al., 2025, p. 8)</w:t>
            </w:r>
          </w:p>
          <w:p w14:paraId="3C3EE7B0" w14:textId="77777777" w:rsidR="00540492" w:rsidRPr="004F289D" w:rsidRDefault="00540492" w:rsidP="00BF573A">
            <w:pPr>
              <w:rPr>
                <w:rFonts w:eastAsia="Aptos" w:cs="Times New Roman"/>
                <w:sz w:val="22"/>
                <w:szCs w:val="22"/>
              </w:rPr>
            </w:pPr>
          </w:p>
          <w:p w14:paraId="13329461" w14:textId="77777777" w:rsidR="00F013F2" w:rsidRPr="004F289D" w:rsidRDefault="00F013F2" w:rsidP="00F013F2">
            <w:pPr>
              <w:rPr>
                <w:rFonts w:eastAsia="Aptos" w:cs="Times New Roman"/>
                <w:sz w:val="22"/>
                <w:szCs w:val="22"/>
              </w:rPr>
            </w:pPr>
            <w:r w:rsidRPr="004F289D">
              <w:rPr>
                <w:rFonts w:eastAsia="Aptos" w:cs="Times New Roman"/>
                <w:sz w:val="22"/>
                <w:szCs w:val="22"/>
              </w:rPr>
              <w:t>“Be wary of sellers who look suspicious” (e.g., outrageous quality claims..., who do not allow payment via PayPal or credit card...) (</w:t>
            </w:r>
            <w:proofErr w:type="spellStart"/>
            <w:r w:rsidRPr="004F289D">
              <w:rPr>
                <w:rFonts w:eastAsia="Aptos" w:cs="Times New Roman"/>
                <w:sz w:val="22"/>
                <w:szCs w:val="22"/>
                <w:lang w:val="en-US"/>
              </w:rPr>
              <w:t>Bauerly</w:t>
            </w:r>
            <w:proofErr w:type="spellEnd"/>
            <w:r w:rsidRPr="004F289D">
              <w:rPr>
                <w:rFonts w:eastAsia="Aptos" w:cs="Times New Roman"/>
                <w:sz w:val="22"/>
                <w:szCs w:val="22"/>
                <w:lang w:val="en-US"/>
              </w:rPr>
              <w:t xml:space="preserve">, 2009, </w:t>
            </w:r>
            <w:r w:rsidRPr="004F289D">
              <w:rPr>
                <w:rFonts w:eastAsia="Aptos" w:cs="Times New Roman"/>
                <w:sz w:val="22"/>
                <w:szCs w:val="22"/>
              </w:rPr>
              <w:t>p. 139)</w:t>
            </w:r>
          </w:p>
          <w:p w14:paraId="540C285E" w14:textId="77777777" w:rsidR="00F013F2" w:rsidRPr="004F289D" w:rsidRDefault="00F013F2" w:rsidP="00540492">
            <w:pPr>
              <w:rPr>
                <w:rFonts w:eastAsia="Aptos" w:cs="Times New Roman"/>
                <w:sz w:val="22"/>
                <w:szCs w:val="22"/>
              </w:rPr>
            </w:pPr>
          </w:p>
          <w:p w14:paraId="52B29255" w14:textId="1672FACC" w:rsidR="00540492" w:rsidRPr="004F289D" w:rsidRDefault="00540492" w:rsidP="00540492">
            <w:pPr>
              <w:rPr>
                <w:rFonts w:eastAsia="Aptos" w:cs="Times New Roman"/>
                <w:sz w:val="22"/>
                <w:szCs w:val="22"/>
              </w:rPr>
            </w:pPr>
            <w:r w:rsidRPr="004F289D">
              <w:rPr>
                <w:rFonts w:eastAsia="Aptos" w:cs="Times New Roman"/>
                <w:sz w:val="22"/>
                <w:szCs w:val="22"/>
                <w:lang w:val="en-US"/>
              </w:rPr>
              <w:t>Suspicious: “…</w:t>
            </w:r>
            <w:r w:rsidRPr="004F289D">
              <w:rPr>
                <w:rFonts w:eastAsia="Aptos" w:cs="Times New Roman"/>
                <w:sz w:val="22"/>
                <w:szCs w:val="22"/>
              </w:rPr>
              <w:t>a) this particular navigation is factory-fitted, b) the price in the online auction is suspiciously low...” (</w:t>
            </w:r>
            <w:r w:rsidRPr="004F289D">
              <w:rPr>
                <w:rFonts w:eastAsia="Times New Roman" w:cs="Times New Roman"/>
                <w:kern w:val="0"/>
                <w:sz w:val="22"/>
                <w:szCs w:val="22"/>
                <w:lang/>
                <w14:ligatures w14:val="none"/>
              </w:rPr>
              <w:t>Beranek and Knizek</w:t>
            </w:r>
            <w:r w:rsidRPr="004F289D">
              <w:rPr>
                <w:rFonts w:eastAsia="Aptos" w:cs="Times New Roman"/>
                <w:sz w:val="22"/>
                <w:szCs w:val="22"/>
              </w:rPr>
              <w:t>, 2013, p. 11)</w:t>
            </w:r>
          </w:p>
          <w:p w14:paraId="2A0896C6" w14:textId="77777777" w:rsidR="00BF573A" w:rsidRPr="004F289D" w:rsidRDefault="00BF573A" w:rsidP="00BF573A">
            <w:pPr>
              <w:rPr>
                <w:rFonts w:eastAsia="Aptos" w:cs="Times New Roman"/>
                <w:sz w:val="22"/>
                <w:szCs w:val="22"/>
                <w:lang w:val="en-US"/>
              </w:rPr>
            </w:pPr>
          </w:p>
          <w:p w14:paraId="75B72CBA" w14:textId="48EADD7E" w:rsidR="00540492" w:rsidRPr="004F289D" w:rsidRDefault="00540492" w:rsidP="00BF573A">
            <w:pPr>
              <w:rPr>
                <w:rFonts w:eastAsia="Aptos" w:cs="Times New Roman"/>
                <w:sz w:val="22"/>
                <w:szCs w:val="22"/>
              </w:rPr>
            </w:pPr>
            <w:r w:rsidRPr="004F289D">
              <w:rPr>
                <w:rFonts w:eastAsia="Aptos" w:cs="Times New Roman"/>
                <w:sz w:val="22"/>
                <w:szCs w:val="22"/>
              </w:rPr>
              <w:t xml:space="preserve">“...the appeal of ‘a ‘rare investment opportunity’ is so persuasive that some investors ignore the red flags.” (DeLiema et al., 2020, p. </w:t>
            </w:r>
            <w:r w:rsidR="001D2A70" w:rsidRPr="004F289D">
              <w:rPr>
                <w:rFonts w:eastAsia="Aptos" w:cs="Times New Roman"/>
                <w:sz w:val="22"/>
                <w:szCs w:val="22"/>
              </w:rPr>
              <w:t>361</w:t>
            </w:r>
            <w:r w:rsidRPr="004F289D">
              <w:rPr>
                <w:rFonts w:eastAsia="Aptos" w:cs="Times New Roman"/>
                <w:sz w:val="22"/>
                <w:szCs w:val="22"/>
              </w:rPr>
              <w:t>)</w:t>
            </w:r>
          </w:p>
          <w:p w14:paraId="64306C9F" w14:textId="77777777" w:rsidR="00BF573A" w:rsidRPr="004F289D" w:rsidRDefault="00BF573A" w:rsidP="00BF573A">
            <w:pPr>
              <w:rPr>
                <w:rFonts w:eastAsia="Aptos" w:cs="Times New Roman"/>
                <w:sz w:val="22"/>
                <w:szCs w:val="22"/>
                <w:lang w:val="en-US"/>
              </w:rPr>
            </w:pPr>
          </w:p>
          <w:p w14:paraId="55F7477B" w14:textId="77777777" w:rsidR="00540492" w:rsidRPr="004F289D" w:rsidRDefault="00540492" w:rsidP="00540492">
            <w:pPr>
              <w:rPr>
                <w:rFonts w:eastAsia="Aptos" w:cs="Times New Roman"/>
                <w:sz w:val="22"/>
                <w:szCs w:val="22"/>
                <w:lang w:val="en-US"/>
              </w:rPr>
            </w:pPr>
            <w:r w:rsidRPr="004F289D">
              <w:rPr>
                <w:rFonts w:eastAsia="Aptos" w:cs="Times New Roman"/>
                <w:sz w:val="22"/>
                <w:szCs w:val="22"/>
              </w:rPr>
              <w:t>“Identifying inconsistent cues (e.g., too-good-to-be-true guarantees, exaggerated claims of product merits) is necessary for successful detection” (Lyu et al., 2025, p. 3)</w:t>
            </w:r>
          </w:p>
          <w:p w14:paraId="2197B478" w14:textId="77777777" w:rsidR="00540492" w:rsidRPr="004F289D" w:rsidRDefault="00540492" w:rsidP="00BF573A">
            <w:pPr>
              <w:rPr>
                <w:rFonts w:eastAsia="Aptos" w:cs="Times New Roman"/>
                <w:sz w:val="22"/>
                <w:szCs w:val="22"/>
                <w:lang w:val="en-US"/>
              </w:rPr>
            </w:pPr>
          </w:p>
          <w:p w14:paraId="130B0AA2" w14:textId="434B0B11" w:rsidR="00BF573A" w:rsidRPr="004F289D" w:rsidRDefault="00467D92" w:rsidP="00BF573A">
            <w:pPr>
              <w:rPr>
                <w:rFonts w:eastAsia="Aptos" w:cs="Times New Roman"/>
                <w:sz w:val="22"/>
                <w:szCs w:val="22"/>
              </w:rPr>
            </w:pPr>
            <w:r w:rsidRPr="004F289D">
              <w:rPr>
                <w:rFonts w:eastAsia="Aptos" w:cs="Times New Roman"/>
                <w:sz w:val="22"/>
                <w:szCs w:val="22"/>
              </w:rPr>
              <w:t>“...detecting emails or hyperlinks of questionable origin form the foundation of robust digital defence mechanisms...” (Shandilya et al., 2024, p. 13)</w:t>
            </w:r>
          </w:p>
          <w:p w14:paraId="29A3B2F5" w14:textId="77777777" w:rsidR="00BF573A" w:rsidRPr="004F289D" w:rsidRDefault="00BF573A" w:rsidP="00BF573A">
            <w:pPr>
              <w:rPr>
                <w:rFonts w:eastAsia="Aptos" w:cs="Times New Roman"/>
                <w:sz w:val="22"/>
                <w:szCs w:val="22"/>
                <w:lang w:val="en-US"/>
              </w:rPr>
            </w:pPr>
          </w:p>
        </w:tc>
      </w:tr>
      <w:tr w:rsidR="004F289D" w:rsidRPr="004F289D" w14:paraId="24AE0A7D" w14:textId="77777777" w:rsidTr="00710711">
        <w:tc>
          <w:tcPr>
            <w:tcW w:w="526" w:type="pct"/>
            <w:tcBorders>
              <w:top w:val="single" w:sz="4" w:space="0" w:color="auto"/>
              <w:left w:val="nil"/>
              <w:bottom w:val="single" w:sz="4" w:space="0" w:color="auto"/>
              <w:right w:val="nil"/>
            </w:tcBorders>
          </w:tcPr>
          <w:p w14:paraId="2F7139CF"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rPr>
              <w:t>Protection tools</w:t>
            </w:r>
          </w:p>
        </w:tc>
        <w:tc>
          <w:tcPr>
            <w:tcW w:w="1009" w:type="pct"/>
            <w:tcBorders>
              <w:top w:val="single" w:sz="4" w:space="0" w:color="auto"/>
              <w:left w:val="nil"/>
              <w:bottom w:val="single" w:sz="4" w:space="0" w:color="auto"/>
              <w:right w:val="nil"/>
            </w:tcBorders>
          </w:tcPr>
          <w:p w14:paraId="25C3867A" w14:textId="46AD61BF" w:rsidR="00BF573A" w:rsidRPr="004F289D" w:rsidRDefault="00467D92" w:rsidP="00BF573A">
            <w:pPr>
              <w:rPr>
                <w:rFonts w:eastAsia="Aptos" w:cs="Times New Roman"/>
                <w:sz w:val="22"/>
                <w:szCs w:val="22"/>
                <w:lang w:val="en-US"/>
              </w:rPr>
            </w:pPr>
            <w:r w:rsidRPr="004F289D">
              <w:rPr>
                <w:rFonts w:eastAsia="Aptos" w:cs="Times New Roman"/>
                <w:sz w:val="22"/>
                <w:szCs w:val="22"/>
                <w:lang w:val="en-US"/>
              </w:rPr>
              <w:t xml:space="preserve">Afzal et al. (2024); </w:t>
            </w:r>
            <w:proofErr w:type="spellStart"/>
            <w:r w:rsidR="00122FE9" w:rsidRPr="004F289D">
              <w:rPr>
                <w:rFonts w:eastAsia="Aptos" w:cs="Times New Roman"/>
                <w:sz w:val="22"/>
                <w:szCs w:val="22"/>
                <w:lang w:val="en-US"/>
              </w:rPr>
              <w:t>Arachchilage</w:t>
            </w:r>
            <w:proofErr w:type="spellEnd"/>
            <w:r w:rsidR="00122FE9" w:rsidRPr="004F289D">
              <w:rPr>
                <w:rFonts w:eastAsia="Aptos" w:cs="Times New Roman"/>
                <w:sz w:val="22"/>
                <w:szCs w:val="22"/>
                <w:lang w:val="en-US"/>
              </w:rPr>
              <w:t xml:space="preserve"> and Love (2014); </w:t>
            </w:r>
            <w:proofErr w:type="spellStart"/>
            <w:r w:rsidR="00122FE9" w:rsidRPr="004F289D">
              <w:rPr>
                <w:sz w:val="22"/>
                <w:szCs w:val="22"/>
                <w:lang w:val="en-US"/>
              </w:rPr>
              <w:t>Arachchilage</w:t>
            </w:r>
            <w:proofErr w:type="spellEnd"/>
            <w:r w:rsidR="00122FE9" w:rsidRPr="004F289D">
              <w:rPr>
                <w:sz w:val="22"/>
                <w:szCs w:val="22"/>
                <w:lang w:val="en-US"/>
              </w:rPr>
              <w:t xml:space="preserve"> et al. </w:t>
            </w:r>
            <w:r w:rsidR="00122FE9" w:rsidRPr="004F289D">
              <w:rPr>
                <w:sz w:val="22"/>
                <w:szCs w:val="22"/>
                <w:lang w:val="sv-SE"/>
              </w:rPr>
              <w:t xml:space="preserve">(2016); </w:t>
            </w:r>
            <w:r w:rsidR="00BF573A" w:rsidRPr="004F289D">
              <w:rPr>
                <w:rFonts w:eastAsia="Aptos" w:cs="Times New Roman"/>
                <w:sz w:val="22"/>
                <w:szCs w:val="22"/>
                <w:lang w:val="sv-SE"/>
              </w:rPr>
              <w:t xml:space="preserve">Baker (1999); Balakrishnan et al. (2025); Bansal et al. (2025); Benson et al. </w:t>
            </w:r>
            <w:r w:rsidR="00BF573A" w:rsidRPr="004F289D">
              <w:rPr>
                <w:rFonts w:eastAsia="Aptos" w:cs="Times New Roman"/>
                <w:sz w:val="22"/>
                <w:szCs w:val="22"/>
                <w:lang w:val="es-ES"/>
              </w:rPr>
              <w:t xml:space="preserve">(2015); </w:t>
            </w:r>
            <w:proofErr w:type="spellStart"/>
            <w:r w:rsidR="00BF573A" w:rsidRPr="004F289D">
              <w:rPr>
                <w:rFonts w:eastAsia="Aptos" w:cs="Times New Roman"/>
                <w:sz w:val="22"/>
                <w:szCs w:val="22"/>
                <w:lang w:val="es-ES"/>
              </w:rPr>
              <w:t>Bera</w:t>
            </w:r>
            <w:proofErr w:type="spellEnd"/>
            <w:r w:rsidR="00BF573A" w:rsidRPr="004F289D">
              <w:rPr>
                <w:rFonts w:eastAsia="Aptos" w:cs="Times New Roman"/>
                <w:sz w:val="22"/>
                <w:szCs w:val="22"/>
                <w:lang w:val="es-ES"/>
              </w:rPr>
              <w:t xml:space="preserve"> et al. (2023); </w:t>
            </w:r>
            <w:proofErr w:type="spellStart"/>
            <w:r w:rsidR="00BF573A" w:rsidRPr="004F289D">
              <w:rPr>
                <w:rFonts w:eastAsia="Aptos" w:cs="Times New Roman"/>
                <w:sz w:val="22"/>
                <w:szCs w:val="22"/>
                <w:lang w:val="es-ES"/>
              </w:rPr>
              <w:t>Bian</w:t>
            </w:r>
            <w:proofErr w:type="spellEnd"/>
            <w:r w:rsidR="00BF573A" w:rsidRPr="004F289D">
              <w:rPr>
                <w:rFonts w:eastAsia="Aptos" w:cs="Times New Roman"/>
                <w:sz w:val="22"/>
                <w:szCs w:val="22"/>
                <w:lang w:val="es-ES"/>
              </w:rPr>
              <w:t xml:space="preserve"> et al. (2023); Fonseca et al. (2022); Friedman et al. </w:t>
            </w:r>
            <w:r w:rsidR="00BF573A" w:rsidRPr="004F289D">
              <w:rPr>
                <w:rFonts w:eastAsia="Aptos" w:cs="Times New Roman"/>
                <w:sz w:val="22"/>
                <w:szCs w:val="22"/>
              </w:rPr>
              <w:t xml:space="preserve">(2000); Gilbert and Archer (2012); Hong and Cha (2013); Hu et al. </w:t>
            </w:r>
            <w:r w:rsidR="00BF573A" w:rsidRPr="004F289D">
              <w:rPr>
                <w:rFonts w:eastAsia="Aptos" w:cs="Times New Roman"/>
                <w:sz w:val="22"/>
                <w:szCs w:val="22"/>
                <w:lang w:val="en-US"/>
              </w:rPr>
              <w:t xml:space="preserve">(2010); Hussein (2019); Kemp and </w:t>
            </w:r>
            <w:proofErr w:type="spellStart"/>
            <w:r w:rsidR="00BF573A" w:rsidRPr="004F289D">
              <w:rPr>
                <w:rFonts w:eastAsia="Aptos" w:cs="Times New Roman"/>
                <w:sz w:val="22"/>
                <w:szCs w:val="22"/>
                <w:lang w:val="en-US"/>
              </w:rPr>
              <w:t>Erades</w:t>
            </w:r>
            <w:proofErr w:type="spellEnd"/>
            <w:r w:rsidR="00BF573A" w:rsidRPr="004F289D">
              <w:rPr>
                <w:rFonts w:eastAsia="Aptos" w:cs="Times New Roman"/>
                <w:sz w:val="22"/>
                <w:szCs w:val="22"/>
                <w:lang w:val="en-US"/>
              </w:rPr>
              <w:t xml:space="preserve"> Pérez (2023); Kemp et al. </w:t>
            </w:r>
            <w:r w:rsidR="00BF573A" w:rsidRPr="004F289D">
              <w:rPr>
                <w:rFonts w:eastAsia="Aptos" w:cs="Times New Roman"/>
                <w:sz w:val="22"/>
                <w:szCs w:val="22"/>
                <w:lang w:val="es-ES"/>
              </w:rPr>
              <w:t xml:space="preserve">(2025); </w:t>
            </w:r>
            <w:proofErr w:type="spellStart"/>
            <w:r w:rsidR="00BF573A" w:rsidRPr="004F289D">
              <w:rPr>
                <w:rFonts w:eastAsia="Aptos" w:cs="Times New Roman"/>
                <w:sz w:val="22"/>
                <w:szCs w:val="22"/>
                <w:lang w:val="es-ES"/>
              </w:rPr>
              <w:t>Lyu</w:t>
            </w:r>
            <w:proofErr w:type="spellEnd"/>
            <w:r w:rsidR="00BF573A" w:rsidRPr="004F289D">
              <w:rPr>
                <w:rFonts w:eastAsia="Aptos" w:cs="Times New Roman"/>
                <w:sz w:val="22"/>
                <w:szCs w:val="22"/>
                <w:lang w:val="es-ES"/>
              </w:rPr>
              <w:t xml:space="preserve"> et al. (2022); </w:t>
            </w:r>
            <w:proofErr w:type="spellStart"/>
            <w:r w:rsidRPr="004F289D">
              <w:rPr>
                <w:rFonts w:eastAsia="Aptos" w:cs="Times New Roman"/>
                <w:sz w:val="22"/>
                <w:szCs w:val="22"/>
                <w:lang w:val="es-ES"/>
              </w:rPr>
              <w:lastRenderedPageBreak/>
              <w:t>Moustafa</w:t>
            </w:r>
            <w:proofErr w:type="spellEnd"/>
            <w:r w:rsidRPr="004F289D">
              <w:rPr>
                <w:rFonts w:eastAsia="Aptos" w:cs="Times New Roman"/>
                <w:sz w:val="22"/>
                <w:szCs w:val="22"/>
                <w:lang w:val="es-ES"/>
              </w:rPr>
              <w:t xml:space="preserve"> et al. (2021); </w:t>
            </w:r>
            <w:proofErr w:type="spellStart"/>
            <w:r w:rsidR="00BF573A" w:rsidRPr="004F289D">
              <w:rPr>
                <w:rFonts w:eastAsia="Aptos" w:cs="Times New Roman"/>
                <w:sz w:val="22"/>
                <w:szCs w:val="22"/>
                <w:lang w:val="es-ES"/>
              </w:rPr>
              <w:t>Palmisano</w:t>
            </w:r>
            <w:proofErr w:type="spellEnd"/>
            <w:r w:rsidR="00BF573A" w:rsidRPr="004F289D">
              <w:rPr>
                <w:rFonts w:eastAsia="Aptos" w:cs="Times New Roman"/>
                <w:sz w:val="22"/>
                <w:szCs w:val="22"/>
                <w:lang w:val="es-ES"/>
              </w:rPr>
              <w:t xml:space="preserve"> (2025); </w:t>
            </w:r>
            <w:proofErr w:type="spellStart"/>
            <w:r w:rsidR="00BF573A" w:rsidRPr="004F289D">
              <w:rPr>
                <w:rFonts w:eastAsia="Aptos" w:cs="Times New Roman"/>
                <w:sz w:val="22"/>
                <w:szCs w:val="22"/>
                <w:lang w:val="es-ES"/>
              </w:rPr>
              <w:t>Pratt</w:t>
            </w:r>
            <w:proofErr w:type="spellEnd"/>
            <w:r w:rsidR="00BF573A" w:rsidRPr="004F289D">
              <w:rPr>
                <w:rFonts w:eastAsia="Aptos" w:cs="Times New Roman"/>
                <w:sz w:val="22"/>
                <w:szCs w:val="22"/>
                <w:lang w:val="es-ES"/>
              </w:rPr>
              <w:t xml:space="preserve"> et al. (2010); </w:t>
            </w:r>
            <w:proofErr w:type="spellStart"/>
            <w:r w:rsidR="00BF573A" w:rsidRPr="004F289D">
              <w:rPr>
                <w:rFonts w:eastAsia="Aptos" w:cs="Times New Roman"/>
                <w:sz w:val="22"/>
                <w:szCs w:val="22"/>
                <w:lang w:val="es-ES"/>
              </w:rPr>
              <w:t>Song</w:t>
            </w:r>
            <w:proofErr w:type="spellEnd"/>
            <w:r w:rsidR="00BF573A" w:rsidRPr="004F289D">
              <w:rPr>
                <w:rFonts w:eastAsia="Aptos" w:cs="Times New Roman"/>
                <w:sz w:val="22"/>
                <w:szCs w:val="22"/>
                <w:lang w:val="es-ES"/>
              </w:rPr>
              <w:t xml:space="preserve"> et al. (2025); </w:t>
            </w:r>
            <w:r w:rsidR="00F47CCD" w:rsidRPr="004F289D">
              <w:rPr>
                <w:rFonts w:eastAsia="Times New Roman" w:cs="Times New Roman"/>
                <w:kern w:val="0"/>
                <w:sz w:val="22"/>
                <w:szCs w:val="22"/>
                <w:lang w:val="es-ES"/>
                <w14:ligatures w14:val="none"/>
              </w:rPr>
              <w:t xml:space="preserve">Sri </w:t>
            </w:r>
            <w:proofErr w:type="spellStart"/>
            <w:r w:rsidR="00F47CCD" w:rsidRPr="004F289D">
              <w:rPr>
                <w:rFonts w:eastAsia="Times New Roman" w:cs="Times New Roman"/>
                <w:kern w:val="0"/>
                <w:sz w:val="22"/>
                <w:szCs w:val="22"/>
                <w:lang w:val="es-ES"/>
                <w14:ligatures w14:val="none"/>
              </w:rPr>
              <w:t>Lestari</w:t>
            </w:r>
            <w:proofErr w:type="spellEnd"/>
            <w:r w:rsidR="00F47CCD" w:rsidRPr="004F289D">
              <w:rPr>
                <w:rFonts w:eastAsia="Times New Roman" w:cs="Times New Roman"/>
                <w:kern w:val="0"/>
                <w:sz w:val="22"/>
                <w:szCs w:val="22"/>
                <w:lang w:val="es-ES"/>
                <w14:ligatures w14:val="none"/>
              </w:rPr>
              <w:t xml:space="preserve"> </w:t>
            </w:r>
            <w:r w:rsidR="00BF573A" w:rsidRPr="004F289D">
              <w:rPr>
                <w:rFonts w:eastAsia="Aptos" w:cs="Times New Roman"/>
                <w:sz w:val="22"/>
                <w:szCs w:val="22"/>
                <w:lang w:val="es-ES"/>
              </w:rPr>
              <w:t xml:space="preserve">et al. (2024); van de </w:t>
            </w:r>
            <w:proofErr w:type="spellStart"/>
            <w:r w:rsidR="00BF573A" w:rsidRPr="004F289D">
              <w:rPr>
                <w:rFonts w:eastAsia="Aptos" w:cs="Times New Roman"/>
                <w:sz w:val="22"/>
                <w:szCs w:val="22"/>
                <w:lang w:val="es-ES"/>
              </w:rPr>
              <w:t>Weijer</w:t>
            </w:r>
            <w:proofErr w:type="spellEnd"/>
            <w:r w:rsidR="00BF573A" w:rsidRPr="004F289D">
              <w:rPr>
                <w:rFonts w:eastAsia="Aptos" w:cs="Times New Roman"/>
                <w:sz w:val="22"/>
                <w:szCs w:val="22"/>
                <w:lang w:val="es-ES"/>
              </w:rPr>
              <w:t xml:space="preserve"> et al. (2019)</w:t>
            </w:r>
            <w:r w:rsidR="007B3AE7" w:rsidRPr="004F289D">
              <w:rPr>
                <w:rFonts w:eastAsia="Aptos" w:cs="Times New Roman"/>
                <w:sz w:val="22"/>
                <w:szCs w:val="22"/>
                <w:lang w:val="es-ES"/>
              </w:rPr>
              <w:t xml:space="preserve">; </w:t>
            </w:r>
            <w:proofErr w:type="spellStart"/>
            <w:r w:rsidR="007B3AE7" w:rsidRPr="004F289D">
              <w:rPr>
                <w:rFonts w:eastAsia="Aptos" w:cs="Times New Roman"/>
                <w:sz w:val="22"/>
                <w:szCs w:val="22"/>
                <w:lang w:val="es-ES"/>
              </w:rPr>
              <w:t>Yan</w:t>
            </w:r>
            <w:proofErr w:type="spellEnd"/>
            <w:r w:rsidR="007B3AE7" w:rsidRPr="004F289D">
              <w:rPr>
                <w:rFonts w:eastAsia="Aptos" w:cs="Times New Roman"/>
                <w:sz w:val="22"/>
                <w:szCs w:val="22"/>
                <w:lang w:val="es-ES"/>
              </w:rPr>
              <w:t xml:space="preserve"> et al. (202</w:t>
            </w:r>
            <w:r w:rsidR="00821FDE" w:rsidRPr="004F289D">
              <w:rPr>
                <w:rFonts w:eastAsia="Aptos" w:cs="Times New Roman"/>
                <w:sz w:val="22"/>
                <w:szCs w:val="22"/>
                <w:lang w:val="es-ES"/>
              </w:rPr>
              <w:t>6</w:t>
            </w:r>
            <w:r w:rsidR="007B3AE7" w:rsidRPr="004F289D">
              <w:rPr>
                <w:rFonts w:eastAsia="Aptos" w:cs="Times New Roman"/>
                <w:sz w:val="22"/>
                <w:szCs w:val="22"/>
                <w:lang w:val="es-ES"/>
              </w:rPr>
              <w:t>)</w:t>
            </w:r>
          </w:p>
        </w:tc>
        <w:tc>
          <w:tcPr>
            <w:tcW w:w="3465" w:type="pct"/>
            <w:tcBorders>
              <w:top w:val="single" w:sz="4" w:space="0" w:color="auto"/>
              <w:left w:val="nil"/>
              <w:bottom w:val="single" w:sz="4" w:space="0" w:color="auto"/>
              <w:right w:val="nil"/>
            </w:tcBorders>
          </w:tcPr>
          <w:p w14:paraId="562C9CA1" w14:textId="32E6E090" w:rsidR="00467D92" w:rsidRPr="004F289D" w:rsidRDefault="00467D92" w:rsidP="00BF573A">
            <w:pPr>
              <w:rPr>
                <w:rFonts w:eastAsia="Aptos" w:cs="Times New Roman"/>
                <w:sz w:val="22"/>
                <w:szCs w:val="22"/>
              </w:rPr>
            </w:pPr>
            <w:r w:rsidRPr="004F289D">
              <w:rPr>
                <w:rFonts w:eastAsia="Aptos" w:cs="Times New Roman"/>
                <w:sz w:val="22"/>
                <w:szCs w:val="22"/>
              </w:rPr>
              <w:lastRenderedPageBreak/>
              <w:t>“Using recommended antivirus software or firewall can attain a supreme level of data protection” (Afzal et al., 2024, p. 1514)</w:t>
            </w:r>
          </w:p>
          <w:p w14:paraId="72F03E00" w14:textId="77777777" w:rsidR="00467D92" w:rsidRPr="004F289D" w:rsidRDefault="00467D92" w:rsidP="00BF573A">
            <w:pPr>
              <w:rPr>
                <w:rFonts w:eastAsia="Aptos" w:cs="Times New Roman"/>
                <w:sz w:val="22"/>
                <w:szCs w:val="22"/>
              </w:rPr>
            </w:pPr>
          </w:p>
          <w:p w14:paraId="590ACCB6" w14:textId="0881B458" w:rsidR="00BF573A" w:rsidRPr="004F289D" w:rsidRDefault="00BF573A" w:rsidP="00BF573A">
            <w:pPr>
              <w:rPr>
                <w:rFonts w:eastAsia="Aptos" w:cs="Times New Roman"/>
                <w:sz w:val="22"/>
                <w:szCs w:val="22"/>
              </w:rPr>
            </w:pPr>
            <w:r w:rsidRPr="004F289D">
              <w:rPr>
                <w:rFonts w:eastAsia="Aptos" w:cs="Times New Roman"/>
                <w:sz w:val="22"/>
                <w:szCs w:val="22"/>
              </w:rPr>
              <w:t>“Keep my antivirus software up-to-date” “use privacy settings to block malicious websites” (Balakrishnan et al., 2025, p. 8)</w:t>
            </w:r>
          </w:p>
          <w:p w14:paraId="0E5C4C85" w14:textId="77777777" w:rsidR="00BF573A" w:rsidRPr="004F289D" w:rsidRDefault="00BF573A" w:rsidP="00BF573A">
            <w:pPr>
              <w:rPr>
                <w:rFonts w:eastAsia="Aptos" w:cs="Times New Roman"/>
                <w:sz w:val="22"/>
                <w:szCs w:val="22"/>
                <w:lang w:val="en-US"/>
              </w:rPr>
            </w:pPr>
          </w:p>
          <w:p w14:paraId="05F03B19" w14:textId="77777777"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w:t>
            </w:r>
            <w:r w:rsidRPr="004F289D">
              <w:rPr>
                <w:rFonts w:eastAsia="Aptos" w:cs="Times New Roman"/>
                <w:sz w:val="22"/>
                <w:szCs w:val="22"/>
              </w:rPr>
              <w:t xml:space="preserve">Internet users can learn how to behave securely and identify artefacts, such as security notices...” “Security protection mechanisms such as encryption, authentication and visual notices” </w:t>
            </w:r>
            <w:r w:rsidRPr="004F289D">
              <w:rPr>
                <w:rFonts w:eastAsia="Aptos" w:cs="Times New Roman"/>
                <w:sz w:val="22"/>
                <w:szCs w:val="22"/>
                <w:lang w:val="en-US"/>
              </w:rPr>
              <w:t>(Benson et al., 2015, p. 37)</w:t>
            </w:r>
          </w:p>
          <w:p w14:paraId="6C17EB12" w14:textId="77777777" w:rsidR="00BF573A" w:rsidRPr="004F289D" w:rsidRDefault="00BF573A" w:rsidP="00BF573A">
            <w:pPr>
              <w:rPr>
                <w:rFonts w:eastAsia="Aptos" w:cs="Times New Roman"/>
                <w:sz w:val="22"/>
                <w:szCs w:val="22"/>
                <w:lang w:val="en-US"/>
              </w:rPr>
            </w:pPr>
          </w:p>
          <w:p w14:paraId="6CA20C32" w14:textId="77777777" w:rsidR="00BF573A" w:rsidRPr="004F289D" w:rsidRDefault="00BF573A" w:rsidP="00BF573A">
            <w:pPr>
              <w:rPr>
                <w:rFonts w:eastAsia="Aptos" w:cs="Times New Roman"/>
                <w:sz w:val="22"/>
                <w:szCs w:val="22"/>
                <w:lang w:val="en-US"/>
              </w:rPr>
            </w:pPr>
            <w:r w:rsidRPr="004F289D">
              <w:rPr>
                <w:rFonts w:eastAsia="Aptos" w:cs="Times New Roman"/>
                <w:sz w:val="22"/>
                <w:szCs w:val="22"/>
              </w:rPr>
              <w:t>“Techniques such as automated spam filters have been used” “Automatic list-based phishing detection, based on blacklisting and whitelisting approaches” (</w:t>
            </w:r>
            <w:proofErr w:type="spellStart"/>
            <w:r w:rsidRPr="004F289D">
              <w:rPr>
                <w:rFonts w:eastAsia="Aptos" w:cs="Times New Roman"/>
                <w:sz w:val="22"/>
                <w:szCs w:val="22"/>
                <w:lang w:val="en-US"/>
              </w:rPr>
              <w:t>Bera</w:t>
            </w:r>
            <w:proofErr w:type="spellEnd"/>
            <w:r w:rsidRPr="004F289D">
              <w:rPr>
                <w:rFonts w:eastAsia="Aptos" w:cs="Times New Roman"/>
                <w:sz w:val="22"/>
                <w:szCs w:val="22"/>
                <w:lang w:val="en-US"/>
              </w:rPr>
              <w:t xml:space="preserve"> et al., 2023, p. 4)</w:t>
            </w:r>
          </w:p>
          <w:p w14:paraId="1FBAC158" w14:textId="77777777" w:rsidR="00BF573A" w:rsidRPr="004F289D" w:rsidRDefault="00BF573A" w:rsidP="00BF573A">
            <w:pPr>
              <w:rPr>
                <w:rFonts w:eastAsia="Aptos" w:cs="Times New Roman"/>
                <w:sz w:val="22"/>
                <w:szCs w:val="22"/>
                <w:lang w:val="en-US"/>
              </w:rPr>
            </w:pPr>
          </w:p>
          <w:p w14:paraId="5A980517" w14:textId="77777777" w:rsidR="00BF573A" w:rsidRPr="004F289D" w:rsidRDefault="00BF573A" w:rsidP="00BF573A">
            <w:pPr>
              <w:rPr>
                <w:rFonts w:eastAsia="Aptos" w:cs="Times New Roman"/>
                <w:sz w:val="22"/>
                <w:szCs w:val="22"/>
              </w:rPr>
            </w:pPr>
            <w:r w:rsidRPr="004F289D">
              <w:rPr>
                <w:rFonts w:eastAsia="Aptos" w:cs="Times New Roman"/>
                <w:sz w:val="22"/>
                <w:szCs w:val="22"/>
              </w:rPr>
              <w:lastRenderedPageBreak/>
              <w:t>“Those respondents who avoided putting personal information online and who had antivirus software installed and updated were less likely to be victims of online consumer fraud.” (Fonseca et al., 2022, p. 767)</w:t>
            </w:r>
          </w:p>
          <w:p w14:paraId="15081F12" w14:textId="77777777" w:rsidR="00BF573A" w:rsidRPr="004F289D" w:rsidRDefault="00BF573A" w:rsidP="00BF573A">
            <w:pPr>
              <w:rPr>
                <w:rFonts w:eastAsia="Aptos" w:cs="Times New Roman"/>
                <w:sz w:val="22"/>
                <w:szCs w:val="22"/>
                <w:lang w:val="en-US"/>
              </w:rPr>
            </w:pPr>
          </w:p>
          <w:p w14:paraId="739CB59A" w14:textId="5DA61310" w:rsidR="00BF573A" w:rsidRPr="004F289D" w:rsidRDefault="00BF573A" w:rsidP="00BF573A">
            <w:pPr>
              <w:rPr>
                <w:rFonts w:eastAsia="Aptos" w:cs="Times New Roman"/>
                <w:sz w:val="22"/>
                <w:szCs w:val="22"/>
              </w:rPr>
            </w:pPr>
            <w:r w:rsidRPr="004F289D">
              <w:rPr>
                <w:rFonts w:eastAsia="Aptos" w:cs="Times New Roman"/>
                <w:sz w:val="22"/>
                <w:szCs w:val="22"/>
              </w:rPr>
              <w:t>“...protect passwords, disposing of identity information in regular trash, failing to secure regular mail” (Gilbert and Archer, 2012</w:t>
            </w:r>
            <w:r w:rsidR="000E137A" w:rsidRPr="004F289D">
              <w:rPr>
                <w:rFonts w:eastAsia="Aptos" w:cs="Times New Roman"/>
                <w:sz w:val="22"/>
                <w:szCs w:val="22"/>
              </w:rPr>
              <w:t>, p. 21</w:t>
            </w:r>
            <w:r w:rsidRPr="004F289D">
              <w:rPr>
                <w:rFonts w:eastAsia="Aptos" w:cs="Times New Roman"/>
                <w:sz w:val="22"/>
                <w:szCs w:val="22"/>
              </w:rPr>
              <w:t>)</w:t>
            </w:r>
          </w:p>
          <w:p w14:paraId="5DEFBA66" w14:textId="77777777" w:rsidR="00BF573A" w:rsidRPr="004F289D" w:rsidRDefault="00BF573A" w:rsidP="00BF573A">
            <w:pPr>
              <w:rPr>
                <w:rFonts w:eastAsia="Aptos" w:cs="Times New Roman"/>
                <w:sz w:val="22"/>
                <w:szCs w:val="22"/>
                <w:lang w:val="en-US"/>
              </w:rPr>
            </w:pPr>
          </w:p>
          <w:p w14:paraId="4E05FE4B" w14:textId="77777777" w:rsidR="009A3129" w:rsidRPr="004F289D" w:rsidRDefault="00BF573A" w:rsidP="00710711">
            <w:pPr>
              <w:rPr>
                <w:rFonts w:eastAsia="Aptos" w:cs="Times New Roman"/>
                <w:sz w:val="22"/>
                <w:szCs w:val="22"/>
                <w:lang w:val="en-US"/>
              </w:rPr>
            </w:pPr>
            <w:r w:rsidRPr="004F289D">
              <w:rPr>
                <w:rFonts w:eastAsia="Aptos" w:cs="Times New Roman"/>
                <w:sz w:val="22"/>
                <w:szCs w:val="22"/>
              </w:rPr>
              <w:t>“Install anti-spam, antivirus software in their devices...” (</w:t>
            </w:r>
            <w:r w:rsidRPr="004F289D">
              <w:rPr>
                <w:rFonts w:eastAsia="Aptos" w:cs="Times New Roman"/>
                <w:sz w:val="22"/>
                <w:szCs w:val="22"/>
                <w:lang w:val="en-US"/>
              </w:rPr>
              <w:t xml:space="preserve">Kemp and </w:t>
            </w:r>
            <w:proofErr w:type="spellStart"/>
            <w:r w:rsidRPr="004F289D">
              <w:rPr>
                <w:rFonts w:eastAsia="Aptos" w:cs="Times New Roman"/>
                <w:sz w:val="22"/>
                <w:szCs w:val="22"/>
                <w:lang w:val="en-US"/>
              </w:rPr>
              <w:t>Erades</w:t>
            </w:r>
            <w:proofErr w:type="spellEnd"/>
            <w:r w:rsidRPr="004F289D">
              <w:rPr>
                <w:rFonts w:eastAsia="Aptos" w:cs="Times New Roman"/>
                <w:sz w:val="22"/>
                <w:szCs w:val="22"/>
                <w:lang w:val="en-US"/>
              </w:rPr>
              <w:t xml:space="preserve"> Pérez, 2023, p. 4)</w:t>
            </w:r>
          </w:p>
          <w:p w14:paraId="7053102C" w14:textId="77777777" w:rsidR="00467D92" w:rsidRPr="004F289D" w:rsidRDefault="00467D92" w:rsidP="00710711">
            <w:pPr>
              <w:rPr>
                <w:rFonts w:eastAsia="Aptos" w:cs="Times New Roman"/>
                <w:sz w:val="22"/>
                <w:szCs w:val="22"/>
                <w:lang w:val="en-US"/>
              </w:rPr>
            </w:pPr>
          </w:p>
          <w:p w14:paraId="49C7996E" w14:textId="5A2B6C59" w:rsidR="00467D92" w:rsidRPr="004F289D" w:rsidRDefault="00467D92" w:rsidP="00710711">
            <w:pPr>
              <w:rPr>
                <w:rFonts w:eastAsia="Aptos" w:cs="Times New Roman"/>
                <w:sz w:val="22"/>
                <w:szCs w:val="22"/>
                <w:lang w:val="en-US"/>
              </w:rPr>
            </w:pPr>
            <w:r w:rsidRPr="004F289D">
              <w:rPr>
                <w:rFonts w:eastAsia="Aptos" w:cs="Times New Roman"/>
                <w:sz w:val="22"/>
                <w:szCs w:val="22"/>
                <w:lang w:val="en-US"/>
              </w:rPr>
              <w:t>“Individuals who are more risk taking tend to delay the installation of software updates.” (</w:t>
            </w:r>
            <w:proofErr w:type="spellStart"/>
            <w:r w:rsidRPr="004F289D">
              <w:rPr>
                <w:rFonts w:eastAsia="Aptos" w:cs="Times New Roman"/>
                <w:sz w:val="22"/>
                <w:szCs w:val="22"/>
                <w:lang w:val="en-US"/>
              </w:rPr>
              <w:t>Moustafa</w:t>
            </w:r>
            <w:proofErr w:type="spellEnd"/>
            <w:r w:rsidRPr="004F289D">
              <w:rPr>
                <w:rFonts w:eastAsia="Aptos" w:cs="Times New Roman"/>
                <w:sz w:val="22"/>
                <w:szCs w:val="22"/>
                <w:lang w:val="en-US"/>
              </w:rPr>
              <w:t xml:space="preserve"> et al., 2021, p. 4)</w:t>
            </w:r>
          </w:p>
          <w:p w14:paraId="50CEB2CC" w14:textId="0C830C14" w:rsidR="00710711" w:rsidRPr="004F289D" w:rsidRDefault="00710711" w:rsidP="00710711">
            <w:pPr>
              <w:rPr>
                <w:rFonts w:eastAsia="Aptos" w:cs="Times New Roman"/>
                <w:sz w:val="22"/>
                <w:szCs w:val="22"/>
                <w:lang w:val="en-US"/>
              </w:rPr>
            </w:pPr>
          </w:p>
        </w:tc>
      </w:tr>
      <w:tr w:rsidR="004F289D" w:rsidRPr="004F289D" w14:paraId="4293CA9A" w14:textId="77777777" w:rsidTr="00710711">
        <w:tc>
          <w:tcPr>
            <w:tcW w:w="526" w:type="pct"/>
            <w:tcBorders>
              <w:top w:val="single" w:sz="4" w:space="0" w:color="auto"/>
              <w:left w:val="nil"/>
              <w:right w:val="nil"/>
            </w:tcBorders>
          </w:tcPr>
          <w:p w14:paraId="43D510BC" w14:textId="77777777" w:rsidR="00BF573A" w:rsidRPr="004F289D" w:rsidRDefault="00BF573A" w:rsidP="00BF573A">
            <w:pPr>
              <w:rPr>
                <w:rFonts w:eastAsia="Aptos" w:cs="Times New Roman"/>
                <w:b/>
                <w:bCs/>
                <w:sz w:val="22"/>
                <w:szCs w:val="22"/>
                <w:lang w:val="en-US"/>
              </w:rPr>
            </w:pPr>
            <w:r w:rsidRPr="004F289D">
              <w:rPr>
                <w:rFonts w:eastAsia="Aptos" w:cs="Times New Roman"/>
                <w:b/>
                <w:bCs/>
                <w:sz w:val="22"/>
                <w:szCs w:val="22"/>
              </w:rPr>
              <w:lastRenderedPageBreak/>
              <w:t>Reading Terms and conditions</w:t>
            </w:r>
          </w:p>
        </w:tc>
        <w:tc>
          <w:tcPr>
            <w:tcW w:w="1009" w:type="pct"/>
            <w:tcBorders>
              <w:top w:val="single" w:sz="4" w:space="0" w:color="auto"/>
              <w:left w:val="nil"/>
              <w:right w:val="nil"/>
            </w:tcBorders>
          </w:tcPr>
          <w:p w14:paraId="5FEFE665" w14:textId="2735DC24" w:rsidR="00BF573A" w:rsidRPr="004F289D" w:rsidRDefault="00BF573A" w:rsidP="00BF573A">
            <w:pPr>
              <w:rPr>
                <w:rFonts w:eastAsia="Aptos" w:cs="Times New Roman"/>
                <w:sz w:val="22"/>
                <w:szCs w:val="22"/>
                <w:lang w:val="en-US"/>
              </w:rPr>
            </w:pPr>
            <w:proofErr w:type="spellStart"/>
            <w:r w:rsidRPr="004F289D">
              <w:rPr>
                <w:rFonts w:eastAsia="Aptos" w:cs="Times New Roman"/>
                <w:sz w:val="22"/>
                <w:szCs w:val="22"/>
                <w:lang w:val="en-US"/>
              </w:rPr>
              <w:t>Bauerly</w:t>
            </w:r>
            <w:proofErr w:type="spellEnd"/>
            <w:r w:rsidRPr="004F289D">
              <w:rPr>
                <w:rFonts w:eastAsia="Aptos" w:cs="Times New Roman"/>
                <w:sz w:val="22"/>
                <w:szCs w:val="22"/>
                <w:lang w:val="en-US"/>
              </w:rPr>
              <w:t xml:space="preserve"> (2009); Benson et al. (2015); Chawla and Kumar (2022); Friedman et al. </w:t>
            </w:r>
            <w:r w:rsidRPr="004F289D">
              <w:rPr>
                <w:rFonts w:eastAsia="Aptos" w:cs="Times New Roman"/>
                <w:sz w:val="22"/>
                <w:szCs w:val="22"/>
              </w:rPr>
              <w:t xml:space="preserve">(2000); </w:t>
            </w:r>
            <w:r w:rsidRPr="004F289D">
              <w:rPr>
                <w:rFonts w:eastAsia="Aptos" w:cs="Times New Roman"/>
                <w:sz w:val="22"/>
                <w:szCs w:val="22"/>
                <w:lang w:val="en-US"/>
              </w:rPr>
              <w:t xml:space="preserve">Kemp and </w:t>
            </w:r>
            <w:proofErr w:type="spellStart"/>
            <w:r w:rsidRPr="004F289D">
              <w:rPr>
                <w:rFonts w:eastAsia="Aptos" w:cs="Times New Roman"/>
                <w:sz w:val="22"/>
                <w:szCs w:val="22"/>
                <w:lang w:val="en-US"/>
              </w:rPr>
              <w:t>Erades</w:t>
            </w:r>
            <w:proofErr w:type="spellEnd"/>
            <w:r w:rsidRPr="004F289D">
              <w:rPr>
                <w:rFonts w:eastAsia="Aptos" w:cs="Times New Roman"/>
                <w:sz w:val="22"/>
                <w:szCs w:val="22"/>
                <w:lang w:val="en-US"/>
              </w:rPr>
              <w:t xml:space="preserve"> Pérez (2023); Lee and </w:t>
            </w:r>
            <w:proofErr w:type="spellStart"/>
            <w:r w:rsidRPr="004F289D">
              <w:rPr>
                <w:rFonts w:eastAsia="Aptos" w:cs="Times New Roman"/>
                <w:sz w:val="22"/>
                <w:szCs w:val="22"/>
                <w:lang w:val="en-US"/>
              </w:rPr>
              <w:t>Soberon</w:t>
            </w:r>
            <w:proofErr w:type="spellEnd"/>
            <w:r w:rsidRPr="004F289D">
              <w:rPr>
                <w:rFonts w:eastAsia="Aptos" w:cs="Times New Roman"/>
                <w:sz w:val="22"/>
                <w:szCs w:val="22"/>
                <w:lang w:val="en-US"/>
              </w:rPr>
              <w:t xml:space="preserve">-Ferrer (1997); </w:t>
            </w:r>
            <w:r w:rsidRPr="004F289D">
              <w:rPr>
                <w:rFonts w:eastAsia="Aptos" w:cs="Times New Roman"/>
                <w:sz w:val="22"/>
                <w:szCs w:val="22"/>
              </w:rPr>
              <w:t xml:space="preserve">Marlowe and Atiles (2005); Milne et al. (2004); </w:t>
            </w:r>
            <w:r w:rsidR="00467D92" w:rsidRPr="004F289D">
              <w:rPr>
                <w:rFonts w:eastAsia="Aptos" w:cs="Times New Roman"/>
                <w:sz w:val="22"/>
                <w:szCs w:val="22"/>
              </w:rPr>
              <w:t xml:space="preserve">Moustafa et al. (2021); </w:t>
            </w:r>
            <w:r w:rsidRPr="004F289D">
              <w:rPr>
                <w:rFonts w:eastAsia="Aptos" w:cs="Times New Roman"/>
                <w:sz w:val="22"/>
                <w:szCs w:val="22"/>
              </w:rPr>
              <w:t>Raval (2021); Rom</w:t>
            </w:r>
            <w:r w:rsidR="00F54A4E" w:rsidRPr="004F289D">
              <w:rPr>
                <w:rFonts w:eastAsia="Aptos" w:cs="Times New Roman"/>
                <w:sz w:val="22"/>
                <w:szCs w:val="22"/>
              </w:rPr>
              <w:t>a</w:t>
            </w:r>
            <w:r w:rsidRPr="004F289D">
              <w:rPr>
                <w:rFonts w:eastAsia="Aptos" w:cs="Times New Roman"/>
                <w:sz w:val="22"/>
                <w:szCs w:val="22"/>
              </w:rPr>
              <w:t>n (2010); Ross et al. (2014); Shafei (2013)</w:t>
            </w:r>
          </w:p>
        </w:tc>
        <w:tc>
          <w:tcPr>
            <w:tcW w:w="3465" w:type="pct"/>
            <w:tcBorders>
              <w:top w:val="single" w:sz="4" w:space="0" w:color="auto"/>
              <w:left w:val="nil"/>
              <w:right w:val="nil"/>
            </w:tcBorders>
          </w:tcPr>
          <w:p w14:paraId="11669253" w14:textId="77777777" w:rsidR="00BF573A" w:rsidRPr="004F289D" w:rsidRDefault="00BF573A" w:rsidP="00BF573A">
            <w:pPr>
              <w:rPr>
                <w:rFonts w:eastAsia="Aptos" w:cs="Times New Roman"/>
                <w:sz w:val="22"/>
                <w:szCs w:val="22"/>
                <w:lang w:val="en-US"/>
              </w:rPr>
            </w:pPr>
            <w:r w:rsidRPr="004F289D">
              <w:rPr>
                <w:rFonts w:eastAsia="Aptos" w:cs="Times New Roman"/>
                <w:sz w:val="22"/>
                <w:szCs w:val="22"/>
                <w:lang w:val="en-US"/>
              </w:rPr>
              <w:t>“Carefully read and understand seller’s descriptions…” (</w:t>
            </w:r>
            <w:proofErr w:type="spellStart"/>
            <w:r w:rsidRPr="004F289D">
              <w:rPr>
                <w:rFonts w:eastAsia="Aptos" w:cs="Times New Roman"/>
                <w:sz w:val="22"/>
                <w:szCs w:val="22"/>
                <w:lang w:val="en-US"/>
              </w:rPr>
              <w:t>Bauerly</w:t>
            </w:r>
            <w:proofErr w:type="spellEnd"/>
            <w:r w:rsidRPr="004F289D">
              <w:rPr>
                <w:rFonts w:eastAsia="Aptos" w:cs="Times New Roman"/>
                <w:sz w:val="22"/>
                <w:szCs w:val="22"/>
                <w:lang w:val="en-US"/>
              </w:rPr>
              <w:t>, 2009, p. 139)</w:t>
            </w:r>
          </w:p>
          <w:p w14:paraId="270847A1" w14:textId="77777777" w:rsidR="00BF573A" w:rsidRPr="004F289D" w:rsidRDefault="00BF573A" w:rsidP="00BF573A">
            <w:pPr>
              <w:rPr>
                <w:rFonts w:eastAsia="Aptos" w:cs="Times New Roman"/>
                <w:sz w:val="22"/>
                <w:szCs w:val="22"/>
              </w:rPr>
            </w:pPr>
          </w:p>
          <w:p w14:paraId="03B0BE4A" w14:textId="3812D54A" w:rsidR="00BF573A" w:rsidRPr="004F289D" w:rsidRDefault="00BF573A" w:rsidP="00BF573A">
            <w:pPr>
              <w:rPr>
                <w:rFonts w:eastAsia="Aptos" w:cs="Times New Roman"/>
                <w:sz w:val="22"/>
                <w:szCs w:val="22"/>
              </w:rPr>
            </w:pPr>
            <w:r w:rsidRPr="004F289D">
              <w:rPr>
                <w:rFonts w:eastAsia="Aptos" w:cs="Times New Roman"/>
                <w:sz w:val="22"/>
                <w:szCs w:val="22"/>
              </w:rPr>
              <w:t>“...inconceivable terms and conditions”</w:t>
            </w:r>
            <w:r w:rsidRPr="004F289D">
              <w:rPr>
                <w:rFonts w:eastAsia="Aptos" w:cs="Times New Roman"/>
              </w:rPr>
              <w:t xml:space="preserve"> </w:t>
            </w:r>
            <w:r w:rsidRPr="004F289D">
              <w:rPr>
                <w:rFonts w:eastAsia="Aptos" w:cs="Times New Roman"/>
                <w:sz w:val="22"/>
                <w:szCs w:val="22"/>
              </w:rPr>
              <w:t xml:space="preserve">(Chawla and Kumar, 2022, p. </w:t>
            </w:r>
            <w:r w:rsidR="004C5C81" w:rsidRPr="004F289D">
              <w:rPr>
                <w:rFonts w:eastAsia="Aptos" w:cs="Times New Roman"/>
                <w:sz w:val="22"/>
                <w:szCs w:val="22"/>
              </w:rPr>
              <w:t>590</w:t>
            </w:r>
            <w:r w:rsidRPr="004F289D">
              <w:rPr>
                <w:rFonts w:eastAsia="Aptos" w:cs="Times New Roman"/>
                <w:sz w:val="22"/>
                <w:szCs w:val="22"/>
              </w:rPr>
              <w:t>)</w:t>
            </w:r>
          </w:p>
          <w:p w14:paraId="2E80C558" w14:textId="77777777" w:rsidR="00BF573A" w:rsidRPr="004F289D" w:rsidRDefault="00BF573A" w:rsidP="00BF573A">
            <w:pPr>
              <w:rPr>
                <w:rFonts w:eastAsia="Aptos" w:cs="Times New Roman"/>
                <w:sz w:val="22"/>
                <w:szCs w:val="22"/>
                <w:lang w:val="en-US"/>
              </w:rPr>
            </w:pPr>
          </w:p>
          <w:p w14:paraId="1D1F9E1B" w14:textId="77777777" w:rsidR="00BF573A" w:rsidRPr="004F289D" w:rsidRDefault="00BF573A" w:rsidP="00BF573A">
            <w:pPr>
              <w:rPr>
                <w:rFonts w:eastAsia="Aptos" w:cs="Times New Roman"/>
                <w:sz w:val="22"/>
                <w:szCs w:val="22"/>
              </w:rPr>
            </w:pPr>
            <w:r w:rsidRPr="004F289D">
              <w:rPr>
                <w:rFonts w:eastAsia="Aptos" w:cs="Times New Roman"/>
                <w:sz w:val="22"/>
                <w:szCs w:val="22"/>
                <w:lang w:val="en-US"/>
              </w:rPr>
              <w:t xml:space="preserve">“Read and </w:t>
            </w:r>
            <w:r w:rsidRPr="004F289D">
              <w:rPr>
                <w:rFonts w:eastAsia="Aptos" w:cs="Times New Roman"/>
                <w:sz w:val="22"/>
                <w:szCs w:val="22"/>
              </w:rPr>
              <w:t>understand what they were signing and agreed to pay more than they expected to pay” (Marlowe and Atiles, 2005, p. 396)</w:t>
            </w:r>
          </w:p>
          <w:p w14:paraId="7E38F0F5" w14:textId="77777777" w:rsidR="00467D92" w:rsidRPr="004F289D" w:rsidRDefault="00467D92" w:rsidP="00BF573A">
            <w:pPr>
              <w:rPr>
                <w:rFonts w:eastAsia="Aptos" w:cs="Times New Roman"/>
                <w:sz w:val="22"/>
                <w:szCs w:val="22"/>
              </w:rPr>
            </w:pPr>
          </w:p>
          <w:p w14:paraId="5A66A6D5" w14:textId="77777777" w:rsidR="00F013F2" w:rsidRPr="004F289D" w:rsidRDefault="00F013F2" w:rsidP="00F013F2">
            <w:pPr>
              <w:rPr>
                <w:rFonts w:eastAsia="Aptos" w:cs="Times New Roman"/>
                <w:sz w:val="22"/>
                <w:szCs w:val="22"/>
                <w:lang w:val="en-US"/>
              </w:rPr>
            </w:pPr>
            <w:r w:rsidRPr="004F289D">
              <w:rPr>
                <w:rFonts w:eastAsia="Aptos" w:cs="Times New Roman"/>
                <w:sz w:val="22"/>
                <w:szCs w:val="22"/>
              </w:rPr>
              <w:t xml:space="preserve">“...always look for and read privacy policies on the Web.” </w:t>
            </w:r>
            <w:r w:rsidRPr="004F289D">
              <w:rPr>
                <w:rFonts w:eastAsia="Aptos" w:cs="Times New Roman"/>
                <w:sz w:val="22"/>
                <w:szCs w:val="22"/>
                <w:lang w:val="en-US"/>
              </w:rPr>
              <w:t>(Milne et al., 2004, p. 224)</w:t>
            </w:r>
          </w:p>
          <w:p w14:paraId="6101432E" w14:textId="77777777" w:rsidR="00BF573A" w:rsidRPr="004F289D" w:rsidRDefault="00BF573A" w:rsidP="00BF573A">
            <w:pPr>
              <w:rPr>
                <w:rFonts w:eastAsia="Aptos" w:cs="Times New Roman"/>
                <w:sz w:val="22"/>
                <w:szCs w:val="22"/>
                <w:lang w:val="en-US"/>
              </w:rPr>
            </w:pPr>
          </w:p>
          <w:p w14:paraId="2F5B9B2A" w14:textId="77777777" w:rsidR="00F013F2" w:rsidRPr="004F289D" w:rsidRDefault="00F013F2" w:rsidP="00F013F2">
            <w:pPr>
              <w:rPr>
                <w:rFonts w:eastAsia="Aptos" w:cs="Times New Roman"/>
                <w:sz w:val="22"/>
                <w:szCs w:val="22"/>
              </w:rPr>
            </w:pPr>
            <w:r w:rsidRPr="004F289D">
              <w:rPr>
                <w:rFonts w:eastAsia="Aptos" w:cs="Times New Roman"/>
                <w:sz w:val="22"/>
                <w:szCs w:val="22"/>
              </w:rPr>
              <w:t>“...read and comply with security measures...” (Moustafa et al., 2021, p. 2)</w:t>
            </w:r>
          </w:p>
          <w:p w14:paraId="3C0749F7" w14:textId="77777777" w:rsidR="00F013F2" w:rsidRPr="004F289D" w:rsidRDefault="00F013F2" w:rsidP="00BF573A">
            <w:pPr>
              <w:rPr>
                <w:rFonts w:eastAsia="Aptos" w:cs="Times New Roman"/>
                <w:sz w:val="22"/>
                <w:szCs w:val="22"/>
              </w:rPr>
            </w:pPr>
          </w:p>
          <w:p w14:paraId="57F1CCC4" w14:textId="77777777" w:rsidR="00BF573A" w:rsidRPr="004F289D" w:rsidRDefault="00BF573A" w:rsidP="00BF573A">
            <w:pPr>
              <w:rPr>
                <w:rFonts w:eastAsia="Aptos" w:cs="Times New Roman"/>
                <w:sz w:val="22"/>
                <w:szCs w:val="22"/>
              </w:rPr>
            </w:pPr>
            <w:r w:rsidRPr="004F289D">
              <w:rPr>
                <w:rFonts w:eastAsia="Aptos" w:cs="Times New Roman"/>
                <w:sz w:val="22"/>
                <w:szCs w:val="22"/>
              </w:rPr>
              <w:t>“...read and understand the small print” (Ross et al., 2014, p. 430)</w:t>
            </w:r>
          </w:p>
          <w:p w14:paraId="6B6FFEED" w14:textId="77777777" w:rsidR="00122FE9" w:rsidRPr="004F289D" w:rsidRDefault="00122FE9" w:rsidP="00BF573A">
            <w:pPr>
              <w:rPr>
                <w:rFonts w:eastAsia="Aptos" w:cs="Times New Roman"/>
                <w:sz w:val="22"/>
                <w:szCs w:val="22"/>
              </w:rPr>
            </w:pPr>
          </w:p>
        </w:tc>
      </w:tr>
    </w:tbl>
    <w:p w14:paraId="70C91358" w14:textId="77777777" w:rsidR="00F34CE2" w:rsidRPr="004F289D" w:rsidRDefault="00F34CE2" w:rsidP="00F34CE2">
      <w:pPr>
        <w:spacing w:line="278" w:lineRule="auto"/>
        <w:rPr>
          <w:rFonts w:eastAsia="Aptos" w:cs="Times New Roman"/>
          <w:lang w:val="en-US"/>
        </w:rPr>
      </w:pPr>
      <w:r w:rsidRPr="004F289D">
        <w:rPr>
          <w:rFonts w:eastAsia="Aptos" w:cs="Times New Roman"/>
          <w:lang w:val="en-US"/>
        </w:rPr>
        <w:t>Source: Author’s own work</w:t>
      </w:r>
    </w:p>
    <w:p w14:paraId="2BCA16E6" w14:textId="736F49D8" w:rsidR="00470217" w:rsidRPr="004F289D" w:rsidRDefault="00122FE9" w:rsidP="00470217">
      <w:pPr>
        <w:spacing w:line="278" w:lineRule="auto"/>
        <w:rPr>
          <w:rFonts w:eastAsia="Aptos" w:cs="Times New Roman"/>
          <w:lang w:val="en-US"/>
        </w:rPr>
      </w:pPr>
      <w:r w:rsidRPr="004F289D">
        <w:rPr>
          <w:rFonts w:eastAsia="Aptos" w:cs="Times New Roman"/>
          <w:lang w:val="en-US"/>
        </w:rPr>
        <w:t>*</w:t>
      </w:r>
      <w:r w:rsidRPr="004F289D">
        <w:rPr>
          <w:rFonts w:eastAsia="Aptos" w:cs="Times New Roman"/>
          <w:b/>
          <w:bCs/>
          <w:u w:val="single"/>
          <w:lang w:val="en-US"/>
        </w:rPr>
        <w:t>Note</w:t>
      </w:r>
      <w:r w:rsidRPr="004F289D">
        <w:rPr>
          <w:rFonts w:eastAsia="Aptos" w:cs="Times New Roman"/>
          <w:lang w:val="en-US"/>
        </w:rPr>
        <w:t xml:space="preserve">: </w:t>
      </w:r>
      <w:r w:rsidR="00AF3677" w:rsidRPr="004F289D">
        <w:rPr>
          <w:rFonts w:eastAsia="Aptos" w:cs="Times New Roman"/>
          <w:lang w:val="en-US"/>
        </w:rPr>
        <w:t xml:space="preserve">Besides a revision of the literature of prior studies on online fraud, the review includes prior works on adjacent literature, including on cybersecurity </w:t>
      </w:r>
      <w:r w:rsidR="00616FC7" w:rsidRPr="004F289D">
        <w:rPr>
          <w:rFonts w:eastAsia="Aptos" w:cs="Times New Roman"/>
          <w:lang w:val="en-US"/>
        </w:rPr>
        <w:t>behavior</w:t>
      </w:r>
      <w:r w:rsidR="00AF3677" w:rsidRPr="004F289D">
        <w:rPr>
          <w:rFonts w:eastAsia="Aptos" w:cs="Times New Roman"/>
          <w:lang w:val="en-US"/>
        </w:rPr>
        <w:t xml:space="preserve"> (</w:t>
      </w:r>
      <w:r w:rsidR="00604E25" w:rsidRPr="004F289D">
        <w:rPr>
          <w:rFonts w:eastAsia="Aptos" w:cs="Times New Roman"/>
          <w:lang w:val="en-US"/>
        </w:rPr>
        <w:t>e.g., Afzal et al.</w:t>
      </w:r>
      <w:r w:rsidR="00470217" w:rsidRPr="004F289D">
        <w:rPr>
          <w:rFonts w:eastAsia="Aptos" w:cs="Times New Roman"/>
          <w:lang w:val="en-US"/>
        </w:rPr>
        <w:t xml:space="preserve">, </w:t>
      </w:r>
      <w:r w:rsidR="00604E25" w:rsidRPr="004F289D">
        <w:rPr>
          <w:rFonts w:eastAsia="Aptos" w:cs="Times New Roman"/>
          <w:lang w:val="en-US"/>
        </w:rPr>
        <w:t>2024</w:t>
      </w:r>
      <w:r w:rsidR="00470217" w:rsidRPr="004F289D">
        <w:rPr>
          <w:rFonts w:eastAsia="Aptos" w:cs="Times New Roman"/>
          <w:lang w:val="en-US"/>
        </w:rPr>
        <w:t xml:space="preserve">, </w:t>
      </w:r>
      <w:r w:rsidR="00604E25" w:rsidRPr="004F289D">
        <w:rPr>
          <w:rFonts w:eastAsia="Aptos" w:cs="Times New Roman"/>
          <w:lang w:val="en-US"/>
        </w:rPr>
        <w:t xml:space="preserve">2025; </w:t>
      </w:r>
      <w:proofErr w:type="spellStart"/>
      <w:r w:rsidR="00604E25" w:rsidRPr="004F289D">
        <w:rPr>
          <w:rFonts w:eastAsia="Aptos" w:cs="Times New Roman"/>
          <w:lang w:val="en-US"/>
        </w:rPr>
        <w:t>Ertan</w:t>
      </w:r>
      <w:proofErr w:type="spellEnd"/>
      <w:r w:rsidR="00604E25" w:rsidRPr="004F289D">
        <w:rPr>
          <w:rFonts w:eastAsia="Aptos" w:cs="Times New Roman"/>
          <w:lang w:val="en-US"/>
        </w:rPr>
        <w:t xml:space="preserve"> et al.</w:t>
      </w:r>
      <w:r w:rsidR="00470217" w:rsidRPr="004F289D">
        <w:rPr>
          <w:rFonts w:eastAsia="Aptos" w:cs="Times New Roman"/>
          <w:lang w:val="en-US"/>
        </w:rPr>
        <w:t xml:space="preserve">, </w:t>
      </w:r>
      <w:r w:rsidR="00604E25" w:rsidRPr="004F289D">
        <w:rPr>
          <w:rFonts w:eastAsia="Aptos" w:cs="Times New Roman"/>
          <w:lang w:val="en-US"/>
        </w:rPr>
        <w:t>2018</w:t>
      </w:r>
      <w:r w:rsidR="00470217" w:rsidRPr="004F289D">
        <w:rPr>
          <w:rFonts w:eastAsia="Aptos" w:cs="Times New Roman"/>
          <w:lang w:val="en-US"/>
        </w:rPr>
        <w:t xml:space="preserve">; </w:t>
      </w:r>
      <w:proofErr w:type="spellStart"/>
      <w:r w:rsidR="00604E25" w:rsidRPr="004F289D">
        <w:rPr>
          <w:rFonts w:eastAsia="Aptos" w:cs="Times New Roman"/>
          <w:lang w:val="en-US"/>
        </w:rPr>
        <w:t>Moustafa</w:t>
      </w:r>
      <w:proofErr w:type="spellEnd"/>
      <w:r w:rsidR="00604E25" w:rsidRPr="004F289D">
        <w:rPr>
          <w:rFonts w:eastAsia="Aptos" w:cs="Times New Roman"/>
          <w:lang w:val="en-US"/>
        </w:rPr>
        <w:t xml:space="preserve"> et al.</w:t>
      </w:r>
      <w:r w:rsidR="00470217" w:rsidRPr="004F289D">
        <w:rPr>
          <w:rFonts w:eastAsia="Aptos" w:cs="Times New Roman"/>
          <w:lang w:val="en-US"/>
        </w:rPr>
        <w:t xml:space="preserve">, </w:t>
      </w:r>
      <w:r w:rsidR="00604E25" w:rsidRPr="004F289D">
        <w:rPr>
          <w:rFonts w:eastAsia="Aptos" w:cs="Times New Roman"/>
          <w:lang w:val="en-US"/>
        </w:rPr>
        <w:t>2021</w:t>
      </w:r>
      <w:r w:rsidR="00470217" w:rsidRPr="004F289D">
        <w:rPr>
          <w:rFonts w:eastAsia="Aptos" w:cs="Times New Roman"/>
          <w:lang w:val="en-US"/>
        </w:rPr>
        <w:t xml:space="preserve">; </w:t>
      </w:r>
      <w:proofErr w:type="spellStart"/>
      <w:r w:rsidR="00604E25" w:rsidRPr="004F289D">
        <w:rPr>
          <w:rFonts w:eastAsia="Aptos" w:cs="Times New Roman"/>
          <w:lang w:val="en-US"/>
        </w:rPr>
        <w:t>Whitty</w:t>
      </w:r>
      <w:proofErr w:type="spellEnd"/>
      <w:r w:rsidR="00470217" w:rsidRPr="004F289D">
        <w:rPr>
          <w:rFonts w:eastAsia="Aptos" w:cs="Times New Roman"/>
          <w:lang w:val="en-US"/>
        </w:rPr>
        <w:t xml:space="preserve">, </w:t>
      </w:r>
      <w:r w:rsidR="00604E25" w:rsidRPr="004F289D">
        <w:rPr>
          <w:rFonts w:eastAsia="Aptos" w:cs="Times New Roman"/>
          <w:lang w:val="en-US"/>
        </w:rPr>
        <w:t>2019)</w:t>
      </w:r>
      <w:r w:rsidR="00470217" w:rsidRPr="004F289D">
        <w:rPr>
          <w:rFonts w:eastAsia="Aptos" w:cs="Times New Roman"/>
          <w:lang w:val="en-US"/>
        </w:rPr>
        <w:t xml:space="preserve">; digital resilience (e.g., </w:t>
      </w:r>
      <w:proofErr w:type="spellStart"/>
      <w:r w:rsidR="0046777C" w:rsidRPr="004F289D">
        <w:rPr>
          <w:rFonts w:eastAsia="Aptos" w:cs="Times New Roman"/>
          <w:lang w:val="en-US"/>
        </w:rPr>
        <w:t>Kraiwanit</w:t>
      </w:r>
      <w:proofErr w:type="spellEnd"/>
      <w:r w:rsidR="0046777C" w:rsidRPr="004F289D">
        <w:rPr>
          <w:rFonts w:eastAsia="Aptos" w:cs="Times New Roman"/>
          <w:lang w:val="en-US"/>
        </w:rPr>
        <w:t xml:space="preserve"> et al., 2025; </w:t>
      </w:r>
      <w:proofErr w:type="spellStart"/>
      <w:r w:rsidR="0046777C" w:rsidRPr="004F289D">
        <w:rPr>
          <w:rFonts w:eastAsia="Aptos" w:cs="Times New Roman"/>
          <w:lang w:val="en-US"/>
        </w:rPr>
        <w:t>Mahida</w:t>
      </w:r>
      <w:proofErr w:type="spellEnd"/>
      <w:r w:rsidR="0046777C" w:rsidRPr="004F289D">
        <w:rPr>
          <w:rFonts w:eastAsia="Aptos" w:cs="Times New Roman"/>
          <w:lang w:val="en-US"/>
        </w:rPr>
        <w:t xml:space="preserve"> et al., 2025; Shandilya et al., 2024; Yan et al., 2026</w:t>
      </w:r>
      <w:r w:rsidR="00470217" w:rsidRPr="004F289D">
        <w:rPr>
          <w:rFonts w:eastAsia="Aptos" w:cs="Times New Roman"/>
          <w:lang w:val="en-US"/>
        </w:rPr>
        <w:t xml:space="preserve">), and technology threat avoidance (e.g., </w:t>
      </w:r>
      <w:proofErr w:type="spellStart"/>
      <w:r w:rsidR="00470217" w:rsidRPr="004F289D">
        <w:rPr>
          <w:rFonts w:eastAsia="Aptos" w:cs="Times New Roman"/>
          <w:lang w:val="en-US"/>
        </w:rPr>
        <w:t>Arachchilage</w:t>
      </w:r>
      <w:proofErr w:type="spellEnd"/>
      <w:r w:rsidR="00470217" w:rsidRPr="004F289D">
        <w:rPr>
          <w:rFonts w:eastAsia="Aptos" w:cs="Times New Roman"/>
          <w:lang w:val="en-US"/>
        </w:rPr>
        <w:t xml:space="preserve"> and Love, 2014; </w:t>
      </w:r>
      <w:proofErr w:type="spellStart"/>
      <w:r w:rsidR="00470217" w:rsidRPr="004F289D">
        <w:rPr>
          <w:rFonts w:eastAsia="Aptos" w:cs="Times New Roman"/>
          <w:lang w:val="en-US"/>
        </w:rPr>
        <w:t>Arachchilage</w:t>
      </w:r>
      <w:proofErr w:type="spellEnd"/>
      <w:r w:rsidR="00470217" w:rsidRPr="004F289D">
        <w:rPr>
          <w:rFonts w:eastAsia="Aptos" w:cs="Times New Roman"/>
          <w:lang w:val="en-US"/>
        </w:rPr>
        <w:t xml:space="preserve"> et al., 2016; </w:t>
      </w:r>
      <w:proofErr w:type="spellStart"/>
      <w:r w:rsidR="00470217" w:rsidRPr="004F289D">
        <w:rPr>
          <w:rFonts w:eastAsia="Aptos" w:cs="Times New Roman"/>
          <w:lang w:val="en-US"/>
        </w:rPr>
        <w:t>Jibril</w:t>
      </w:r>
      <w:proofErr w:type="spellEnd"/>
      <w:r w:rsidR="00470217" w:rsidRPr="004F289D">
        <w:rPr>
          <w:rFonts w:eastAsia="Aptos" w:cs="Times New Roman"/>
          <w:lang w:val="en-US"/>
        </w:rPr>
        <w:t xml:space="preserve"> et al., 2020)</w:t>
      </w:r>
      <w:r w:rsidR="00172301" w:rsidRPr="004F289D">
        <w:rPr>
          <w:rFonts w:eastAsia="Aptos" w:cs="Times New Roman"/>
          <w:lang w:val="en-US"/>
        </w:rPr>
        <w:t>.</w:t>
      </w:r>
    </w:p>
    <w:p w14:paraId="4291BB83" w14:textId="4242D08B" w:rsidR="00BF573A" w:rsidRPr="004F289D" w:rsidRDefault="009A3129" w:rsidP="00604E25">
      <w:pPr>
        <w:spacing w:line="278" w:lineRule="auto"/>
        <w:rPr>
          <w:rFonts w:eastAsia="Aptos" w:cs="Times New Roman"/>
          <w:lang w:val="en-US"/>
        </w:rPr>
        <w:sectPr w:rsidR="00BF573A" w:rsidRPr="004F289D" w:rsidSect="00BF573A">
          <w:pgSz w:w="16838" w:h="11906" w:orient="landscape"/>
          <w:pgMar w:top="720" w:right="720" w:bottom="720" w:left="720" w:header="709" w:footer="0" w:gutter="0"/>
          <w:cols w:space="708"/>
          <w:docGrid w:linePitch="360"/>
        </w:sectPr>
      </w:pPr>
      <w:r w:rsidRPr="004F289D">
        <w:rPr>
          <w:rFonts w:ascii="Aptos" w:eastAsia="Aptos" w:hAnsi="Aptos" w:cs="Times New Roman"/>
          <w:sz w:val="24"/>
          <w:szCs w:val="24"/>
          <w:lang w:val="en-US"/>
        </w:rPr>
        <w:tab/>
      </w:r>
    </w:p>
    <w:p w14:paraId="42CC3427" w14:textId="77777777" w:rsidR="00BF573A" w:rsidRPr="004F289D" w:rsidRDefault="00BF573A" w:rsidP="00BF573A">
      <w:pPr>
        <w:spacing w:line="278" w:lineRule="auto"/>
        <w:rPr>
          <w:rFonts w:eastAsia="Aptos" w:cs="Times New Roman"/>
          <w:b/>
          <w:bCs/>
          <w:sz w:val="24"/>
          <w:szCs w:val="24"/>
          <w:lang w:val="en-US"/>
        </w:rPr>
      </w:pPr>
      <w:r w:rsidRPr="004F289D">
        <w:rPr>
          <w:rFonts w:eastAsia="Aptos" w:cs="Times New Roman"/>
          <w:b/>
          <w:bCs/>
          <w:sz w:val="24"/>
          <w:szCs w:val="24"/>
          <w:lang w:val="en-US"/>
        </w:rPr>
        <w:lastRenderedPageBreak/>
        <w:t>References (Table A2)</w:t>
      </w:r>
    </w:p>
    <w:p w14:paraId="3477728A" w14:textId="77777777" w:rsidR="007D72B8" w:rsidRPr="004F289D" w:rsidRDefault="007D72B8" w:rsidP="00467D92">
      <w:pPr>
        <w:spacing w:line="278" w:lineRule="auto"/>
        <w:rPr>
          <w:rFonts w:eastAsia="Aptos" w:cs="Times New Roman"/>
          <w:sz w:val="24"/>
          <w:szCs w:val="24"/>
          <w:lang w:val="en-US"/>
        </w:rPr>
      </w:pPr>
      <w:r w:rsidRPr="004F289D">
        <w:rPr>
          <w:rFonts w:eastAsia="Aptos" w:cs="Times New Roman"/>
          <w:sz w:val="24"/>
          <w:szCs w:val="24"/>
          <w:lang w:val="en-US"/>
        </w:rPr>
        <w:t xml:space="preserve">Afzal, M., </w:t>
      </w:r>
      <w:proofErr w:type="spellStart"/>
      <w:r w:rsidRPr="004F289D">
        <w:rPr>
          <w:rFonts w:eastAsia="Aptos" w:cs="Times New Roman"/>
          <w:sz w:val="24"/>
          <w:szCs w:val="24"/>
          <w:lang w:val="en-US"/>
        </w:rPr>
        <w:t>Meraj</w:t>
      </w:r>
      <w:proofErr w:type="spellEnd"/>
      <w:r w:rsidRPr="004F289D">
        <w:rPr>
          <w:rFonts w:eastAsia="Aptos" w:cs="Times New Roman"/>
          <w:sz w:val="24"/>
          <w:szCs w:val="24"/>
          <w:lang w:val="en-US"/>
        </w:rPr>
        <w:t>, M., Kaur, M. and Ansari, M.S. (2025), “How does cybersecurity awareness help in achieving digital financial inclusion in rural India under escalating cyber fraud scenario?</w:t>
      </w:r>
      <w:proofErr w:type="gramStart"/>
      <w:r w:rsidRPr="004F289D">
        <w:rPr>
          <w:rFonts w:eastAsia="Aptos" w:cs="Times New Roman"/>
          <w:sz w:val="24"/>
          <w:szCs w:val="24"/>
          <w:lang w:val="en-US"/>
        </w:rPr>
        <w:t>”,</w:t>
      </w:r>
      <w:proofErr w:type="gramEnd"/>
      <w:r w:rsidRPr="004F289D">
        <w:rPr>
          <w:rFonts w:eastAsia="Aptos" w:cs="Times New Roman"/>
          <w:sz w:val="24"/>
          <w:szCs w:val="24"/>
          <w:lang w:val="en-US"/>
        </w:rPr>
        <w:t xml:space="preserve"> </w:t>
      </w:r>
      <w:r w:rsidRPr="004F289D">
        <w:rPr>
          <w:rFonts w:eastAsia="Aptos" w:cs="Times New Roman"/>
          <w:i/>
          <w:iCs/>
          <w:sz w:val="24"/>
          <w:szCs w:val="24"/>
          <w:lang w:val="en-US"/>
        </w:rPr>
        <w:t>Journal of Cyber Security Technology</w:t>
      </w:r>
      <w:r w:rsidRPr="004F289D">
        <w:rPr>
          <w:rFonts w:eastAsia="Aptos" w:cs="Times New Roman"/>
          <w:sz w:val="24"/>
          <w:szCs w:val="24"/>
          <w:lang w:val="en-US"/>
        </w:rPr>
        <w:t>, Vol. 9 No. 2, pp. 88–126.</w:t>
      </w:r>
    </w:p>
    <w:p w14:paraId="73575217" w14:textId="77777777" w:rsidR="007D72B8" w:rsidRPr="004F289D" w:rsidRDefault="007D72B8" w:rsidP="00122FE9">
      <w:pPr>
        <w:spacing w:line="278" w:lineRule="auto"/>
        <w:rPr>
          <w:rFonts w:eastAsia="Aptos" w:cs="Times New Roman"/>
          <w:sz w:val="24"/>
          <w:szCs w:val="24"/>
          <w:lang w:val="en-US"/>
        </w:rPr>
      </w:pPr>
      <w:r w:rsidRPr="004F289D">
        <w:rPr>
          <w:rFonts w:eastAsia="Aptos" w:cs="Times New Roman"/>
          <w:sz w:val="24"/>
          <w:szCs w:val="24"/>
          <w:lang w:val="en-US"/>
        </w:rPr>
        <w:t xml:space="preserve">Afzal, M., Ansari, M.S., Ahmad, N., </w:t>
      </w:r>
      <w:proofErr w:type="spellStart"/>
      <w:r w:rsidRPr="004F289D">
        <w:rPr>
          <w:rFonts w:eastAsia="Aptos" w:cs="Times New Roman"/>
          <w:sz w:val="24"/>
          <w:szCs w:val="24"/>
          <w:lang w:val="en-US"/>
        </w:rPr>
        <w:t>Shahid</w:t>
      </w:r>
      <w:proofErr w:type="spellEnd"/>
      <w:r w:rsidRPr="004F289D">
        <w:rPr>
          <w:rFonts w:eastAsia="Aptos" w:cs="Times New Roman"/>
          <w:sz w:val="24"/>
          <w:szCs w:val="24"/>
          <w:lang w:val="en-US"/>
        </w:rPr>
        <w:t xml:space="preserve">, M. and </w:t>
      </w:r>
      <w:proofErr w:type="spellStart"/>
      <w:r w:rsidRPr="004F289D">
        <w:rPr>
          <w:rFonts w:eastAsia="Aptos" w:cs="Times New Roman"/>
          <w:sz w:val="24"/>
          <w:szCs w:val="24"/>
          <w:lang w:val="en-US"/>
        </w:rPr>
        <w:t>Shoeb</w:t>
      </w:r>
      <w:proofErr w:type="spellEnd"/>
      <w:r w:rsidRPr="004F289D">
        <w:rPr>
          <w:rFonts w:eastAsia="Aptos" w:cs="Times New Roman"/>
          <w:sz w:val="24"/>
          <w:szCs w:val="24"/>
          <w:lang w:val="en-US"/>
        </w:rPr>
        <w:t>, M. (2024), “</w:t>
      </w:r>
      <w:proofErr w:type="spellStart"/>
      <w:r w:rsidRPr="004F289D">
        <w:rPr>
          <w:rFonts w:eastAsia="Aptos" w:cs="Times New Roman"/>
          <w:sz w:val="24"/>
          <w:szCs w:val="24"/>
          <w:lang w:val="en-US"/>
        </w:rPr>
        <w:t>Cyberfraud</w:t>
      </w:r>
      <w:proofErr w:type="spellEnd"/>
      <w:r w:rsidRPr="004F289D">
        <w:rPr>
          <w:rFonts w:eastAsia="Aptos" w:cs="Times New Roman"/>
          <w:sz w:val="24"/>
          <w:szCs w:val="24"/>
          <w:lang w:val="en-US"/>
        </w:rPr>
        <w:t xml:space="preserve">, usage intention, and cybersecurity awareness among e-banking users in India: An integrated model approach”, </w:t>
      </w:r>
      <w:r w:rsidRPr="004F289D">
        <w:rPr>
          <w:rFonts w:eastAsia="Aptos" w:cs="Times New Roman"/>
          <w:i/>
          <w:iCs/>
          <w:sz w:val="24"/>
          <w:szCs w:val="24"/>
          <w:lang w:val="en-US"/>
        </w:rPr>
        <w:t>Journal of Financial Services Marketing</w:t>
      </w:r>
      <w:r w:rsidRPr="004F289D">
        <w:rPr>
          <w:rFonts w:eastAsia="Aptos" w:cs="Times New Roman"/>
          <w:sz w:val="24"/>
          <w:szCs w:val="24"/>
          <w:lang w:val="en-US"/>
        </w:rPr>
        <w:t>, Vol. 29, pp. 1503–1523.</w:t>
      </w:r>
    </w:p>
    <w:p w14:paraId="711C2BA8" w14:textId="77777777" w:rsidR="00F37D85" w:rsidRPr="004F289D" w:rsidRDefault="00F37D85" w:rsidP="00F37D85">
      <w:pPr>
        <w:spacing w:line="278" w:lineRule="auto"/>
        <w:rPr>
          <w:rFonts w:eastAsia="Aptos" w:cs="Times New Roman"/>
          <w:sz w:val="24"/>
          <w:szCs w:val="24"/>
          <w:lang w:val="en-US"/>
        </w:rPr>
      </w:pPr>
      <w:r w:rsidRPr="004F289D">
        <w:rPr>
          <w:rFonts w:eastAsia="Aptos" w:cs="Times New Roman"/>
          <w:sz w:val="24"/>
          <w:szCs w:val="24"/>
          <w:lang w:val="en-US"/>
        </w:rPr>
        <w:t xml:space="preserve">Ahuja, M.S. and Singh, L. (2017), “Online fraud detection – a review”, </w:t>
      </w:r>
      <w:r w:rsidRPr="004F289D">
        <w:rPr>
          <w:rFonts w:eastAsia="Aptos" w:cs="Times New Roman"/>
          <w:i/>
          <w:iCs/>
          <w:sz w:val="24"/>
          <w:szCs w:val="24"/>
          <w:lang w:val="en-US"/>
        </w:rPr>
        <w:t>International Research Journal of Engineering and Technology</w:t>
      </w:r>
      <w:r w:rsidRPr="004F289D">
        <w:rPr>
          <w:rFonts w:eastAsia="Aptos" w:cs="Times New Roman"/>
          <w:sz w:val="24"/>
          <w:szCs w:val="24"/>
          <w:lang w:val="en-US"/>
        </w:rPr>
        <w:t>, Vol. 4 No. 7, pp. 2509–2515.</w:t>
      </w:r>
    </w:p>
    <w:p w14:paraId="778C72C6" w14:textId="77777777" w:rsidR="007D72B8" w:rsidRPr="004F289D" w:rsidRDefault="007D72B8" w:rsidP="00122FE9">
      <w:pPr>
        <w:spacing w:line="278" w:lineRule="auto"/>
        <w:rPr>
          <w:rFonts w:eastAsia="Aptos" w:cs="Times New Roman"/>
          <w:sz w:val="24"/>
          <w:szCs w:val="24"/>
          <w:lang w:val="en-US"/>
        </w:rPr>
      </w:pPr>
      <w:proofErr w:type="spellStart"/>
      <w:r w:rsidRPr="004F289D">
        <w:rPr>
          <w:rFonts w:eastAsia="Aptos" w:cs="Times New Roman"/>
          <w:sz w:val="24"/>
          <w:szCs w:val="24"/>
          <w:lang w:val="en-US"/>
        </w:rPr>
        <w:t>Arachchilage</w:t>
      </w:r>
      <w:proofErr w:type="spellEnd"/>
      <w:r w:rsidRPr="004F289D">
        <w:rPr>
          <w:rFonts w:eastAsia="Aptos" w:cs="Times New Roman"/>
          <w:sz w:val="24"/>
          <w:szCs w:val="24"/>
          <w:lang w:val="en-US"/>
        </w:rPr>
        <w:t xml:space="preserve">, N.A.G. and Love, S. (2014), “Security awareness of computer users: A phishing threat avoidance perspective”, </w:t>
      </w:r>
      <w:r w:rsidRPr="004F289D">
        <w:rPr>
          <w:rFonts w:eastAsia="Aptos" w:cs="Times New Roman"/>
          <w:i/>
          <w:iCs/>
          <w:sz w:val="24"/>
          <w:szCs w:val="24"/>
          <w:lang w:val="en-US"/>
        </w:rPr>
        <w:t>Computers in Human Behavior</w:t>
      </w:r>
      <w:r w:rsidRPr="004F289D">
        <w:rPr>
          <w:rFonts w:eastAsia="Aptos" w:cs="Times New Roman"/>
          <w:sz w:val="24"/>
          <w:szCs w:val="24"/>
          <w:lang w:val="en-US"/>
        </w:rPr>
        <w:t>, Vol. 38, pp. 304–312.</w:t>
      </w:r>
    </w:p>
    <w:p w14:paraId="5F0C6578" w14:textId="77777777" w:rsidR="007D72B8" w:rsidRPr="004F289D" w:rsidRDefault="007D72B8" w:rsidP="00BF573A">
      <w:pPr>
        <w:spacing w:line="278" w:lineRule="auto"/>
        <w:rPr>
          <w:rFonts w:eastAsia="Aptos" w:cs="Times New Roman"/>
          <w:sz w:val="24"/>
          <w:szCs w:val="24"/>
          <w:lang w:val="en-US"/>
        </w:rPr>
      </w:pPr>
      <w:proofErr w:type="spellStart"/>
      <w:r w:rsidRPr="004F289D">
        <w:rPr>
          <w:rFonts w:eastAsia="Aptos" w:cs="Times New Roman"/>
          <w:sz w:val="24"/>
          <w:szCs w:val="24"/>
          <w:lang w:val="en-US"/>
        </w:rPr>
        <w:t>Arachchilage</w:t>
      </w:r>
      <w:proofErr w:type="spellEnd"/>
      <w:r w:rsidRPr="004F289D">
        <w:rPr>
          <w:rFonts w:eastAsia="Aptos" w:cs="Times New Roman"/>
          <w:sz w:val="24"/>
          <w:szCs w:val="24"/>
          <w:lang w:val="en-US"/>
        </w:rPr>
        <w:t xml:space="preserve">, N.A.G., Love, S. and </w:t>
      </w:r>
      <w:proofErr w:type="spellStart"/>
      <w:r w:rsidRPr="004F289D">
        <w:rPr>
          <w:rFonts w:eastAsia="Aptos" w:cs="Times New Roman"/>
          <w:sz w:val="24"/>
          <w:szCs w:val="24"/>
          <w:lang w:val="en-US"/>
        </w:rPr>
        <w:t>Beznosov</w:t>
      </w:r>
      <w:proofErr w:type="spellEnd"/>
      <w:r w:rsidRPr="004F289D">
        <w:rPr>
          <w:rFonts w:eastAsia="Aptos" w:cs="Times New Roman"/>
          <w:sz w:val="24"/>
          <w:szCs w:val="24"/>
          <w:lang w:val="en-US"/>
        </w:rPr>
        <w:t xml:space="preserve">, K. (2016), “Phishing threat avoidance </w:t>
      </w:r>
      <w:proofErr w:type="spellStart"/>
      <w:r w:rsidRPr="004F289D">
        <w:rPr>
          <w:rFonts w:eastAsia="Aptos" w:cs="Times New Roman"/>
          <w:sz w:val="24"/>
          <w:szCs w:val="24"/>
          <w:lang w:val="en-US"/>
        </w:rPr>
        <w:t>behaviour</w:t>
      </w:r>
      <w:proofErr w:type="spellEnd"/>
      <w:r w:rsidRPr="004F289D">
        <w:rPr>
          <w:rFonts w:eastAsia="Aptos" w:cs="Times New Roman"/>
          <w:sz w:val="24"/>
          <w:szCs w:val="24"/>
          <w:lang w:val="en-US"/>
        </w:rPr>
        <w:t xml:space="preserve">: An empirical investigation”, </w:t>
      </w:r>
      <w:r w:rsidRPr="004F289D">
        <w:rPr>
          <w:rFonts w:eastAsia="Aptos" w:cs="Times New Roman"/>
          <w:i/>
          <w:iCs/>
          <w:sz w:val="24"/>
          <w:szCs w:val="24"/>
          <w:lang w:val="en-US"/>
        </w:rPr>
        <w:t>Computers in Human Behavior</w:t>
      </w:r>
      <w:r w:rsidRPr="004F289D">
        <w:rPr>
          <w:rFonts w:eastAsia="Aptos" w:cs="Times New Roman"/>
          <w:sz w:val="24"/>
          <w:szCs w:val="24"/>
          <w:lang w:val="en-US"/>
        </w:rPr>
        <w:t>, Vol. 60, pp. 185–197.</w:t>
      </w:r>
    </w:p>
    <w:p w14:paraId="37D45E36" w14:textId="0F2023DC" w:rsidR="00BF573A" w:rsidRPr="004F289D" w:rsidRDefault="00BF573A" w:rsidP="00BF573A">
      <w:pPr>
        <w:spacing w:line="278" w:lineRule="auto"/>
        <w:rPr>
          <w:rFonts w:eastAsia="Aptos" w:cs="Times New Roman"/>
          <w:sz w:val="24"/>
          <w:szCs w:val="24"/>
          <w:lang w:val="en-US"/>
        </w:rPr>
      </w:pPr>
      <w:r w:rsidRPr="004F289D">
        <w:rPr>
          <w:rFonts w:eastAsia="Aptos" w:cs="Times New Roman"/>
          <w:sz w:val="24"/>
          <w:szCs w:val="24"/>
          <w:lang w:val="en-US"/>
        </w:rPr>
        <w:t xml:space="preserve">Baker, C.R. (1999), “An analysis of fraud on the Internet”, </w:t>
      </w:r>
      <w:r w:rsidRPr="004F289D">
        <w:rPr>
          <w:rFonts w:eastAsia="Aptos" w:cs="Times New Roman"/>
          <w:i/>
          <w:iCs/>
          <w:sz w:val="24"/>
          <w:szCs w:val="24"/>
          <w:lang w:val="en-US"/>
        </w:rPr>
        <w:t>Internet Research</w:t>
      </w:r>
      <w:r w:rsidRPr="004F289D">
        <w:rPr>
          <w:rFonts w:eastAsia="Aptos" w:cs="Times New Roman"/>
          <w:sz w:val="24"/>
          <w:szCs w:val="24"/>
          <w:lang w:val="en-US"/>
        </w:rPr>
        <w:t>, Vol. 9 No. 5, pp. 348–359.</w:t>
      </w:r>
    </w:p>
    <w:p w14:paraId="692F03F9"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Balakrishnan, V., Ahhmed, U. and Basheer, F. (2025), “Personal, environmental and behavioral predictors associated with online fraud victimization among adults”, </w:t>
      </w:r>
      <w:r w:rsidRPr="004F289D">
        <w:rPr>
          <w:rFonts w:eastAsia="Aptos" w:cs="Times New Roman"/>
          <w:i/>
          <w:iCs/>
          <w:sz w:val="24"/>
          <w:szCs w:val="24"/>
          <w:lang/>
        </w:rPr>
        <w:t>PLOS ONE</w:t>
      </w:r>
      <w:r w:rsidRPr="004F289D">
        <w:rPr>
          <w:rFonts w:eastAsia="Aptos" w:cs="Times New Roman"/>
          <w:sz w:val="24"/>
          <w:szCs w:val="24"/>
          <w:lang/>
        </w:rPr>
        <w:t>, Vol. 20 No. 1, e0317232.</w:t>
      </w:r>
    </w:p>
    <w:p w14:paraId="4BB856CD"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Bansal, K., Paliwal, A.C. and Singh, A.K. (2025), “Analysis of the benefits of artificial intelligence and human personality study on online fraud detection”, </w:t>
      </w:r>
      <w:r w:rsidRPr="004F289D">
        <w:rPr>
          <w:rFonts w:eastAsia="Aptos" w:cs="Times New Roman"/>
          <w:i/>
          <w:iCs/>
          <w:sz w:val="24"/>
          <w:szCs w:val="24"/>
          <w:lang/>
        </w:rPr>
        <w:t>International Journal of Law and Management</w:t>
      </w:r>
      <w:r w:rsidRPr="004F289D">
        <w:rPr>
          <w:rFonts w:eastAsia="Aptos" w:cs="Times New Roman"/>
          <w:sz w:val="24"/>
          <w:szCs w:val="24"/>
          <w:lang/>
        </w:rPr>
        <w:t>, Vol. 67 No. 2, pp. 191–209.</w:t>
      </w:r>
    </w:p>
    <w:p w14:paraId="79E6CD29"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Bauerly, R.J. (2009), “Online auction fraud and eBay”, </w:t>
      </w:r>
      <w:r w:rsidRPr="004F289D">
        <w:rPr>
          <w:rFonts w:eastAsia="Aptos" w:cs="Times New Roman"/>
          <w:i/>
          <w:iCs/>
          <w:sz w:val="24"/>
          <w:szCs w:val="24"/>
          <w:lang/>
        </w:rPr>
        <w:t>Marketing Management Journal</w:t>
      </w:r>
      <w:r w:rsidRPr="004F289D">
        <w:rPr>
          <w:rFonts w:eastAsia="Aptos" w:cs="Times New Roman"/>
          <w:sz w:val="24"/>
          <w:szCs w:val="24"/>
          <w:lang/>
        </w:rPr>
        <w:t>, Vol. 19 No. 1, pp. 134–144.</w:t>
      </w:r>
    </w:p>
    <w:p w14:paraId="2659A42B"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Benson, V., Saridakis, G., Tennakoon, H. and Ezingeard, J.-N. (2015), “The role of security notices and online consumer behaviour: An empirical study of social networking users”, </w:t>
      </w:r>
      <w:r w:rsidRPr="004F289D">
        <w:rPr>
          <w:rFonts w:eastAsia="Aptos" w:cs="Times New Roman"/>
          <w:i/>
          <w:iCs/>
          <w:sz w:val="24"/>
          <w:szCs w:val="24"/>
          <w:lang/>
        </w:rPr>
        <w:t>International Journal of Human-Computer Studies</w:t>
      </w:r>
      <w:r w:rsidRPr="004F289D">
        <w:rPr>
          <w:rFonts w:eastAsia="Aptos" w:cs="Times New Roman"/>
          <w:sz w:val="24"/>
          <w:szCs w:val="24"/>
          <w:lang/>
        </w:rPr>
        <w:t>, Vol. 80, pp. 36–44.</w:t>
      </w:r>
    </w:p>
    <w:p w14:paraId="57FBCC47"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Bera, D., Ogbanufe, O. and Kim, D.J. (2023), “Towards a thematic dimensional framework of online fraud: An exploration of fraudulent email attack tactics and intentions”, </w:t>
      </w:r>
      <w:r w:rsidRPr="004F289D">
        <w:rPr>
          <w:rFonts w:eastAsia="Aptos" w:cs="Times New Roman"/>
          <w:i/>
          <w:iCs/>
          <w:sz w:val="24"/>
          <w:szCs w:val="24"/>
          <w:lang/>
        </w:rPr>
        <w:t>Decision Support Systems</w:t>
      </w:r>
      <w:r w:rsidRPr="004F289D">
        <w:rPr>
          <w:rFonts w:eastAsia="Aptos" w:cs="Times New Roman"/>
          <w:sz w:val="24"/>
          <w:szCs w:val="24"/>
          <w:lang/>
        </w:rPr>
        <w:t>, Vol. 171, Article 113977.</w:t>
      </w:r>
    </w:p>
    <w:p w14:paraId="71D8A4A5"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Beranek, L. and Knizek, J. (2013), “The use of contextual information to detection of fraud on online auctions”, </w:t>
      </w:r>
      <w:r w:rsidRPr="004F289D">
        <w:rPr>
          <w:rFonts w:eastAsia="Aptos" w:cs="Times New Roman"/>
          <w:i/>
          <w:iCs/>
          <w:sz w:val="24"/>
          <w:szCs w:val="24"/>
          <w:lang/>
        </w:rPr>
        <w:t>Journal of Internet Banking and Commerce</w:t>
      </w:r>
      <w:r w:rsidRPr="004F289D">
        <w:rPr>
          <w:rFonts w:eastAsia="Aptos" w:cs="Times New Roman"/>
          <w:sz w:val="24"/>
          <w:szCs w:val="24"/>
          <w:lang/>
        </w:rPr>
        <w:t>, Vol. 18 No. 3.</w:t>
      </w:r>
    </w:p>
    <w:p w14:paraId="1F313A84"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Bian, B., Pagel, M., Tang, H. and Raval, D. (2023), “Consumer surveillance and financial fraud”, </w:t>
      </w:r>
      <w:r w:rsidRPr="004F289D">
        <w:rPr>
          <w:rFonts w:eastAsia="Aptos" w:cs="Times New Roman"/>
          <w:i/>
          <w:iCs/>
          <w:sz w:val="24"/>
          <w:szCs w:val="24"/>
          <w:lang/>
        </w:rPr>
        <w:t>NBER Working Paper Series</w:t>
      </w:r>
      <w:r w:rsidRPr="004F289D">
        <w:rPr>
          <w:rFonts w:eastAsia="Aptos" w:cs="Times New Roman"/>
          <w:sz w:val="24"/>
          <w:szCs w:val="24"/>
          <w:lang/>
        </w:rPr>
        <w:t>, Working Paper No. 31692, National Bureau of Economic Research, Cambridge, MA.</w:t>
      </w:r>
    </w:p>
    <w:p w14:paraId="3E9E9512"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lastRenderedPageBreak/>
        <w:t xml:space="preserve">Button, M., McNaughton Nicholls, C., Kerr, J. and Owen, R. (2014), “Online frauds: Learning from victims why they fall for these scams”, </w:t>
      </w:r>
      <w:r w:rsidRPr="004F289D">
        <w:rPr>
          <w:rFonts w:eastAsia="Aptos" w:cs="Times New Roman"/>
          <w:i/>
          <w:iCs/>
          <w:sz w:val="24"/>
          <w:szCs w:val="24"/>
          <w:lang/>
        </w:rPr>
        <w:t>Australian &amp; New Zealand Journal of Criminology</w:t>
      </w:r>
      <w:r w:rsidRPr="004F289D">
        <w:rPr>
          <w:rFonts w:eastAsia="Aptos" w:cs="Times New Roman"/>
          <w:sz w:val="24"/>
          <w:szCs w:val="24"/>
          <w:lang/>
        </w:rPr>
        <w:t>, Vol. 47 No. 3, pp. 391–408.</w:t>
      </w:r>
    </w:p>
    <w:p w14:paraId="64C9B971"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Chawla, N. and Kumar, B. (2022), “E-commerce and consumer protection in India: The emerging trend”, </w:t>
      </w:r>
      <w:r w:rsidRPr="004F289D">
        <w:rPr>
          <w:rFonts w:eastAsia="Aptos" w:cs="Times New Roman"/>
          <w:i/>
          <w:iCs/>
          <w:sz w:val="24"/>
          <w:szCs w:val="24"/>
          <w:lang/>
        </w:rPr>
        <w:t>Journal of Business Ethics</w:t>
      </w:r>
      <w:r w:rsidRPr="004F289D">
        <w:rPr>
          <w:rFonts w:eastAsia="Aptos" w:cs="Times New Roman"/>
          <w:sz w:val="24"/>
          <w:szCs w:val="24"/>
          <w:lang/>
        </w:rPr>
        <w:t>, Vol. 180 No. 3, pp. 581–604.</w:t>
      </w:r>
    </w:p>
    <w:p w14:paraId="29DBFF17"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Chua, C.E.H., Wareham, J. and Robey, D. (2007), “The role of online trading communities in managing Internet auction fraud”, </w:t>
      </w:r>
      <w:r w:rsidRPr="004F289D">
        <w:rPr>
          <w:rFonts w:eastAsia="Aptos" w:cs="Times New Roman"/>
          <w:i/>
          <w:iCs/>
          <w:sz w:val="24"/>
          <w:szCs w:val="24"/>
          <w:lang/>
        </w:rPr>
        <w:t>MIS Quarterly</w:t>
      </w:r>
      <w:r w:rsidRPr="004F289D">
        <w:rPr>
          <w:rFonts w:eastAsia="Aptos" w:cs="Times New Roman"/>
          <w:sz w:val="24"/>
          <w:szCs w:val="24"/>
          <w:lang/>
        </w:rPr>
        <w:t>, Vol. 31 No. 4, pp. 759–781.</w:t>
      </w:r>
    </w:p>
    <w:p w14:paraId="77D5E36D"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Cross, C. (2015), “No laughing matter: Blaming the victim of online fraud”, </w:t>
      </w:r>
      <w:r w:rsidRPr="004F289D">
        <w:rPr>
          <w:rFonts w:eastAsia="Aptos" w:cs="Times New Roman"/>
          <w:i/>
          <w:iCs/>
          <w:sz w:val="24"/>
          <w:szCs w:val="24"/>
          <w:lang/>
        </w:rPr>
        <w:t>International Review of Victimology</w:t>
      </w:r>
      <w:r w:rsidRPr="004F289D">
        <w:rPr>
          <w:rFonts w:eastAsia="Aptos" w:cs="Times New Roman"/>
          <w:sz w:val="24"/>
          <w:szCs w:val="24"/>
          <w:lang/>
        </w:rPr>
        <w:t>, Vol. 21 No. 2, pp. 187–204.</w:t>
      </w:r>
    </w:p>
    <w:p w14:paraId="6382D723"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Cross, C. (2016), “Using financial intelligence to target online fraud victimisation: applying a tertiary prevention perspective”, </w:t>
      </w:r>
      <w:r w:rsidRPr="004F289D">
        <w:rPr>
          <w:rFonts w:eastAsia="Aptos" w:cs="Times New Roman"/>
          <w:i/>
          <w:iCs/>
          <w:sz w:val="24"/>
          <w:szCs w:val="24"/>
          <w:lang/>
        </w:rPr>
        <w:t>Criminal Justice Studies</w:t>
      </w:r>
      <w:r w:rsidRPr="004F289D">
        <w:rPr>
          <w:rFonts w:eastAsia="Aptos" w:cs="Times New Roman"/>
          <w:sz w:val="24"/>
          <w:szCs w:val="24"/>
          <w:lang/>
        </w:rPr>
        <w:t>, Vol. 29 No. 2, pp. 125–142.</w:t>
      </w:r>
    </w:p>
    <w:p w14:paraId="2D845460"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Cross, C. and Kelly, M. (2016), “The problem of ‘white noise’: examining current prevention approaches to online fraud”, </w:t>
      </w:r>
      <w:r w:rsidRPr="004F289D">
        <w:rPr>
          <w:rFonts w:eastAsia="Aptos" w:cs="Times New Roman"/>
          <w:i/>
          <w:iCs/>
          <w:sz w:val="24"/>
          <w:szCs w:val="24"/>
          <w:lang/>
        </w:rPr>
        <w:t>Journal of Financial Crime</w:t>
      </w:r>
      <w:r w:rsidRPr="004F289D">
        <w:rPr>
          <w:rFonts w:eastAsia="Aptos" w:cs="Times New Roman"/>
          <w:sz w:val="24"/>
          <w:szCs w:val="24"/>
          <w:lang/>
        </w:rPr>
        <w:t>, Vol. 23 No. 4, pp. 806–818.</w:t>
      </w:r>
    </w:p>
    <w:p w14:paraId="48A5A79D"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DeLiema, M., Li, Y. and Mottola, G. (2023), “Correlates of responding to and becoming victimized by fraud: Examining risk factors by scam type”, </w:t>
      </w:r>
      <w:r w:rsidRPr="004F289D">
        <w:rPr>
          <w:rFonts w:eastAsia="Aptos" w:cs="Times New Roman"/>
          <w:i/>
          <w:iCs/>
          <w:sz w:val="24"/>
          <w:szCs w:val="24"/>
          <w:lang/>
        </w:rPr>
        <w:t>International Journal of Consumer Studies</w:t>
      </w:r>
      <w:r w:rsidRPr="004F289D">
        <w:rPr>
          <w:rFonts w:eastAsia="Aptos" w:cs="Times New Roman"/>
          <w:sz w:val="24"/>
          <w:szCs w:val="24"/>
          <w:lang/>
        </w:rPr>
        <w:t>, Vol. 47 No. 3, pp. 1042–1059.</w:t>
      </w:r>
    </w:p>
    <w:p w14:paraId="161C097B"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DeLiema, M., Shadel, D. and Pak, K. (2020), “Profiling victims of investment fraud: Mindsets and risky behaviors”, </w:t>
      </w:r>
      <w:r w:rsidRPr="004F289D">
        <w:rPr>
          <w:rFonts w:eastAsia="Aptos" w:cs="Times New Roman"/>
          <w:i/>
          <w:iCs/>
          <w:sz w:val="24"/>
          <w:szCs w:val="24"/>
          <w:lang/>
        </w:rPr>
        <w:t>Journal of Consumer Research</w:t>
      </w:r>
      <w:r w:rsidRPr="004F289D">
        <w:rPr>
          <w:rFonts w:eastAsia="Aptos" w:cs="Times New Roman"/>
          <w:sz w:val="24"/>
          <w:szCs w:val="24"/>
          <w:lang/>
        </w:rPr>
        <w:t>, Vol. 47 No. 3, pp. 361–383.</w:t>
      </w:r>
    </w:p>
    <w:p w14:paraId="4CA4662F"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Dong, F., Shatz, S.M. and Xu, H. (2009), “Combating online in-auction fraud: Clues, techniques and challenges”, </w:t>
      </w:r>
      <w:r w:rsidRPr="004F289D">
        <w:rPr>
          <w:rFonts w:eastAsia="Aptos" w:cs="Times New Roman"/>
          <w:i/>
          <w:iCs/>
          <w:sz w:val="24"/>
          <w:szCs w:val="24"/>
          <w:lang/>
        </w:rPr>
        <w:t>Computer Science Review</w:t>
      </w:r>
      <w:r w:rsidRPr="004F289D">
        <w:rPr>
          <w:rFonts w:eastAsia="Aptos" w:cs="Times New Roman"/>
          <w:sz w:val="24"/>
          <w:szCs w:val="24"/>
          <w:lang/>
        </w:rPr>
        <w:t>, Vol. 3 No. 4, pp. 245–258.</w:t>
      </w:r>
    </w:p>
    <w:p w14:paraId="59F1033F"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Douglass, D.B. (2009), “An examination of the fraud liability shift in consumer card-based payment systems”, </w:t>
      </w:r>
      <w:r w:rsidRPr="004F289D">
        <w:rPr>
          <w:rFonts w:eastAsia="Aptos" w:cs="Times New Roman"/>
          <w:i/>
          <w:iCs/>
          <w:sz w:val="24"/>
          <w:szCs w:val="24"/>
          <w:lang/>
        </w:rPr>
        <w:t>Economic Perspectives</w:t>
      </w:r>
      <w:r w:rsidRPr="004F289D">
        <w:rPr>
          <w:rFonts w:eastAsia="Aptos" w:cs="Times New Roman"/>
          <w:sz w:val="24"/>
          <w:szCs w:val="24"/>
          <w:lang/>
        </w:rPr>
        <w:t>, Federal Reserve Bank of Chicago, Vol. 33 No. 1, pp. 43–49.</w:t>
      </w:r>
    </w:p>
    <w:p w14:paraId="0E16707D"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Edwards, M., Whittaker, J.M., Cross, C. and Button, M. (2025), “An exploratory study of victimisation and near misses in online shopping fraud”, </w:t>
      </w:r>
      <w:r w:rsidRPr="004F289D">
        <w:rPr>
          <w:rFonts w:eastAsia="Aptos" w:cs="Times New Roman"/>
          <w:i/>
          <w:iCs/>
          <w:sz w:val="24"/>
          <w:szCs w:val="24"/>
          <w:lang/>
        </w:rPr>
        <w:t>Global Crime</w:t>
      </w:r>
      <w:r w:rsidRPr="004F289D">
        <w:rPr>
          <w:rFonts w:eastAsia="Aptos" w:cs="Times New Roman"/>
          <w:sz w:val="24"/>
          <w:szCs w:val="24"/>
          <w:lang/>
        </w:rPr>
        <w:t>, Vol. 26 No. 1, pp. 69–89.</w:t>
      </w:r>
    </w:p>
    <w:p w14:paraId="3A03D782" w14:textId="77777777" w:rsidR="007D72B8" w:rsidRPr="004F289D" w:rsidRDefault="007D72B8" w:rsidP="00BF573A">
      <w:pPr>
        <w:spacing w:line="278" w:lineRule="auto"/>
        <w:rPr>
          <w:rFonts w:eastAsia="Aptos" w:cs="Times New Roman"/>
          <w:sz w:val="24"/>
          <w:szCs w:val="24"/>
          <w:lang w:val="en-US"/>
        </w:rPr>
      </w:pPr>
      <w:proofErr w:type="spellStart"/>
      <w:r w:rsidRPr="004F289D">
        <w:rPr>
          <w:rFonts w:eastAsia="Aptos" w:cs="Times New Roman"/>
          <w:sz w:val="24"/>
          <w:szCs w:val="24"/>
          <w:lang w:val="en-US"/>
        </w:rPr>
        <w:t>Ertan</w:t>
      </w:r>
      <w:proofErr w:type="spellEnd"/>
      <w:r w:rsidRPr="004F289D">
        <w:rPr>
          <w:rFonts w:eastAsia="Aptos" w:cs="Times New Roman"/>
          <w:sz w:val="24"/>
          <w:szCs w:val="24"/>
          <w:lang w:val="en-US"/>
        </w:rPr>
        <w:t xml:space="preserve">, A., </w:t>
      </w:r>
      <w:proofErr w:type="spellStart"/>
      <w:r w:rsidRPr="004F289D">
        <w:rPr>
          <w:rFonts w:eastAsia="Aptos" w:cs="Times New Roman"/>
          <w:sz w:val="24"/>
          <w:szCs w:val="24"/>
          <w:lang w:val="en-US"/>
        </w:rPr>
        <w:t>Crossland</w:t>
      </w:r>
      <w:proofErr w:type="spellEnd"/>
      <w:r w:rsidRPr="004F289D">
        <w:rPr>
          <w:rFonts w:eastAsia="Aptos" w:cs="Times New Roman"/>
          <w:sz w:val="24"/>
          <w:szCs w:val="24"/>
          <w:lang w:val="en-US"/>
        </w:rPr>
        <w:t>, G., Heath, C., Denney, D. and Jensen, R.B. (2018</w:t>
      </w:r>
      <w:r w:rsidRPr="004F289D">
        <w:rPr>
          <w:rFonts w:eastAsia="Aptos" w:cs="Times New Roman"/>
          <w:i/>
          <w:iCs/>
          <w:sz w:val="24"/>
          <w:szCs w:val="24"/>
          <w:lang w:val="en-US"/>
        </w:rPr>
        <w:t xml:space="preserve">), “Everyday cyber security in </w:t>
      </w:r>
      <w:proofErr w:type="spellStart"/>
      <w:r w:rsidRPr="004F289D">
        <w:rPr>
          <w:rFonts w:eastAsia="Aptos" w:cs="Times New Roman"/>
          <w:i/>
          <w:iCs/>
          <w:sz w:val="24"/>
          <w:szCs w:val="24"/>
          <w:lang w:val="en-US"/>
        </w:rPr>
        <w:t>organisations</w:t>
      </w:r>
      <w:proofErr w:type="spellEnd"/>
      <w:r w:rsidRPr="004F289D">
        <w:rPr>
          <w:rFonts w:eastAsia="Aptos" w:cs="Times New Roman"/>
          <w:i/>
          <w:iCs/>
          <w:sz w:val="24"/>
          <w:szCs w:val="24"/>
          <w:lang w:val="en-US"/>
        </w:rPr>
        <w:t>: Literature review”</w:t>
      </w:r>
      <w:r w:rsidRPr="004F289D">
        <w:rPr>
          <w:rFonts w:eastAsia="Aptos" w:cs="Times New Roman"/>
          <w:sz w:val="24"/>
          <w:szCs w:val="24"/>
          <w:lang w:val="en-US"/>
        </w:rPr>
        <w:t>, Royal Holloway University of London.</w:t>
      </w:r>
    </w:p>
    <w:p w14:paraId="0DE634C5" w14:textId="2954EC8E"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Fernandes, L. (2013), “Fraud in electronic payment transactions: Threats and countermeasures”, </w:t>
      </w:r>
      <w:r w:rsidRPr="004F289D">
        <w:rPr>
          <w:rFonts w:eastAsia="Aptos" w:cs="Times New Roman"/>
          <w:i/>
          <w:iCs/>
          <w:sz w:val="24"/>
          <w:szCs w:val="24"/>
          <w:lang/>
        </w:rPr>
        <w:t>Asia Pacific Journal of Marketing &amp; Management Review</w:t>
      </w:r>
      <w:r w:rsidRPr="004F289D">
        <w:rPr>
          <w:rFonts w:eastAsia="Aptos" w:cs="Times New Roman"/>
          <w:sz w:val="24"/>
          <w:szCs w:val="24"/>
          <w:lang/>
        </w:rPr>
        <w:t>, Vol. 2 No. 3, pp. 23–32.</w:t>
      </w:r>
    </w:p>
    <w:p w14:paraId="5383165F"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lastRenderedPageBreak/>
        <w:t xml:space="preserve">Fonseca, C., Moreira, S. and Guedes, I. (2022), “Online consumer fraud victimization and reporting: A quantitative study of the predictors and motives”, </w:t>
      </w:r>
      <w:r w:rsidRPr="004F289D">
        <w:rPr>
          <w:rFonts w:eastAsia="Aptos" w:cs="Times New Roman"/>
          <w:i/>
          <w:iCs/>
          <w:sz w:val="24"/>
          <w:szCs w:val="24"/>
          <w:lang/>
        </w:rPr>
        <w:t>Victims &amp; Offenders</w:t>
      </w:r>
      <w:r w:rsidRPr="004F289D">
        <w:rPr>
          <w:rFonts w:eastAsia="Aptos" w:cs="Times New Roman"/>
          <w:sz w:val="24"/>
          <w:szCs w:val="24"/>
          <w:lang/>
        </w:rPr>
        <w:t>, Vol. 17 No. 5, pp. 756–780.</w:t>
      </w:r>
    </w:p>
    <w:p w14:paraId="66FE2C2D"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Friedman, M., Gurwitz, S. and Herrera, P. Jr. (2000), “New dimensions of consumer fraud”, </w:t>
      </w:r>
      <w:r w:rsidRPr="004F289D">
        <w:rPr>
          <w:rFonts w:eastAsia="Aptos" w:cs="Times New Roman"/>
          <w:i/>
          <w:iCs/>
          <w:sz w:val="24"/>
          <w:szCs w:val="24"/>
          <w:lang/>
        </w:rPr>
        <w:t>Consumer Interests Annual</w:t>
      </w:r>
      <w:r w:rsidRPr="004F289D">
        <w:rPr>
          <w:rFonts w:eastAsia="Aptos" w:cs="Times New Roman"/>
          <w:sz w:val="24"/>
          <w:szCs w:val="24"/>
          <w:lang/>
        </w:rPr>
        <w:t>, Vol. 46, pp. 197–199.</w:t>
      </w:r>
    </w:p>
    <w:p w14:paraId="3FF1A93E"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Gilbert, J. and Archer, N. (2012), “Consumer identity theft prevention and identity fraud detection behaviours”, </w:t>
      </w:r>
      <w:r w:rsidRPr="004F289D">
        <w:rPr>
          <w:rFonts w:eastAsia="Aptos" w:cs="Times New Roman"/>
          <w:i/>
          <w:iCs/>
          <w:sz w:val="24"/>
          <w:szCs w:val="24"/>
          <w:lang/>
        </w:rPr>
        <w:t>Journal of Financial Crime</w:t>
      </w:r>
      <w:r w:rsidRPr="004F289D">
        <w:rPr>
          <w:rFonts w:eastAsia="Aptos" w:cs="Times New Roman"/>
          <w:sz w:val="24"/>
          <w:szCs w:val="24"/>
          <w:lang/>
        </w:rPr>
        <w:t>, Vol. 19 No. 1, pp. 20–36.</w:t>
      </w:r>
    </w:p>
    <w:p w14:paraId="34F682C5"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Grosz, M. and Raval, D. (2025), “Amplifying consumers’ voice: The Federal Trade Commission’s Report Fraud website redesign”, </w:t>
      </w:r>
      <w:r w:rsidRPr="004F289D">
        <w:rPr>
          <w:rFonts w:eastAsia="Aptos" w:cs="Times New Roman"/>
          <w:i/>
          <w:iCs/>
          <w:sz w:val="24"/>
          <w:szCs w:val="24"/>
          <w:lang/>
        </w:rPr>
        <w:t>Marketing Science</w:t>
      </w:r>
      <w:r w:rsidRPr="004F289D">
        <w:rPr>
          <w:rFonts w:eastAsia="Aptos" w:cs="Times New Roman"/>
          <w:sz w:val="24"/>
          <w:szCs w:val="24"/>
          <w:lang/>
        </w:rPr>
        <w:t>, Vol. 44 No. 3, pp. 525–545.</w:t>
      </w:r>
    </w:p>
    <w:p w14:paraId="700391D6"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Hille, P., Walsh, G. and Cleveland, M. (2015), “Consumer fear of online identity theft: Scale development and validation”, </w:t>
      </w:r>
      <w:r w:rsidRPr="004F289D">
        <w:rPr>
          <w:rFonts w:eastAsia="Aptos" w:cs="Times New Roman"/>
          <w:i/>
          <w:iCs/>
          <w:sz w:val="24"/>
          <w:szCs w:val="24"/>
          <w:lang/>
        </w:rPr>
        <w:t>Journal of Interactive Marketing</w:t>
      </w:r>
      <w:r w:rsidRPr="004F289D">
        <w:rPr>
          <w:rFonts w:eastAsia="Aptos" w:cs="Times New Roman"/>
          <w:sz w:val="24"/>
          <w:szCs w:val="24"/>
          <w:lang/>
        </w:rPr>
        <w:t>, Vol. 30, pp. 1–19.</w:t>
      </w:r>
    </w:p>
    <w:p w14:paraId="53FEA984"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Hong, I.B. and Cha, H.S. (2013), “The mediating role of consumer trust in an online merchant in predicting purchase intention”, </w:t>
      </w:r>
      <w:r w:rsidRPr="004F289D">
        <w:rPr>
          <w:rFonts w:eastAsia="Aptos" w:cs="Times New Roman"/>
          <w:i/>
          <w:iCs/>
          <w:sz w:val="24"/>
          <w:szCs w:val="24"/>
          <w:lang/>
        </w:rPr>
        <w:t>International Journal of Information Management</w:t>
      </w:r>
      <w:r w:rsidRPr="004F289D">
        <w:rPr>
          <w:rFonts w:eastAsia="Aptos" w:cs="Times New Roman"/>
          <w:sz w:val="24"/>
          <w:szCs w:val="24"/>
          <w:lang/>
        </w:rPr>
        <w:t>, Vol. 33 No. 6, pp. 927–939.</w:t>
      </w:r>
    </w:p>
    <w:p w14:paraId="6BBA00A5" w14:textId="5C12CA91"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Hoskins, J.D. and Leick, R. (2019), “Fraud abroad: GDP per capita, online customer reviews and vacation rental unit booking rates in the sharing economy”, </w:t>
      </w:r>
      <w:r w:rsidRPr="004F289D">
        <w:rPr>
          <w:rFonts w:eastAsia="Aptos" w:cs="Times New Roman"/>
          <w:i/>
          <w:iCs/>
          <w:sz w:val="24"/>
          <w:szCs w:val="24"/>
          <w:lang/>
        </w:rPr>
        <w:t>Journal of Research in Interactive Marketing</w:t>
      </w:r>
      <w:r w:rsidRPr="004F289D">
        <w:rPr>
          <w:rFonts w:eastAsia="Aptos" w:cs="Times New Roman"/>
          <w:sz w:val="24"/>
          <w:szCs w:val="24"/>
          <w:lang/>
        </w:rPr>
        <w:t>, Vol. 13 No. 2, pp.</w:t>
      </w:r>
      <w:r w:rsidR="00860701" w:rsidRPr="004F289D">
        <w:rPr>
          <w:lang w:val="en-US"/>
        </w:rPr>
        <w:t xml:space="preserve"> </w:t>
      </w:r>
      <w:r w:rsidR="00860701" w:rsidRPr="004F289D">
        <w:rPr>
          <w:rFonts w:eastAsia="Aptos" w:cs="Times New Roman"/>
          <w:sz w:val="24"/>
          <w:szCs w:val="24"/>
          <w:lang/>
        </w:rPr>
        <w:t>249–275.</w:t>
      </w:r>
    </w:p>
    <w:p w14:paraId="59B7B605"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Hu, X., Wu, G., Wu, Y. and Zhang, H. (2010), “The effects of Web assurance seals on consumers’ initial trust in an online vendor: A functional perspective”, </w:t>
      </w:r>
      <w:r w:rsidRPr="004F289D">
        <w:rPr>
          <w:rFonts w:eastAsia="Aptos" w:cs="Times New Roman"/>
          <w:i/>
          <w:iCs/>
          <w:sz w:val="24"/>
          <w:szCs w:val="24"/>
          <w:lang/>
        </w:rPr>
        <w:t>Decision Support Systems</w:t>
      </w:r>
      <w:r w:rsidRPr="004F289D">
        <w:rPr>
          <w:rFonts w:eastAsia="Aptos" w:cs="Times New Roman"/>
          <w:sz w:val="24"/>
          <w:szCs w:val="24"/>
          <w:lang/>
        </w:rPr>
        <w:t>, Vol. 48 No. 2, pp. 407–418.</w:t>
      </w:r>
    </w:p>
    <w:p w14:paraId="77CED639"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Hussein, Z. (2019), “The gamut of e-commerce: Between online fraud and trust towards technology among Generation Y”, </w:t>
      </w:r>
      <w:r w:rsidRPr="004F289D">
        <w:rPr>
          <w:rFonts w:eastAsia="Aptos" w:cs="Times New Roman"/>
          <w:i/>
          <w:iCs/>
          <w:sz w:val="24"/>
          <w:szCs w:val="24"/>
          <w:lang/>
        </w:rPr>
        <w:t>International Journal of Mechanical Engineering and Technology</w:t>
      </w:r>
      <w:r w:rsidRPr="004F289D">
        <w:rPr>
          <w:rFonts w:eastAsia="Aptos" w:cs="Times New Roman"/>
          <w:sz w:val="24"/>
          <w:szCs w:val="24"/>
          <w:lang/>
        </w:rPr>
        <w:t>, Vol. 10 No. 1, pp. 830–836.</w:t>
      </w:r>
    </w:p>
    <w:p w14:paraId="4E2BEDE7" w14:textId="77777777" w:rsidR="007D72B8" w:rsidRPr="004F289D" w:rsidRDefault="007D72B8" w:rsidP="00BF573A">
      <w:pPr>
        <w:spacing w:line="278" w:lineRule="auto"/>
        <w:rPr>
          <w:rFonts w:eastAsia="Aptos" w:cs="Times New Roman"/>
          <w:sz w:val="24"/>
          <w:szCs w:val="24"/>
          <w:lang w:val="en-US"/>
        </w:rPr>
      </w:pPr>
      <w:proofErr w:type="spellStart"/>
      <w:r w:rsidRPr="004F289D">
        <w:rPr>
          <w:rFonts w:eastAsia="Aptos" w:cs="Times New Roman"/>
          <w:sz w:val="24"/>
          <w:szCs w:val="24"/>
          <w:lang w:val="en-US"/>
        </w:rPr>
        <w:t>Jibril</w:t>
      </w:r>
      <w:proofErr w:type="spellEnd"/>
      <w:r w:rsidRPr="004F289D">
        <w:rPr>
          <w:rFonts w:eastAsia="Aptos" w:cs="Times New Roman"/>
          <w:sz w:val="24"/>
          <w:szCs w:val="24"/>
          <w:lang w:val="en-US"/>
        </w:rPr>
        <w:t xml:space="preserve">, A.B., </w:t>
      </w:r>
      <w:proofErr w:type="spellStart"/>
      <w:r w:rsidRPr="004F289D">
        <w:rPr>
          <w:rFonts w:eastAsia="Aptos" w:cs="Times New Roman"/>
          <w:sz w:val="24"/>
          <w:szCs w:val="24"/>
          <w:lang w:val="en-US"/>
        </w:rPr>
        <w:t>Kwarteng</w:t>
      </w:r>
      <w:proofErr w:type="spellEnd"/>
      <w:r w:rsidRPr="004F289D">
        <w:rPr>
          <w:rFonts w:eastAsia="Aptos" w:cs="Times New Roman"/>
          <w:sz w:val="24"/>
          <w:szCs w:val="24"/>
          <w:lang w:val="en-US"/>
        </w:rPr>
        <w:t xml:space="preserve">, M.A., </w:t>
      </w:r>
      <w:proofErr w:type="spellStart"/>
      <w:r w:rsidRPr="004F289D">
        <w:rPr>
          <w:rFonts w:eastAsia="Aptos" w:cs="Times New Roman"/>
          <w:sz w:val="24"/>
          <w:szCs w:val="24"/>
          <w:lang w:val="en-US"/>
        </w:rPr>
        <w:t>Botchway</w:t>
      </w:r>
      <w:proofErr w:type="spellEnd"/>
      <w:r w:rsidRPr="004F289D">
        <w:rPr>
          <w:rFonts w:eastAsia="Aptos" w:cs="Times New Roman"/>
          <w:sz w:val="24"/>
          <w:szCs w:val="24"/>
          <w:lang w:val="en-US"/>
        </w:rPr>
        <w:t xml:space="preserve">, R.K., Bode, J. and </w:t>
      </w:r>
      <w:proofErr w:type="spellStart"/>
      <w:r w:rsidRPr="004F289D">
        <w:rPr>
          <w:rFonts w:eastAsia="Aptos" w:cs="Times New Roman"/>
          <w:sz w:val="24"/>
          <w:szCs w:val="24"/>
          <w:lang w:val="en-US"/>
        </w:rPr>
        <w:t>Chovancova</w:t>
      </w:r>
      <w:proofErr w:type="spellEnd"/>
      <w:r w:rsidRPr="004F289D">
        <w:rPr>
          <w:rFonts w:eastAsia="Aptos" w:cs="Times New Roman"/>
          <w:sz w:val="24"/>
          <w:szCs w:val="24"/>
          <w:lang w:val="en-US"/>
        </w:rPr>
        <w:t>, M. (2020), “The impact of online identity theft on customers’ willingness to engage in e-banking transaction in Ghana: A technology threat avoidance theory</w:t>
      </w:r>
      <w:r w:rsidRPr="004F289D">
        <w:rPr>
          <w:rFonts w:eastAsia="Aptos" w:cs="Times New Roman"/>
          <w:i/>
          <w:iCs/>
          <w:sz w:val="24"/>
          <w:szCs w:val="24"/>
          <w:lang w:val="en-US"/>
        </w:rPr>
        <w:t>”, Cogent Business &amp; Management</w:t>
      </w:r>
      <w:r w:rsidRPr="004F289D">
        <w:rPr>
          <w:rFonts w:eastAsia="Aptos" w:cs="Times New Roman"/>
          <w:sz w:val="24"/>
          <w:szCs w:val="24"/>
          <w:lang w:val="en-US"/>
        </w:rPr>
        <w:t>, Vol. 7 No. 1, 1832825.</w:t>
      </w:r>
    </w:p>
    <w:p w14:paraId="54FD44F0" w14:textId="44355C8A"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Kemp, S. and Erades Pérez, N. (2023), “Consumer fraud against older adults in digital society: Examining victimization and its impact”, </w:t>
      </w:r>
      <w:r w:rsidRPr="004F289D">
        <w:rPr>
          <w:rFonts w:eastAsia="Aptos" w:cs="Times New Roman"/>
          <w:i/>
          <w:iCs/>
          <w:sz w:val="24"/>
          <w:szCs w:val="24"/>
          <w:lang/>
        </w:rPr>
        <w:t>International Journal of Environmental Research and Public Health</w:t>
      </w:r>
      <w:r w:rsidRPr="004F289D">
        <w:rPr>
          <w:rFonts w:eastAsia="Aptos" w:cs="Times New Roman"/>
          <w:sz w:val="24"/>
          <w:szCs w:val="24"/>
          <w:lang/>
        </w:rPr>
        <w:t>, Vol. 20 No. 7, Article 5404.</w:t>
      </w:r>
    </w:p>
    <w:p w14:paraId="134A8B53"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Kemp, S., Sitges Maciá, E. and Erades-Pérez, N. (2025), “Worry about online fraud and older adults: Avoidant and protective responses”, </w:t>
      </w:r>
      <w:r w:rsidRPr="004F289D">
        <w:rPr>
          <w:rFonts w:eastAsia="Aptos" w:cs="Times New Roman"/>
          <w:i/>
          <w:iCs/>
          <w:sz w:val="24"/>
          <w:szCs w:val="24"/>
          <w:lang/>
        </w:rPr>
        <w:t>Journal of Criminology</w:t>
      </w:r>
      <w:r w:rsidRPr="004F289D">
        <w:rPr>
          <w:rFonts w:eastAsia="Aptos" w:cs="Times New Roman"/>
          <w:sz w:val="24"/>
          <w:szCs w:val="24"/>
          <w:lang/>
        </w:rPr>
        <w:t>, Vol. 58 No. 3, pp. 446–465.</w:t>
      </w:r>
    </w:p>
    <w:p w14:paraId="702FA703" w14:textId="77777777" w:rsidR="007D72B8" w:rsidRPr="004F289D" w:rsidRDefault="007D72B8" w:rsidP="00BF573A">
      <w:pPr>
        <w:spacing w:line="278" w:lineRule="auto"/>
        <w:rPr>
          <w:rFonts w:eastAsia="Aptos" w:cs="Times New Roman"/>
          <w:sz w:val="24"/>
          <w:szCs w:val="24"/>
          <w:lang w:val="en-US"/>
        </w:rPr>
      </w:pPr>
      <w:proofErr w:type="spellStart"/>
      <w:r w:rsidRPr="004F289D">
        <w:rPr>
          <w:rFonts w:eastAsia="Aptos" w:cs="Times New Roman"/>
          <w:sz w:val="24"/>
          <w:szCs w:val="24"/>
          <w:lang w:val="en-US"/>
        </w:rPr>
        <w:t>Kraiwanit</w:t>
      </w:r>
      <w:proofErr w:type="spellEnd"/>
      <w:r w:rsidRPr="004F289D">
        <w:rPr>
          <w:rFonts w:eastAsia="Aptos" w:cs="Times New Roman"/>
          <w:sz w:val="24"/>
          <w:szCs w:val="24"/>
          <w:lang w:val="en-US"/>
        </w:rPr>
        <w:t xml:space="preserve">, T., </w:t>
      </w:r>
      <w:proofErr w:type="spellStart"/>
      <w:r w:rsidRPr="004F289D">
        <w:rPr>
          <w:rFonts w:eastAsia="Aptos" w:cs="Times New Roman"/>
          <w:sz w:val="24"/>
          <w:szCs w:val="24"/>
          <w:lang w:val="en-US"/>
        </w:rPr>
        <w:t>Limna</w:t>
      </w:r>
      <w:proofErr w:type="spellEnd"/>
      <w:r w:rsidRPr="004F289D">
        <w:rPr>
          <w:rFonts w:eastAsia="Aptos" w:cs="Times New Roman"/>
          <w:sz w:val="24"/>
          <w:szCs w:val="24"/>
          <w:lang w:val="en-US"/>
        </w:rPr>
        <w:t xml:space="preserve">, P., </w:t>
      </w:r>
      <w:proofErr w:type="spellStart"/>
      <w:r w:rsidRPr="004F289D">
        <w:rPr>
          <w:rFonts w:eastAsia="Aptos" w:cs="Times New Roman"/>
          <w:sz w:val="24"/>
          <w:szCs w:val="24"/>
          <w:lang w:val="en-US"/>
        </w:rPr>
        <w:t>Sonsuphap</w:t>
      </w:r>
      <w:proofErr w:type="spellEnd"/>
      <w:r w:rsidRPr="004F289D">
        <w:rPr>
          <w:rFonts w:eastAsia="Aptos" w:cs="Times New Roman"/>
          <w:sz w:val="24"/>
          <w:szCs w:val="24"/>
          <w:lang w:val="en-US"/>
        </w:rPr>
        <w:t xml:space="preserve">, R. and </w:t>
      </w:r>
      <w:proofErr w:type="spellStart"/>
      <w:r w:rsidRPr="004F289D">
        <w:rPr>
          <w:rFonts w:eastAsia="Aptos" w:cs="Times New Roman"/>
          <w:sz w:val="24"/>
          <w:szCs w:val="24"/>
          <w:lang w:val="en-US"/>
        </w:rPr>
        <w:t>Chutipat</w:t>
      </w:r>
      <w:proofErr w:type="spellEnd"/>
      <w:r w:rsidRPr="004F289D">
        <w:rPr>
          <w:rFonts w:eastAsia="Aptos" w:cs="Times New Roman"/>
          <w:sz w:val="24"/>
          <w:szCs w:val="24"/>
          <w:lang w:val="en-US"/>
        </w:rPr>
        <w:t xml:space="preserve">, V. (2025), “Predictors of digital fraud: Evidence from Thailand”, </w:t>
      </w:r>
      <w:r w:rsidRPr="004F289D">
        <w:rPr>
          <w:rFonts w:eastAsia="Aptos" w:cs="Times New Roman"/>
          <w:i/>
          <w:iCs/>
          <w:sz w:val="24"/>
          <w:szCs w:val="24"/>
          <w:lang w:val="en-US"/>
        </w:rPr>
        <w:t>Journal of Risk and Financial Management</w:t>
      </w:r>
      <w:r w:rsidRPr="004F289D">
        <w:rPr>
          <w:rFonts w:eastAsia="Aptos" w:cs="Times New Roman"/>
          <w:sz w:val="24"/>
          <w:szCs w:val="24"/>
          <w:lang w:val="en-US"/>
        </w:rPr>
        <w:t>, Vol. 18 No. 12, 671.</w:t>
      </w:r>
    </w:p>
    <w:p w14:paraId="2DCFA45A" w14:textId="7EE69D5B"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lastRenderedPageBreak/>
        <w:t xml:space="preserve">Lai, S., Wu, J., Ma, Z. and Ye, C. (2023), “Consumer fraud detection via group perception”, </w:t>
      </w:r>
      <w:r w:rsidRPr="004F289D">
        <w:rPr>
          <w:rFonts w:eastAsia="Aptos" w:cs="Times New Roman"/>
          <w:i/>
          <w:iCs/>
          <w:sz w:val="24"/>
          <w:szCs w:val="24"/>
          <w:lang/>
        </w:rPr>
        <w:t>Information Processing &amp; Management</w:t>
      </w:r>
      <w:r w:rsidRPr="004F289D">
        <w:rPr>
          <w:rFonts w:eastAsia="Aptos" w:cs="Times New Roman"/>
          <w:sz w:val="24"/>
          <w:szCs w:val="24"/>
          <w:lang/>
        </w:rPr>
        <w:t>, Vol. 60 No. 2, Article 103307.</w:t>
      </w:r>
    </w:p>
    <w:p w14:paraId="11E0E930"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Langenderfer, J. and Shimp, T.A. (2001), “Consumer vulnerability to scams, swindles, and fraud: A new theory of visceral influences on persuasion”, </w:t>
      </w:r>
      <w:r w:rsidRPr="004F289D">
        <w:rPr>
          <w:rFonts w:eastAsia="Aptos" w:cs="Times New Roman"/>
          <w:i/>
          <w:iCs/>
          <w:sz w:val="24"/>
          <w:szCs w:val="24"/>
          <w:lang/>
        </w:rPr>
        <w:t>Psychology &amp; Marketing</w:t>
      </w:r>
      <w:r w:rsidRPr="004F289D">
        <w:rPr>
          <w:rFonts w:eastAsia="Aptos" w:cs="Times New Roman"/>
          <w:sz w:val="24"/>
          <w:szCs w:val="24"/>
          <w:lang/>
        </w:rPr>
        <w:t>, Vol. 18 No. 7, pp. 763–783.</w:t>
      </w:r>
    </w:p>
    <w:p w14:paraId="7C5E9DC4"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Lee, C.S. (2022), “How online fraud victims are targeted in China: A crime script analysis of Baidu Tieba C2C fraud”, </w:t>
      </w:r>
      <w:r w:rsidRPr="004F289D">
        <w:rPr>
          <w:rFonts w:eastAsia="Aptos" w:cs="Times New Roman"/>
          <w:i/>
          <w:iCs/>
          <w:sz w:val="24"/>
          <w:szCs w:val="24"/>
          <w:lang/>
        </w:rPr>
        <w:t>Crime &amp; Delinquency</w:t>
      </w:r>
      <w:r w:rsidRPr="004F289D">
        <w:rPr>
          <w:rFonts w:eastAsia="Aptos" w:cs="Times New Roman"/>
          <w:sz w:val="24"/>
          <w:szCs w:val="24"/>
          <w:lang/>
        </w:rPr>
        <w:t>, Vol. 68 Nos. 13–14, pp. 2529–2553.</w:t>
      </w:r>
    </w:p>
    <w:p w14:paraId="54D76568"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Lee, J. and Soberon-Ferrer, H. (1997), “Consumer vulnerability to fraud: Influencing factors”, </w:t>
      </w:r>
      <w:r w:rsidRPr="004F289D">
        <w:rPr>
          <w:rFonts w:eastAsia="Aptos" w:cs="Times New Roman"/>
          <w:i/>
          <w:iCs/>
          <w:sz w:val="24"/>
          <w:szCs w:val="24"/>
          <w:lang/>
        </w:rPr>
        <w:t>The Journal of Consumer Affairs</w:t>
      </w:r>
      <w:r w:rsidRPr="004F289D">
        <w:rPr>
          <w:rFonts w:eastAsia="Aptos" w:cs="Times New Roman"/>
          <w:sz w:val="24"/>
          <w:szCs w:val="24"/>
          <w:lang/>
        </w:rPr>
        <w:t>, Vol. 31 No. 1, pp. 70–89.</w:t>
      </w:r>
    </w:p>
    <w:p w14:paraId="665A34B3"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Lim, H. and Letkiewicz, J.C. (2023), “Consumer experience of mistreatment and fraud in financial services: Implications from an integrative consumer vulnerability framework”, </w:t>
      </w:r>
      <w:r w:rsidRPr="004F289D">
        <w:rPr>
          <w:rFonts w:eastAsia="Aptos" w:cs="Times New Roman"/>
          <w:i/>
          <w:iCs/>
          <w:sz w:val="24"/>
          <w:szCs w:val="24"/>
          <w:lang/>
        </w:rPr>
        <w:t>Journal of Consumer Policy</w:t>
      </w:r>
      <w:r w:rsidRPr="004F289D">
        <w:rPr>
          <w:rFonts w:eastAsia="Aptos" w:cs="Times New Roman"/>
          <w:sz w:val="24"/>
          <w:szCs w:val="24"/>
          <w:lang/>
        </w:rPr>
        <w:t>, Vol. 46 No. 1, pp. 109–135.</w:t>
      </w:r>
    </w:p>
    <w:p w14:paraId="2DA4A2C7"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Liu, L.C., Koong, K.S., Allison, M. and Wei, J. (2005), “An examination of online fraud complaint occurrences”, </w:t>
      </w:r>
      <w:r w:rsidRPr="004F289D">
        <w:rPr>
          <w:rFonts w:eastAsia="Aptos" w:cs="Times New Roman"/>
          <w:i/>
          <w:iCs/>
          <w:sz w:val="24"/>
          <w:szCs w:val="24"/>
          <w:lang/>
        </w:rPr>
        <w:t>Issues in Information Systems</w:t>
      </w:r>
      <w:r w:rsidRPr="004F289D">
        <w:rPr>
          <w:rFonts w:eastAsia="Aptos" w:cs="Times New Roman"/>
          <w:sz w:val="24"/>
          <w:szCs w:val="24"/>
          <w:lang/>
        </w:rPr>
        <w:t>, Vol. 6 No. 2, pp. 161–167.</w:t>
      </w:r>
    </w:p>
    <w:p w14:paraId="2005676A"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Lyu, C., Gao, S. and Zhang, Q. (2025), “The impact of time pressure and type of fraud on susceptibility to online fraud”, </w:t>
      </w:r>
      <w:r w:rsidRPr="004F289D">
        <w:rPr>
          <w:rFonts w:eastAsia="Aptos" w:cs="Times New Roman"/>
          <w:i/>
          <w:iCs/>
          <w:sz w:val="24"/>
          <w:szCs w:val="24"/>
          <w:lang/>
        </w:rPr>
        <w:t>Frontiers in Psychology</w:t>
      </w:r>
      <w:r w:rsidRPr="004F289D">
        <w:rPr>
          <w:rFonts w:eastAsia="Aptos" w:cs="Times New Roman"/>
          <w:sz w:val="24"/>
          <w:szCs w:val="24"/>
          <w:lang/>
        </w:rPr>
        <w:t>, Vol. 16, Article 1508363.</w:t>
      </w:r>
    </w:p>
    <w:p w14:paraId="0A5D0D0D"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Lyu, J., Luo, J. and Chen, Y. (2022), “Who falls victim to online fraud? Individual differences and situational factors”, </w:t>
      </w:r>
      <w:r w:rsidRPr="004F289D">
        <w:rPr>
          <w:rFonts w:eastAsia="Aptos" w:cs="Times New Roman"/>
          <w:i/>
          <w:iCs/>
          <w:sz w:val="24"/>
          <w:szCs w:val="24"/>
          <w:lang/>
        </w:rPr>
        <w:t>Computers in Human Behavior</w:t>
      </w:r>
      <w:r w:rsidRPr="004F289D">
        <w:rPr>
          <w:rFonts w:eastAsia="Aptos" w:cs="Times New Roman"/>
          <w:sz w:val="24"/>
          <w:szCs w:val="24"/>
          <w:lang/>
        </w:rPr>
        <w:t>, Vol. 130, Article 107190.</w:t>
      </w:r>
    </w:p>
    <w:p w14:paraId="2ECA6066"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Maher, C.A. (2025), “Buyer beware, or buyer unaware? Examining the correlates of consumer fraud victimization acknowledgment in the United States”, </w:t>
      </w:r>
      <w:r w:rsidRPr="004F289D">
        <w:rPr>
          <w:rFonts w:eastAsia="Aptos" w:cs="Times New Roman"/>
          <w:i/>
          <w:iCs/>
          <w:sz w:val="24"/>
          <w:szCs w:val="24"/>
          <w:lang/>
        </w:rPr>
        <w:t>Crime &amp; Delinquency</w:t>
      </w:r>
      <w:r w:rsidRPr="004F289D">
        <w:rPr>
          <w:rFonts w:eastAsia="Aptos" w:cs="Times New Roman"/>
          <w:sz w:val="24"/>
          <w:szCs w:val="24"/>
          <w:lang/>
        </w:rPr>
        <w:t>, Vol. 71 Nos. 6–7, pp. 2493–2517.</w:t>
      </w:r>
    </w:p>
    <w:p w14:paraId="770822AC" w14:textId="77777777" w:rsidR="007D72B8" w:rsidRPr="004F289D" w:rsidRDefault="007D72B8" w:rsidP="00BF573A">
      <w:pPr>
        <w:spacing w:line="278" w:lineRule="auto"/>
        <w:rPr>
          <w:rFonts w:eastAsia="Aptos" w:cs="Times New Roman"/>
          <w:sz w:val="24"/>
          <w:szCs w:val="24"/>
          <w:lang w:val="en-US"/>
        </w:rPr>
      </w:pPr>
      <w:proofErr w:type="spellStart"/>
      <w:r w:rsidRPr="004F289D">
        <w:rPr>
          <w:rFonts w:eastAsia="Aptos" w:cs="Times New Roman"/>
          <w:sz w:val="24"/>
          <w:szCs w:val="24"/>
          <w:lang w:val="en-US"/>
        </w:rPr>
        <w:t>Mahida</w:t>
      </w:r>
      <w:proofErr w:type="spellEnd"/>
      <w:r w:rsidRPr="004F289D">
        <w:rPr>
          <w:rFonts w:eastAsia="Aptos" w:cs="Times New Roman"/>
          <w:sz w:val="24"/>
          <w:szCs w:val="24"/>
          <w:lang w:val="en-US"/>
        </w:rPr>
        <w:t xml:space="preserve">, D., Bhatt, B. and </w:t>
      </w:r>
      <w:proofErr w:type="spellStart"/>
      <w:r w:rsidRPr="004F289D">
        <w:rPr>
          <w:rFonts w:eastAsia="Aptos" w:cs="Times New Roman"/>
          <w:sz w:val="24"/>
          <w:szCs w:val="24"/>
          <w:lang w:val="en-US"/>
        </w:rPr>
        <w:t>Gambhava</w:t>
      </w:r>
      <w:proofErr w:type="spellEnd"/>
      <w:r w:rsidRPr="004F289D">
        <w:rPr>
          <w:rFonts w:eastAsia="Aptos" w:cs="Times New Roman"/>
          <w:sz w:val="24"/>
          <w:szCs w:val="24"/>
          <w:lang w:val="en-US"/>
        </w:rPr>
        <w:t xml:space="preserve">, B. (2025), “Cyber frauds and the human mind: Behavioral vulnerabilities and adaptive defense mechanisms”, in </w:t>
      </w:r>
      <w:r w:rsidRPr="004F289D">
        <w:rPr>
          <w:rFonts w:eastAsia="Aptos" w:cs="Times New Roman"/>
          <w:i/>
          <w:iCs/>
          <w:sz w:val="24"/>
          <w:szCs w:val="24"/>
          <w:lang w:val="en-US"/>
        </w:rPr>
        <w:t>Proceedings of the 2025 IEEE International Conference on Advanced Computing Technologies (ICACT)</w:t>
      </w:r>
      <w:r w:rsidRPr="004F289D">
        <w:rPr>
          <w:rFonts w:eastAsia="Aptos" w:cs="Times New Roman"/>
          <w:sz w:val="24"/>
          <w:szCs w:val="24"/>
          <w:lang w:val="en-US"/>
        </w:rPr>
        <w:t>, IEEE, pp. 510–515.</w:t>
      </w:r>
    </w:p>
    <w:p w14:paraId="24E0F722" w14:textId="74C2FA45"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Marlowe, J. and Atiles, J.H. (2005), “Consumer fraud and Latino immigrant consumers in the United States”, </w:t>
      </w:r>
      <w:r w:rsidRPr="004F289D">
        <w:rPr>
          <w:rFonts w:eastAsia="Aptos" w:cs="Times New Roman"/>
          <w:i/>
          <w:iCs/>
          <w:sz w:val="24"/>
          <w:szCs w:val="24"/>
          <w:lang/>
        </w:rPr>
        <w:t>International Journal of Consumer Studies</w:t>
      </w:r>
      <w:r w:rsidRPr="004F289D">
        <w:rPr>
          <w:rFonts w:eastAsia="Aptos" w:cs="Times New Roman"/>
          <w:sz w:val="24"/>
          <w:szCs w:val="24"/>
          <w:lang/>
        </w:rPr>
        <w:t>, Vol. 29 No. 5, pp. 391–400.</w:t>
      </w:r>
    </w:p>
    <w:p w14:paraId="6A4EF2D7"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Milne, G.R., Rohm, A.J. and Bahl, S. (2004), “Consumers’ protection of online privacy and identity”, </w:t>
      </w:r>
      <w:r w:rsidRPr="004F289D">
        <w:rPr>
          <w:rFonts w:eastAsia="Aptos" w:cs="Times New Roman"/>
          <w:i/>
          <w:iCs/>
          <w:sz w:val="24"/>
          <w:szCs w:val="24"/>
          <w:lang/>
        </w:rPr>
        <w:t>Journal of Consumer Affairs</w:t>
      </w:r>
      <w:r w:rsidRPr="004F289D">
        <w:rPr>
          <w:rFonts w:eastAsia="Aptos" w:cs="Times New Roman"/>
          <w:sz w:val="24"/>
          <w:szCs w:val="24"/>
          <w:lang/>
        </w:rPr>
        <w:t>, Vol. 38 No. 2, pp. 217–232.</w:t>
      </w:r>
    </w:p>
    <w:p w14:paraId="3BCC37BF" w14:textId="77777777" w:rsidR="007D72B8" w:rsidRPr="004F289D" w:rsidRDefault="007D72B8" w:rsidP="00BF573A">
      <w:pPr>
        <w:spacing w:line="278" w:lineRule="auto"/>
        <w:rPr>
          <w:rFonts w:eastAsia="Aptos" w:cs="Times New Roman"/>
          <w:sz w:val="24"/>
          <w:szCs w:val="24"/>
          <w:lang w:val="en-US"/>
        </w:rPr>
      </w:pPr>
      <w:proofErr w:type="spellStart"/>
      <w:r w:rsidRPr="004F289D">
        <w:rPr>
          <w:rFonts w:eastAsia="Aptos" w:cs="Times New Roman"/>
          <w:sz w:val="24"/>
          <w:szCs w:val="24"/>
          <w:lang w:val="en-US"/>
        </w:rPr>
        <w:t>Moustafa</w:t>
      </w:r>
      <w:proofErr w:type="spellEnd"/>
      <w:r w:rsidRPr="004F289D">
        <w:rPr>
          <w:rFonts w:eastAsia="Aptos" w:cs="Times New Roman"/>
          <w:sz w:val="24"/>
          <w:szCs w:val="24"/>
          <w:lang w:val="en-US"/>
        </w:rPr>
        <w:t xml:space="preserve">, A.A., Bello, A. and </w:t>
      </w:r>
      <w:proofErr w:type="spellStart"/>
      <w:r w:rsidRPr="004F289D">
        <w:rPr>
          <w:rFonts w:eastAsia="Aptos" w:cs="Times New Roman"/>
          <w:sz w:val="24"/>
          <w:szCs w:val="24"/>
          <w:lang w:val="en-US"/>
        </w:rPr>
        <w:t>Maurushat</w:t>
      </w:r>
      <w:proofErr w:type="spellEnd"/>
      <w:r w:rsidRPr="004F289D">
        <w:rPr>
          <w:rFonts w:eastAsia="Aptos" w:cs="Times New Roman"/>
          <w:sz w:val="24"/>
          <w:szCs w:val="24"/>
          <w:lang w:val="en-US"/>
        </w:rPr>
        <w:t xml:space="preserve">, A. (2021), “The role of user </w:t>
      </w:r>
      <w:proofErr w:type="spellStart"/>
      <w:r w:rsidRPr="004F289D">
        <w:rPr>
          <w:rFonts w:eastAsia="Aptos" w:cs="Times New Roman"/>
          <w:sz w:val="24"/>
          <w:szCs w:val="24"/>
          <w:lang w:val="en-US"/>
        </w:rPr>
        <w:t>behaviour</w:t>
      </w:r>
      <w:proofErr w:type="spellEnd"/>
      <w:r w:rsidRPr="004F289D">
        <w:rPr>
          <w:rFonts w:eastAsia="Aptos" w:cs="Times New Roman"/>
          <w:sz w:val="24"/>
          <w:szCs w:val="24"/>
          <w:lang w:val="en-US"/>
        </w:rPr>
        <w:t xml:space="preserve"> in improving cyber security management”, </w:t>
      </w:r>
      <w:r w:rsidRPr="004F289D">
        <w:rPr>
          <w:rFonts w:eastAsia="Aptos" w:cs="Times New Roman"/>
          <w:i/>
          <w:iCs/>
          <w:sz w:val="24"/>
          <w:szCs w:val="24"/>
          <w:lang w:val="en-US"/>
        </w:rPr>
        <w:t>Frontiers in Psychology</w:t>
      </w:r>
      <w:r w:rsidRPr="004F289D">
        <w:rPr>
          <w:rFonts w:eastAsia="Aptos" w:cs="Times New Roman"/>
          <w:sz w:val="24"/>
          <w:szCs w:val="24"/>
          <w:lang w:val="en-US"/>
        </w:rPr>
        <w:t>, Vol. 12, Article 561011.</w:t>
      </w:r>
    </w:p>
    <w:p w14:paraId="71C7023C" w14:textId="2D4B4614"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Narayanan, M., Koo, B. and Cozzarin, B.P. (2012), “Fear of fraud and Internet purchasing”, </w:t>
      </w:r>
      <w:r w:rsidRPr="004F289D">
        <w:rPr>
          <w:rFonts w:eastAsia="Aptos" w:cs="Times New Roman"/>
          <w:i/>
          <w:iCs/>
          <w:sz w:val="24"/>
          <w:szCs w:val="24"/>
          <w:lang/>
        </w:rPr>
        <w:t>Applied Economics Letters</w:t>
      </w:r>
      <w:r w:rsidRPr="004F289D">
        <w:rPr>
          <w:rFonts w:eastAsia="Aptos" w:cs="Times New Roman"/>
          <w:sz w:val="24"/>
          <w:szCs w:val="24"/>
          <w:lang/>
        </w:rPr>
        <w:t>, Vol. 19 No. 16, pp. 1615–1619.</w:t>
      </w:r>
    </w:p>
    <w:p w14:paraId="7AADB9B8"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lastRenderedPageBreak/>
        <w:t xml:space="preserve">Nikitkov, A. and Bay, D. (2008), “Online auction fraud: Ethical perspective”, </w:t>
      </w:r>
      <w:r w:rsidRPr="004F289D">
        <w:rPr>
          <w:rFonts w:eastAsia="Aptos" w:cs="Times New Roman"/>
          <w:i/>
          <w:iCs/>
          <w:sz w:val="24"/>
          <w:szCs w:val="24"/>
          <w:lang/>
        </w:rPr>
        <w:t>Journal of Business Ethics</w:t>
      </w:r>
      <w:r w:rsidRPr="004F289D">
        <w:rPr>
          <w:rFonts w:eastAsia="Aptos" w:cs="Times New Roman"/>
          <w:sz w:val="24"/>
          <w:szCs w:val="24"/>
          <w:lang/>
        </w:rPr>
        <w:t>, Vol. 79 No. 3, pp. 235–244.</w:t>
      </w:r>
    </w:p>
    <w:p w14:paraId="75BAC6D8"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Norris, G., Brookes, A. and Dowell, D. (2019), “The psychology of Internet fraud victimisation: A systematic review”, </w:t>
      </w:r>
      <w:r w:rsidRPr="004F289D">
        <w:rPr>
          <w:rFonts w:eastAsia="Aptos" w:cs="Times New Roman"/>
          <w:i/>
          <w:iCs/>
          <w:sz w:val="24"/>
          <w:szCs w:val="24"/>
          <w:lang/>
        </w:rPr>
        <w:t>Journal of Police and Criminal Psychology</w:t>
      </w:r>
      <w:r w:rsidRPr="004F289D">
        <w:rPr>
          <w:rFonts w:eastAsia="Aptos" w:cs="Times New Roman"/>
          <w:sz w:val="24"/>
          <w:szCs w:val="24"/>
          <w:lang/>
        </w:rPr>
        <w:t>, Vol. 34 No. 3, pp. 231–245.</w:t>
      </w:r>
    </w:p>
    <w:p w14:paraId="196B482E"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Palmisano, F. (2025), “Economic crimes and trust toward political institutions: Evidence from online fraud victimization and related policy interventions in Italy”, </w:t>
      </w:r>
      <w:r w:rsidRPr="004F289D">
        <w:rPr>
          <w:rFonts w:eastAsia="Aptos" w:cs="Times New Roman"/>
          <w:i/>
          <w:iCs/>
          <w:sz w:val="24"/>
          <w:szCs w:val="24"/>
          <w:lang/>
        </w:rPr>
        <w:t>Journal of Economic Psychology</w:t>
      </w:r>
      <w:r w:rsidRPr="004F289D">
        <w:rPr>
          <w:rFonts w:eastAsia="Aptos" w:cs="Times New Roman"/>
          <w:sz w:val="24"/>
          <w:szCs w:val="24"/>
          <w:lang/>
        </w:rPr>
        <w:t xml:space="preserve">, Vol. 111, Article 102857. </w:t>
      </w:r>
    </w:p>
    <w:p w14:paraId="43BCBBFE"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Pratt, T.C., Holtfreter, K. and Reisig, M.D. (2010), “Routine online activity and Internet fraud targeting: Extending the generality of routine activity theory”, </w:t>
      </w:r>
      <w:r w:rsidRPr="004F289D">
        <w:rPr>
          <w:rFonts w:eastAsia="Aptos" w:cs="Times New Roman"/>
          <w:i/>
          <w:iCs/>
          <w:sz w:val="24"/>
          <w:szCs w:val="24"/>
          <w:lang/>
        </w:rPr>
        <w:t>Journal of Research in Crime and Delinquency</w:t>
      </w:r>
      <w:r w:rsidRPr="004F289D">
        <w:rPr>
          <w:rFonts w:eastAsia="Aptos" w:cs="Times New Roman"/>
          <w:sz w:val="24"/>
          <w:szCs w:val="24"/>
          <w:lang/>
        </w:rPr>
        <w:t>, Vol. 47 No. 3, pp. 267–296.</w:t>
      </w:r>
    </w:p>
    <w:p w14:paraId="3A84CA5A"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Puspitarini, D.A., Purnama, P.A. and Dewi, I.R. (2021), “Fraud risk and trust on the intention to buy of e-commerce”, </w:t>
      </w:r>
      <w:r w:rsidRPr="004F289D">
        <w:rPr>
          <w:rFonts w:eastAsia="Aptos" w:cs="Times New Roman"/>
          <w:i/>
          <w:iCs/>
          <w:sz w:val="24"/>
          <w:szCs w:val="24"/>
          <w:lang/>
        </w:rPr>
        <w:t>Journal of Contemporary Accounting</w:t>
      </w:r>
      <w:r w:rsidRPr="004F289D">
        <w:rPr>
          <w:rFonts w:eastAsia="Aptos" w:cs="Times New Roman"/>
          <w:sz w:val="24"/>
          <w:szCs w:val="24"/>
          <w:lang/>
        </w:rPr>
        <w:t>, Vol. 3 No. 1, pp. 45–52.</w:t>
      </w:r>
    </w:p>
    <w:p w14:paraId="1353B8B0"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Raval, D. (2021), “Who is victimized by fraud? Evidence from consumer protection cases”, </w:t>
      </w:r>
      <w:r w:rsidRPr="004F289D">
        <w:rPr>
          <w:rFonts w:eastAsia="Aptos" w:cs="Times New Roman"/>
          <w:i/>
          <w:iCs/>
          <w:sz w:val="24"/>
          <w:szCs w:val="24"/>
          <w:lang/>
        </w:rPr>
        <w:t>Journal of Consumer Policy</w:t>
      </w:r>
      <w:r w:rsidRPr="004F289D">
        <w:rPr>
          <w:rFonts w:eastAsia="Aptos" w:cs="Times New Roman"/>
          <w:sz w:val="24"/>
          <w:szCs w:val="24"/>
          <w:lang/>
        </w:rPr>
        <w:t>, Vol. 44 No. 1, pp. 43–72.</w:t>
      </w:r>
    </w:p>
    <w:p w14:paraId="0DE0F130" w14:textId="52D4D7EB"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Rom</w:t>
      </w:r>
      <w:r w:rsidR="00F54A4E" w:rsidRPr="004F289D">
        <w:rPr>
          <w:rFonts w:eastAsia="Aptos" w:cs="Times New Roman"/>
          <w:sz w:val="24"/>
          <w:szCs w:val="24"/>
          <w:lang/>
        </w:rPr>
        <w:t>a</w:t>
      </w:r>
      <w:r w:rsidRPr="004F289D">
        <w:rPr>
          <w:rFonts w:eastAsia="Aptos" w:cs="Times New Roman"/>
          <w:sz w:val="24"/>
          <w:szCs w:val="24"/>
          <w:lang/>
        </w:rPr>
        <w:t xml:space="preserve">n, S. (2010), “Relational consequences of perceived deception in online shopping: The moderating roles of type of product, consumer’s attitude toward the Internet and consumer’s demographics”, </w:t>
      </w:r>
      <w:r w:rsidRPr="004F289D">
        <w:rPr>
          <w:rFonts w:eastAsia="Aptos" w:cs="Times New Roman"/>
          <w:i/>
          <w:iCs/>
          <w:sz w:val="24"/>
          <w:szCs w:val="24"/>
          <w:lang/>
        </w:rPr>
        <w:t>Journal of Business Ethics</w:t>
      </w:r>
      <w:r w:rsidRPr="004F289D">
        <w:rPr>
          <w:rFonts w:eastAsia="Aptos" w:cs="Times New Roman"/>
          <w:sz w:val="24"/>
          <w:szCs w:val="24"/>
          <w:lang/>
        </w:rPr>
        <w:t>, Vol. 95, pp. 373–391.</w:t>
      </w:r>
    </w:p>
    <w:p w14:paraId="0991693A"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Ross, M., Grossmann, I. and Schryer, E. (2014), “Contrary to psychological and popular opinion, there is no compelling evidence that older adults are disproportionately victimized by consumer fraud”, </w:t>
      </w:r>
      <w:r w:rsidRPr="004F289D">
        <w:rPr>
          <w:rFonts w:eastAsia="Aptos" w:cs="Times New Roman"/>
          <w:i/>
          <w:iCs/>
          <w:sz w:val="24"/>
          <w:szCs w:val="24"/>
          <w:lang/>
        </w:rPr>
        <w:t>Perspectives on Psychological Science</w:t>
      </w:r>
      <w:r w:rsidRPr="004F289D">
        <w:rPr>
          <w:rFonts w:eastAsia="Aptos" w:cs="Times New Roman"/>
          <w:sz w:val="24"/>
          <w:szCs w:val="24"/>
          <w:lang/>
        </w:rPr>
        <w:t>, Vol. 9 No. 4, pp. 427–442.</w:t>
      </w:r>
    </w:p>
    <w:p w14:paraId="2A7E7EAF"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Segal, M., Doron, I. and Mor, S. (2021), “Consumer fraud: Older people’s perceptions and experiences”, </w:t>
      </w:r>
      <w:r w:rsidRPr="004F289D">
        <w:rPr>
          <w:rFonts w:eastAsia="Aptos" w:cs="Times New Roman"/>
          <w:i/>
          <w:iCs/>
          <w:sz w:val="24"/>
          <w:szCs w:val="24"/>
          <w:lang/>
        </w:rPr>
        <w:t>Journal of Aging &amp; Social Policy</w:t>
      </w:r>
      <w:r w:rsidRPr="004F289D">
        <w:rPr>
          <w:rFonts w:eastAsia="Aptos" w:cs="Times New Roman"/>
          <w:sz w:val="24"/>
          <w:szCs w:val="24"/>
          <w:lang/>
        </w:rPr>
        <w:t>, Vol. 33 No. 1, pp. 1–21.</w:t>
      </w:r>
    </w:p>
    <w:p w14:paraId="51CEC448"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Shafei, R. (2013), “Effect of customers’ emotions on perceived damage of the probability of fraud in online shopping”, </w:t>
      </w:r>
      <w:r w:rsidRPr="004F289D">
        <w:rPr>
          <w:rFonts w:eastAsia="Aptos" w:cs="Times New Roman"/>
          <w:i/>
          <w:iCs/>
          <w:sz w:val="24"/>
          <w:szCs w:val="24"/>
          <w:lang/>
        </w:rPr>
        <w:t>International Journal of Information Science and Management</w:t>
      </w:r>
      <w:r w:rsidRPr="004F289D">
        <w:rPr>
          <w:rFonts w:eastAsia="Aptos" w:cs="Times New Roman"/>
          <w:sz w:val="24"/>
          <w:szCs w:val="24"/>
          <w:lang/>
        </w:rPr>
        <w:t>, Special Issue (ECDC 2013), pp. 55–65.</w:t>
      </w:r>
    </w:p>
    <w:p w14:paraId="080A5BBE" w14:textId="0A37C32A" w:rsidR="00DB7BAE" w:rsidRPr="004F289D" w:rsidRDefault="00DB7BAE" w:rsidP="00BF573A">
      <w:pPr>
        <w:spacing w:line="278" w:lineRule="auto"/>
        <w:rPr>
          <w:rFonts w:eastAsia="Aptos" w:cs="Times New Roman"/>
          <w:sz w:val="24"/>
          <w:szCs w:val="24"/>
          <w:lang w:val="en-US"/>
        </w:rPr>
      </w:pPr>
      <w:r w:rsidRPr="004F289D">
        <w:rPr>
          <w:rFonts w:eastAsia="Aptos" w:cs="Times New Roman"/>
          <w:sz w:val="24"/>
          <w:szCs w:val="24"/>
          <w:lang w:val="en-US"/>
        </w:rPr>
        <w:t xml:space="preserve">Shandilya, S.K., </w:t>
      </w:r>
      <w:proofErr w:type="spellStart"/>
      <w:r w:rsidRPr="004F289D">
        <w:rPr>
          <w:rFonts w:eastAsia="Aptos" w:cs="Times New Roman"/>
          <w:sz w:val="24"/>
          <w:szCs w:val="24"/>
          <w:lang w:val="en-US"/>
        </w:rPr>
        <w:t>Datta</w:t>
      </w:r>
      <w:proofErr w:type="spellEnd"/>
      <w:r w:rsidRPr="004F289D">
        <w:rPr>
          <w:rFonts w:eastAsia="Aptos" w:cs="Times New Roman"/>
          <w:sz w:val="24"/>
          <w:szCs w:val="24"/>
          <w:lang w:val="en-US"/>
        </w:rPr>
        <w:t xml:space="preserve">, A., </w:t>
      </w:r>
      <w:proofErr w:type="spellStart"/>
      <w:r w:rsidRPr="004F289D">
        <w:rPr>
          <w:rFonts w:eastAsia="Aptos" w:cs="Times New Roman"/>
          <w:sz w:val="24"/>
          <w:szCs w:val="24"/>
          <w:lang w:val="en-US"/>
        </w:rPr>
        <w:t>Kartik</w:t>
      </w:r>
      <w:proofErr w:type="spellEnd"/>
      <w:r w:rsidRPr="004F289D">
        <w:rPr>
          <w:rFonts w:eastAsia="Aptos" w:cs="Times New Roman"/>
          <w:sz w:val="24"/>
          <w:szCs w:val="24"/>
          <w:lang w:val="en-US"/>
        </w:rPr>
        <w:t xml:space="preserve">, Y. and Nagar, A. (2024), </w:t>
      </w:r>
      <w:r w:rsidRPr="004F289D">
        <w:rPr>
          <w:rFonts w:eastAsia="Aptos" w:cs="Times New Roman"/>
          <w:i/>
          <w:iCs/>
          <w:sz w:val="24"/>
          <w:szCs w:val="24"/>
          <w:lang w:val="en-US"/>
        </w:rPr>
        <w:t>Digital Resilience: Navigating Disruption and Safeguarding Data Privacy</w:t>
      </w:r>
      <w:r w:rsidRPr="004F289D">
        <w:rPr>
          <w:rFonts w:eastAsia="Aptos" w:cs="Times New Roman"/>
          <w:sz w:val="24"/>
          <w:szCs w:val="24"/>
          <w:lang w:val="en-US"/>
        </w:rPr>
        <w:t>, Springer, Cham.</w:t>
      </w:r>
    </w:p>
    <w:p w14:paraId="044CEDA7" w14:textId="60A72A30"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Shim, S. and Lee, B. (2010), “An economic model of optimal fraud control and the aftermarket for security services in online marketplaces”, </w:t>
      </w:r>
      <w:r w:rsidRPr="004F289D">
        <w:rPr>
          <w:rFonts w:eastAsia="Aptos" w:cs="Times New Roman"/>
          <w:i/>
          <w:iCs/>
          <w:sz w:val="24"/>
          <w:szCs w:val="24"/>
          <w:lang/>
        </w:rPr>
        <w:t>Electronic Commerce Research and Applications</w:t>
      </w:r>
      <w:r w:rsidRPr="004F289D">
        <w:rPr>
          <w:rFonts w:eastAsia="Aptos" w:cs="Times New Roman"/>
          <w:sz w:val="24"/>
          <w:szCs w:val="24"/>
          <w:lang/>
        </w:rPr>
        <w:t>, Vol. 9 No. 5, pp. 435–445.</w:t>
      </w:r>
    </w:p>
    <w:p w14:paraId="1645DDF0"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Shree, S., Pratap, B., Saroy, R. and Dhal, S. (2021), “Digital payments and consumer experience in India: a survey based empirical study”, </w:t>
      </w:r>
      <w:r w:rsidRPr="004F289D">
        <w:rPr>
          <w:rFonts w:eastAsia="Aptos" w:cs="Times New Roman"/>
          <w:i/>
          <w:iCs/>
          <w:sz w:val="24"/>
          <w:szCs w:val="24"/>
          <w:lang/>
        </w:rPr>
        <w:t>Journal of Banking and Financial Technology</w:t>
      </w:r>
      <w:r w:rsidRPr="004F289D">
        <w:rPr>
          <w:rFonts w:eastAsia="Aptos" w:cs="Times New Roman"/>
          <w:sz w:val="24"/>
          <w:szCs w:val="24"/>
          <w:lang/>
        </w:rPr>
        <w:t>, Vol. 5, pp. 1–20.</w:t>
      </w:r>
    </w:p>
    <w:p w14:paraId="115FF17E"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lastRenderedPageBreak/>
        <w:t xml:space="preserve">Song, G., Liang, J., Wu, L., Liu, L. and Zhang, C. (2025), “The impact of residents’ daily internet activities on the spatial distribution of online fraud: An analysis based on mobile phone application usage”, </w:t>
      </w:r>
      <w:r w:rsidRPr="004F289D">
        <w:rPr>
          <w:rFonts w:eastAsia="Aptos" w:cs="Times New Roman"/>
          <w:i/>
          <w:iCs/>
          <w:sz w:val="24"/>
          <w:szCs w:val="24"/>
          <w:lang/>
        </w:rPr>
        <w:t>ISPRS International Journal of Geo-Information</w:t>
      </w:r>
      <w:r w:rsidRPr="004F289D">
        <w:rPr>
          <w:rFonts w:eastAsia="Aptos" w:cs="Times New Roman"/>
          <w:sz w:val="24"/>
          <w:szCs w:val="24"/>
          <w:lang/>
        </w:rPr>
        <w:t>, Vol. 14, Article No. 151.</w:t>
      </w:r>
    </w:p>
    <w:p w14:paraId="28C0362F"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Sri Lestari, Adawiyah, W.R., Alhamidi, A.L., Prayogi, J. and Haryanto, R. (2024), “Navigating perilous seas: unmasking online banking frauds, perceived usefulness, fear of cybercrime and distrust in online banking”, </w:t>
      </w:r>
      <w:r w:rsidRPr="004F289D">
        <w:rPr>
          <w:rFonts w:eastAsia="Aptos" w:cs="Times New Roman"/>
          <w:i/>
          <w:iCs/>
          <w:sz w:val="24"/>
          <w:szCs w:val="24"/>
          <w:lang/>
        </w:rPr>
        <w:t>Safer Communities</w:t>
      </w:r>
      <w:r w:rsidRPr="004F289D">
        <w:rPr>
          <w:rFonts w:eastAsia="Aptos" w:cs="Times New Roman"/>
          <w:sz w:val="24"/>
          <w:szCs w:val="24"/>
          <w:lang/>
        </w:rPr>
        <w:t>, Vol. 23 No. 4, pp. 444–464.</w:t>
      </w:r>
    </w:p>
    <w:p w14:paraId="70EB6085"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Suzuki, A. (2024), “Routine activities and consumer fraud victimization: findings from a social survey in Chiba Prefecture, Japan”, </w:t>
      </w:r>
      <w:r w:rsidRPr="004F289D">
        <w:rPr>
          <w:rFonts w:eastAsia="Aptos" w:cs="Times New Roman"/>
          <w:i/>
          <w:iCs/>
          <w:sz w:val="24"/>
          <w:szCs w:val="24"/>
          <w:lang/>
        </w:rPr>
        <w:t>Crime Prevention and Community Safety</w:t>
      </w:r>
      <w:r w:rsidRPr="004F289D">
        <w:rPr>
          <w:rFonts w:eastAsia="Aptos" w:cs="Times New Roman"/>
          <w:sz w:val="24"/>
          <w:szCs w:val="24"/>
          <w:lang/>
        </w:rPr>
        <w:t>, Vol. 26, pp. 373–384.</w:t>
      </w:r>
    </w:p>
    <w:p w14:paraId="10E2B80B" w14:textId="77777777" w:rsidR="00BF573A" w:rsidRPr="004F289D" w:rsidRDefault="00BF573A" w:rsidP="00BF573A">
      <w:pPr>
        <w:spacing w:line="278" w:lineRule="auto"/>
        <w:rPr>
          <w:rFonts w:eastAsia="Aptos" w:cs="Times New Roman"/>
          <w:sz w:val="24"/>
          <w:szCs w:val="24"/>
          <w:lang/>
        </w:rPr>
      </w:pPr>
      <w:r w:rsidRPr="004F289D">
        <w:rPr>
          <w:rFonts w:eastAsia="Aptos" w:cs="Times New Roman"/>
          <w:sz w:val="24"/>
          <w:szCs w:val="24"/>
          <w:lang/>
        </w:rPr>
        <w:t xml:space="preserve">van de Weijer, S.G.A., Leukfeldt, R. and Bernasco, W. (2019), “Determinants of reporting cybercrime: A comparison between identity theft, consumer fraud, and hacking”, </w:t>
      </w:r>
      <w:r w:rsidRPr="004F289D">
        <w:rPr>
          <w:rFonts w:eastAsia="Aptos" w:cs="Times New Roman"/>
          <w:i/>
          <w:iCs/>
          <w:sz w:val="24"/>
          <w:szCs w:val="24"/>
          <w:lang/>
        </w:rPr>
        <w:t>European Journal of Criminology</w:t>
      </w:r>
      <w:r w:rsidRPr="004F289D">
        <w:rPr>
          <w:rFonts w:eastAsia="Aptos" w:cs="Times New Roman"/>
          <w:sz w:val="24"/>
          <w:szCs w:val="24"/>
          <w:lang/>
        </w:rPr>
        <w:t>, Vol. 16 No. 4, pp. 486–508.</w:t>
      </w:r>
    </w:p>
    <w:p w14:paraId="2941F05E" w14:textId="536C9FC1" w:rsidR="00A204E1" w:rsidRPr="004F289D" w:rsidRDefault="00BF573A" w:rsidP="008707B9">
      <w:pPr>
        <w:spacing w:line="278" w:lineRule="auto"/>
        <w:rPr>
          <w:rFonts w:eastAsia="Aptos" w:cs="Times New Roman"/>
          <w:sz w:val="24"/>
          <w:szCs w:val="24"/>
          <w:lang/>
        </w:rPr>
      </w:pPr>
      <w:r w:rsidRPr="004F289D">
        <w:rPr>
          <w:rFonts w:eastAsia="Aptos" w:cs="Times New Roman"/>
          <w:sz w:val="24"/>
          <w:szCs w:val="24"/>
          <w:lang/>
        </w:rPr>
        <w:t xml:space="preserve">Wang, Q., Zhang, J., Chen, X. and Li, Q. (2025), “The interplay of motivations and emotions in consumer engagement: Exploring eWOM communication amidst online review fraud”, </w:t>
      </w:r>
      <w:r w:rsidRPr="004F289D">
        <w:rPr>
          <w:rFonts w:eastAsia="Aptos" w:cs="Times New Roman"/>
          <w:i/>
          <w:iCs/>
          <w:sz w:val="24"/>
          <w:szCs w:val="24"/>
          <w:lang/>
        </w:rPr>
        <w:t>Current Psychology</w:t>
      </w:r>
      <w:r w:rsidRPr="004F289D">
        <w:rPr>
          <w:rFonts w:eastAsia="Aptos" w:cs="Times New Roman"/>
          <w:sz w:val="24"/>
          <w:szCs w:val="24"/>
          <w:lang/>
        </w:rPr>
        <w:t>, Vol. 44, pp. 19270–19286.</w:t>
      </w:r>
    </w:p>
    <w:p w14:paraId="50A93DC9" w14:textId="77777777" w:rsidR="007D72B8" w:rsidRPr="004F289D" w:rsidRDefault="007D72B8" w:rsidP="007B3AE7">
      <w:pPr>
        <w:spacing w:line="278" w:lineRule="auto"/>
        <w:rPr>
          <w:rFonts w:eastAsia="Aptos" w:cs="Times New Roman"/>
          <w:sz w:val="24"/>
          <w:szCs w:val="24"/>
          <w:lang w:val="en-US"/>
        </w:rPr>
      </w:pPr>
      <w:proofErr w:type="spellStart"/>
      <w:r w:rsidRPr="004F289D">
        <w:rPr>
          <w:rFonts w:eastAsia="Aptos" w:cs="Times New Roman"/>
          <w:sz w:val="24"/>
          <w:szCs w:val="24"/>
          <w:lang w:val="en-US"/>
        </w:rPr>
        <w:t>Whitty</w:t>
      </w:r>
      <w:proofErr w:type="spellEnd"/>
      <w:r w:rsidRPr="004F289D">
        <w:rPr>
          <w:rFonts w:eastAsia="Aptos" w:cs="Times New Roman"/>
          <w:sz w:val="24"/>
          <w:szCs w:val="24"/>
          <w:lang w:val="en-US"/>
        </w:rPr>
        <w:t xml:space="preserve">, M.T. (2019), “Predicting susceptibility to cyber-fraud victimhood”, </w:t>
      </w:r>
      <w:r w:rsidRPr="004F289D">
        <w:rPr>
          <w:rFonts w:eastAsia="Aptos" w:cs="Times New Roman"/>
          <w:i/>
          <w:iCs/>
          <w:sz w:val="24"/>
          <w:szCs w:val="24"/>
          <w:lang w:val="en-US"/>
        </w:rPr>
        <w:t>Journal of Financial Crime</w:t>
      </w:r>
      <w:r w:rsidRPr="004F289D">
        <w:rPr>
          <w:rFonts w:eastAsia="Aptos" w:cs="Times New Roman"/>
          <w:sz w:val="24"/>
          <w:szCs w:val="24"/>
          <w:lang w:val="en-US"/>
        </w:rPr>
        <w:t>, Vol. 26 No. 1, pp. 277–292.</w:t>
      </w:r>
    </w:p>
    <w:p w14:paraId="36F297A6" w14:textId="4DD9ED97" w:rsidR="007B3AE7" w:rsidRPr="004F289D" w:rsidRDefault="007D72B8" w:rsidP="008707B9">
      <w:pPr>
        <w:spacing w:line="278" w:lineRule="auto"/>
        <w:rPr>
          <w:sz w:val="24"/>
          <w:szCs w:val="24"/>
          <w:lang w:val="en-US"/>
        </w:rPr>
      </w:pPr>
      <w:r w:rsidRPr="004F289D">
        <w:rPr>
          <w:sz w:val="24"/>
          <w:szCs w:val="24"/>
          <w:lang w:val="en-US"/>
        </w:rPr>
        <w:t xml:space="preserve">Yan, G., Wang, S., Wang, F., </w:t>
      </w:r>
      <w:proofErr w:type="spellStart"/>
      <w:r w:rsidRPr="004F289D">
        <w:rPr>
          <w:sz w:val="24"/>
          <w:szCs w:val="24"/>
          <w:lang w:val="en-US"/>
        </w:rPr>
        <w:t>Yeoh</w:t>
      </w:r>
      <w:proofErr w:type="spellEnd"/>
      <w:r w:rsidRPr="004F289D">
        <w:rPr>
          <w:sz w:val="24"/>
          <w:szCs w:val="24"/>
          <w:lang w:val="en-US"/>
        </w:rPr>
        <w:t xml:space="preserve">, W. and Wang, B. (2026), “Examining digital platform resilience: A social–ecological systems approach”, </w:t>
      </w:r>
      <w:r w:rsidRPr="004F289D">
        <w:rPr>
          <w:i/>
          <w:iCs/>
          <w:sz w:val="24"/>
          <w:szCs w:val="24"/>
          <w:lang w:val="en-US"/>
        </w:rPr>
        <w:t>Internet Research</w:t>
      </w:r>
      <w:r w:rsidRPr="004F289D">
        <w:rPr>
          <w:sz w:val="24"/>
          <w:szCs w:val="24"/>
          <w:lang w:val="en-US"/>
        </w:rPr>
        <w:t>, Vol. 36 No. 7, pp. 1–23.</w:t>
      </w:r>
    </w:p>
    <w:p w14:paraId="02454D14" w14:textId="127BA855" w:rsidR="009A75C7" w:rsidRPr="004F289D" w:rsidRDefault="009A75C7">
      <w:pPr>
        <w:rPr>
          <w:lang w:val="en-US"/>
        </w:rPr>
      </w:pPr>
      <w:r w:rsidRPr="004F289D">
        <w:rPr>
          <w:lang w:val="en-US"/>
        </w:rPr>
        <w:br w:type="page"/>
      </w:r>
    </w:p>
    <w:p w14:paraId="1A94D9EB" w14:textId="789FE165" w:rsidR="00707254" w:rsidRPr="004F289D" w:rsidRDefault="00707254" w:rsidP="00707254">
      <w:pPr>
        <w:spacing w:line="360" w:lineRule="auto"/>
        <w:rPr>
          <w:b/>
          <w:bCs/>
          <w:sz w:val="24"/>
          <w:szCs w:val="24"/>
          <w:lang w:val="en-US"/>
        </w:rPr>
      </w:pPr>
      <w:r w:rsidRPr="004F289D">
        <w:rPr>
          <w:b/>
          <w:bCs/>
          <w:lang w:val="en-US"/>
        </w:rPr>
        <w:lastRenderedPageBreak/>
        <w:t xml:space="preserve">Table A3. </w:t>
      </w:r>
      <w:r w:rsidR="00DD5A37" w:rsidRPr="004F289D">
        <w:rPr>
          <w:b/>
          <w:bCs/>
          <w:lang w:val="en-US"/>
        </w:rPr>
        <w:t>Key knowledge indicated by key institutions that discussed market fraud</w:t>
      </w:r>
    </w:p>
    <w:tbl>
      <w:tblPr>
        <w:tblStyle w:val="TableGrid"/>
        <w:tblW w:w="5681" w:type="pct"/>
        <w:tblInd w:w="-1139" w:type="dxa"/>
        <w:tblBorders>
          <w:left w:val="none" w:sz="0" w:space="0" w:color="auto"/>
          <w:right w:val="none" w:sz="0" w:space="0" w:color="auto"/>
          <w:insideV w:val="none" w:sz="0" w:space="0" w:color="auto"/>
        </w:tblBorders>
        <w:tblLook w:val="04A0" w:firstRow="1" w:lastRow="0" w:firstColumn="1" w:lastColumn="0" w:noHBand="0" w:noVBand="1"/>
      </w:tblPr>
      <w:tblGrid>
        <w:gridCol w:w="2981"/>
        <w:gridCol w:w="3263"/>
        <w:gridCol w:w="3549"/>
      </w:tblGrid>
      <w:tr w:rsidR="004F289D" w:rsidRPr="004F289D" w14:paraId="3FBD6ABA" w14:textId="77777777" w:rsidTr="00C8521F">
        <w:tc>
          <w:tcPr>
            <w:tcW w:w="1522" w:type="pct"/>
          </w:tcPr>
          <w:p w14:paraId="5B78C311" w14:textId="77777777" w:rsidR="00707254" w:rsidRPr="004F289D" w:rsidRDefault="00707254" w:rsidP="00F075FC">
            <w:pPr>
              <w:jc w:val="center"/>
              <w:rPr>
                <w:b/>
                <w:bCs/>
                <w:lang w:val="en-US"/>
              </w:rPr>
            </w:pPr>
            <w:r w:rsidRPr="004F289D">
              <w:rPr>
                <w:b/>
                <w:bCs/>
                <w:lang w:val="en-US"/>
              </w:rPr>
              <w:t>Source</w:t>
            </w:r>
          </w:p>
          <w:p w14:paraId="42E053F1" w14:textId="77777777" w:rsidR="00707254" w:rsidRPr="004F289D" w:rsidRDefault="00707254" w:rsidP="00F075FC">
            <w:pPr>
              <w:jc w:val="center"/>
              <w:rPr>
                <w:b/>
                <w:bCs/>
                <w:lang w:val="en-US"/>
              </w:rPr>
            </w:pPr>
          </w:p>
        </w:tc>
        <w:tc>
          <w:tcPr>
            <w:tcW w:w="1666" w:type="pct"/>
          </w:tcPr>
          <w:p w14:paraId="33012C8D" w14:textId="77777777" w:rsidR="00707254" w:rsidRPr="004F289D" w:rsidRDefault="00707254" w:rsidP="00F075FC">
            <w:pPr>
              <w:jc w:val="center"/>
              <w:rPr>
                <w:b/>
                <w:bCs/>
                <w:lang w:val="en-US"/>
              </w:rPr>
            </w:pPr>
            <w:r w:rsidRPr="004F289D">
              <w:rPr>
                <w:b/>
                <w:bCs/>
                <w:lang w:val="en-US"/>
              </w:rPr>
              <w:t>Findings</w:t>
            </w:r>
          </w:p>
        </w:tc>
        <w:tc>
          <w:tcPr>
            <w:tcW w:w="1812" w:type="pct"/>
          </w:tcPr>
          <w:p w14:paraId="4F16FB8F" w14:textId="77777777" w:rsidR="00707254" w:rsidRPr="004F289D" w:rsidRDefault="00707254" w:rsidP="00F075FC">
            <w:pPr>
              <w:jc w:val="center"/>
              <w:rPr>
                <w:b/>
                <w:bCs/>
                <w:lang w:val="en-US"/>
              </w:rPr>
            </w:pPr>
            <w:r w:rsidRPr="004F289D">
              <w:rPr>
                <w:b/>
                <w:bCs/>
                <w:lang w:val="en-US"/>
              </w:rPr>
              <w:t>Type of knowledge needed</w:t>
            </w:r>
          </w:p>
        </w:tc>
      </w:tr>
      <w:tr w:rsidR="004F289D" w:rsidRPr="004F289D" w14:paraId="1993D190" w14:textId="77777777" w:rsidTr="00C8521F">
        <w:tc>
          <w:tcPr>
            <w:tcW w:w="1522" w:type="pct"/>
          </w:tcPr>
          <w:p w14:paraId="60B429E0" w14:textId="77777777" w:rsidR="00707254" w:rsidRPr="004F289D" w:rsidRDefault="00707254" w:rsidP="00F075FC">
            <w:pPr>
              <w:rPr>
                <w:lang w:val="en-US"/>
              </w:rPr>
            </w:pPr>
            <w:r w:rsidRPr="004F289D">
              <w:rPr>
                <w:lang w:val="en-US"/>
              </w:rPr>
              <w:t>European Commission (2020)</w:t>
            </w:r>
          </w:p>
          <w:p w14:paraId="7AB75B13" w14:textId="77777777" w:rsidR="00707254" w:rsidRPr="004F289D" w:rsidRDefault="00707254" w:rsidP="00F075FC">
            <w:pPr>
              <w:rPr>
                <w:lang w:val="en-US"/>
              </w:rPr>
            </w:pPr>
          </w:p>
          <w:p w14:paraId="672DECE6" w14:textId="77777777" w:rsidR="00707254" w:rsidRPr="004F289D" w:rsidRDefault="00707254" w:rsidP="00F075FC">
            <w:pPr>
              <w:rPr>
                <w:lang w:val="en-US"/>
              </w:rPr>
            </w:pPr>
          </w:p>
        </w:tc>
        <w:tc>
          <w:tcPr>
            <w:tcW w:w="1666" w:type="pct"/>
          </w:tcPr>
          <w:p w14:paraId="67E61D47" w14:textId="0FF517DB" w:rsidR="00707254" w:rsidRPr="004F289D" w:rsidRDefault="00707254" w:rsidP="00F075FC">
            <w:pPr>
              <w:rPr>
                <w:lang w:val="en-US"/>
              </w:rPr>
            </w:pPr>
            <w:r w:rsidRPr="004F289D">
              <w:rPr>
                <w:lang w:val="en-US"/>
              </w:rPr>
              <w:t>One of the most common types of fraud aims for the victim to pay for illegitimate products/invoices</w:t>
            </w:r>
            <w:r w:rsidR="002E3C2B" w:rsidRPr="004F289D">
              <w:rPr>
                <w:lang w:val="en-US"/>
              </w:rPr>
              <w:t xml:space="preserve"> to fake companies</w:t>
            </w:r>
          </w:p>
          <w:p w14:paraId="01FE11F3" w14:textId="77777777" w:rsidR="00707254" w:rsidRPr="004F289D" w:rsidRDefault="00707254" w:rsidP="00F075FC">
            <w:pPr>
              <w:rPr>
                <w:lang w:val="en-US"/>
              </w:rPr>
            </w:pPr>
            <w:r w:rsidRPr="004F289D">
              <w:rPr>
                <w:lang w:val="en-US"/>
              </w:rPr>
              <w:t xml:space="preserve"> </w:t>
            </w:r>
          </w:p>
        </w:tc>
        <w:tc>
          <w:tcPr>
            <w:tcW w:w="1812" w:type="pct"/>
          </w:tcPr>
          <w:p w14:paraId="0B035300" w14:textId="77777777" w:rsidR="00707254" w:rsidRPr="004F289D" w:rsidRDefault="00707254" w:rsidP="00F075FC">
            <w:pPr>
              <w:rPr>
                <w:lang w:val="en-US"/>
              </w:rPr>
            </w:pPr>
            <w:r w:rsidRPr="004F289D">
              <w:rPr>
                <w:lang w:val="en-US"/>
              </w:rPr>
              <w:t>Knowledge about the legitimacy of companies (and their practices) when these ask for payment</w:t>
            </w:r>
          </w:p>
        </w:tc>
      </w:tr>
      <w:tr w:rsidR="004F289D" w:rsidRPr="004F289D" w14:paraId="18469284" w14:textId="77777777" w:rsidTr="00C8521F">
        <w:tc>
          <w:tcPr>
            <w:tcW w:w="1522" w:type="pct"/>
          </w:tcPr>
          <w:p w14:paraId="56DB5260" w14:textId="13358E5B" w:rsidR="00707254" w:rsidRPr="004F289D" w:rsidRDefault="00707254" w:rsidP="00F075FC">
            <w:pPr>
              <w:rPr>
                <w:lang w:val="en-US"/>
              </w:rPr>
            </w:pPr>
            <w:r w:rsidRPr="004F289D">
              <w:rPr>
                <w:lang w:val="en-US"/>
              </w:rPr>
              <w:t>FTC (Federal Trade Commission, US</w:t>
            </w:r>
            <w:r w:rsidR="006D57E1" w:rsidRPr="004F289D">
              <w:rPr>
                <w:lang w:val="en-US"/>
              </w:rPr>
              <w:t>A</w:t>
            </w:r>
            <w:r w:rsidRPr="004F289D">
              <w:rPr>
                <w:lang w:val="en-US"/>
              </w:rPr>
              <w:t>) (2024)</w:t>
            </w:r>
          </w:p>
          <w:p w14:paraId="36F40BFF" w14:textId="77777777" w:rsidR="00707254" w:rsidRPr="004F289D" w:rsidRDefault="00707254" w:rsidP="00F075FC">
            <w:pPr>
              <w:rPr>
                <w:lang w:val="en-US"/>
              </w:rPr>
            </w:pPr>
          </w:p>
          <w:p w14:paraId="4B7D12FF" w14:textId="7A435028" w:rsidR="00707254" w:rsidRPr="004F289D" w:rsidRDefault="00707254" w:rsidP="00F075FC">
            <w:pPr>
              <w:rPr>
                <w:lang w:val="en-US"/>
              </w:rPr>
            </w:pPr>
            <w:r w:rsidRPr="004F289D">
              <w:rPr>
                <w:lang w:val="en-US"/>
              </w:rPr>
              <w:t>ICO (Information Commissioner</w:t>
            </w:r>
            <w:r w:rsidR="00ED496C" w:rsidRPr="004F289D">
              <w:rPr>
                <w:lang w:val="en-US"/>
              </w:rPr>
              <w:t>’s</w:t>
            </w:r>
            <w:r w:rsidRPr="004F289D">
              <w:rPr>
                <w:lang w:val="en-US"/>
              </w:rPr>
              <w:t xml:space="preserve"> Office; UK) (2024)</w:t>
            </w:r>
          </w:p>
        </w:tc>
        <w:tc>
          <w:tcPr>
            <w:tcW w:w="1666" w:type="pct"/>
          </w:tcPr>
          <w:p w14:paraId="184EA6EB" w14:textId="77777777" w:rsidR="00707254" w:rsidRPr="004F289D" w:rsidRDefault="00707254" w:rsidP="00F075FC">
            <w:pPr>
              <w:rPr>
                <w:lang w:val="en-US"/>
              </w:rPr>
            </w:pPr>
            <w:r w:rsidRPr="004F289D">
              <w:rPr>
                <w:lang w:val="en-US"/>
              </w:rPr>
              <w:t>One of the most common fraudulent practices aims to gather sensitive data</w:t>
            </w:r>
          </w:p>
        </w:tc>
        <w:tc>
          <w:tcPr>
            <w:tcW w:w="1812" w:type="pct"/>
          </w:tcPr>
          <w:p w14:paraId="1C663687" w14:textId="77777777" w:rsidR="00707254" w:rsidRPr="004F289D" w:rsidRDefault="00707254" w:rsidP="00F075FC">
            <w:pPr>
              <w:rPr>
                <w:lang w:val="en-US"/>
              </w:rPr>
            </w:pPr>
            <w:r w:rsidRPr="004F289D">
              <w:rPr>
                <w:lang w:val="en-US"/>
              </w:rPr>
              <w:t>Knowledge about identity theft</w:t>
            </w:r>
          </w:p>
        </w:tc>
      </w:tr>
      <w:tr w:rsidR="004F289D" w:rsidRPr="004F289D" w14:paraId="09AF2855" w14:textId="77777777" w:rsidTr="00C8521F">
        <w:tc>
          <w:tcPr>
            <w:tcW w:w="1522" w:type="pct"/>
          </w:tcPr>
          <w:p w14:paraId="666F91A4" w14:textId="77777777" w:rsidR="00707254" w:rsidRPr="004F289D" w:rsidRDefault="00707254" w:rsidP="00F075FC">
            <w:pPr>
              <w:rPr>
                <w:lang w:val="en-US"/>
              </w:rPr>
            </w:pPr>
            <w:r w:rsidRPr="004F289D">
              <w:rPr>
                <w:lang w:val="en-US"/>
              </w:rPr>
              <w:t>European Commission (2020)</w:t>
            </w:r>
          </w:p>
          <w:p w14:paraId="6133298D" w14:textId="77777777" w:rsidR="00707254" w:rsidRPr="004F289D" w:rsidRDefault="00707254" w:rsidP="00F075FC">
            <w:pPr>
              <w:rPr>
                <w:lang w:val="en-US"/>
              </w:rPr>
            </w:pPr>
          </w:p>
          <w:p w14:paraId="02CDF26C" w14:textId="08A2E6FE" w:rsidR="00707254" w:rsidRPr="004F289D" w:rsidRDefault="00707254" w:rsidP="00F075FC">
            <w:pPr>
              <w:rPr>
                <w:lang w:val="en-US"/>
              </w:rPr>
            </w:pPr>
            <w:r w:rsidRPr="004F289D">
              <w:rPr>
                <w:lang w:val="en-US"/>
              </w:rPr>
              <w:t>FTC (Federal Trade Commission, US</w:t>
            </w:r>
            <w:r w:rsidR="006D57E1" w:rsidRPr="004F289D">
              <w:rPr>
                <w:lang w:val="en-US"/>
              </w:rPr>
              <w:t>A</w:t>
            </w:r>
            <w:r w:rsidRPr="004F289D">
              <w:rPr>
                <w:lang w:val="en-US"/>
              </w:rPr>
              <w:t>) (2024)</w:t>
            </w:r>
          </w:p>
          <w:p w14:paraId="31D9D7CD" w14:textId="77777777" w:rsidR="00707254" w:rsidRPr="004F289D" w:rsidRDefault="00707254" w:rsidP="00F075FC">
            <w:pPr>
              <w:rPr>
                <w:lang w:val="en-US"/>
              </w:rPr>
            </w:pPr>
          </w:p>
        </w:tc>
        <w:tc>
          <w:tcPr>
            <w:tcW w:w="1666" w:type="pct"/>
          </w:tcPr>
          <w:p w14:paraId="0D38A0A8" w14:textId="77777777" w:rsidR="00707254" w:rsidRPr="004F289D" w:rsidRDefault="00707254" w:rsidP="00F075FC">
            <w:pPr>
              <w:rPr>
                <w:lang w:val="en-US"/>
              </w:rPr>
            </w:pPr>
            <w:r w:rsidRPr="004F289D">
              <w:rPr>
                <w:lang w:val="en-US"/>
              </w:rPr>
              <w:t>Some consumers lack awareness of how to report fraud</w:t>
            </w:r>
          </w:p>
          <w:p w14:paraId="5077F498" w14:textId="77777777" w:rsidR="00707254" w:rsidRPr="004F289D" w:rsidRDefault="00707254" w:rsidP="00F075FC">
            <w:pPr>
              <w:rPr>
                <w:lang w:val="en-US"/>
              </w:rPr>
            </w:pPr>
          </w:p>
        </w:tc>
        <w:tc>
          <w:tcPr>
            <w:tcW w:w="1812" w:type="pct"/>
          </w:tcPr>
          <w:p w14:paraId="24EF4177" w14:textId="77777777" w:rsidR="00707254" w:rsidRPr="004F289D" w:rsidRDefault="00707254" w:rsidP="00F075FC">
            <w:pPr>
              <w:rPr>
                <w:lang w:val="en-US"/>
              </w:rPr>
            </w:pPr>
            <w:r w:rsidRPr="004F289D">
              <w:rPr>
                <w:lang w:val="en-US"/>
              </w:rPr>
              <w:t>Knowledge about reporting fraud</w:t>
            </w:r>
          </w:p>
        </w:tc>
      </w:tr>
      <w:tr w:rsidR="004F289D" w:rsidRPr="004F289D" w14:paraId="3EE08EE6" w14:textId="77777777" w:rsidTr="00C8521F">
        <w:tc>
          <w:tcPr>
            <w:tcW w:w="1522" w:type="pct"/>
          </w:tcPr>
          <w:p w14:paraId="1FAAFDE7" w14:textId="77777777" w:rsidR="00707254" w:rsidRPr="004F289D" w:rsidRDefault="00707254" w:rsidP="00F075FC">
            <w:pPr>
              <w:rPr>
                <w:lang w:val="en-US"/>
              </w:rPr>
            </w:pPr>
            <w:r w:rsidRPr="004F289D">
              <w:rPr>
                <w:lang w:val="en-US"/>
              </w:rPr>
              <w:t>CFI (Corporate Finance Institute) (2024)</w:t>
            </w:r>
          </w:p>
          <w:p w14:paraId="7DDB4328" w14:textId="77777777" w:rsidR="00707254" w:rsidRPr="004F289D" w:rsidRDefault="00707254" w:rsidP="00F075FC">
            <w:pPr>
              <w:rPr>
                <w:lang w:val="en-US"/>
              </w:rPr>
            </w:pPr>
          </w:p>
          <w:p w14:paraId="5FAC573B" w14:textId="77777777" w:rsidR="00707254" w:rsidRPr="004F289D" w:rsidRDefault="00707254" w:rsidP="00F075FC">
            <w:pPr>
              <w:rPr>
                <w:lang w:val="en-US"/>
              </w:rPr>
            </w:pPr>
            <w:r w:rsidRPr="004F289D">
              <w:rPr>
                <w:lang w:val="en-US"/>
              </w:rPr>
              <w:t>CSA (Canadian Securities Administrators) (2024)</w:t>
            </w:r>
          </w:p>
          <w:p w14:paraId="719B5C74" w14:textId="77777777" w:rsidR="00707254" w:rsidRPr="004F289D" w:rsidRDefault="00707254" w:rsidP="00F075FC">
            <w:pPr>
              <w:rPr>
                <w:lang w:val="en-US"/>
              </w:rPr>
            </w:pPr>
          </w:p>
          <w:p w14:paraId="7036CF2A" w14:textId="77777777" w:rsidR="00707254" w:rsidRPr="004F289D" w:rsidRDefault="00707254" w:rsidP="00F075FC">
            <w:pPr>
              <w:rPr>
                <w:lang w:val="en-US"/>
              </w:rPr>
            </w:pPr>
            <w:r w:rsidRPr="004F289D">
              <w:rPr>
                <w:lang w:val="en-US"/>
              </w:rPr>
              <w:t>FINRA (Financial Industry Regulatory Authority, USA) (2024)</w:t>
            </w:r>
          </w:p>
          <w:p w14:paraId="01B6765F" w14:textId="77777777" w:rsidR="00707254" w:rsidRPr="004F289D" w:rsidRDefault="00707254" w:rsidP="00F075FC">
            <w:pPr>
              <w:rPr>
                <w:lang w:val="en-US"/>
              </w:rPr>
            </w:pPr>
          </w:p>
        </w:tc>
        <w:tc>
          <w:tcPr>
            <w:tcW w:w="1666" w:type="pct"/>
          </w:tcPr>
          <w:p w14:paraId="4FE7D495" w14:textId="17440EB0" w:rsidR="00707254" w:rsidRPr="004F289D" w:rsidRDefault="00707254" w:rsidP="00F075FC">
            <w:pPr>
              <w:rPr>
                <w:lang w:val="en-US"/>
              </w:rPr>
            </w:pPr>
            <w:r w:rsidRPr="004F289D">
              <w:rPr>
                <w:lang w:val="en-US"/>
              </w:rPr>
              <w:t>Most common fraudulent practices take place on-line. Being able to identify red</w:t>
            </w:r>
            <w:r w:rsidR="001D2A70" w:rsidRPr="004F289D">
              <w:rPr>
                <w:lang w:val="en-US"/>
              </w:rPr>
              <w:t xml:space="preserve"> </w:t>
            </w:r>
            <w:r w:rsidRPr="004F289D">
              <w:rPr>
                <w:lang w:val="en-US"/>
              </w:rPr>
              <w:t>flags online can be key to identify fraud</w:t>
            </w:r>
          </w:p>
        </w:tc>
        <w:tc>
          <w:tcPr>
            <w:tcW w:w="1812" w:type="pct"/>
          </w:tcPr>
          <w:p w14:paraId="0BD32935" w14:textId="351D3FC7" w:rsidR="00707254" w:rsidRPr="004F289D" w:rsidRDefault="00707254" w:rsidP="00F075FC">
            <w:pPr>
              <w:rPr>
                <w:lang w:val="en-US"/>
              </w:rPr>
            </w:pPr>
            <w:r w:rsidRPr="004F289D">
              <w:rPr>
                <w:lang w:val="en-US"/>
              </w:rPr>
              <w:t>Knowledge to identify “red</w:t>
            </w:r>
            <w:r w:rsidR="001D2A70" w:rsidRPr="004F289D">
              <w:rPr>
                <w:lang w:val="en-US"/>
              </w:rPr>
              <w:t xml:space="preserve"> </w:t>
            </w:r>
            <w:r w:rsidRPr="004F289D">
              <w:rPr>
                <w:lang w:val="en-US"/>
              </w:rPr>
              <w:t xml:space="preserve">flags” online and prevent </w:t>
            </w:r>
            <w:r w:rsidR="007A5EDD" w:rsidRPr="004F289D">
              <w:rPr>
                <w:lang w:val="en-US"/>
              </w:rPr>
              <w:t>being a</w:t>
            </w:r>
            <w:r w:rsidRPr="004F289D">
              <w:rPr>
                <w:lang w:val="en-US"/>
              </w:rPr>
              <w:t xml:space="preserve"> victim of scams </w:t>
            </w:r>
          </w:p>
        </w:tc>
      </w:tr>
      <w:tr w:rsidR="004F289D" w:rsidRPr="004F289D" w14:paraId="7A887989" w14:textId="77777777" w:rsidTr="00C8521F">
        <w:tc>
          <w:tcPr>
            <w:tcW w:w="1522" w:type="pct"/>
          </w:tcPr>
          <w:p w14:paraId="07731984" w14:textId="1BDBDDA5" w:rsidR="00EC3C41" w:rsidRPr="004F289D" w:rsidRDefault="00EC3C41" w:rsidP="00F075FC">
            <w:pPr>
              <w:rPr>
                <w:lang w:val="en-US"/>
              </w:rPr>
            </w:pPr>
            <w:r w:rsidRPr="004F289D">
              <w:rPr>
                <w:lang w:val="en-US"/>
              </w:rPr>
              <w:t>Action Fraud</w:t>
            </w:r>
            <w:r w:rsidR="00FA5788" w:rsidRPr="004F289D">
              <w:rPr>
                <w:lang w:val="en-US"/>
              </w:rPr>
              <w:t xml:space="preserve"> (2024)</w:t>
            </w:r>
          </w:p>
        </w:tc>
        <w:tc>
          <w:tcPr>
            <w:tcW w:w="1666" w:type="pct"/>
          </w:tcPr>
          <w:p w14:paraId="242E3130" w14:textId="77777777" w:rsidR="00EC3C41" w:rsidRPr="004F289D" w:rsidRDefault="00EC3C41" w:rsidP="00F075FC">
            <w:pPr>
              <w:rPr>
                <w:lang w:val="en-US"/>
              </w:rPr>
            </w:pPr>
            <w:r w:rsidRPr="004F289D">
              <w:rPr>
                <w:lang w:val="en-US"/>
              </w:rPr>
              <w:t>Consumers who use protection tools (e.g., antivirus) report lower levels of fraud victimization</w:t>
            </w:r>
          </w:p>
          <w:p w14:paraId="65A68EDA" w14:textId="6B233213" w:rsidR="00FA5788" w:rsidRPr="004F289D" w:rsidRDefault="00FA5788" w:rsidP="00F075FC">
            <w:pPr>
              <w:rPr>
                <w:lang w:val="en-US"/>
              </w:rPr>
            </w:pPr>
          </w:p>
        </w:tc>
        <w:tc>
          <w:tcPr>
            <w:tcW w:w="1812" w:type="pct"/>
          </w:tcPr>
          <w:p w14:paraId="41C34059" w14:textId="75E852CA" w:rsidR="00EC3C41" w:rsidRPr="004F289D" w:rsidRDefault="00EC3C41" w:rsidP="00F075FC">
            <w:pPr>
              <w:rPr>
                <w:lang w:val="en-US"/>
              </w:rPr>
            </w:pPr>
            <w:r w:rsidRPr="004F289D">
              <w:rPr>
                <w:lang w:val="en-US"/>
              </w:rPr>
              <w:t>Knowledge and use of protection tools to avoid scams</w:t>
            </w:r>
          </w:p>
        </w:tc>
      </w:tr>
      <w:tr w:rsidR="004F289D" w:rsidRPr="004F289D" w14:paraId="56800F13" w14:textId="77777777" w:rsidTr="00C8521F">
        <w:tc>
          <w:tcPr>
            <w:tcW w:w="1522" w:type="pct"/>
          </w:tcPr>
          <w:p w14:paraId="3D42D955" w14:textId="16F3EB5A" w:rsidR="00FA5788" w:rsidRPr="004F289D" w:rsidRDefault="00FA5788" w:rsidP="00FA5788">
            <w:pPr>
              <w:rPr>
                <w:lang w:val="en-US"/>
              </w:rPr>
            </w:pPr>
            <w:r w:rsidRPr="004F289D">
              <w:rPr>
                <w:lang w:val="en-US"/>
              </w:rPr>
              <w:t>Action Fraud (2024)</w:t>
            </w:r>
          </w:p>
          <w:p w14:paraId="462697BE" w14:textId="77777777" w:rsidR="00FA5788" w:rsidRPr="004F289D" w:rsidRDefault="00FA5788" w:rsidP="00FA5788"/>
          <w:p w14:paraId="489854A4" w14:textId="77777777" w:rsidR="00FA5788" w:rsidRPr="004F289D" w:rsidRDefault="00FA5788" w:rsidP="00FA5788">
            <w:r w:rsidRPr="004F289D">
              <w:rPr>
                <w:lang w:val="en-US"/>
              </w:rPr>
              <w:t>European Commission (2020)</w:t>
            </w:r>
          </w:p>
          <w:p w14:paraId="73E714EC" w14:textId="77777777" w:rsidR="00EC3C41" w:rsidRPr="004F289D" w:rsidRDefault="00EC3C41" w:rsidP="00F075FC">
            <w:pPr>
              <w:rPr>
                <w:lang w:val="en-US"/>
              </w:rPr>
            </w:pPr>
          </w:p>
        </w:tc>
        <w:tc>
          <w:tcPr>
            <w:tcW w:w="1666" w:type="pct"/>
          </w:tcPr>
          <w:p w14:paraId="031A85EB" w14:textId="7D4D9080" w:rsidR="00EC3C41" w:rsidRPr="004F289D" w:rsidRDefault="00EC3C41" w:rsidP="00F075FC">
            <w:pPr>
              <w:rPr>
                <w:lang w:val="en-US"/>
              </w:rPr>
            </w:pPr>
            <w:r w:rsidRPr="004F289D">
              <w:rPr>
                <w:lang w:val="en-US"/>
              </w:rPr>
              <w:t xml:space="preserve">To avoid scams and/or undesired purchases online, consumers should read terms and conditions </w:t>
            </w:r>
            <w:r w:rsidR="00FA5788" w:rsidRPr="004F289D">
              <w:rPr>
                <w:lang w:val="en-US"/>
              </w:rPr>
              <w:t>carefully</w:t>
            </w:r>
          </w:p>
        </w:tc>
        <w:tc>
          <w:tcPr>
            <w:tcW w:w="1812" w:type="pct"/>
          </w:tcPr>
          <w:p w14:paraId="2B90364E" w14:textId="6AFBB8C0" w:rsidR="00EC3C41" w:rsidRPr="004F289D" w:rsidRDefault="00EC3C41" w:rsidP="00F075FC">
            <w:pPr>
              <w:rPr>
                <w:lang w:val="en-US"/>
              </w:rPr>
            </w:pPr>
            <w:r w:rsidRPr="004F289D">
              <w:rPr>
                <w:lang w:val="en-US"/>
              </w:rPr>
              <w:t>Awareness and behavior related to terms and conditions when buying online</w:t>
            </w:r>
          </w:p>
        </w:tc>
      </w:tr>
    </w:tbl>
    <w:p w14:paraId="1F999A18" w14:textId="77777777" w:rsidR="00F34CE2" w:rsidRPr="004F289D" w:rsidRDefault="00F34CE2" w:rsidP="00F34CE2">
      <w:pPr>
        <w:spacing w:line="256" w:lineRule="auto"/>
        <w:rPr>
          <w:rFonts w:eastAsia="ScalaOT" w:cs="Times New Roman"/>
          <w:lang w:val="en-US"/>
        </w:rPr>
      </w:pPr>
      <w:r w:rsidRPr="004F289D">
        <w:rPr>
          <w:rFonts w:eastAsia="Aptos" w:cs="Times New Roman"/>
        </w:rPr>
        <w:t>Source: Author’s own work</w:t>
      </w:r>
    </w:p>
    <w:p w14:paraId="0D0C635A" w14:textId="77777777" w:rsidR="00707254" w:rsidRPr="004F289D" w:rsidRDefault="00707254" w:rsidP="00707254">
      <w:pPr>
        <w:spacing w:line="360" w:lineRule="auto"/>
        <w:rPr>
          <w:sz w:val="24"/>
          <w:szCs w:val="24"/>
          <w:lang w:val="en-US"/>
        </w:rPr>
      </w:pPr>
    </w:p>
    <w:p w14:paraId="4019F255" w14:textId="46FAE475" w:rsidR="00EC3C41" w:rsidRPr="004F289D" w:rsidRDefault="00EC3C41" w:rsidP="00EC3C41">
      <w:pPr>
        <w:spacing w:line="278" w:lineRule="auto"/>
        <w:rPr>
          <w:rFonts w:eastAsia="Aptos" w:cs="Times New Roman"/>
          <w:b/>
          <w:bCs/>
          <w:lang w:val="en-US"/>
        </w:rPr>
      </w:pPr>
      <w:r w:rsidRPr="004F289D">
        <w:rPr>
          <w:rFonts w:eastAsia="Aptos" w:cs="Times New Roman"/>
          <w:b/>
          <w:bCs/>
          <w:lang w:val="en-US"/>
        </w:rPr>
        <w:t>References (Table A3)</w:t>
      </w:r>
    </w:p>
    <w:p w14:paraId="408A2748" w14:textId="589C2919" w:rsidR="00447094" w:rsidRPr="004F289D" w:rsidRDefault="00447094" w:rsidP="00EC3C41">
      <w:pPr>
        <w:spacing w:line="360" w:lineRule="auto"/>
        <w:rPr>
          <w:lang w:val="en-US"/>
        </w:rPr>
      </w:pPr>
      <w:r w:rsidRPr="004F289D">
        <w:rPr>
          <w:lang w:val="en-US"/>
        </w:rPr>
        <w:t xml:space="preserve">Action Fraud (2024), “Protect yourself from remote access tool scams”, available at: https://www.actionfraud.police.uk/remoteaccess (accessed 26 </w:t>
      </w:r>
      <w:r w:rsidR="00253D5D" w:rsidRPr="004F289D">
        <w:rPr>
          <w:lang w:val="en-US"/>
        </w:rPr>
        <w:t xml:space="preserve">February </w:t>
      </w:r>
      <w:r w:rsidRPr="004F289D">
        <w:rPr>
          <w:lang w:val="en-US"/>
        </w:rPr>
        <w:t>2026).</w:t>
      </w:r>
    </w:p>
    <w:p w14:paraId="4BA65D9E" w14:textId="46ED79D2" w:rsidR="00BC6908" w:rsidRPr="004F289D" w:rsidRDefault="00BC6908" w:rsidP="00EC3C41">
      <w:pPr>
        <w:spacing w:line="360" w:lineRule="auto"/>
        <w:rPr>
          <w:lang w:val="en-US"/>
        </w:rPr>
      </w:pPr>
      <w:r w:rsidRPr="004F289D">
        <w:rPr>
          <w:lang w:val="en-US"/>
        </w:rPr>
        <w:t xml:space="preserve">CFI (2024), “Fraud red flags”, available at: https://corporatefinanceinstitute.com/resources/esg/fraud-red-flags/ (accessed 26 </w:t>
      </w:r>
      <w:r w:rsidR="00253D5D" w:rsidRPr="004F289D">
        <w:rPr>
          <w:lang w:val="en-US"/>
        </w:rPr>
        <w:t xml:space="preserve">February </w:t>
      </w:r>
      <w:r w:rsidRPr="004F289D">
        <w:rPr>
          <w:lang w:val="en-US"/>
        </w:rPr>
        <w:t>2026).</w:t>
      </w:r>
    </w:p>
    <w:p w14:paraId="0FF1885E" w14:textId="7ACA7FD4" w:rsidR="00BC6908" w:rsidRPr="004F289D" w:rsidRDefault="00BC6908" w:rsidP="00EC3C41">
      <w:pPr>
        <w:spacing w:line="360" w:lineRule="auto"/>
        <w:rPr>
          <w:lang w:val="en-US"/>
        </w:rPr>
      </w:pPr>
      <w:r w:rsidRPr="004F289D">
        <w:rPr>
          <w:lang w:val="en-US"/>
        </w:rPr>
        <w:lastRenderedPageBreak/>
        <w:t xml:space="preserve">CSA (2024), “Know the red flags of fraud”, available at: https://www.securities-administrators.ca/investor-tools/avoiding-fraud/know-the-red-flags-of-fraud/ (accessed 26 </w:t>
      </w:r>
      <w:r w:rsidR="00253D5D" w:rsidRPr="004F289D">
        <w:rPr>
          <w:lang w:val="en-US"/>
        </w:rPr>
        <w:t xml:space="preserve">February </w:t>
      </w:r>
      <w:r w:rsidRPr="004F289D">
        <w:rPr>
          <w:lang w:val="en-US"/>
        </w:rPr>
        <w:t>2026).</w:t>
      </w:r>
    </w:p>
    <w:p w14:paraId="605C0791" w14:textId="1EF26E28" w:rsidR="00EC3C41" w:rsidRPr="004F289D" w:rsidRDefault="00EC3C41" w:rsidP="00EC3C41">
      <w:pPr>
        <w:spacing w:line="360" w:lineRule="auto"/>
        <w:rPr>
          <w:lang w:val="en-US"/>
        </w:rPr>
      </w:pPr>
      <w:r w:rsidRPr="004F289D">
        <w:rPr>
          <w:lang w:val="en-US"/>
        </w:rPr>
        <w:t xml:space="preserve">European Commission (2020), "Survey on scams and fraud experienced by consumers", available at: </w:t>
      </w:r>
      <w:r w:rsidR="00FC1943" w:rsidRPr="004F289D">
        <w:rPr>
          <w:lang w:val="en-US"/>
        </w:rPr>
        <w:t xml:space="preserve">https://commission.europa.eu/system/files/2020-01/survey_on_scams_and_fraud_experienced_by_consumers_-_final_report.pdf </w:t>
      </w:r>
      <w:r w:rsidR="00253D5D" w:rsidRPr="004F289D">
        <w:rPr>
          <w:lang w:val="en-US"/>
        </w:rPr>
        <w:t>(accessed 26 February 2026)</w:t>
      </w:r>
    </w:p>
    <w:p w14:paraId="74E9B6CD" w14:textId="3693D6DE" w:rsidR="00BC6908" w:rsidRPr="004F289D" w:rsidRDefault="00BC6908" w:rsidP="00EC3C41">
      <w:pPr>
        <w:spacing w:line="360" w:lineRule="auto"/>
        <w:rPr>
          <w:lang w:val="en-US"/>
        </w:rPr>
      </w:pPr>
      <w:r w:rsidRPr="004F289D">
        <w:rPr>
          <w:lang w:val="en-US"/>
        </w:rPr>
        <w:t xml:space="preserve">FINRA (2024), “Red flags of fraud”, available at: https://www.finra.org/investors/protect-your-money/avoid-fraud/red-flags-fraud (accessed 26 </w:t>
      </w:r>
      <w:r w:rsidR="00253D5D" w:rsidRPr="004F289D">
        <w:rPr>
          <w:lang w:val="en-US"/>
        </w:rPr>
        <w:t xml:space="preserve">February </w:t>
      </w:r>
      <w:r w:rsidRPr="004F289D">
        <w:rPr>
          <w:lang w:val="en-US"/>
        </w:rPr>
        <w:t>2026).</w:t>
      </w:r>
    </w:p>
    <w:p w14:paraId="0F6298BC" w14:textId="77777777" w:rsidR="009F6562" w:rsidRPr="004F289D" w:rsidRDefault="009F6562" w:rsidP="00EC3C41">
      <w:pPr>
        <w:spacing w:line="360" w:lineRule="auto"/>
        <w:rPr>
          <w:lang w:val="en-US"/>
        </w:rPr>
      </w:pPr>
      <w:r w:rsidRPr="004F289D">
        <w:rPr>
          <w:lang w:val="en-US"/>
        </w:rPr>
        <w:t>FTC (2024), “What to know about identity theft”, available at: https://consumer.ftc.gov/articles/what-know-about-identity-theft (accessed 26 August 2026).</w:t>
      </w:r>
    </w:p>
    <w:p w14:paraId="0C001D1D" w14:textId="799C9927" w:rsidR="00EC3C41" w:rsidRPr="004F289D" w:rsidRDefault="009F6562" w:rsidP="00EC3C41">
      <w:pPr>
        <w:spacing w:line="278" w:lineRule="auto"/>
        <w:rPr>
          <w:rFonts w:eastAsia="Aptos" w:cs="Times New Roman"/>
          <w:b/>
          <w:bCs/>
          <w:lang w:val="en-US"/>
        </w:rPr>
      </w:pPr>
      <w:r w:rsidRPr="004F289D">
        <w:rPr>
          <w:lang w:val="en-US"/>
        </w:rPr>
        <w:t xml:space="preserve">ICO (2024), “Identity theft”, available at: https://ico.org.uk/for-the-public/identity-theft/ (accessed 26 </w:t>
      </w:r>
      <w:r w:rsidR="00253D5D" w:rsidRPr="004F289D">
        <w:rPr>
          <w:lang w:val="en-US"/>
        </w:rPr>
        <w:t xml:space="preserve">February </w:t>
      </w:r>
      <w:r w:rsidRPr="004F289D">
        <w:rPr>
          <w:lang w:val="en-US"/>
        </w:rPr>
        <w:t>2026).</w:t>
      </w:r>
    </w:p>
    <w:p w14:paraId="2F4C37BB" w14:textId="77777777" w:rsidR="00707254" w:rsidRPr="004F289D" w:rsidRDefault="00707254" w:rsidP="00707254">
      <w:pPr>
        <w:rPr>
          <w:lang w:val="en-US"/>
        </w:rPr>
      </w:pPr>
      <w:r w:rsidRPr="004F289D">
        <w:rPr>
          <w:lang w:val="en-US"/>
        </w:rPr>
        <w:br w:type="page"/>
      </w:r>
    </w:p>
    <w:p w14:paraId="5ADB6D40" w14:textId="79726051" w:rsidR="001F3D08" w:rsidRPr="004F289D" w:rsidRDefault="001F3D08" w:rsidP="001F3D08">
      <w:pPr>
        <w:rPr>
          <w:rFonts w:eastAsia="Aptos" w:cs="Times New Roman"/>
          <w:b/>
          <w:bCs/>
          <w:lang w:val="en-US"/>
        </w:rPr>
      </w:pPr>
      <w:r w:rsidRPr="004F289D">
        <w:rPr>
          <w:rFonts w:eastAsia="Aptos" w:cs="Times New Roman"/>
          <w:b/>
          <w:bCs/>
          <w:lang w:val="en-US"/>
        </w:rPr>
        <w:lastRenderedPageBreak/>
        <w:t>Table A</w:t>
      </w:r>
      <w:r w:rsidR="00FC73A9" w:rsidRPr="004F289D">
        <w:rPr>
          <w:rFonts w:eastAsia="Aptos" w:cs="Times New Roman"/>
          <w:b/>
          <w:bCs/>
          <w:lang w:val="en-US"/>
        </w:rPr>
        <w:t>4</w:t>
      </w:r>
      <w:r w:rsidRPr="004F289D">
        <w:rPr>
          <w:rFonts w:eastAsia="Aptos" w:cs="Times New Roman"/>
          <w:b/>
          <w:bCs/>
          <w:lang w:val="en-US"/>
        </w:rPr>
        <w:t xml:space="preserve">. </w:t>
      </w:r>
      <w:r w:rsidRPr="004F289D">
        <w:rPr>
          <w:rFonts w:eastAsia="Aptos" w:cs="Times New Roman"/>
          <w:lang w:val="en-US"/>
        </w:rPr>
        <w:t>Dimensions of perceived risk in online transactions</w:t>
      </w:r>
    </w:p>
    <w:tbl>
      <w:tblPr>
        <w:tblStyle w:val="TableGrid1"/>
        <w:tblW w:w="6174" w:type="pct"/>
        <w:tblInd w:w="-9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5"/>
        <w:gridCol w:w="3406"/>
        <w:gridCol w:w="5392"/>
      </w:tblGrid>
      <w:tr w:rsidR="004F289D" w:rsidRPr="004F289D" w14:paraId="7CBC49AD" w14:textId="77777777" w:rsidTr="004A5D5C">
        <w:tc>
          <w:tcPr>
            <w:tcW w:w="867" w:type="pct"/>
            <w:tcBorders>
              <w:top w:val="single" w:sz="4" w:space="0" w:color="auto"/>
              <w:bottom w:val="single" w:sz="4" w:space="0" w:color="auto"/>
            </w:tcBorders>
          </w:tcPr>
          <w:p w14:paraId="2C16EF1D" w14:textId="77777777" w:rsidR="001F3D08" w:rsidRPr="004F289D" w:rsidRDefault="001F3D08" w:rsidP="00BE5124">
            <w:pPr>
              <w:rPr>
                <w:rFonts w:eastAsia="Aptos" w:cs="Times New Roman"/>
                <w:sz w:val="22"/>
                <w:szCs w:val="22"/>
                <w:lang w:val="en-US"/>
              </w:rPr>
            </w:pPr>
            <w:r w:rsidRPr="004F289D">
              <w:rPr>
                <w:rFonts w:eastAsia="Aptos" w:cs="Times New Roman"/>
                <w:sz w:val="22"/>
                <w:szCs w:val="22"/>
                <w:lang w:val="en-US"/>
              </w:rPr>
              <w:t>Dimensions</w:t>
            </w:r>
          </w:p>
          <w:p w14:paraId="2EFB0585" w14:textId="77777777" w:rsidR="00DB132D" w:rsidRPr="004F289D" w:rsidRDefault="00DB132D" w:rsidP="00BE5124">
            <w:pPr>
              <w:rPr>
                <w:rFonts w:eastAsia="Aptos" w:cs="Times New Roman"/>
                <w:sz w:val="22"/>
                <w:szCs w:val="22"/>
                <w:lang w:val="en-US"/>
              </w:rPr>
            </w:pPr>
          </w:p>
        </w:tc>
        <w:tc>
          <w:tcPr>
            <w:tcW w:w="1600" w:type="pct"/>
            <w:tcBorders>
              <w:top w:val="single" w:sz="4" w:space="0" w:color="auto"/>
              <w:bottom w:val="single" w:sz="4" w:space="0" w:color="auto"/>
            </w:tcBorders>
          </w:tcPr>
          <w:p w14:paraId="6F0F8DEA" w14:textId="77777777" w:rsidR="001F3D08" w:rsidRPr="004F289D" w:rsidRDefault="001F3D08" w:rsidP="00BE5124">
            <w:pPr>
              <w:rPr>
                <w:rFonts w:eastAsia="Aptos" w:cs="Times New Roman"/>
                <w:sz w:val="22"/>
                <w:szCs w:val="22"/>
                <w:lang w:val="en-US"/>
              </w:rPr>
            </w:pPr>
            <w:r w:rsidRPr="004F289D">
              <w:rPr>
                <w:rFonts w:eastAsia="Aptos" w:cs="Times New Roman"/>
                <w:sz w:val="22"/>
                <w:szCs w:val="22"/>
                <w:lang w:val="en-US"/>
              </w:rPr>
              <w:t>Definitions</w:t>
            </w:r>
          </w:p>
        </w:tc>
        <w:tc>
          <w:tcPr>
            <w:tcW w:w="2533" w:type="pct"/>
            <w:tcBorders>
              <w:top w:val="single" w:sz="4" w:space="0" w:color="auto"/>
              <w:bottom w:val="single" w:sz="4" w:space="0" w:color="auto"/>
            </w:tcBorders>
          </w:tcPr>
          <w:p w14:paraId="42C4389A" w14:textId="47285228" w:rsidR="001F3D08" w:rsidRPr="004F289D" w:rsidRDefault="00EA4C0E" w:rsidP="00BE5124">
            <w:pPr>
              <w:rPr>
                <w:rFonts w:eastAsia="Aptos" w:cs="Times New Roman"/>
                <w:sz w:val="22"/>
                <w:szCs w:val="22"/>
                <w:lang w:val="en-US"/>
              </w:rPr>
            </w:pPr>
            <w:r w:rsidRPr="004F289D">
              <w:rPr>
                <w:rFonts w:eastAsia="Aptos" w:cs="Times New Roman"/>
                <w:sz w:val="22"/>
                <w:szCs w:val="22"/>
                <w:lang w:val="en-US"/>
              </w:rPr>
              <w:t>Studies</w:t>
            </w:r>
          </w:p>
        </w:tc>
      </w:tr>
      <w:tr w:rsidR="004F289D" w:rsidRPr="004F289D" w14:paraId="16A3073D" w14:textId="77777777" w:rsidTr="004A5D5C">
        <w:tc>
          <w:tcPr>
            <w:tcW w:w="867" w:type="pct"/>
            <w:tcBorders>
              <w:top w:val="single" w:sz="4" w:space="0" w:color="auto"/>
            </w:tcBorders>
          </w:tcPr>
          <w:p w14:paraId="5F84467F" w14:textId="78AD5F8E" w:rsidR="007C5D85" w:rsidRPr="004F289D" w:rsidRDefault="007C5D85" w:rsidP="007C5D85">
            <w:pPr>
              <w:rPr>
                <w:rFonts w:eastAsia="Aptos" w:cs="Times New Roman"/>
                <w:lang w:val="en-US"/>
              </w:rPr>
            </w:pPr>
            <w:r w:rsidRPr="004F289D">
              <w:rPr>
                <w:rFonts w:eastAsia="Aptos" w:cs="Times New Roman"/>
                <w:sz w:val="22"/>
                <w:szCs w:val="22"/>
                <w:lang w:val="en-US"/>
              </w:rPr>
              <w:t>Delivery risk</w:t>
            </w:r>
          </w:p>
        </w:tc>
        <w:tc>
          <w:tcPr>
            <w:tcW w:w="1600" w:type="pct"/>
            <w:tcBorders>
              <w:top w:val="single" w:sz="4" w:space="0" w:color="auto"/>
            </w:tcBorders>
          </w:tcPr>
          <w:p w14:paraId="70916C12" w14:textId="2E37BE34" w:rsidR="007C5D85" w:rsidRPr="004F289D" w:rsidRDefault="007C5D85" w:rsidP="007C5D85">
            <w:pPr>
              <w:rPr>
                <w:rFonts w:eastAsia="Aptos" w:cs="Times New Roman"/>
                <w:lang w:val="en-US"/>
              </w:rPr>
            </w:pPr>
            <w:r w:rsidRPr="004F289D">
              <w:rPr>
                <w:rFonts w:eastAsia="Aptos" w:cs="Times New Roman"/>
                <w:sz w:val="22"/>
                <w:szCs w:val="22"/>
              </w:rPr>
              <w:t>Risk of not receiving the product on time, long delivery time, or product being damaged during the delivery</w:t>
            </w:r>
          </w:p>
        </w:tc>
        <w:tc>
          <w:tcPr>
            <w:tcW w:w="2533" w:type="pct"/>
            <w:tcBorders>
              <w:top w:val="single" w:sz="4" w:space="0" w:color="auto"/>
            </w:tcBorders>
          </w:tcPr>
          <w:p w14:paraId="15EBEAFF" w14:textId="2B888EDC" w:rsidR="007C5D85" w:rsidRPr="004F289D" w:rsidRDefault="007C5D85" w:rsidP="007C5D85">
            <w:pPr>
              <w:rPr>
                <w:rFonts w:eastAsia="Aptos" w:cs="Times New Roman"/>
                <w:lang w:val="en-US"/>
              </w:rPr>
            </w:pPr>
            <w:r w:rsidRPr="004F289D">
              <w:rPr>
                <w:rFonts w:eastAsia="Aptos" w:cs="Times New Roman"/>
                <w:sz w:val="22"/>
                <w:szCs w:val="22"/>
              </w:rPr>
              <w:t>Phamthi et al. (2024); Yen (2010); Zheng et al. (2012)</w:t>
            </w:r>
          </w:p>
        </w:tc>
      </w:tr>
      <w:tr w:rsidR="004F289D" w:rsidRPr="004F289D" w14:paraId="568E9C5A" w14:textId="77777777" w:rsidTr="004A5D5C">
        <w:tc>
          <w:tcPr>
            <w:tcW w:w="867" w:type="pct"/>
          </w:tcPr>
          <w:p w14:paraId="42BFF919" w14:textId="0959DD8E" w:rsidR="007C5D85" w:rsidRPr="004F289D" w:rsidRDefault="007C5D85" w:rsidP="007C5D85">
            <w:pPr>
              <w:rPr>
                <w:rFonts w:eastAsia="Aptos" w:cs="Times New Roman"/>
                <w:lang w:val="en-US"/>
              </w:rPr>
            </w:pPr>
            <w:r w:rsidRPr="004F289D">
              <w:rPr>
                <w:rFonts w:eastAsia="Aptos" w:cs="Times New Roman"/>
                <w:sz w:val="22"/>
                <w:szCs w:val="22"/>
                <w:lang w:val="en-US"/>
              </w:rPr>
              <w:t>Financial risk</w:t>
            </w:r>
          </w:p>
        </w:tc>
        <w:tc>
          <w:tcPr>
            <w:tcW w:w="1600" w:type="pct"/>
          </w:tcPr>
          <w:p w14:paraId="59C41EEE" w14:textId="57955931" w:rsidR="007C5D85" w:rsidRPr="004F289D" w:rsidRDefault="007C5D85" w:rsidP="007C5D85">
            <w:pPr>
              <w:rPr>
                <w:rFonts w:eastAsia="Aptos" w:cs="Times New Roman"/>
              </w:rPr>
            </w:pPr>
            <w:r w:rsidRPr="004F289D">
              <w:rPr>
                <w:rFonts w:eastAsia="Aptos" w:cs="Times New Roman"/>
                <w:sz w:val="22"/>
                <w:szCs w:val="22"/>
                <w:lang w:val="en-US"/>
              </w:rPr>
              <w:t>Risk of monetary loss, unexpected costs, overcharges</w:t>
            </w:r>
          </w:p>
        </w:tc>
        <w:tc>
          <w:tcPr>
            <w:tcW w:w="2533" w:type="pct"/>
          </w:tcPr>
          <w:p w14:paraId="178B8704" w14:textId="19FB74AE" w:rsidR="007C5D85" w:rsidRPr="004F289D" w:rsidRDefault="007C5D85" w:rsidP="007C5D85">
            <w:pPr>
              <w:rPr>
                <w:rFonts w:eastAsia="Aptos" w:cs="Times New Roman"/>
                <w:sz w:val="22"/>
                <w:szCs w:val="22"/>
              </w:rPr>
            </w:pPr>
            <w:r w:rsidRPr="004F289D">
              <w:rPr>
                <w:rFonts w:eastAsia="Aptos" w:cs="Times New Roman"/>
                <w:sz w:val="22"/>
                <w:szCs w:val="22"/>
                <w:lang w:val="sv-SE"/>
              </w:rPr>
              <w:t>Chen et al. (2021); Ha and Pan (2018); Kamalul</w:t>
            </w:r>
            <w:r w:rsidR="00BC3F2C" w:rsidRPr="004F289D">
              <w:rPr>
                <w:rFonts w:eastAsia="Aptos" w:cs="Times New Roman"/>
                <w:sz w:val="22"/>
                <w:szCs w:val="22"/>
                <w:lang w:val="sv-SE"/>
              </w:rPr>
              <w:t xml:space="preserve"> </w:t>
            </w:r>
            <w:r w:rsidRPr="004F289D">
              <w:rPr>
                <w:rFonts w:eastAsia="Aptos" w:cs="Times New Roman"/>
                <w:sz w:val="22"/>
                <w:szCs w:val="22"/>
                <w:lang w:val="sv-SE"/>
              </w:rPr>
              <w:t xml:space="preserve">Ariffin et al. </w:t>
            </w:r>
            <w:r w:rsidRPr="004F289D">
              <w:rPr>
                <w:rFonts w:eastAsia="Aptos" w:cs="Times New Roman"/>
                <w:sz w:val="22"/>
                <w:szCs w:val="22"/>
                <w:lang w:val="es-ES"/>
              </w:rPr>
              <w:t xml:space="preserve">(2018); </w:t>
            </w:r>
            <w:proofErr w:type="spellStart"/>
            <w:r w:rsidRPr="004F289D">
              <w:rPr>
                <w:rFonts w:eastAsia="Aptos" w:cs="Times New Roman"/>
                <w:sz w:val="22"/>
                <w:szCs w:val="22"/>
                <w:lang w:val="es-ES"/>
              </w:rPr>
              <w:t>Phamthi</w:t>
            </w:r>
            <w:proofErr w:type="spellEnd"/>
            <w:r w:rsidRPr="004F289D">
              <w:rPr>
                <w:rFonts w:eastAsia="Aptos" w:cs="Times New Roman"/>
                <w:sz w:val="22"/>
                <w:szCs w:val="22"/>
                <w:lang w:val="es-ES"/>
              </w:rPr>
              <w:t xml:space="preserve"> et al. (2024); San Martín et al. (2011); </w:t>
            </w:r>
            <w:proofErr w:type="spellStart"/>
            <w:r w:rsidRPr="004F289D">
              <w:rPr>
                <w:rFonts w:eastAsia="Aptos" w:cs="Times New Roman"/>
                <w:sz w:val="22"/>
                <w:szCs w:val="22"/>
                <w:lang w:val="es-ES"/>
              </w:rPr>
              <w:t>Soltanpanah</w:t>
            </w:r>
            <w:proofErr w:type="spellEnd"/>
            <w:r w:rsidRPr="004F289D">
              <w:rPr>
                <w:rFonts w:eastAsia="Aptos" w:cs="Times New Roman"/>
                <w:sz w:val="22"/>
                <w:szCs w:val="22"/>
                <w:lang w:val="es-ES"/>
              </w:rPr>
              <w:t xml:space="preserve"> et al. (2012); </w:t>
            </w:r>
            <w:proofErr w:type="spellStart"/>
            <w:r w:rsidRPr="004F289D">
              <w:rPr>
                <w:rFonts w:eastAsia="Aptos" w:cs="Times New Roman"/>
                <w:sz w:val="22"/>
                <w:szCs w:val="22"/>
                <w:lang w:val="es-ES"/>
              </w:rPr>
              <w:t>Thakur</w:t>
            </w:r>
            <w:proofErr w:type="spellEnd"/>
            <w:r w:rsidRPr="004F289D">
              <w:rPr>
                <w:rFonts w:eastAsia="Aptos" w:cs="Times New Roman"/>
                <w:sz w:val="22"/>
                <w:szCs w:val="22"/>
                <w:lang w:val="es-ES"/>
              </w:rPr>
              <w:t xml:space="preserve"> and </w:t>
            </w:r>
            <w:proofErr w:type="spellStart"/>
            <w:r w:rsidRPr="004F289D">
              <w:rPr>
                <w:rFonts w:eastAsia="Aptos" w:cs="Times New Roman"/>
                <w:sz w:val="22"/>
                <w:szCs w:val="22"/>
                <w:lang w:val="es-ES"/>
              </w:rPr>
              <w:t>Srivastava</w:t>
            </w:r>
            <w:proofErr w:type="spellEnd"/>
            <w:r w:rsidRPr="004F289D">
              <w:rPr>
                <w:rFonts w:eastAsia="Aptos" w:cs="Times New Roman"/>
                <w:sz w:val="22"/>
                <w:szCs w:val="22"/>
                <w:lang w:val="es-ES"/>
              </w:rPr>
              <w:t xml:space="preserve"> (2014); Yang et al. (2015); </w:t>
            </w:r>
            <w:proofErr w:type="spellStart"/>
            <w:r w:rsidRPr="004F289D">
              <w:rPr>
                <w:rFonts w:eastAsia="Aptos" w:cs="Times New Roman"/>
                <w:sz w:val="22"/>
                <w:szCs w:val="22"/>
                <w:lang w:val="es-ES"/>
              </w:rPr>
              <w:t>Zheng</w:t>
            </w:r>
            <w:proofErr w:type="spellEnd"/>
            <w:r w:rsidRPr="004F289D">
              <w:rPr>
                <w:rFonts w:eastAsia="Aptos" w:cs="Times New Roman"/>
                <w:sz w:val="22"/>
                <w:szCs w:val="22"/>
                <w:lang w:val="es-ES"/>
              </w:rPr>
              <w:t xml:space="preserve"> et al. </w:t>
            </w:r>
            <w:r w:rsidRPr="004F289D">
              <w:rPr>
                <w:rFonts w:eastAsia="Aptos" w:cs="Times New Roman"/>
                <w:sz w:val="22"/>
                <w:szCs w:val="22"/>
              </w:rPr>
              <w:t>(2012)</w:t>
            </w:r>
          </w:p>
          <w:p w14:paraId="5EC7729A" w14:textId="77777777" w:rsidR="007C5D85" w:rsidRPr="004F289D" w:rsidRDefault="007C5D85" w:rsidP="007C5D85">
            <w:pPr>
              <w:rPr>
                <w:rFonts w:eastAsia="Aptos" w:cs="Times New Roman"/>
                <w:sz w:val="22"/>
                <w:szCs w:val="22"/>
              </w:rPr>
            </w:pPr>
          </w:p>
          <w:p w14:paraId="53E36B0C" w14:textId="77777777" w:rsidR="007C5D85" w:rsidRPr="004F289D" w:rsidRDefault="007C5D85" w:rsidP="007C5D85">
            <w:pPr>
              <w:rPr>
                <w:rFonts w:eastAsia="Aptos" w:cs="Times New Roman"/>
              </w:rPr>
            </w:pPr>
          </w:p>
        </w:tc>
      </w:tr>
      <w:tr w:rsidR="004F289D" w:rsidRPr="004F289D" w14:paraId="1B394E8E" w14:textId="77777777" w:rsidTr="004A5D5C">
        <w:tc>
          <w:tcPr>
            <w:tcW w:w="867" w:type="pct"/>
          </w:tcPr>
          <w:p w14:paraId="31DF595E" w14:textId="68A9425A" w:rsidR="007C5D85" w:rsidRPr="004F289D" w:rsidRDefault="007C5D85" w:rsidP="007C5D85">
            <w:pPr>
              <w:rPr>
                <w:rFonts w:eastAsia="Aptos" w:cs="Times New Roman"/>
                <w:lang w:val="en-US"/>
              </w:rPr>
            </w:pPr>
            <w:r w:rsidRPr="004F289D">
              <w:rPr>
                <w:rFonts w:eastAsia="Aptos" w:cs="Times New Roman"/>
                <w:sz w:val="22"/>
                <w:szCs w:val="22"/>
                <w:lang w:val="en-US"/>
              </w:rPr>
              <w:t>Functional risk</w:t>
            </w:r>
          </w:p>
        </w:tc>
        <w:tc>
          <w:tcPr>
            <w:tcW w:w="1600" w:type="pct"/>
          </w:tcPr>
          <w:p w14:paraId="60742F08" w14:textId="40636E95" w:rsidR="007C5D85" w:rsidRPr="004F289D" w:rsidRDefault="007C5D85" w:rsidP="007C5D85">
            <w:pPr>
              <w:rPr>
                <w:rFonts w:eastAsia="Aptos" w:cs="Times New Roman"/>
                <w:lang w:val="en-US"/>
              </w:rPr>
            </w:pPr>
            <w:r w:rsidRPr="004F289D">
              <w:rPr>
                <w:rFonts w:eastAsia="Aptos" w:cs="Times New Roman"/>
                <w:sz w:val="22"/>
                <w:szCs w:val="22"/>
                <w:lang w:val="en-US"/>
              </w:rPr>
              <w:t>Risk that the online system will not function as expected or meet needs</w:t>
            </w:r>
          </w:p>
        </w:tc>
        <w:tc>
          <w:tcPr>
            <w:tcW w:w="2533" w:type="pct"/>
          </w:tcPr>
          <w:p w14:paraId="41961595" w14:textId="77777777" w:rsidR="007C5D85" w:rsidRPr="004F289D" w:rsidRDefault="007C5D85" w:rsidP="007C5D85">
            <w:pPr>
              <w:rPr>
                <w:rFonts w:eastAsia="Aptos" w:cs="Times New Roman"/>
                <w:sz w:val="22"/>
                <w:szCs w:val="22"/>
                <w:lang w:val="es-ES"/>
              </w:rPr>
            </w:pPr>
            <w:proofErr w:type="spellStart"/>
            <w:r w:rsidRPr="004F289D">
              <w:rPr>
                <w:rFonts w:eastAsia="Aptos" w:cs="Times New Roman"/>
                <w:sz w:val="22"/>
                <w:szCs w:val="22"/>
                <w:lang w:val="es-ES"/>
              </w:rPr>
              <w:t>Carvache</w:t>
            </w:r>
            <w:proofErr w:type="spellEnd"/>
            <w:r w:rsidRPr="004F289D">
              <w:rPr>
                <w:rFonts w:eastAsia="Aptos" w:cs="Times New Roman"/>
                <w:sz w:val="22"/>
                <w:szCs w:val="22"/>
                <w:lang w:val="es-ES"/>
              </w:rPr>
              <w:t>-Franco et al. (2022); San Martín et al. (2011); Yang et al. (2015)</w:t>
            </w:r>
          </w:p>
          <w:p w14:paraId="35C6CB99" w14:textId="77777777" w:rsidR="007C5D85" w:rsidRPr="004F289D" w:rsidRDefault="007C5D85" w:rsidP="007C5D85">
            <w:pPr>
              <w:rPr>
                <w:rFonts w:eastAsia="Aptos" w:cs="Times New Roman"/>
                <w:sz w:val="22"/>
                <w:szCs w:val="22"/>
                <w:lang w:val="es-ES"/>
              </w:rPr>
            </w:pPr>
          </w:p>
          <w:p w14:paraId="643D3579" w14:textId="77777777" w:rsidR="007C5D85" w:rsidRPr="004F289D" w:rsidRDefault="007C5D85" w:rsidP="007C5D85">
            <w:pPr>
              <w:rPr>
                <w:rFonts w:eastAsia="Aptos" w:cs="Times New Roman"/>
              </w:rPr>
            </w:pPr>
          </w:p>
        </w:tc>
      </w:tr>
      <w:tr w:rsidR="004F289D" w:rsidRPr="004F289D" w14:paraId="5BF81B51" w14:textId="77777777" w:rsidTr="004A5D5C">
        <w:tc>
          <w:tcPr>
            <w:tcW w:w="867" w:type="pct"/>
          </w:tcPr>
          <w:p w14:paraId="757DC739" w14:textId="1C018CA9" w:rsidR="007C5D85" w:rsidRPr="004F289D" w:rsidRDefault="007C5D85" w:rsidP="007C5D85">
            <w:pPr>
              <w:rPr>
                <w:rFonts w:eastAsia="Aptos" w:cs="Times New Roman"/>
                <w:lang w:val="en-US"/>
              </w:rPr>
            </w:pPr>
            <w:r w:rsidRPr="004F289D">
              <w:rPr>
                <w:rFonts w:eastAsia="Aptos" w:cs="Times New Roman"/>
                <w:sz w:val="22"/>
                <w:szCs w:val="22"/>
                <w:lang w:val="en-US"/>
              </w:rPr>
              <w:t>Perceived risk of buying online (general)</w:t>
            </w:r>
          </w:p>
        </w:tc>
        <w:tc>
          <w:tcPr>
            <w:tcW w:w="1600" w:type="pct"/>
          </w:tcPr>
          <w:p w14:paraId="7550CC9E" w14:textId="767BFC29" w:rsidR="007C5D85" w:rsidRPr="004F289D" w:rsidRDefault="007C5D85" w:rsidP="007C5D85">
            <w:pPr>
              <w:rPr>
                <w:rFonts w:eastAsia="Aptos" w:cs="Times New Roman"/>
                <w:lang w:val="en-US"/>
              </w:rPr>
            </w:pPr>
            <w:r w:rsidRPr="004F289D">
              <w:rPr>
                <w:rFonts w:eastAsia="Aptos" w:cs="Times New Roman"/>
                <w:sz w:val="22"/>
                <w:szCs w:val="22"/>
                <w:lang w:val="en-US"/>
              </w:rPr>
              <w:t xml:space="preserve">Overall sense of uncertainty, potential loss, or harm </w:t>
            </w:r>
          </w:p>
        </w:tc>
        <w:tc>
          <w:tcPr>
            <w:tcW w:w="2533" w:type="pct"/>
          </w:tcPr>
          <w:p w14:paraId="37C6AD6E" w14:textId="2131B302" w:rsidR="007C5D85" w:rsidRPr="004F289D" w:rsidRDefault="007C5D85" w:rsidP="007C5D85">
            <w:pPr>
              <w:rPr>
                <w:rFonts w:eastAsia="Aptos" w:cs="Times New Roman"/>
                <w:lang w:val="es-ES"/>
              </w:rPr>
            </w:pPr>
            <w:bookmarkStart w:id="1" w:name="_Hlk216250166"/>
            <w:r w:rsidRPr="004F289D">
              <w:rPr>
                <w:rFonts w:eastAsia="Aptos" w:cs="Times New Roman"/>
                <w:sz w:val="22"/>
                <w:szCs w:val="22"/>
                <w:lang w:val="es-ES"/>
              </w:rPr>
              <w:t xml:space="preserve">Alcántara‐Pilar et al. (2017); </w:t>
            </w:r>
            <w:proofErr w:type="spellStart"/>
            <w:r w:rsidRPr="004F289D">
              <w:rPr>
                <w:rFonts w:eastAsia="Aptos" w:cs="Times New Roman"/>
                <w:sz w:val="22"/>
                <w:szCs w:val="22"/>
                <w:lang w:val="es-ES"/>
              </w:rPr>
              <w:t>Chen</w:t>
            </w:r>
            <w:proofErr w:type="spellEnd"/>
            <w:r w:rsidRPr="004F289D">
              <w:rPr>
                <w:rFonts w:eastAsia="Aptos" w:cs="Times New Roman"/>
                <w:sz w:val="22"/>
                <w:szCs w:val="22"/>
                <w:lang w:val="es-ES"/>
              </w:rPr>
              <w:t xml:space="preserve"> et al. </w:t>
            </w:r>
            <w:r w:rsidRPr="004F289D">
              <w:rPr>
                <w:rFonts w:eastAsia="Aptos" w:cs="Times New Roman"/>
                <w:sz w:val="22"/>
                <w:szCs w:val="22"/>
              </w:rPr>
              <w:t>(2021); Hansen et al. (2018); Roy and Shaikh (2024); Sabiote et al. (2012); Xu et al. (2010); Xu and Jackson (2023)</w:t>
            </w:r>
            <w:bookmarkEnd w:id="1"/>
          </w:p>
        </w:tc>
      </w:tr>
      <w:tr w:rsidR="004F289D" w:rsidRPr="004F289D" w14:paraId="0DF303E0" w14:textId="77777777" w:rsidTr="004A5D5C">
        <w:tc>
          <w:tcPr>
            <w:tcW w:w="867" w:type="pct"/>
          </w:tcPr>
          <w:p w14:paraId="261EAF52" w14:textId="5A1BA170" w:rsidR="007C5D85" w:rsidRPr="004F289D" w:rsidRDefault="007C5D85" w:rsidP="007C5D85">
            <w:pPr>
              <w:rPr>
                <w:rFonts w:eastAsia="Aptos" w:cs="Times New Roman"/>
                <w:lang w:val="en-US"/>
              </w:rPr>
            </w:pPr>
            <w:r w:rsidRPr="004F289D">
              <w:rPr>
                <w:rFonts w:eastAsia="Aptos" w:cs="Times New Roman"/>
                <w:sz w:val="22"/>
                <w:szCs w:val="22"/>
                <w:lang w:val="en-US"/>
              </w:rPr>
              <w:t>Performance risk (a.k.a., quality risk)</w:t>
            </w:r>
          </w:p>
        </w:tc>
        <w:tc>
          <w:tcPr>
            <w:tcW w:w="1600" w:type="pct"/>
          </w:tcPr>
          <w:p w14:paraId="0238A519" w14:textId="710D20A6" w:rsidR="007C5D85" w:rsidRPr="004F289D" w:rsidRDefault="007C5D85" w:rsidP="007C5D85">
            <w:pPr>
              <w:rPr>
                <w:rFonts w:eastAsia="Aptos" w:cs="Times New Roman"/>
                <w:lang w:val="en-US"/>
              </w:rPr>
            </w:pPr>
            <w:r w:rsidRPr="004F289D">
              <w:rPr>
                <w:rFonts w:eastAsia="Aptos" w:cs="Times New Roman"/>
                <w:sz w:val="22"/>
                <w:szCs w:val="22"/>
                <w:lang w:val="en-US"/>
              </w:rPr>
              <w:t xml:space="preserve">Risk that </w:t>
            </w:r>
            <w:bookmarkStart w:id="2" w:name="_Hlk216250453"/>
            <w:r w:rsidRPr="004F289D">
              <w:rPr>
                <w:rFonts w:eastAsia="Aptos" w:cs="Times New Roman"/>
                <w:sz w:val="22"/>
                <w:szCs w:val="22"/>
                <w:lang w:val="en-US"/>
              </w:rPr>
              <w:t xml:space="preserve">the product will not perform as expected or advertised </w:t>
            </w:r>
            <w:bookmarkEnd w:id="2"/>
          </w:p>
        </w:tc>
        <w:tc>
          <w:tcPr>
            <w:tcW w:w="2533" w:type="pct"/>
          </w:tcPr>
          <w:p w14:paraId="1FAA6DC7" w14:textId="77777777" w:rsidR="007C5D85" w:rsidRPr="004F289D" w:rsidRDefault="007C5D85" w:rsidP="007C5D85">
            <w:pPr>
              <w:rPr>
                <w:rFonts w:eastAsia="Aptos" w:cs="Times New Roman"/>
                <w:sz w:val="22"/>
                <w:szCs w:val="22"/>
              </w:rPr>
            </w:pPr>
            <w:proofErr w:type="spellStart"/>
            <w:r w:rsidRPr="004F289D">
              <w:rPr>
                <w:rFonts w:eastAsia="Aptos" w:cs="Times New Roman"/>
                <w:sz w:val="22"/>
                <w:szCs w:val="22"/>
                <w:lang w:val="es-ES"/>
              </w:rPr>
              <w:t>Carvache</w:t>
            </w:r>
            <w:proofErr w:type="spellEnd"/>
            <w:r w:rsidRPr="004F289D">
              <w:rPr>
                <w:rFonts w:eastAsia="Aptos" w:cs="Times New Roman"/>
                <w:sz w:val="22"/>
                <w:szCs w:val="22"/>
                <w:lang w:val="es-ES"/>
              </w:rPr>
              <w:t xml:space="preserve">-Franco et al. (2022); </w:t>
            </w:r>
            <w:proofErr w:type="spellStart"/>
            <w:r w:rsidRPr="004F289D">
              <w:rPr>
                <w:rFonts w:eastAsia="Aptos" w:cs="Times New Roman"/>
                <w:sz w:val="22"/>
                <w:szCs w:val="22"/>
                <w:lang w:val="es-ES"/>
              </w:rPr>
              <w:t>Chen</w:t>
            </w:r>
            <w:proofErr w:type="spellEnd"/>
            <w:r w:rsidRPr="004F289D">
              <w:rPr>
                <w:rFonts w:eastAsia="Aptos" w:cs="Times New Roman"/>
                <w:sz w:val="22"/>
                <w:szCs w:val="22"/>
                <w:lang w:val="es-ES"/>
              </w:rPr>
              <w:t xml:space="preserve"> et al. </w:t>
            </w:r>
            <w:r w:rsidRPr="004F289D">
              <w:rPr>
                <w:rFonts w:eastAsia="Aptos" w:cs="Times New Roman"/>
                <w:sz w:val="22"/>
                <w:szCs w:val="22"/>
                <w:lang w:val="sv-SE"/>
              </w:rPr>
              <w:t xml:space="preserve">(2021); Ha and Pan (2018); Kamalul Ariffin et al. (2018); Pappas (2016); Phamthi et al. (2024); San Martín et al. (2011); Soltanpanah et al. (2012); Yen (2010); Zhang et al. (2019); Zhang and Hou (2017); Zhang and Yu (2020); Zheng et al. </w:t>
            </w:r>
            <w:r w:rsidRPr="004F289D">
              <w:rPr>
                <w:rFonts w:eastAsia="Aptos" w:cs="Times New Roman"/>
                <w:sz w:val="22"/>
                <w:szCs w:val="22"/>
              </w:rPr>
              <w:t xml:space="preserve">(2012) </w:t>
            </w:r>
          </w:p>
          <w:p w14:paraId="68422D4D" w14:textId="77777777" w:rsidR="007C5D85" w:rsidRPr="004F289D" w:rsidRDefault="007C5D85" w:rsidP="007C5D85">
            <w:pPr>
              <w:rPr>
                <w:rFonts w:eastAsia="Aptos" w:cs="Times New Roman"/>
                <w:sz w:val="22"/>
                <w:szCs w:val="22"/>
              </w:rPr>
            </w:pPr>
          </w:p>
          <w:p w14:paraId="52226E6C" w14:textId="77777777" w:rsidR="007C5D85" w:rsidRPr="004F289D" w:rsidRDefault="007C5D85" w:rsidP="007C5D85">
            <w:pPr>
              <w:rPr>
                <w:rFonts w:eastAsia="Aptos" w:cs="Times New Roman"/>
                <w:lang w:val="es-ES"/>
              </w:rPr>
            </w:pPr>
          </w:p>
        </w:tc>
      </w:tr>
      <w:tr w:rsidR="004F289D" w:rsidRPr="004F289D" w14:paraId="203C89A6" w14:textId="77777777" w:rsidTr="004A5D5C">
        <w:tc>
          <w:tcPr>
            <w:tcW w:w="867" w:type="pct"/>
          </w:tcPr>
          <w:p w14:paraId="11B3E61E" w14:textId="2F23D0B1" w:rsidR="007C5D85" w:rsidRPr="004F289D" w:rsidRDefault="007C5D85" w:rsidP="007C5D85">
            <w:pPr>
              <w:rPr>
                <w:rFonts w:eastAsia="Aptos" w:cs="Times New Roman"/>
                <w:lang w:val="en-US"/>
              </w:rPr>
            </w:pPr>
            <w:r w:rsidRPr="004F289D">
              <w:rPr>
                <w:rFonts w:eastAsia="Aptos" w:cs="Times New Roman"/>
                <w:sz w:val="22"/>
                <w:szCs w:val="22"/>
                <w:lang w:val="en-US"/>
              </w:rPr>
              <w:t>Physical risk</w:t>
            </w:r>
          </w:p>
        </w:tc>
        <w:tc>
          <w:tcPr>
            <w:tcW w:w="1600" w:type="pct"/>
          </w:tcPr>
          <w:p w14:paraId="0C09E175" w14:textId="77777777" w:rsidR="007C5D85" w:rsidRPr="004F289D" w:rsidRDefault="007C5D85" w:rsidP="007C5D85">
            <w:pPr>
              <w:rPr>
                <w:rFonts w:eastAsia="Aptos" w:cs="Times New Roman"/>
                <w:sz w:val="22"/>
                <w:szCs w:val="22"/>
              </w:rPr>
            </w:pPr>
            <w:r w:rsidRPr="004F289D">
              <w:rPr>
                <w:rFonts w:eastAsia="Aptos" w:cs="Times New Roman"/>
                <w:sz w:val="22"/>
                <w:szCs w:val="22"/>
              </w:rPr>
              <w:t>Risk of receiving a product that does not meet the standards physically, affecting the image of the consumer when used</w:t>
            </w:r>
          </w:p>
          <w:p w14:paraId="721B0018" w14:textId="77777777" w:rsidR="007C5D85" w:rsidRPr="004F289D" w:rsidRDefault="007C5D85" w:rsidP="007C5D85">
            <w:pPr>
              <w:rPr>
                <w:rFonts w:eastAsia="Aptos" w:cs="Times New Roman"/>
                <w:sz w:val="22"/>
                <w:szCs w:val="22"/>
              </w:rPr>
            </w:pPr>
          </w:p>
          <w:p w14:paraId="3D8FD13C" w14:textId="77777777" w:rsidR="007C5D85" w:rsidRPr="004F289D" w:rsidRDefault="007C5D85" w:rsidP="007C5D85">
            <w:pPr>
              <w:rPr>
                <w:rFonts w:eastAsia="Aptos" w:cs="Times New Roman"/>
                <w:lang w:val="en-US"/>
              </w:rPr>
            </w:pPr>
          </w:p>
        </w:tc>
        <w:tc>
          <w:tcPr>
            <w:tcW w:w="2533" w:type="pct"/>
          </w:tcPr>
          <w:p w14:paraId="515AB773" w14:textId="10DF9A93" w:rsidR="007C5D85" w:rsidRPr="004F289D" w:rsidRDefault="007C5D85" w:rsidP="007C5D85">
            <w:pPr>
              <w:rPr>
                <w:rFonts w:eastAsia="Aptos" w:cs="Times New Roman"/>
                <w:lang w:val="es-ES"/>
              </w:rPr>
            </w:pPr>
            <w:r w:rsidRPr="004F289D">
              <w:rPr>
                <w:rFonts w:eastAsia="Aptos" w:cs="Times New Roman"/>
                <w:sz w:val="22"/>
                <w:szCs w:val="22"/>
                <w:lang w:val="sv-SE"/>
              </w:rPr>
              <w:t xml:space="preserve">Phamthi et al. (2024); Zheng et al. </w:t>
            </w:r>
            <w:r w:rsidRPr="004F289D">
              <w:rPr>
                <w:rFonts w:eastAsia="Aptos" w:cs="Times New Roman"/>
                <w:sz w:val="22"/>
                <w:szCs w:val="22"/>
              </w:rPr>
              <w:t>(2012)</w:t>
            </w:r>
          </w:p>
        </w:tc>
      </w:tr>
      <w:tr w:rsidR="004F289D" w:rsidRPr="004F289D" w14:paraId="6CE6293A" w14:textId="77777777" w:rsidTr="004A5D5C">
        <w:tc>
          <w:tcPr>
            <w:tcW w:w="867" w:type="pct"/>
          </w:tcPr>
          <w:p w14:paraId="2605EDB1" w14:textId="6E04060A" w:rsidR="007C5D85" w:rsidRPr="004F289D" w:rsidRDefault="007C5D85" w:rsidP="007C5D85">
            <w:pPr>
              <w:rPr>
                <w:rFonts w:eastAsia="Aptos" w:cs="Times New Roman"/>
                <w:lang w:val="en-US"/>
              </w:rPr>
            </w:pPr>
            <w:r w:rsidRPr="004F289D">
              <w:rPr>
                <w:rFonts w:eastAsia="Aptos" w:cs="Times New Roman"/>
                <w:sz w:val="22"/>
                <w:szCs w:val="22"/>
                <w:lang w:val="en-US"/>
              </w:rPr>
              <w:t>Price risk</w:t>
            </w:r>
          </w:p>
        </w:tc>
        <w:tc>
          <w:tcPr>
            <w:tcW w:w="1600" w:type="pct"/>
          </w:tcPr>
          <w:p w14:paraId="2B68A3CC" w14:textId="77777777" w:rsidR="007C5D85" w:rsidRPr="004F289D" w:rsidRDefault="007C5D85" w:rsidP="007C5D85">
            <w:pPr>
              <w:rPr>
                <w:rFonts w:eastAsia="Aptos" w:cs="Times New Roman"/>
                <w:sz w:val="22"/>
                <w:szCs w:val="22"/>
                <w:lang w:val="en-US"/>
              </w:rPr>
            </w:pPr>
            <w:r w:rsidRPr="004F289D">
              <w:rPr>
                <w:rFonts w:eastAsia="Aptos" w:cs="Times New Roman"/>
                <w:sz w:val="22"/>
                <w:szCs w:val="22"/>
                <w:lang w:val="en-US"/>
              </w:rPr>
              <w:t>The risk of not having made a good purchase given the price paid</w:t>
            </w:r>
          </w:p>
          <w:p w14:paraId="68608DD1" w14:textId="77777777" w:rsidR="007C5D85" w:rsidRPr="004F289D" w:rsidRDefault="007C5D85" w:rsidP="007C5D85">
            <w:pPr>
              <w:rPr>
                <w:rFonts w:eastAsia="Aptos" w:cs="Times New Roman"/>
                <w:sz w:val="22"/>
                <w:szCs w:val="22"/>
                <w:lang w:val="en-US"/>
              </w:rPr>
            </w:pPr>
          </w:p>
          <w:p w14:paraId="4C7C6ECD" w14:textId="77777777" w:rsidR="007C5D85" w:rsidRPr="004F289D" w:rsidRDefault="007C5D85" w:rsidP="007C5D85">
            <w:pPr>
              <w:rPr>
                <w:rFonts w:eastAsia="Aptos" w:cs="Times New Roman"/>
              </w:rPr>
            </w:pPr>
          </w:p>
        </w:tc>
        <w:tc>
          <w:tcPr>
            <w:tcW w:w="2533" w:type="pct"/>
          </w:tcPr>
          <w:p w14:paraId="5CB37D98" w14:textId="5B2D7A6B" w:rsidR="007C5D85" w:rsidRPr="004F289D" w:rsidRDefault="007C5D85" w:rsidP="007C5D85">
            <w:pPr>
              <w:rPr>
                <w:rFonts w:eastAsia="Aptos" w:cs="Times New Roman"/>
              </w:rPr>
            </w:pPr>
            <w:r w:rsidRPr="004F289D">
              <w:rPr>
                <w:rFonts w:eastAsia="Aptos" w:cs="Times New Roman"/>
                <w:sz w:val="22"/>
                <w:szCs w:val="22"/>
                <w:lang w:val="en-US"/>
              </w:rPr>
              <w:t>Pappas (2016)</w:t>
            </w:r>
          </w:p>
        </w:tc>
      </w:tr>
      <w:tr w:rsidR="004F289D" w:rsidRPr="004F289D" w14:paraId="45A81093" w14:textId="77777777" w:rsidTr="004A5D5C">
        <w:tc>
          <w:tcPr>
            <w:tcW w:w="867" w:type="pct"/>
          </w:tcPr>
          <w:p w14:paraId="1ED21879" w14:textId="61F08442" w:rsidR="007C5D85" w:rsidRPr="004F289D" w:rsidRDefault="007C5D85" w:rsidP="007C5D85">
            <w:pPr>
              <w:rPr>
                <w:rFonts w:eastAsia="Aptos" w:cs="Times New Roman"/>
                <w:lang w:val="en-US"/>
              </w:rPr>
            </w:pPr>
            <w:r w:rsidRPr="004F289D">
              <w:rPr>
                <w:rFonts w:eastAsia="Aptos" w:cs="Times New Roman"/>
                <w:sz w:val="22"/>
                <w:szCs w:val="22"/>
                <w:lang w:val="en-US"/>
              </w:rPr>
              <w:t>Privacy risk</w:t>
            </w:r>
          </w:p>
        </w:tc>
        <w:tc>
          <w:tcPr>
            <w:tcW w:w="1600" w:type="pct"/>
          </w:tcPr>
          <w:p w14:paraId="630ED435" w14:textId="77777777" w:rsidR="007C5D85" w:rsidRPr="004F289D" w:rsidRDefault="007C5D85" w:rsidP="007C5D85">
            <w:pPr>
              <w:rPr>
                <w:rFonts w:eastAsia="Aptos" w:cs="Times New Roman"/>
                <w:sz w:val="22"/>
                <w:szCs w:val="22"/>
                <w:lang w:val="en-US"/>
              </w:rPr>
            </w:pPr>
            <w:r w:rsidRPr="004F289D">
              <w:rPr>
                <w:rFonts w:eastAsia="Aptos" w:cs="Times New Roman"/>
                <w:sz w:val="22"/>
                <w:szCs w:val="22"/>
                <w:lang w:val="en-US"/>
              </w:rPr>
              <w:t xml:space="preserve">Risk of private information disclosure, violation, or misuse </w:t>
            </w:r>
          </w:p>
          <w:p w14:paraId="4AEFD53D" w14:textId="77777777" w:rsidR="007C5D85" w:rsidRPr="004F289D" w:rsidRDefault="007C5D85" w:rsidP="007C5D85">
            <w:pPr>
              <w:rPr>
                <w:rFonts w:eastAsia="Aptos" w:cs="Times New Roman"/>
                <w:sz w:val="22"/>
                <w:szCs w:val="22"/>
                <w:lang w:val="en-US"/>
              </w:rPr>
            </w:pPr>
          </w:p>
          <w:p w14:paraId="7D01ADF3" w14:textId="77777777" w:rsidR="007C5D85" w:rsidRPr="004F289D" w:rsidRDefault="007C5D85" w:rsidP="007C5D85">
            <w:pPr>
              <w:rPr>
                <w:rFonts w:eastAsia="Aptos" w:cs="Times New Roman"/>
                <w:lang w:val="en-US"/>
              </w:rPr>
            </w:pPr>
          </w:p>
        </w:tc>
        <w:tc>
          <w:tcPr>
            <w:tcW w:w="2533" w:type="pct"/>
          </w:tcPr>
          <w:p w14:paraId="447B34DE" w14:textId="6DD452C9" w:rsidR="007C5D85" w:rsidRPr="004F289D" w:rsidRDefault="007C5D85" w:rsidP="007C5D85">
            <w:pPr>
              <w:rPr>
                <w:rFonts w:eastAsia="Aptos" w:cs="Times New Roman"/>
                <w:lang w:val="en-US"/>
              </w:rPr>
            </w:pPr>
            <w:proofErr w:type="spellStart"/>
            <w:r w:rsidRPr="004F289D">
              <w:rPr>
                <w:rFonts w:eastAsia="Aptos" w:cs="Times New Roman"/>
                <w:sz w:val="22"/>
                <w:szCs w:val="22"/>
                <w:lang w:val="es-ES"/>
              </w:rPr>
              <w:t>Carvache</w:t>
            </w:r>
            <w:proofErr w:type="spellEnd"/>
            <w:r w:rsidRPr="004F289D">
              <w:rPr>
                <w:rFonts w:eastAsia="Aptos" w:cs="Times New Roman"/>
                <w:sz w:val="22"/>
                <w:szCs w:val="22"/>
                <w:lang w:val="es-ES"/>
              </w:rPr>
              <w:t xml:space="preserve">-Franco et al. (2022); </w:t>
            </w:r>
            <w:proofErr w:type="spellStart"/>
            <w:r w:rsidRPr="004F289D">
              <w:rPr>
                <w:rFonts w:eastAsia="Aptos" w:cs="Times New Roman"/>
                <w:sz w:val="22"/>
                <w:szCs w:val="22"/>
                <w:lang w:val="es-ES"/>
              </w:rPr>
              <w:t>Cheung</w:t>
            </w:r>
            <w:proofErr w:type="spellEnd"/>
            <w:r w:rsidRPr="004F289D">
              <w:rPr>
                <w:rFonts w:eastAsia="Aptos" w:cs="Times New Roman"/>
                <w:sz w:val="22"/>
                <w:szCs w:val="22"/>
                <w:lang w:val="es-ES"/>
              </w:rPr>
              <w:t xml:space="preserve"> et al. </w:t>
            </w:r>
            <w:r w:rsidRPr="004F289D">
              <w:rPr>
                <w:rFonts w:eastAsia="Aptos" w:cs="Times New Roman"/>
                <w:sz w:val="22"/>
                <w:szCs w:val="22"/>
                <w:lang w:val="sv-SE"/>
              </w:rPr>
              <w:t xml:space="preserve">(2015); Phamthi et al. (2024); Thakur and Srivastava (2014); Yang et al. (2015); Zhang et al. </w:t>
            </w:r>
            <w:r w:rsidRPr="004F289D">
              <w:rPr>
                <w:rFonts w:eastAsia="Aptos" w:cs="Times New Roman"/>
                <w:sz w:val="22"/>
                <w:szCs w:val="22"/>
              </w:rPr>
              <w:t>(2019); Zheng et al. (2012)</w:t>
            </w:r>
          </w:p>
        </w:tc>
      </w:tr>
      <w:tr w:rsidR="004F289D" w:rsidRPr="004F289D" w14:paraId="6A022346" w14:textId="77777777" w:rsidTr="004A5D5C">
        <w:tc>
          <w:tcPr>
            <w:tcW w:w="867" w:type="pct"/>
          </w:tcPr>
          <w:p w14:paraId="2A07502C" w14:textId="199F560C" w:rsidR="007C5D85" w:rsidRPr="004F289D" w:rsidRDefault="007C5D85" w:rsidP="007C5D85">
            <w:pPr>
              <w:rPr>
                <w:rFonts w:eastAsia="Aptos" w:cs="Times New Roman"/>
                <w:lang w:val="en-US"/>
              </w:rPr>
            </w:pPr>
            <w:r w:rsidRPr="004F289D">
              <w:rPr>
                <w:rFonts w:eastAsia="Aptos" w:cs="Times New Roman"/>
                <w:sz w:val="22"/>
                <w:szCs w:val="22"/>
              </w:rPr>
              <w:t>Psychological risk</w:t>
            </w:r>
          </w:p>
        </w:tc>
        <w:tc>
          <w:tcPr>
            <w:tcW w:w="1600" w:type="pct"/>
          </w:tcPr>
          <w:p w14:paraId="10B4CB07" w14:textId="77777777" w:rsidR="007C5D85" w:rsidRPr="004F289D" w:rsidRDefault="007C5D85" w:rsidP="007C5D85">
            <w:pPr>
              <w:rPr>
                <w:rFonts w:eastAsia="Aptos" w:cs="Times New Roman"/>
                <w:sz w:val="22"/>
                <w:szCs w:val="22"/>
              </w:rPr>
            </w:pPr>
            <w:r w:rsidRPr="004F289D">
              <w:rPr>
                <w:rFonts w:eastAsia="Aptos" w:cs="Times New Roman"/>
                <w:sz w:val="22"/>
                <w:szCs w:val="22"/>
              </w:rPr>
              <w:t>Risk that uncertainty and potential problems will cause stress, anxiety, or worry</w:t>
            </w:r>
          </w:p>
          <w:p w14:paraId="02DD75A8" w14:textId="77777777" w:rsidR="007C5D85" w:rsidRPr="004F289D" w:rsidRDefault="007C5D85" w:rsidP="007C5D85">
            <w:pPr>
              <w:rPr>
                <w:rFonts w:eastAsia="Aptos" w:cs="Times New Roman"/>
                <w:sz w:val="22"/>
                <w:szCs w:val="22"/>
              </w:rPr>
            </w:pPr>
          </w:p>
          <w:p w14:paraId="759B6A11" w14:textId="77777777" w:rsidR="007C5D85" w:rsidRPr="004F289D" w:rsidRDefault="007C5D85" w:rsidP="007C5D85">
            <w:pPr>
              <w:rPr>
                <w:rFonts w:eastAsia="Aptos" w:cs="Times New Roman"/>
                <w:lang w:val="en-US"/>
              </w:rPr>
            </w:pPr>
          </w:p>
        </w:tc>
        <w:tc>
          <w:tcPr>
            <w:tcW w:w="2533" w:type="pct"/>
          </w:tcPr>
          <w:p w14:paraId="66411652" w14:textId="04F764A8" w:rsidR="007C5D85" w:rsidRPr="004F289D" w:rsidRDefault="007C5D85" w:rsidP="007C5D85">
            <w:pPr>
              <w:rPr>
                <w:rFonts w:eastAsia="Aptos" w:cs="Times New Roman"/>
                <w:lang w:val="en-US"/>
              </w:rPr>
            </w:pPr>
            <w:r w:rsidRPr="004F289D">
              <w:rPr>
                <w:rFonts w:eastAsia="Aptos" w:cs="Times New Roman"/>
                <w:sz w:val="22"/>
                <w:szCs w:val="22"/>
                <w:lang w:val="sv-SE"/>
              </w:rPr>
              <w:t xml:space="preserve">Chen et al. (2021); Kamalul Ariffin et al. </w:t>
            </w:r>
            <w:r w:rsidRPr="004F289D">
              <w:rPr>
                <w:rFonts w:eastAsia="Aptos" w:cs="Times New Roman"/>
                <w:sz w:val="22"/>
                <w:szCs w:val="22"/>
                <w:lang w:val="es-ES"/>
              </w:rPr>
              <w:t xml:space="preserve">(2018); San Martín et al. (2011); Yang et al. </w:t>
            </w:r>
            <w:r w:rsidRPr="004F289D">
              <w:rPr>
                <w:rFonts w:eastAsia="Aptos" w:cs="Times New Roman"/>
                <w:sz w:val="22"/>
                <w:szCs w:val="22"/>
              </w:rPr>
              <w:t>(2015); Zheng et al. (2012)</w:t>
            </w:r>
          </w:p>
        </w:tc>
      </w:tr>
      <w:tr w:rsidR="004F289D" w:rsidRPr="004F289D" w14:paraId="622D45C7" w14:textId="77777777" w:rsidTr="004A5D5C">
        <w:tc>
          <w:tcPr>
            <w:tcW w:w="867" w:type="pct"/>
          </w:tcPr>
          <w:p w14:paraId="10D08F92" w14:textId="77777777" w:rsidR="001F3D08" w:rsidRPr="004F289D" w:rsidRDefault="001F3D08" w:rsidP="00BE5124">
            <w:pPr>
              <w:rPr>
                <w:rFonts w:eastAsia="Aptos" w:cs="Times New Roman"/>
                <w:sz w:val="22"/>
                <w:szCs w:val="22"/>
                <w:lang w:val="en-US"/>
              </w:rPr>
            </w:pPr>
            <w:bookmarkStart w:id="3" w:name="_Hlk216250488"/>
            <w:r w:rsidRPr="004F289D">
              <w:rPr>
                <w:rFonts w:eastAsia="Aptos" w:cs="Times New Roman"/>
                <w:sz w:val="22"/>
                <w:szCs w:val="22"/>
                <w:lang w:val="en-US"/>
              </w:rPr>
              <w:t>Security risk</w:t>
            </w:r>
          </w:p>
        </w:tc>
        <w:tc>
          <w:tcPr>
            <w:tcW w:w="1600" w:type="pct"/>
          </w:tcPr>
          <w:p w14:paraId="2C208498" w14:textId="77777777" w:rsidR="001F3D08" w:rsidRPr="004F289D" w:rsidRDefault="001F3D08" w:rsidP="00BE5124">
            <w:pPr>
              <w:rPr>
                <w:rFonts w:eastAsia="Aptos" w:cs="Times New Roman"/>
                <w:sz w:val="22"/>
                <w:szCs w:val="22"/>
                <w:lang w:val="en-US"/>
              </w:rPr>
            </w:pPr>
            <w:r w:rsidRPr="004F289D">
              <w:rPr>
                <w:rFonts w:eastAsia="Aptos" w:cs="Times New Roman"/>
                <w:sz w:val="22"/>
                <w:szCs w:val="22"/>
                <w:lang w:val="en-US"/>
              </w:rPr>
              <w:t>Potential harm to property or personal safety</w:t>
            </w:r>
          </w:p>
        </w:tc>
        <w:tc>
          <w:tcPr>
            <w:tcW w:w="2533" w:type="pct"/>
          </w:tcPr>
          <w:p w14:paraId="3D349309" w14:textId="77777777" w:rsidR="001F3D08" w:rsidRPr="004F289D" w:rsidRDefault="001F3D08" w:rsidP="00BE5124">
            <w:pPr>
              <w:rPr>
                <w:rFonts w:eastAsia="Aptos" w:cs="Times New Roman"/>
                <w:sz w:val="22"/>
                <w:szCs w:val="22"/>
              </w:rPr>
            </w:pPr>
            <w:proofErr w:type="spellStart"/>
            <w:r w:rsidRPr="004F289D">
              <w:rPr>
                <w:rFonts w:eastAsia="Aptos" w:cs="Times New Roman"/>
                <w:sz w:val="22"/>
                <w:szCs w:val="22"/>
                <w:lang w:val="en-US"/>
              </w:rPr>
              <w:t>Kamalul</w:t>
            </w:r>
            <w:proofErr w:type="spellEnd"/>
            <w:r w:rsidRPr="004F289D">
              <w:rPr>
                <w:rFonts w:eastAsia="Aptos" w:cs="Times New Roman"/>
                <w:sz w:val="22"/>
                <w:szCs w:val="22"/>
                <w:lang w:val="en-US"/>
              </w:rPr>
              <w:t xml:space="preserve"> </w:t>
            </w:r>
            <w:proofErr w:type="spellStart"/>
            <w:r w:rsidRPr="004F289D">
              <w:rPr>
                <w:rFonts w:eastAsia="Aptos" w:cs="Times New Roman"/>
                <w:sz w:val="22"/>
                <w:szCs w:val="22"/>
                <w:lang w:val="en-US"/>
              </w:rPr>
              <w:t>Ariffin</w:t>
            </w:r>
            <w:proofErr w:type="spellEnd"/>
            <w:r w:rsidRPr="004F289D">
              <w:rPr>
                <w:rFonts w:eastAsia="Aptos" w:cs="Times New Roman"/>
                <w:sz w:val="22"/>
                <w:szCs w:val="22"/>
                <w:lang w:val="en-US"/>
              </w:rPr>
              <w:t xml:space="preserve"> et al. (2018); Pappas (2016); </w:t>
            </w:r>
            <w:proofErr w:type="spellStart"/>
            <w:r w:rsidRPr="004F289D">
              <w:rPr>
                <w:rFonts w:eastAsia="Aptos" w:cs="Times New Roman"/>
                <w:sz w:val="22"/>
                <w:szCs w:val="22"/>
                <w:lang w:val="en-US"/>
              </w:rPr>
              <w:t>Phamthi</w:t>
            </w:r>
            <w:proofErr w:type="spellEnd"/>
            <w:r w:rsidRPr="004F289D">
              <w:rPr>
                <w:rFonts w:eastAsia="Aptos" w:cs="Times New Roman"/>
                <w:sz w:val="22"/>
                <w:szCs w:val="22"/>
                <w:lang w:val="en-US"/>
              </w:rPr>
              <w:t xml:space="preserve"> et al. (2024); </w:t>
            </w:r>
            <w:proofErr w:type="spellStart"/>
            <w:r w:rsidRPr="004F289D">
              <w:rPr>
                <w:rFonts w:eastAsia="Aptos" w:cs="Times New Roman"/>
                <w:sz w:val="22"/>
                <w:szCs w:val="22"/>
                <w:lang w:val="en-US"/>
              </w:rPr>
              <w:t>Soltanpanah</w:t>
            </w:r>
            <w:proofErr w:type="spellEnd"/>
            <w:r w:rsidRPr="004F289D">
              <w:rPr>
                <w:rFonts w:eastAsia="Aptos" w:cs="Times New Roman"/>
                <w:sz w:val="22"/>
                <w:szCs w:val="22"/>
                <w:lang w:val="en-US"/>
              </w:rPr>
              <w:t xml:space="preserve"> et al. (2012); Thakur and Srivastava (2014); Yang et al. (2015); </w:t>
            </w:r>
            <w:r w:rsidRPr="004F289D">
              <w:rPr>
                <w:rFonts w:eastAsia="Aptos" w:cs="Times New Roman"/>
                <w:sz w:val="22"/>
                <w:szCs w:val="22"/>
              </w:rPr>
              <w:t>Zheng et al. (2012)</w:t>
            </w:r>
          </w:p>
          <w:p w14:paraId="1332FD08" w14:textId="77777777" w:rsidR="00710711" w:rsidRPr="004F289D" w:rsidRDefault="00710711" w:rsidP="00BE5124">
            <w:pPr>
              <w:rPr>
                <w:rFonts w:eastAsia="Aptos" w:cs="Times New Roman"/>
                <w:sz w:val="22"/>
                <w:szCs w:val="22"/>
              </w:rPr>
            </w:pPr>
          </w:p>
          <w:p w14:paraId="768B89AA" w14:textId="77777777" w:rsidR="00710711" w:rsidRPr="004F289D" w:rsidRDefault="00710711" w:rsidP="00BE5124">
            <w:pPr>
              <w:rPr>
                <w:rFonts w:eastAsia="Aptos" w:cs="Times New Roman"/>
                <w:sz w:val="22"/>
                <w:szCs w:val="22"/>
                <w:lang w:val="en-US"/>
              </w:rPr>
            </w:pPr>
          </w:p>
        </w:tc>
      </w:tr>
      <w:bookmarkEnd w:id="3"/>
      <w:tr w:rsidR="004F289D" w:rsidRPr="004F289D" w14:paraId="47249E42" w14:textId="77777777" w:rsidTr="004A5D5C">
        <w:tc>
          <w:tcPr>
            <w:tcW w:w="867" w:type="pct"/>
          </w:tcPr>
          <w:p w14:paraId="7DDAC96B" w14:textId="149A33E7" w:rsidR="007C5D85" w:rsidRPr="004F289D" w:rsidRDefault="007C5D85" w:rsidP="007C5D85">
            <w:pPr>
              <w:rPr>
                <w:rFonts w:eastAsia="Aptos" w:cs="Times New Roman"/>
                <w:sz w:val="22"/>
                <w:szCs w:val="22"/>
                <w:lang w:val="en-US"/>
              </w:rPr>
            </w:pPr>
            <w:r w:rsidRPr="004F289D">
              <w:rPr>
                <w:rFonts w:eastAsia="Aptos" w:cs="Times New Roman"/>
                <w:sz w:val="22"/>
                <w:szCs w:val="22"/>
                <w:lang w:val="en-US"/>
              </w:rPr>
              <w:t>Service risk</w:t>
            </w:r>
          </w:p>
        </w:tc>
        <w:tc>
          <w:tcPr>
            <w:tcW w:w="1600" w:type="pct"/>
          </w:tcPr>
          <w:p w14:paraId="4D6DFDD0" w14:textId="7AC5D9F7" w:rsidR="007C5D85" w:rsidRPr="004F289D" w:rsidRDefault="007C5D85" w:rsidP="007C5D85">
            <w:pPr>
              <w:rPr>
                <w:rFonts w:eastAsia="Aptos" w:cs="Times New Roman"/>
                <w:sz w:val="22"/>
                <w:szCs w:val="22"/>
                <w:lang w:val="en-US"/>
              </w:rPr>
            </w:pPr>
            <w:r w:rsidRPr="004F289D">
              <w:rPr>
                <w:rFonts w:eastAsia="Aptos" w:cs="Times New Roman"/>
                <w:sz w:val="22"/>
                <w:szCs w:val="22"/>
              </w:rPr>
              <w:t>Risk of poor service quality from third-party when help is needed</w:t>
            </w:r>
          </w:p>
        </w:tc>
        <w:tc>
          <w:tcPr>
            <w:tcW w:w="2533" w:type="pct"/>
          </w:tcPr>
          <w:p w14:paraId="0FAEFCCB" w14:textId="1347C9A7" w:rsidR="007C5D85" w:rsidRPr="004F289D" w:rsidRDefault="007C5D85" w:rsidP="007C5D85">
            <w:pPr>
              <w:rPr>
                <w:rFonts w:eastAsia="Aptos" w:cs="Times New Roman"/>
                <w:sz w:val="22"/>
                <w:szCs w:val="22"/>
                <w:lang w:val="es-ES"/>
              </w:rPr>
            </w:pPr>
            <w:r w:rsidRPr="004F289D">
              <w:rPr>
                <w:rFonts w:eastAsia="Aptos" w:cs="Times New Roman"/>
                <w:sz w:val="22"/>
                <w:szCs w:val="22"/>
                <w:lang w:val="es-ES"/>
              </w:rPr>
              <w:t xml:space="preserve">San Martín et al. (2011); Yang et al. </w:t>
            </w:r>
            <w:r w:rsidRPr="004F289D">
              <w:rPr>
                <w:rFonts w:eastAsia="Aptos" w:cs="Times New Roman"/>
                <w:sz w:val="22"/>
                <w:szCs w:val="22"/>
              </w:rPr>
              <w:t>(2015); Zhang and Yu (2020)</w:t>
            </w:r>
          </w:p>
        </w:tc>
      </w:tr>
      <w:tr w:rsidR="004F289D" w:rsidRPr="004F289D" w14:paraId="0DAECE54" w14:textId="77777777" w:rsidTr="004A5D5C">
        <w:tc>
          <w:tcPr>
            <w:tcW w:w="867" w:type="pct"/>
          </w:tcPr>
          <w:p w14:paraId="4F96F1D9" w14:textId="697C89C5" w:rsidR="007C5D85" w:rsidRPr="004F289D" w:rsidRDefault="007C5D85" w:rsidP="007C5D85">
            <w:pPr>
              <w:rPr>
                <w:rFonts w:eastAsia="Aptos" w:cs="Times New Roman"/>
                <w:lang w:val="en-US"/>
              </w:rPr>
            </w:pPr>
            <w:r w:rsidRPr="004F289D">
              <w:rPr>
                <w:rFonts w:eastAsia="Aptos" w:cs="Times New Roman"/>
                <w:sz w:val="22"/>
                <w:szCs w:val="22"/>
                <w:lang w:val="en-US"/>
              </w:rPr>
              <w:lastRenderedPageBreak/>
              <w:t>Social risk</w:t>
            </w:r>
          </w:p>
        </w:tc>
        <w:tc>
          <w:tcPr>
            <w:tcW w:w="1600" w:type="pct"/>
          </w:tcPr>
          <w:p w14:paraId="69BE4765" w14:textId="77777777" w:rsidR="007C5D85" w:rsidRPr="004F289D" w:rsidRDefault="007C5D85" w:rsidP="007C5D85">
            <w:pPr>
              <w:rPr>
                <w:rFonts w:eastAsia="Aptos" w:cs="Times New Roman"/>
                <w:sz w:val="22"/>
                <w:szCs w:val="22"/>
              </w:rPr>
            </w:pPr>
            <w:r w:rsidRPr="004F289D">
              <w:rPr>
                <w:rFonts w:eastAsia="Aptos" w:cs="Times New Roman"/>
                <w:sz w:val="22"/>
                <w:szCs w:val="22"/>
              </w:rPr>
              <w:t>Risk of negative social judgments or loss of status related to using/not using online payment (included conceptually, later dropped empirically)</w:t>
            </w:r>
          </w:p>
          <w:p w14:paraId="43C5DF0F" w14:textId="77777777" w:rsidR="007C5D85" w:rsidRPr="004F289D" w:rsidRDefault="007C5D85" w:rsidP="007C5D85">
            <w:pPr>
              <w:rPr>
                <w:rFonts w:eastAsia="Aptos" w:cs="Times New Roman"/>
                <w:sz w:val="22"/>
                <w:szCs w:val="22"/>
              </w:rPr>
            </w:pPr>
          </w:p>
          <w:p w14:paraId="6CC8F03D" w14:textId="77777777" w:rsidR="007C5D85" w:rsidRPr="004F289D" w:rsidRDefault="007C5D85" w:rsidP="007C5D85">
            <w:pPr>
              <w:rPr>
                <w:rFonts w:eastAsia="Aptos" w:cs="Times New Roman"/>
              </w:rPr>
            </w:pPr>
          </w:p>
        </w:tc>
        <w:tc>
          <w:tcPr>
            <w:tcW w:w="2533" w:type="pct"/>
          </w:tcPr>
          <w:p w14:paraId="73B54F44" w14:textId="190B1579" w:rsidR="007C5D85" w:rsidRPr="004F289D" w:rsidRDefault="007C5D85" w:rsidP="007C5D85">
            <w:pPr>
              <w:rPr>
                <w:rFonts w:eastAsia="Aptos" w:cs="Times New Roman"/>
                <w:lang w:val="es-ES"/>
              </w:rPr>
            </w:pPr>
            <w:r w:rsidRPr="004F289D">
              <w:rPr>
                <w:rFonts w:eastAsia="Aptos" w:cs="Times New Roman"/>
                <w:sz w:val="22"/>
                <w:szCs w:val="22"/>
                <w:lang w:val="sv-SE"/>
              </w:rPr>
              <w:t xml:space="preserve">Chen et al. (2021); Kamalul Ariffin et al. </w:t>
            </w:r>
            <w:r w:rsidRPr="004F289D">
              <w:rPr>
                <w:rFonts w:eastAsia="Aptos" w:cs="Times New Roman"/>
                <w:sz w:val="22"/>
                <w:szCs w:val="22"/>
                <w:lang w:val="en-US"/>
              </w:rPr>
              <w:t xml:space="preserve">(2018); </w:t>
            </w:r>
            <w:proofErr w:type="spellStart"/>
            <w:r w:rsidRPr="004F289D">
              <w:rPr>
                <w:rFonts w:eastAsia="Aptos" w:cs="Times New Roman"/>
                <w:sz w:val="22"/>
                <w:szCs w:val="22"/>
                <w:lang w:val="en-US"/>
              </w:rPr>
              <w:t>Maziriri</w:t>
            </w:r>
            <w:proofErr w:type="spellEnd"/>
            <w:r w:rsidRPr="004F289D">
              <w:rPr>
                <w:rFonts w:eastAsia="Aptos" w:cs="Times New Roman"/>
                <w:sz w:val="22"/>
                <w:szCs w:val="22"/>
                <w:lang w:val="en-US"/>
              </w:rPr>
              <w:t xml:space="preserve"> and </w:t>
            </w:r>
            <w:proofErr w:type="spellStart"/>
            <w:r w:rsidRPr="004F289D">
              <w:rPr>
                <w:rFonts w:eastAsia="Aptos" w:cs="Times New Roman"/>
                <w:sz w:val="22"/>
                <w:szCs w:val="22"/>
                <w:lang w:val="en-US"/>
              </w:rPr>
              <w:t>Chuchu</w:t>
            </w:r>
            <w:proofErr w:type="spellEnd"/>
            <w:r w:rsidRPr="004F289D">
              <w:rPr>
                <w:rFonts w:eastAsia="Aptos" w:cs="Times New Roman"/>
                <w:sz w:val="22"/>
                <w:szCs w:val="22"/>
                <w:lang w:val="en-US"/>
              </w:rPr>
              <w:t xml:space="preserve"> (2017); </w:t>
            </w:r>
            <w:proofErr w:type="spellStart"/>
            <w:r w:rsidRPr="004F289D">
              <w:rPr>
                <w:rFonts w:eastAsia="Aptos" w:cs="Times New Roman"/>
                <w:sz w:val="22"/>
                <w:szCs w:val="22"/>
                <w:lang w:val="en-US"/>
              </w:rPr>
              <w:t>Phamthi</w:t>
            </w:r>
            <w:proofErr w:type="spellEnd"/>
            <w:r w:rsidRPr="004F289D">
              <w:rPr>
                <w:rFonts w:eastAsia="Aptos" w:cs="Times New Roman"/>
                <w:sz w:val="22"/>
                <w:szCs w:val="22"/>
                <w:lang w:val="en-US"/>
              </w:rPr>
              <w:t xml:space="preserve"> et al. </w:t>
            </w:r>
            <w:r w:rsidRPr="004F289D">
              <w:rPr>
                <w:rFonts w:eastAsia="Aptos" w:cs="Times New Roman"/>
                <w:sz w:val="22"/>
                <w:szCs w:val="22"/>
                <w:lang w:val="es-ES"/>
              </w:rPr>
              <w:t>(2024);</w:t>
            </w:r>
            <w:r w:rsidRPr="004F289D">
              <w:rPr>
                <w:rFonts w:ascii="Aptos" w:eastAsia="Aptos" w:hAnsi="Aptos" w:cs="Times New Roman"/>
                <w:lang w:val="es-ES"/>
              </w:rPr>
              <w:t xml:space="preserve"> </w:t>
            </w:r>
            <w:r w:rsidRPr="004F289D">
              <w:rPr>
                <w:rFonts w:eastAsia="Aptos" w:cs="Times New Roman"/>
                <w:sz w:val="22"/>
                <w:szCs w:val="22"/>
                <w:lang w:val="es-ES"/>
              </w:rPr>
              <w:t xml:space="preserve">San Martín et al. (2011); </w:t>
            </w:r>
            <w:proofErr w:type="spellStart"/>
            <w:r w:rsidRPr="004F289D">
              <w:rPr>
                <w:rFonts w:eastAsia="Aptos" w:cs="Times New Roman"/>
                <w:sz w:val="22"/>
                <w:szCs w:val="22"/>
                <w:lang w:val="es-ES"/>
              </w:rPr>
              <w:t>Soltanpanah</w:t>
            </w:r>
            <w:proofErr w:type="spellEnd"/>
            <w:r w:rsidRPr="004F289D">
              <w:rPr>
                <w:rFonts w:eastAsia="Aptos" w:cs="Times New Roman"/>
                <w:sz w:val="22"/>
                <w:szCs w:val="22"/>
                <w:lang w:val="es-ES"/>
              </w:rPr>
              <w:t xml:space="preserve"> et al. (2012); Yang et al. </w:t>
            </w:r>
            <w:r w:rsidRPr="004F289D">
              <w:rPr>
                <w:rFonts w:eastAsia="Aptos" w:cs="Times New Roman"/>
                <w:sz w:val="22"/>
                <w:szCs w:val="22"/>
                <w:lang w:val="en-US"/>
              </w:rPr>
              <w:t xml:space="preserve">(2015); Yen (2010); </w:t>
            </w:r>
            <w:r w:rsidRPr="004F289D">
              <w:rPr>
                <w:rFonts w:eastAsia="Aptos" w:cs="Times New Roman"/>
                <w:sz w:val="22"/>
                <w:szCs w:val="22"/>
              </w:rPr>
              <w:t>Zheng et al. (2012)</w:t>
            </w:r>
          </w:p>
        </w:tc>
      </w:tr>
      <w:tr w:rsidR="004F289D" w:rsidRPr="004F289D" w14:paraId="57167C65" w14:textId="77777777" w:rsidTr="004A5D5C">
        <w:tc>
          <w:tcPr>
            <w:tcW w:w="867" w:type="pct"/>
          </w:tcPr>
          <w:p w14:paraId="55D97000" w14:textId="2EAF9215" w:rsidR="007C5D85" w:rsidRPr="004F289D" w:rsidRDefault="007C5D85" w:rsidP="007C5D85">
            <w:pPr>
              <w:rPr>
                <w:rFonts w:eastAsia="Aptos" w:cs="Times New Roman"/>
                <w:sz w:val="22"/>
                <w:szCs w:val="22"/>
                <w:lang w:val="en-US"/>
              </w:rPr>
            </w:pPr>
            <w:bookmarkStart w:id="4" w:name="_Hlk216250593"/>
            <w:r w:rsidRPr="004F289D">
              <w:rPr>
                <w:rFonts w:eastAsia="Aptos" w:cs="Times New Roman"/>
                <w:sz w:val="22"/>
                <w:szCs w:val="22"/>
                <w:lang w:val="en-US"/>
              </w:rPr>
              <w:t>Source (a.k</w:t>
            </w:r>
            <w:r w:rsidR="00337ECC" w:rsidRPr="004F289D">
              <w:rPr>
                <w:rFonts w:eastAsia="Aptos" w:cs="Times New Roman"/>
                <w:sz w:val="22"/>
                <w:szCs w:val="22"/>
                <w:lang w:val="en-US"/>
              </w:rPr>
              <w:t>.</w:t>
            </w:r>
            <w:r w:rsidRPr="004F289D">
              <w:rPr>
                <w:rFonts w:eastAsia="Aptos" w:cs="Times New Roman"/>
                <w:sz w:val="22"/>
                <w:szCs w:val="22"/>
                <w:lang w:val="en-US"/>
              </w:rPr>
              <w:t>a., information accuracy) risk</w:t>
            </w:r>
          </w:p>
          <w:p w14:paraId="11AAA4D1" w14:textId="77777777" w:rsidR="007C5D85" w:rsidRPr="004F289D" w:rsidRDefault="007C5D85" w:rsidP="007C5D85">
            <w:pPr>
              <w:rPr>
                <w:rFonts w:eastAsia="Aptos" w:cs="Times New Roman"/>
                <w:sz w:val="22"/>
                <w:szCs w:val="22"/>
                <w:lang w:val="en-US"/>
              </w:rPr>
            </w:pPr>
          </w:p>
          <w:p w14:paraId="62D831C0" w14:textId="0AE40F62" w:rsidR="007C5D85" w:rsidRPr="004F289D" w:rsidRDefault="007C5D85" w:rsidP="007C5D85">
            <w:pPr>
              <w:rPr>
                <w:rFonts w:eastAsia="Aptos" w:cs="Times New Roman"/>
                <w:sz w:val="22"/>
                <w:szCs w:val="22"/>
                <w:lang w:val="en-US"/>
              </w:rPr>
            </w:pPr>
          </w:p>
        </w:tc>
        <w:tc>
          <w:tcPr>
            <w:tcW w:w="1600" w:type="pct"/>
          </w:tcPr>
          <w:p w14:paraId="1AF9828C" w14:textId="5A81A038" w:rsidR="007C5D85" w:rsidRPr="004F289D" w:rsidRDefault="007C5D85" w:rsidP="007C5D85">
            <w:pPr>
              <w:rPr>
                <w:rFonts w:eastAsia="Aptos" w:cs="Times New Roman"/>
                <w:sz w:val="22"/>
                <w:szCs w:val="22"/>
                <w:lang w:val="en-US"/>
              </w:rPr>
            </w:pPr>
            <w:r w:rsidRPr="004F289D">
              <w:rPr>
                <w:rFonts w:eastAsia="Aptos" w:cs="Times New Roman"/>
                <w:sz w:val="22"/>
                <w:szCs w:val="22"/>
              </w:rPr>
              <w:t xml:space="preserve">Risk of false or fraudulent online information </w:t>
            </w:r>
          </w:p>
        </w:tc>
        <w:tc>
          <w:tcPr>
            <w:tcW w:w="2533" w:type="pct"/>
          </w:tcPr>
          <w:p w14:paraId="7111E8A2" w14:textId="39EC6A52" w:rsidR="007C5D85" w:rsidRPr="004F289D" w:rsidRDefault="007C5D85" w:rsidP="007C5D85">
            <w:pPr>
              <w:rPr>
                <w:rFonts w:eastAsia="Aptos" w:cs="Times New Roman"/>
                <w:sz w:val="22"/>
                <w:szCs w:val="22"/>
                <w:lang w:val="en-US"/>
              </w:rPr>
            </w:pPr>
            <w:r w:rsidRPr="004F289D">
              <w:rPr>
                <w:rFonts w:eastAsia="Aptos" w:cs="Times New Roman"/>
                <w:sz w:val="22"/>
                <w:szCs w:val="22"/>
                <w:lang w:val="sv-SE"/>
              </w:rPr>
              <w:t xml:space="preserve">Phamthi et al. (2024); Zheng et al. </w:t>
            </w:r>
            <w:r w:rsidRPr="004F289D">
              <w:rPr>
                <w:rFonts w:eastAsia="Aptos" w:cs="Times New Roman"/>
                <w:sz w:val="22"/>
                <w:szCs w:val="22"/>
              </w:rPr>
              <w:t>(2012)</w:t>
            </w:r>
          </w:p>
        </w:tc>
      </w:tr>
      <w:tr w:rsidR="004F289D" w:rsidRPr="004F289D" w14:paraId="1A34E0A8" w14:textId="77777777" w:rsidTr="004A5D5C">
        <w:tc>
          <w:tcPr>
            <w:tcW w:w="867" w:type="pct"/>
          </w:tcPr>
          <w:p w14:paraId="14AF1E1D" w14:textId="77777777" w:rsidR="001F3D08" w:rsidRPr="004F289D" w:rsidRDefault="001F3D08" w:rsidP="00BE5124">
            <w:pPr>
              <w:rPr>
                <w:rFonts w:eastAsia="Aptos" w:cs="Times New Roman"/>
                <w:sz w:val="22"/>
                <w:szCs w:val="22"/>
                <w:lang w:val="en-US"/>
              </w:rPr>
            </w:pPr>
            <w:r w:rsidRPr="004F289D">
              <w:rPr>
                <w:rFonts w:eastAsia="Aptos" w:cs="Times New Roman"/>
                <w:sz w:val="22"/>
                <w:szCs w:val="22"/>
                <w:lang w:val="en-US"/>
              </w:rPr>
              <w:t>Time risk</w:t>
            </w:r>
          </w:p>
        </w:tc>
        <w:tc>
          <w:tcPr>
            <w:tcW w:w="1600" w:type="pct"/>
          </w:tcPr>
          <w:p w14:paraId="1D22F5D6" w14:textId="77777777" w:rsidR="001F3D08" w:rsidRPr="004F289D" w:rsidRDefault="001F3D08" w:rsidP="00BE5124">
            <w:pPr>
              <w:rPr>
                <w:rFonts w:eastAsia="Aptos" w:cs="Times New Roman"/>
                <w:sz w:val="22"/>
                <w:szCs w:val="22"/>
                <w:lang w:val="en-US"/>
              </w:rPr>
            </w:pPr>
            <w:r w:rsidRPr="004F289D">
              <w:rPr>
                <w:rFonts w:eastAsia="Aptos" w:cs="Times New Roman"/>
                <w:sz w:val="22"/>
                <w:szCs w:val="22"/>
              </w:rPr>
              <w:t>Risk of wasting time applying, learning, and completing online payment procedures</w:t>
            </w:r>
          </w:p>
        </w:tc>
        <w:tc>
          <w:tcPr>
            <w:tcW w:w="2533" w:type="pct"/>
          </w:tcPr>
          <w:p w14:paraId="29984E36" w14:textId="77777777" w:rsidR="001F3D08" w:rsidRPr="004F289D" w:rsidRDefault="001F3D08" w:rsidP="00BE5124">
            <w:pPr>
              <w:rPr>
                <w:rFonts w:eastAsia="Aptos" w:cs="Times New Roman"/>
                <w:sz w:val="22"/>
                <w:szCs w:val="22"/>
              </w:rPr>
            </w:pPr>
            <w:proofErr w:type="spellStart"/>
            <w:r w:rsidRPr="004F289D">
              <w:rPr>
                <w:rFonts w:eastAsia="Aptos" w:cs="Times New Roman"/>
                <w:sz w:val="22"/>
                <w:szCs w:val="22"/>
                <w:lang w:val="en-US"/>
              </w:rPr>
              <w:t>Kamalul</w:t>
            </w:r>
            <w:proofErr w:type="spellEnd"/>
            <w:r w:rsidRPr="004F289D">
              <w:rPr>
                <w:rFonts w:eastAsia="Aptos" w:cs="Times New Roman"/>
                <w:sz w:val="22"/>
                <w:szCs w:val="22"/>
                <w:lang w:val="en-US"/>
              </w:rPr>
              <w:t xml:space="preserve"> </w:t>
            </w:r>
            <w:proofErr w:type="spellStart"/>
            <w:r w:rsidRPr="004F289D">
              <w:rPr>
                <w:rFonts w:eastAsia="Aptos" w:cs="Times New Roman"/>
                <w:sz w:val="22"/>
                <w:szCs w:val="22"/>
                <w:lang w:val="en-US"/>
              </w:rPr>
              <w:t>Ariffin</w:t>
            </w:r>
            <w:proofErr w:type="spellEnd"/>
            <w:r w:rsidRPr="004F289D">
              <w:rPr>
                <w:rFonts w:eastAsia="Aptos" w:cs="Times New Roman"/>
                <w:sz w:val="22"/>
                <w:szCs w:val="22"/>
                <w:lang w:val="en-US"/>
              </w:rPr>
              <w:t xml:space="preserve"> et al. (2018); </w:t>
            </w:r>
            <w:proofErr w:type="spellStart"/>
            <w:r w:rsidRPr="004F289D">
              <w:rPr>
                <w:rFonts w:eastAsia="Aptos" w:cs="Times New Roman"/>
                <w:sz w:val="22"/>
                <w:szCs w:val="22"/>
                <w:lang w:val="en-US"/>
              </w:rPr>
              <w:t>Phamthi</w:t>
            </w:r>
            <w:proofErr w:type="spellEnd"/>
            <w:r w:rsidRPr="004F289D">
              <w:rPr>
                <w:rFonts w:eastAsia="Aptos" w:cs="Times New Roman"/>
                <w:sz w:val="22"/>
                <w:szCs w:val="22"/>
                <w:lang w:val="en-US"/>
              </w:rPr>
              <w:t xml:space="preserve"> et al. (2024); </w:t>
            </w:r>
            <w:proofErr w:type="spellStart"/>
            <w:r w:rsidRPr="004F289D">
              <w:rPr>
                <w:rFonts w:eastAsia="Aptos" w:cs="Times New Roman"/>
                <w:sz w:val="22"/>
                <w:szCs w:val="22"/>
                <w:lang w:val="en-US"/>
              </w:rPr>
              <w:t>Soltanpanah</w:t>
            </w:r>
            <w:proofErr w:type="spellEnd"/>
            <w:r w:rsidRPr="004F289D">
              <w:rPr>
                <w:rFonts w:eastAsia="Aptos" w:cs="Times New Roman"/>
                <w:sz w:val="22"/>
                <w:szCs w:val="22"/>
                <w:lang w:val="en-US"/>
              </w:rPr>
              <w:t xml:space="preserve"> et al. (2012); Yang et al. (2015); </w:t>
            </w:r>
            <w:r w:rsidRPr="004F289D">
              <w:rPr>
                <w:rFonts w:eastAsia="Aptos" w:cs="Times New Roman"/>
                <w:sz w:val="22"/>
                <w:szCs w:val="22"/>
              </w:rPr>
              <w:t>Zheng et al. (2012)</w:t>
            </w:r>
          </w:p>
          <w:p w14:paraId="5985C6DB" w14:textId="77777777" w:rsidR="00710711" w:rsidRPr="004F289D" w:rsidRDefault="00710711" w:rsidP="00BE5124">
            <w:pPr>
              <w:rPr>
                <w:rFonts w:eastAsia="Aptos" w:cs="Times New Roman"/>
                <w:sz w:val="22"/>
                <w:szCs w:val="22"/>
              </w:rPr>
            </w:pPr>
          </w:p>
          <w:p w14:paraId="613DC82A" w14:textId="77777777" w:rsidR="00710711" w:rsidRPr="004F289D" w:rsidRDefault="00710711" w:rsidP="00BE5124">
            <w:pPr>
              <w:rPr>
                <w:rFonts w:eastAsia="Aptos" w:cs="Times New Roman"/>
                <w:sz w:val="22"/>
                <w:szCs w:val="22"/>
                <w:lang w:val="en-US"/>
              </w:rPr>
            </w:pPr>
          </w:p>
        </w:tc>
      </w:tr>
    </w:tbl>
    <w:bookmarkEnd w:id="4"/>
    <w:p w14:paraId="5D2A9426" w14:textId="77777777" w:rsidR="00F34CE2" w:rsidRPr="004F289D" w:rsidRDefault="00F34CE2" w:rsidP="00F34CE2">
      <w:pPr>
        <w:spacing w:line="278" w:lineRule="auto"/>
        <w:rPr>
          <w:rFonts w:eastAsia="Aptos" w:cs="Times New Roman"/>
          <w:lang w:val="en-US"/>
        </w:rPr>
      </w:pPr>
      <w:r w:rsidRPr="004F289D">
        <w:rPr>
          <w:rFonts w:eastAsia="Aptos" w:cs="Times New Roman"/>
        </w:rPr>
        <w:t>Source: Author’s own work</w:t>
      </w:r>
    </w:p>
    <w:p w14:paraId="149B0A42" w14:textId="77777777" w:rsidR="001F3D08" w:rsidRPr="004F289D" w:rsidRDefault="001F3D08" w:rsidP="001F3D08">
      <w:pPr>
        <w:spacing w:line="278" w:lineRule="auto"/>
        <w:rPr>
          <w:rFonts w:eastAsia="Aptos" w:cs="Times New Roman"/>
          <w:b/>
          <w:bCs/>
          <w:lang w:val="en-US"/>
        </w:rPr>
      </w:pPr>
    </w:p>
    <w:p w14:paraId="41ABCE13" w14:textId="167FD358" w:rsidR="001F3D08" w:rsidRPr="004F289D" w:rsidRDefault="001F3D08" w:rsidP="001F3D08">
      <w:pPr>
        <w:spacing w:line="278" w:lineRule="auto"/>
        <w:rPr>
          <w:rFonts w:eastAsia="Aptos" w:cs="Times New Roman"/>
          <w:b/>
          <w:bCs/>
          <w:lang w:val="en-US"/>
        </w:rPr>
      </w:pPr>
      <w:r w:rsidRPr="004F289D">
        <w:rPr>
          <w:rFonts w:eastAsia="Aptos" w:cs="Times New Roman"/>
          <w:b/>
          <w:bCs/>
          <w:lang w:val="en-US"/>
        </w:rPr>
        <w:t>Reference list (Table A</w:t>
      </w:r>
      <w:r w:rsidR="00FC73A9" w:rsidRPr="004F289D">
        <w:rPr>
          <w:rFonts w:eastAsia="Aptos" w:cs="Times New Roman"/>
          <w:b/>
          <w:bCs/>
          <w:lang w:val="en-US"/>
        </w:rPr>
        <w:t>4</w:t>
      </w:r>
      <w:r w:rsidRPr="004F289D">
        <w:rPr>
          <w:rFonts w:eastAsia="Aptos" w:cs="Times New Roman"/>
          <w:b/>
          <w:bCs/>
          <w:lang w:val="en-US"/>
        </w:rPr>
        <w:t>)</w:t>
      </w:r>
    </w:p>
    <w:p w14:paraId="770D8225"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Alcántara-Pilar, J.M., Del Barrio-García, S., Porcu, L. and Crespo-Almendros, E. (2017), "Language as a cultural vessel in online servicescapes: Its impact on consumers' perceived risk, attitudes, and behavioural intentions", </w:t>
      </w:r>
      <w:r w:rsidRPr="004F289D">
        <w:rPr>
          <w:rFonts w:eastAsia="Aptos" w:cs="Times New Roman"/>
          <w:i/>
          <w:iCs/>
          <w:lang/>
        </w:rPr>
        <w:t>Journal of Consumer Behaviour</w:t>
      </w:r>
      <w:r w:rsidRPr="004F289D">
        <w:rPr>
          <w:rFonts w:eastAsia="Aptos" w:cs="Times New Roman"/>
          <w:lang/>
        </w:rPr>
        <w:t>, Vol. 16 No. 1, pp. e61–e75.</w:t>
      </w:r>
    </w:p>
    <w:p w14:paraId="5C46BE13"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Carvache-Franco, O., Loaiza-Torres, J., Soto-Montenegro, C., Carvache-Franco, M. and Carvache-Franco, W. (2022), "The risks perceived by the consumer in the acceptance of electronic commerce: A study of Bolivia", </w:t>
      </w:r>
      <w:r w:rsidRPr="004F289D">
        <w:rPr>
          <w:rFonts w:eastAsia="Aptos" w:cs="Times New Roman"/>
          <w:i/>
          <w:iCs/>
          <w:lang/>
        </w:rPr>
        <w:t>PLOS ONE</w:t>
      </w:r>
      <w:r w:rsidRPr="004F289D">
        <w:rPr>
          <w:rFonts w:eastAsia="Aptos" w:cs="Times New Roman"/>
          <w:lang/>
        </w:rPr>
        <w:t>, Vol. 17 No. 11, e0276853.</w:t>
      </w:r>
    </w:p>
    <w:p w14:paraId="20F6C9D4"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Chen, Q., Yuan, Y., Feng, Y. and Archer, N. (2021), "A decision paradox: Benefit vs risk and trust vs distrust for online dating adoption vs non-adoption", </w:t>
      </w:r>
      <w:r w:rsidRPr="004F289D">
        <w:rPr>
          <w:rFonts w:eastAsia="Aptos" w:cs="Times New Roman"/>
          <w:i/>
          <w:iCs/>
          <w:lang/>
        </w:rPr>
        <w:t>Internet Research</w:t>
      </w:r>
      <w:r w:rsidRPr="004F289D">
        <w:rPr>
          <w:rFonts w:eastAsia="Aptos" w:cs="Times New Roman"/>
          <w:lang/>
        </w:rPr>
        <w:t>, Vol. 31 No. 1, pp. 341–375.</w:t>
      </w:r>
    </w:p>
    <w:p w14:paraId="36A98536" w14:textId="77777777" w:rsidR="001F3D08" w:rsidRPr="004F289D" w:rsidRDefault="001F3D08" w:rsidP="001F3D08">
      <w:pPr>
        <w:spacing w:line="278" w:lineRule="auto"/>
        <w:rPr>
          <w:rFonts w:eastAsia="Aptos" w:cs="Times New Roman"/>
          <w:lang/>
        </w:rPr>
      </w:pPr>
      <w:bookmarkStart w:id="5" w:name="_Hlk216257731"/>
      <w:r w:rsidRPr="004F289D">
        <w:rPr>
          <w:rFonts w:eastAsia="Aptos" w:cs="Times New Roman"/>
          <w:lang/>
        </w:rPr>
        <w:t xml:space="preserve">Cheung, C.M.K., Lee, Z.W.Y. and Chan, T.K.H. (2015), "Self-disclosure in social networking sites: The role of perceived cost, perceived benefits and social influence", </w:t>
      </w:r>
      <w:r w:rsidRPr="004F289D">
        <w:rPr>
          <w:rFonts w:eastAsia="Aptos" w:cs="Times New Roman"/>
          <w:i/>
          <w:iCs/>
          <w:lang/>
        </w:rPr>
        <w:t>Internet Research</w:t>
      </w:r>
      <w:r w:rsidRPr="004F289D">
        <w:rPr>
          <w:rFonts w:eastAsia="Aptos" w:cs="Times New Roman"/>
          <w:lang/>
        </w:rPr>
        <w:t>, Vol. 25 No. 2, pp. 279–299.</w:t>
      </w:r>
    </w:p>
    <w:p w14:paraId="20682F21" w14:textId="77777777" w:rsidR="001F3D08" w:rsidRPr="004F289D" w:rsidRDefault="001F3D08" w:rsidP="001F3D08">
      <w:pPr>
        <w:spacing w:line="278" w:lineRule="auto"/>
        <w:rPr>
          <w:rFonts w:eastAsia="Aptos" w:cs="Times New Roman"/>
          <w:lang/>
        </w:rPr>
      </w:pPr>
      <w:bookmarkStart w:id="6" w:name="_Hlk216257677"/>
      <w:bookmarkEnd w:id="5"/>
      <w:r w:rsidRPr="004F289D">
        <w:rPr>
          <w:rFonts w:eastAsia="Aptos" w:cs="Times New Roman"/>
          <w:lang/>
        </w:rPr>
        <w:t xml:space="preserve">Ha, H.-Y. and Pan, H. (2018), "The evolution of perceived security: The temporal role of SNS information perceptions", </w:t>
      </w:r>
      <w:r w:rsidRPr="004F289D">
        <w:rPr>
          <w:rFonts w:eastAsia="Aptos" w:cs="Times New Roman"/>
          <w:i/>
          <w:iCs/>
          <w:lang/>
        </w:rPr>
        <w:t>Internet Research</w:t>
      </w:r>
      <w:r w:rsidRPr="004F289D">
        <w:rPr>
          <w:rFonts w:eastAsia="Aptos" w:cs="Times New Roman"/>
          <w:lang/>
        </w:rPr>
        <w:t>, Vol. 28 No. 4, pp. 1055–1078.</w:t>
      </w:r>
    </w:p>
    <w:p w14:paraId="57E4B58A" w14:textId="77777777" w:rsidR="001F3D08" w:rsidRPr="004F289D" w:rsidRDefault="001F3D08" w:rsidP="001F3D08">
      <w:pPr>
        <w:spacing w:line="278" w:lineRule="auto"/>
        <w:rPr>
          <w:rFonts w:eastAsia="Aptos" w:cs="Times New Roman"/>
          <w:lang/>
        </w:rPr>
      </w:pPr>
      <w:bookmarkStart w:id="7" w:name="_Hlk216257715"/>
      <w:bookmarkEnd w:id="6"/>
      <w:r w:rsidRPr="004F289D">
        <w:rPr>
          <w:rFonts w:eastAsia="Aptos" w:cs="Times New Roman"/>
          <w:lang/>
        </w:rPr>
        <w:t xml:space="preserve">Hansen, J.M., Saridakis, G. and Benson, V. (2018), "Risk, trust, and the interaction of perceived ease of use and behavioral control in predicting consumers’ use of social media for transactions", </w:t>
      </w:r>
      <w:r w:rsidRPr="004F289D">
        <w:rPr>
          <w:rFonts w:eastAsia="Aptos" w:cs="Times New Roman"/>
          <w:i/>
          <w:iCs/>
          <w:lang/>
        </w:rPr>
        <w:t>Computers in Human Behavior</w:t>
      </w:r>
      <w:r w:rsidRPr="004F289D">
        <w:rPr>
          <w:rFonts w:eastAsia="Aptos" w:cs="Times New Roman"/>
          <w:lang/>
        </w:rPr>
        <w:t>, Vol. 80, pp. 197–206.</w:t>
      </w:r>
    </w:p>
    <w:bookmarkEnd w:id="7"/>
    <w:p w14:paraId="7C1563F1" w14:textId="293665F8" w:rsidR="001F3D08" w:rsidRPr="004F289D" w:rsidRDefault="001F3D08" w:rsidP="001F3D08">
      <w:pPr>
        <w:spacing w:line="278" w:lineRule="auto"/>
        <w:rPr>
          <w:rFonts w:eastAsia="Aptos" w:cs="Times New Roman"/>
          <w:lang/>
        </w:rPr>
      </w:pPr>
      <w:r w:rsidRPr="004F289D">
        <w:rPr>
          <w:rFonts w:eastAsia="Aptos" w:cs="Times New Roman"/>
          <w:lang/>
        </w:rPr>
        <w:t xml:space="preserve">Kamalul Ariffin, S., Mohan, T. and Goh, Y.-N. (2018), "Influence of consumers’ perceived risk on consumers’ online purchase intention", </w:t>
      </w:r>
      <w:r w:rsidRPr="004F289D">
        <w:rPr>
          <w:rFonts w:eastAsia="Aptos" w:cs="Times New Roman"/>
          <w:i/>
          <w:iCs/>
          <w:lang/>
        </w:rPr>
        <w:t>Journal of Research in Interactive Marketing</w:t>
      </w:r>
      <w:r w:rsidRPr="004F289D">
        <w:rPr>
          <w:rFonts w:eastAsia="Aptos" w:cs="Times New Roman"/>
          <w:lang/>
        </w:rPr>
        <w:t>, Vol. 12 No. 3, pp. 309–327.</w:t>
      </w:r>
    </w:p>
    <w:p w14:paraId="5BA81B92" w14:textId="77777777" w:rsidR="001F3D08" w:rsidRPr="004F289D" w:rsidRDefault="001F3D08" w:rsidP="001F3D08">
      <w:pPr>
        <w:spacing w:line="278" w:lineRule="auto"/>
        <w:rPr>
          <w:rFonts w:eastAsia="Aptos" w:cs="Times New Roman"/>
          <w:lang/>
        </w:rPr>
      </w:pPr>
      <w:bookmarkStart w:id="8" w:name="_Hlk216257967"/>
      <w:r w:rsidRPr="004F289D">
        <w:rPr>
          <w:rFonts w:eastAsia="Aptos" w:cs="Times New Roman"/>
          <w:lang/>
        </w:rPr>
        <w:t xml:space="preserve">Maziriri, E.T. and Chuchu, T. (2017), "The conception of consumer perceived risk towards online purchases of apparel and an idiosyncratic scrutiny of perceived social risk: A review of literature", </w:t>
      </w:r>
      <w:r w:rsidRPr="004F289D">
        <w:rPr>
          <w:rFonts w:eastAsia="Aptos" w:cs="Times New Roman"/>
          <w:i/>
          <w:iCs/>
          <w:lang/>
        </w:rPr>
        <w:t>International Review of Management and Marketing</w:t>
      </w:r>
      <w:r w:rsidRPr="004F289D">
        <w:rPr>
          <w:rFonts w:eastAsia="Aptos" w:cs="Times New Roman"/>
          <w:lang/>
        </w:rPr>
        <w:t>, Vol. 7 No. 3, pp. 257–265.</w:t>
      </w:r>
    </w:p>
    <w:bookmarkEnd w:id="8"/>
    <w:p w14:paraId="5B36962A" w14:textId="77777777" w:rsidR="001F3D08" w:rsidRPr="004F289D" w:rsidRDefault="001F3D08" w:rsidP="001F3D08">
      <w:pPr>
        <w:spacing w:line="278" w:lineRule="auto"/>
        <w:rPr>
          <w:rFonts w:eastAsia="Aptos" w:cs="Times New Roman"/>
          <w:lang/>
        </w:rPr>
      </w:pPr>
      <w:r w:rsidRPr="004F289D">
        <w:rPr>
          <w:rFonts w:eastAsia="Aptos" w:cs="Times New Roman"/>
          <w:lang/>
        </w:rPr>
        <w:lastRenderedPageBreak/>
        <w:t xml:space="preserve">Pappas, N. (2016), "Marketing strategies, perceived risks, and consumer trust in online buying behaviour", </w:t>
      </w:r>
      <w:r w:rsidRPr="004F289D">
        <w:rPr>
          <w:rFonts w:eastAsia="Aptos" w:cs="Times New Roman"/>
          <w:i/>
          <w:iCs/>
          <w:lang/>
        </w:rPr>
        <w:t>Journal of Retailing and Consumer Services</w:t>
      </w:r>
      <w:r w:rsidRPr="004F289D">
        <w:rPr>
          <w:rFonts w:eastAsia="Aptos" w:cs="Times New Roman"/>
          <w:lang/>
        </w:rPr>
        <w:t>, Vol. 29, pp. 92–103.</w:t>
      </w:r>
    </w:p>
    <w:p w14:paraId="582BB933" w14:textId="77777777" w:rsidR="001F3D08" w:rsidRPr="004F289D" w:rsidRDefault="001F3D08" w:rsidP="001F3D08">
      <w:pPr>
        <w:spacing w:line="278" w:lineRule="auto"/>
        <w:rPr>
          <w:rFonts w:eastAsia="Aptos" w:cs="Times New Roman"/>
          <w:lang/>
        </w:rPr>
      </w:pPr>
      <w:bookmarkStart w:id="9" w:name="_Hlk216257699"/>
      <w:r w:rsidRPr="004F289D">
        <w:rPr>
          <w:rFonts w:eastAsia="Aptos" w:cs="Times New Roman"/>
          <w:lang/>
        </w:rPr>
        <w:t xml:space="preserve">Phamthi, V.A., Nagy, Á. and Ngo, T.M. (2024), "The influence of perceived risk on purchase intention in e-commerce—Systematic review and research agenda", </w:t>
      </w:r>
      <w:r w:rsidRPr="004F289D">
        <w:rPr>
          <w:rFonts w:eastAsia="Aptos" w:cs="Times New Roman"/>
          <w:i/>
          <w:iCs/>
          <w:lang/>
        </w:rPr>
        <w:t>International Journal of Consumer Studies</w:t>
      </w:r>
      <w:r w:rsidRPr="004F289D">
        <w:rPr>
          <w:rFonts w:eastAsia="Aptos" w:cs="Times New Roman"/>
          <w:lang/>
        </w:rPr>
        <w:t>, Vol. 48 No. 4, e13067.</w:t>
      </w:r>
    </w:p>
    <w:bookmarkEnd w:id="9"/>
    <w:p w14:paraId="206CC19B"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Roy, R. and Shaikh, A. (2024), "The impact of online consumer review confusion on online shopping cart abandonment: A mediating role of perceived risk and moderating role of mindfulness", </w:t>
      </w:r>
      <w:r w:rsidRPr="004F289D">
        <w:rPr>
          <w:rFonts w:eastAsia="Aptos" w:cs="Times New Roman"/>
          <w:i/>
          <w:iCs/>
          <w:lang/>
        </w:rPr>
        <w:t>Journal of Retailing and Consumer Services</w:t>
      </w:r>
      <w:r w:rsidRPr="004F289D">
        <w:rPr>
          <w:rFonts w:eastAsia="Aptos" w:cs="Times New Roman"/>
          <w:lang/>
        </w:rPr>
        <w:t>, Vol. 81, 103941.</w:t>
      </w:r>
    </w:p>
    <w:p w14:paraId="074C1641" w14:textId="77777777" w:rsidR="001F3D08" w:rsidRPr="004F289D" w:rsidRDefault="001F3D08" w:rsidP="001F3D08">
      <w:pPr>
        <w:spacing w:line="278" w:lineRule="auto"/>
        <w:rPr>
          <w:rFonts w:eastAsia="Aptos" w:cs="Times New Roman"/>
          <w:lang/>
        </w:rPr>
      </w:pPr>
      <w:bookmarkStart w:id="10" w:name="_Hlk216257912"/>
      <w:r w:rsidRPr="004F289D">
        <w:rPr>
          <w:rFonts w:eastAsia="Aptos" w:cs="Times New Roman"/>
          <w:lang/>
        </w:rPr>
        <w:t xml:space="preserve">Sabiote, C.M., Frías, D.M. and Castañeda, J.A. (2012), "The moderating effect of uncertainty-avoidance on overall perceived value of a service purchased online", </w:t>
      </w:r>
      <w:r w:rsidRPr="004F289D">
        <w:rPr>
          <w:rFonts w:eastAsia="Aptos" w:cs="Times New Roman"/>
          <w:i/>
          <w:iCs/>
          <w:lang/>
        </w:rPr>
        <w:t>Internet Research</w:t>
      </w:r>
      <w:r w:rsidRPr="004F289D">
        <w:rPr>
          <w:rFonts w:eastAsia="Aptos" w:cs="Times New Roman"/>
          <w:lang/>
        </w:rPr>
        <w:t>, Vol. 22 No. 2, pp. 180–198.</w:t>
      </w:r>
    </w:p>
    <w:p w14:paraId="0CFE5EE8" w14:textId="77777777" w:rsidR="001F3D08" w:rsidRPr="004F289D" w:rsidRDefault="001F3D08" w:rsidP="001F3D08">
      <w:pPr>
        <w:spacing w:line="278" w:lineRule="auto"/>
        <w:rPr>
          <w:rFonts w:eastAsia="Aptos" w:cs="Times New Roman"/>
          <w:lang/>
        </w:rPr>
      </w:pPr>
      <w:bookmarkStart w:id="11" w:name="_Hlk216257774"/>
      <w:bookmarkEnd w:id="10"/>
      <w:r w:rsidRPr="004F289D">
        <w:rPr>
          <w:rFonts w:eastAsia="Aptos" w:cs="Times New Roman"/>
          <w:lang/>
        </w:rPr>
        <w:t xml:space="preserve">San Martín, S., Camarero, C. and San José, R. (2011), "Dual effect of perceived risk on cross-national e-commerce", </w:t>
      </w:r>
      <w:r w:rsidRPr="004F289D">
        <w:rPr>
          <w:rFonts w:eastAsia="Aptos" w:cs="Times New Roman"/>
          <w:i/>
          <w:iCs/>
          <w:lang/>
        </w:rPr>
        <w:t>Internet Research</w:t>
      </w:r>
      <w:r w:rsidRPr="004F289D">
        <w:rPr>
          <w:rFonts w:eastAsia="Aptos" w:cs="Times New Roman"/>
          <w:lang/>
        </w:rPr>
        <w:t>, Vol. 21 No. 1, pp. 46–66.</w:t>
      </w:r>
    </w:p>
    <w:bookmarkEnd w:id="11"/>
    <w:p w14:paraId="158BB2F7"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Soltanpanah, H., Shafe'ei, R. and Mirani, V. (2012), "A review of the literature of perceived risk and identifying its various facets in e-commerce by customers: Focusing on developing countries", </w:t>
      </w:r>
      <w:r w:rsidRPr="004F289D">
        <w:rPr>
          <w:rFonts w:eastAsia="Aptos" w:cs="Times New Roman"/>
          <w:i/>
          <w:iCs/>
          <w:lang/>
        </w:rPr>
        <w:t>African Journal of Business Management</w:t>
      </w:r>
      <w:r w:rsidRPr="004F289D">
        <w:rPr>
          <w:rFonts w:eastAsia="Aptos" w:cs="Times New Roman"/>
          <w:lang/>
        </w:rPr>
        <w:t>, Vol. 6 No. 8, pp. 2888–2896.</w:t>
      </w:r>
    </w:p>
    <w:p w14:paraId="2B5D688D"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Thakur, R. and Srivastava, M. (2014), "Adoption readiness, personal innovativeness, perceived risk and usage intention across customer groups for mobile payment services in India", </w:t>
      </w:r>
      <w:r w:rsidRPr="004F289D">
        <w:rPr>
          <w:rFonts w:eastAsia="Aptos" w:cs="Times New Roman"/>
          <w:i/>
          <w:iCs/>
          <w:lang/>
        </w:rPr>
        <w:t>Internet Research</w:t>
      </w:r>
      <w:r w:rsidRPr="004F289D">
        <w:rPr>
          <w:rFonts w:eastAsia="Aptos" w:cs="Times New Roman"/>
          <w:lang/>
        </w:rPr>
        <w:t>, Vol. 24 No. 3, pp. 369–392.</w:t>
      </w:r>
    </w:p>
    <w:p w14:paraId="3980B341"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Xu, B., Lin, Z. and Shao, B. (2010), "Factors affecting consumer behaviors in online buy-it-now auctions", </w:t>
      </w:r>
      <w:r w:rsidRPr="004F289D">
        <w:rPr>
          <w:rFonts w:eastAsia="Aptos" w:cs="Times New Roman"/>
          <w:i/>
          <w:iCs/>
          <w:lang/>
        </w:rPr>
        <w:t>Internet Research</w:t>
      </w:r>
      <w:r w:rsidRPr="004F289D">
        <w:rPr>
          <w:rFonts w:eastAsia="Aptos" w:cs="Times New Roman"/>
          <w:lang/>
        </w:rPr>
        <w:t>, Vol. 20 No. 5, pp. 509–526.</w:t>
      </w:r>
    </w:p>
    <w:p w14:paraId="196989C6"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Xu, X. and Jackson, J.E. (2023), "The asymmetric role of perceived quality and perceived risk in consumers’ Try-Before-You-Buy model acceptance intention", </w:t>
      </w:r>
      <w:r w:rsidRPr="004F289D">
        <w:rPr>
          <w:rFonts w:eastAsia="Aptos" w:cs="Times New Roman"/>
          <w:i/>
          <w:iCs/>
          <w:lang/>
        </w:rPr>
        <w:t>Journal of Internet Commerce</w:t>
      </w:r>
      <w:r w:rsidRPr="004F289D">
        <w:rPr>
          <w:rFonts w:eastAsia="Aptos" w:cs="Times New Roman"/>
          <w:lang/>
        </w:rPr>
        <w:t>, Vol. 22 No. 4, pp. 455–479.</w:t>
      </w:r>
    </w:p>
    <w:p w14:paraId="00D73D83"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Yang, Q., Pang, C., Liu, L., Yen, D.C. and Tarn, J.M. (2015), "Exploring consumer perceived risk and trust for online payments: An empirical study in China’s younger generation", </w:t>
      </w:r>
      <w:r w:rsidRPr="004F289D">
        <w:rPr>
          <w:rFonts w:eastAsia="Aptos" w:cs="Times New Roman"/>
          <w:i/>
          <w:iCs/>
          <w:lang/>
        </w:rPr>
        <w:t>Computers in Human Behavior</w:t>
      </w:r>
      <w:r w:rsidRPr="004F289D">
        <w:rPr>
          <w:rFonts w:eastAsia="Aptos" w:cs="Times New Roman"/>
          <w:lang/>
        </w:rPr>
        <w:t>, Vol. 50, pp. 9–24.</w:t>
      </w:r>
    </w:p>
    <w:p w14:paraId="5C5F7021"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Yen, Y.-S. (2010), "Can perceived risks affect the relationship of switching costs and customer loyalty in e-commerce?", </w:t>
      </w:r>
      <w:r w:rsidRPr="004F289D">
        <w:rPr>
          <w:rFonts w:eastAsia="Aptos" w:cs="Times New Roman"/>
          <w:i/>
          <w:iCs/>
          <w:lang/>
        </w:rPr>
        <w:t>Internet Research</w:t>
      </w:r>
      <w:r w:rsidRPr="004F289D">
        <w:rPr>
          <w:rFonts w:eastAsia="Aptos" w:cs="Times New Roman"/>
          <w:lang/>
        </w:rPr>
        <w:t>, Vol. 20 No. 2, pp. 210–224.</w:t>
      </w:r>
    </w:p>
    <w:p w14:paraId="545D7BE7"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Zhang, T., Wang, W.Y.C., Cao, L. and Wang, Y. (2019), "The role of virtual try-on technology in online purchase decision from consumers’ aspect", </w:t>
      </w:r>
      <w:r w:rsidRPr="004F289D">
        <w:rPr>
          <w:rFonts w:eastAsia="Aptos" w:cs="Times New Roman"/>
          <w:i/>
          <w:iCs/>
          <w:lang/>
        </w:rPr>
        <w:t>Internet Research</w:t>
      </w:r>
      <w:r w:rsidRPr="004F289D">
        <w:rPr>
          <w:rFonts w:eastAsia="Aptos" w:cs="Times New Roman"/>
          <w:lang/>
        </w:rPr>
        <w:t>, Vol. 29 No. 3, pp. 529–551.</w:t>
      </w:r>
    </w:p>
    <w:p w14:paraId="21673106" w14:textId="77777777" w:rsidR="001F3D08" w:rsidRPr="004F289D" w:rsidRDefault="001F3D08" w:rsidP="001F3D08">
      <w:pPr>
        <w:spacing w:line="278" w:lineRule="auto"/>
        <w:rPr>
          <w:rFonts w:eastAsia="Aptos" w:cs="Times New Roman"/>
          <w:lang/>
        </w:rPr>
      </w:pPr>
      <w:r w:rsidRPr="004F289D">
        <w:rPr>
          <w:rFonts w:eastAsia="Aptos" w:cs="Times New Roman"/>
          <w:lang/>
        </w:rPr>
        <w:t xml:space="preserve">Zhang, X. and Yu, X. (2020), "The impact of perceived risk on consumers’ cross-platform buying behavior", </w:t>
      </w:r>
      <w:r w:rsidRPr="004F289D">
        <w:rPr>
          <w:rFonts w:eastAsia="Aptos" w:cs="Times New Roman"/>
          <w:i/>
          <w:iCs/>
          <w:lang/>
        </w:rPr>
        <w:t>Frontiers in Psychology</w:t>
      </w:r>
      <w:r w:rsidRPr="004F289D">
        <w:rPr>
          <w:rFonts w:eastAsia="Aptos" w:cs="Times New Roman"/>
          <w:lang/>
        </w:rPr>
        <w:t>, Vol. 11, 592246.</w:t>
      </w:r>
    </w:p>
    <w:p w14:paraId="6BE83F56" w14:textId="77777777" w:rsidR="0041090C" w:rsidRPr="004F289D" w:rsidRDefault="0041090C" w:rsidP="001F3D08">
      <w:pPr>
        <w:spacing w:line="278" w:lineRule="auto"/>
        <w:rPr>
          <w:rFonts w:eastAsia="Aptos" w:cs="Times New Roman"/>
          <w:lang w:val="en-US"/>
        </w:rPr>
      </w:pPr>
      <w:r w:rsidRPr="004F289D">
        <w:rPr>
          <w:rFonts w:eastAsia="Aptos" w:cs="Times New Roman"/>
          <w:lang w:val="en-US"/>
        </w:rPr>
        <w:t xml:space="preserve">Zhang, Z. and </w:t>
      </w:r>
      <w:proofErr w:type="spellStart"/>
      <w:r w:rsidRPr="004F289D">
        <w:rPr>
          <w:rFonts w:eastAsia="Aptos" w:cs="Times New Roman"/>
          <w:lang w:val="en-US"/>
        </w:rPr>
        <w:t>Hou</w:t>
      </w:r>
      <w:proofErr w:type="spellEnd"/>
      <w:r w:rsidRPr="004F289D">
        <w:rPr>
          <w:rFonts w:eastAsia="Aptos" w:cs="Times New Roman"/>
          <w:lang w:val="en-US"/>
        </w:rPr>
        <w:t xml:space="preserve">, Y. (2017), “The effect of perceived risk on information search for innovative products and services: the moderating role of innate consumer innovativeness”, </w:t>
      </w:r>
      <w:r w:rsidRPr="004F289D">
        <w:rPr>
          <w:rFonts w:eastAsia="Aptos" w:cs="Times New Roman"/>
          <w:i/>
          <w:iCs/>
          <w:lang w:val="en-US"/>
        </w:rPr>
        <w:t>Journal of Consumer Marketing</w:t>
      </w:r>
      <w:r w:rsidRPr="004F289D">
        <w:rPr>
          <w:rFonts w:eastAsia="Aptos" w:cs="Times New Roman"/>
          <w:lang w:val="en-US"/>
        </w:rPr>
        <w:t xml:space="preserve">, Vol. 34 No. 3, pp. 241–254. </w:t>
      </w:r>
    </w:p>
    <w:p w14:paraId="0ED0806F" w14:textId="42F92AB5" w:rsidR="00AB32ED" w:rsidRPr="004F289D" w:rsidRDefault="001F3D08" w:rsidP="001F3D08">
      <w:pPr>
        <w:spacing w:line="278" w:lineRule="auto"/>
        <w:rPr>
          <w:rFonts w:eastAsia="Aptos" w:cs="Times New Roman"/>
          <w:lang/>
        </w:rPr>
      </w:pPr>
      <w:r w:rsidRPr="004F289D">
        <w:rPr>
          <w:rFonts w:eastAsia="Aptos" w:cs="Times New Roman"/>
          <w:lang/>
        </w:rPr>
        <w:t xml:space="preserve">Zheng, L., Favier, M., Huang, P. and Coat, F. (2012), "Chinese consumer perceived risk and risk relievers in e-shopping for clothing", </w:t>
      </w:r>
      <w:r w:rsidRPr="004F289D">
        <w:rPr>
          <w:rFonts w:eastAsia="Aptos" w:cs="Times New Roman"/>
          <w:i/>
          <w:iCs/>
          <w:lang/>
        </w:rPr>
        <w:t>Journal of Electronic Commerce Research</w:t>
      </w:r>
      <w:r w:rsidRPr="004F289D">
        <w:rPr>
          <w:rFonts w:eastAsia="Aptos" w:cs="Times New Roman"/>
          <w:lang/>
        </w:rPr>
        <w:t>, Vol. 13 No. 3, pp. 255–274.</w:t>
      </w:r>
    </w:p>
    <w:p w14:paraId="7318A676" w14:textId="730698E2" w:rsidR="004E265D" w:rsidRPr="004F289D" w:rsidRDefault="00AB32ED" w:rsidP="00F34232">
      <w:pPr>
        <w:rPr>
          <w:rFonts w:eastAsia="Aptos" w:cs="Times New Roman"/>
          <w:b/>
          <w:bCs/>
          <w:lang w:val="en-US"/>
        </w:rPr>
      </w:pPr>
      <w:r w:rsidRPr="004F289D">
        <w:rPr>
          <w:rFonts w:eastAsia="Aptos" w:cs="Times New Roman"/>
          <w:lang/>
        </w:rPr>
        <w:br w:type="page"/>
      </w:r>
      <w:r w:rsidR="004E265D" w:rsidRPr="004F289D">
        <w:rPr>
          <w:rFonts w:eastAsia="Aptos" w:cs="Times New Roman"/>
          <w:b/>
          <w:bCs/>
          <w:lang w:val="en-US"/>
        </w:rPr>
        <w:lastRenderedPageBreak/>
        <w:t>Table A</w:t>
      </w:r>
      <w:r w:rsidR="00FC73A9" w:rsidRPr="004F289D">
        <w:rPr>
          <w:rFonts w:eastAsia="Aptos" w:cs="Times New Roman"/>
          <w:b/>
          <w:bCs/>
          <w:lang w:val="en-US"/>
        </w:rPr>
        <w:t>5</w:t>
      </w:r>
      <w:r w:rsidR="004E265D" w:rsidRPr="004F289D">
        <w:rPr>
          <w:rFonts w:eastAsia="Aptos" w:cs="Times New Roman"/>
          <w:b/>
          <w:bCs/>
          <w:lang w:val="en-US"/>
        </w:rPr>
        <w:t xml:space="preserve">. </w:t>
      </w:r>
      <w:r w:rsidR="004E265D" w:rsidRPr="004F289D">
        <w:rPr>
          <w:rFonts w:eastAsia="Aptos" w:cs="Times New Roman"/>
          <w:lang w:val="en-US"/>
        </w:rPr>
        <w:t>Dimensions of trust in online shopping</w:t>
      </w:r>
    </w:p>
    <w:tbl>
      <w:tblPr>
        <w:tblStyle w:val="TableGrid2"/>
        <w:tblW w:w="6257" w:type="pct"/>
        <w:tblInd w:w="-11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4"/>
        <w:gridCol w:w="4821"/>
        <w:gridCol w:w="3551"/>
      </w:tblGrid>
      <w:tr w:rsidR="004F289D" w:rsidRPr="004F289D" w14:paraId="7AE4F144" w14:textId="77777777" w:rsidTr="00BC7031">
        <w:tc>
          <w:tcPr>
            <w:tcW w:w="1119" w:type="pct"/>
            <w:tcBorders>
              <w:top w:val="single" w:sz="4" w:space="0" w:color="auto"/>
              <w:bottom w:val="single" w:sz="4" w:space="0" w:color="auto"/>
            </w:tcBorders>
          </w:tcPr>
          <w:p w14:paraId="216FAE79"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Dimensions</w:t>
            </w:r>
          </w:p>
          <w:p w14:paraId="13B6F74E" w14:textId="77777777" w:rsidR="00DB132D" w:rsidRPr="004F289D" w:rsidRDefault="00DB132D" w:rsidP="004E265D">
            <w:pPr>
              <w:rPr>
                <w:rFonts w:eastAsia="Aptos" w:cs="Times New Roman"/>
                <w:sz w:val="22"/>
                <w:szCs w:val="22"/>
                <w:lang w:val="en-US"/>
              </w:rPr>
            </w:pPr>
          </w:p>
        </w:tc>
        <w:tc>
          <w:tcPr>
            <w:tcW w:w="2235" w:type="pct"/>
            <w:tcBorders>
              <w:top w:val="single" w:sz="4" w:space="0" w:color="auto"/>
              <w:bottom w:val="single" w:sz="4" w:space="0" w:color="auto"/>
            </w:tcBorders>
          </w:tcPr>
          <w:p w14:paraId="6D3A1751"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Definitions</w:t>
            </w:r>
          </w:p>
        </w:tc>
        <w:tc>
          <w:tcPr>
            <w:tcW w:w="1646" w:type="pct"/>
            <w:tcBorders>
              <w:top w:val="single" w:sz="4" w:space="0" w:color="auto"/>
              <w:bottom w:val="single" w:sz="4" w:space="0" w:color="auto"/>
            </w:tcBorders>
          </w:tcPr>
          <w:p w14:paraId="689D702A" w14:textId="66978AC5" w:rsidR="004E265D" w:rsidRPr="004F289D" w:rsidRDefault="00F77C54" w:rsidP="004E265D">
            <w:pPr>
              <w:rPr>
                <w:rFonts w:eastAsia="Aptos" w:cs="Times New Roman"/>
                <w:sz w:val="22"/>
                <w:szCs w:val="22"/>
                <w:lang w:val="en-US"/>
              </w:rPr>
            </w:pPr>
            <w:r w:rsidRPr="004F289D">
              <w:rPr>
                <w:rFonts w:eastAsia="Aptos" w:cs="Times New Roman"/>
                <w:sz w:val="22"/>
                <w:szCs w:val="22"/>
                <w:lang w:val="en-US"/>
              </w:rPr>
              <w:t>Studies</w:t>
            </w:r>
          </w:p>
        </w:tc>
      </w:tr>
      <w:tr w:rsidR="004F289D" w:rsidRPr="004F289D" w14:paraId="3C7C7E61" w14:textId="77777777" w:rsidTr="00BC7031">
        <w:tc>
          <w:tcPr>
            <w:tcW w:w="1119" w:type="pct"/>
            <w:tcBorders>
              <w:top w:val="single" w:sz="4" w:space="0" w:color="auto"/>
            </w:tcBorders>
          </w:tcPr>
          <w:p w14:paraId="3C08C121"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Trust in the web site</w:t>
            </w:r>
          </w:p>
          <w:p w14:paraId="36E5D98B" w14:textId="77777777" w:rsidR="004E265D" w:rsidRPr="004F289D" w:rsidRDefault="004E265D" w:rsidP="004E265D">
            <w:pPr>
              <w:rPr>
                <w:rFonts w:eastAsia="Aptos" w:cs="Times New Roman"/>
                <w:sz w:val="22"/>
                <w:szCs w:val="22"/>
                <w:lang w:val="en-US"/>
              </w:rPr>
            </w:pPr>
          </w:p>
        </w:tc>
        <w:tc>
          <w:tcPr>
            <w:tcW w:w="2235" w:type="pct"/>
            <w:tcBorders>
              <w:top w:val="single" w:sz="4" w:space="0" w:color="auto"/>
            </w:tcBorders>
          </w:tcPr>
          <w:p w14:paraId="2AD77912" w14:textId="45C81330"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Consumers’ belief that the website’s technology, security, and information are reliable, making it safe to conduct transactions</w:t>
            </w:r>
            <w:r w:rsidR="00E91A21" w:rsidRPr="004F289D">
              <w:rPr>
                <w:rFonts w:eastAsia="Aptos" w:cs="Times New Roman"/>
                <w:sz w:val="22"/>
                <w:szCs w:val="22"/>
                <w:lang w:val="en-US"/>
              </w:rPr>
              <w:t>.</w:t>
            </w:r>
          </w:p>
        </w:tc>
        <w:tc>
          <w:tcPr>
            <w:tcW w:w="1646" w:type="pct"/>
            <w:tcBorders>
              <w:top w:val="single" w:sz="4" w:space="0" w:color="auto"/>
            </w:tcBorders>
          </w:tcPr>
          <w:p w14:paraId="1603A0A9" w14:textId="01375AEF" w:rsidR="004E265D" w:rsidRPr="004F289D" w:rsidRDefault="004E265D" w:rsidP="004E265D">
            <w:pPr>
              <w:rPr>
                <w:rFonts w:eastAsia="Aptos" w:cs="Times New Roman"/>
                <w:sz w:val="22"/>
                <w:szCs w:val="22"/>
                <w:lang w:val="en-US"/>
              </w:rPr>
            </w:pPr>
            <w:proofErr w:type="spellStart"/>
            <w:r w:rsidRPr="004F289D">
              <w:rPr>
                <w:rFonts w:eastAsia="Aptos" w:cs="Times New Roman"/>
                <w:sz w:val="22"/>
                <w:szCs w:val="22"/>
                <w:lang w:val="es-ES"/>
              </w:rPr>
              <w:t>Agag</w:t>
            </w:r>
            <w:proofErr w:type="spellEnd"/>
            <w:r w:rsidRPr="004F289D">
              <w:rPr>
                <w:rFonts w:eastAsia="Aptos" w:cs="Times New Roman"/>
                <w:sz w:val="22"/>
                <w:szCs w:val="22"/>
                <w:lang w:val="es-ES"/>
              </w:rPr>
              <w:t xml:space="preserve"> and El-</w:t>
            </w:r>
            <w:proofErr w:type="spellStart"/>
            <w:r w:rsidRPr="004F289D">
              <w:rPr>
                <w:rFonts w:eastAsia="Aptos" w:cs="Times New Roman"/>
                <w:sz w:val="22"/>
                <w:szCs w:val="22"/>
                <w:lang w:val="es-ES"/>
              </w:rPr>
              <w:t>Masry</w:t>
            </w:r>
            <w:proofErr w:type="spellEnd"/>
            <w:r w:rsidRPr="004F289D">
              <w:rPr>
                <w:rFonts w:eastAsia="Aptos" w:cs="Times New Roman"/>
                <w:sz w:val="22"/>
                <w:szCs w:val="22"/>
                <w:lang w:val="es-ES"/>
              </w:rPr>
              <w:t xml:space="preserve"> (2017); Al-</w:t>
            </w:r>
            <w:proofErr w:type="spellStart"/>
            <w:r w:rsidRPr="004F289D">
              <w:rPr>
                <w:rFonts w:eastAsia="Aptos" w:cs="Times New Roman"/>
                <w:sz w:val="22"/>
                <w:szCs w:val="22"/>
                <w:lang w:val="es-ES"/>
              </w:rPr>
              <w:t>Debei</w:t>
            </w:r>
            <w:proofErr w:type="spellEnd"/>
            <w:r w:rsidRPr="004F289D">
              <w:rPr>
                <w:rFonts w:eastAsia="Aptos" w:cs="Times New Roman"/>
                <w:sz w:val="22"/>
                <w:szCs w:val="22"/>
                <w:lang w:val="es-ES"/>
              </w:rPr>
              <w:t xml:space="preserve"> et al. </w:t>
            </w:r>
            <w:r w:rsidRPr="004F289D">
              <w:rPr>
                <w:rFonts w:eastAsia="Aptos" w:cs="Times New Roman"/>
                <w:sz w:val="22"/>
                <w:szCs w:val="22"/>
                <w:lang w:val="sv-SE"/>
              </w:rPr>
              <w:t>(2015);</w:t>
            </w:r>
            <w:r w:rsidRPr="004F289D">
              <w:rPr>
                <w:rFonts w:ascii="Aptos" w:eastAsia="Aptos" w:hAnsi="Aptos" w:cs="Times New Roman"/>
                <w:lang w:val="sv-SE"/>
              </w:rPr>
              <w:t xml:space="preserve"> </w:t>
            </w:r>
            <w:r w:rsidRPr="004F289D">
              <w:rPr>
                <w:rFonts w:eastAsia="Aptos" w:cs="Times New Roman"/>
                <w:sz w:val="22"/>
                <w:szCs w:val="22"/>
                <w:lang w:val="sv-SE"/>
              </w:rPr>
              <w:t xml:space="preserve">Chen (2006); Chen et al. (2009); Hsu et al. </w:t>
            </w:r>
            <w:r w:rsidRPr="004F289D">
              <w:rPr>
                <w:rFonts w:eastAsia="Aptos" w:cs="Times New Roman"/>
                <w:sz w:val="22"/>
                <w:szCs w:val="22"/>
                <w:lang w:val="es-ES"/>
              </w:rPr>
              <w:t xml:space="preserve">(2014a); </w:t>
            </w:r>
            <w:proofErr w:type="spellStart"/>
            <w:r w:rsidRPr="004F289D">
              <w:rPr>
                <w:rFonts w:eastAsia="Aptos" w:cs="Times New Roman"/>
                <w:sz w:val="22"/>
                <w:szCs w:val="22"/>
                <w:lang w:val="es-ES"/>
              </w:rPr>
              <w:t>Hsu</w:t>
            </w:r>
            <w:proofErr w:type="spellEnd"/>
            <w:r w:rsidRPr="004F289D">
              <w:rPr>
                <w:rFonts w:eastAsia="Aptos" w:cs="Times New Roman"/>
                <w:sz w:val="22"/>
                <w:szCs w:val="22"/>
                <w:lang w:val="es-ES"/>
              </w:rPr>
              <w:t xml:space="preserve"> et al. (2014b); </w:t>
            </w:r>
            <w:proofErr w:type="spellStart"/>
            <w:r w:rsidRPr="004F289D">
              <w:rPr>
                <w:rFonts w:eastAsia="Aptos" w:cs="Times New Roman"/>
                <w:sz w:val="22"/>
                <w:szCs w:val="22"/>
                <w:lang w:val="es-ES"/>
              </w:rPr>
              <w:t>Lin</w:t>
            </w:r>
            <w:proofErr w:type="spellEnd"/>
            <w:r w:rsidRPr="004F289D">
              <w:rPr>
                <w:rFonts w:eastAsia="Aptos" w:cs="Times New Roman"/>
                <w:sz w:val="22"/>
                <w:szCs w:val="22"/>
                <w:lang w:val="es-ES"/>
              </w:rPr>
              <w:t xml:space="preserve"> et al. (2019); </w:t>
            </w:r>
            <w:proofErr w:type="spellStart"/>
            <w:r w:rsidRPr="004F289D">
              <w:rPr>
                <w:rFonts w:eastAsia="Aptos" w:cs="Times New Roman"/>
                <w:sz w:val="22"/>
                <w:szCs w:val="22"/>
                <w:lang w:val="es-ES"/>
              </w:rPr>
              <w:t>Lwin</w:t>
            </w:r>
            <w:proofErr w:type="spellEnd"/>
            <w:r w:rsidRPr="004F289D">
              <w:rPr>
                <w:rFonts w:eastAsia="Aptos" w:cs="Times New Roman"/>
                <w:sz w:val="22"/>
                <w:szCs w:val="22"/>
                <w:lang w:val="es-ES"/>
              </w:rPr>
              <w:t xml:space="preserve"> et al. </w:t>
            </w:r>
            <w:r w:rsidRPr="004F289D">
              <w:rPr>
                <w:rFonts w:eastAsia="Aptos" w:cs="Times New Roman"/>
                <w:sz w:val="22"/>
                <w:szCs w:val="22"/>
                <w:lang w:val="en-US"/>
              </w:rPr>
              <w:t xml:space="preserve">(2016); Othman (2021); </w:t>
            </w:r>
            <w:proofErr w:type="spellStart"/>
            <w:r w:rsidRPr="004F289D">
              <w:rPr>
                <w:rFonts w:eastAsia="Aptos" w:cs="Times New Roman"/>
                <w:sz w:val="22"/>
                <w:szCs w:val="22"/>
                <w:lang w:val="en-US"/>
              </w:rPr>
              <w:t>Patharia</w:t>
            </w:r>
            <w:proofErr w:type="spellEnd"/>
            <w:r w:rsidRPr="004F289D">
              <w:rPr>
                <w:rFonts w:eastAsia="Aptos" w:cs="Times New Roman"/>
                <w:sz w:val="22"/>
                <w:szCs w:val="22"/>
                <w:lang w:val="en-US"/>
              </w:rPr>
              <w:t xml:space="preserve"> and Jain (202</w:t>
            </w:r>
            <w:r w:rsidR="00FC24AD" w:rsidRPr="004F289D">
              <w:rPr>
                <w:rFonts w:eastAsia="Aptos" w:cs="Times New Roman"/>
                <w:sz w:val="22"/>
                <w:szCs w:val="22"/>
                <w:lang w:val="en-US"/>
              </w:rPr>
              <w:t>4</w:t>
            </w:r>
            <w:r w:rsidRPr="004F289D">
              <w:rPr>
                <w:rFonts w:eastAsia="Aptos" w:cs="Times New Roman"/>
                <w:sz w:val="22"/>
                <w:szCs w:val="22"/>
                <w:lang w:val="en-US"/>
              </w:rPr>
              <w:t>); Suki and Suki (2017)</w:t>
            </w:r>
          </w:p>
          <w:p w14:paraId="730348DF" w14:textId="77777777" w:rsidR="001157D8" w:rsidRPr="004F289D" w:rsidRDefault="001157D8" w:rsidP="004E265D">
            <w:pPr>
              <w:rPr>
                <w:rFonts w:eastAsia="Aptos" w:cs="Times New Roman"/>
                <w:sz w:val="22"/>
                <w:szCs w:val="22"/>
                <w:lang w:val="en-US"/>
              </w:rPr>
            </w:pPr>
          </w:p>
          <w:p w14:paraId="274C7DA2" w14:textId="77777777" w:rsidR="001157D8" w:rsidRPr="004F289D" w:rsidRDefault="001157D8" w:rsidP="004E265D">
            <w:pPr>
              <w:rPr>
                <w:rFonts w:eastAsia="Aptos" w:cs="Times New Roman"/>
                <w:sz w:val="22"/>
                <w:szCs w:val="22"/>
                <w:lang w:val="en-US"/>
              </w:rPr>
            </w:pPr>
          </w:p>
        </w:tc>
      </w:tr>
      <w:tr w:rsidR="004F289D" w:rsidRPr="004F289D" w14:paraId="5B27E67B" w14:textId="77777777" w:rsidTr="00BC7031">
        <w:tc>
          <w:tcPr>
            <w:tcW w:w="1119" w:type="pct"/>
          </w:tcPr>
          <w:p w14:paraId="0F091081" w14:textId="77777777" w:rsidR="004E265D" w:rsidRPr="004F289D" w:rsidRDefault="004E265D" w:rsidP="004E265D">
            <w:pPr>
              <w:rPr>
                <w:rFonts w:eastAsia="Aptos" w:cs="Times New Roman"/>
                <w:sz w:val="22"/>
                <w:szCs w:val="22"/>
                <w:lang w:val="en-US"/>
              </w:rPr>
            </w:pPr>
            <w:bookmarkStart w:id="12" w:name="_Hlk216426381"/>
            <w:r w:rsidRPr="004F289D">
              <w:rPr>
                <w:rFonts w:eastAsia="Aptos" w:cs="Times New Roman"/>
                <w:sz w:val="22"/>
                <w:szCs w:val="22"/>
                <w:lang w:val="en-US"/>
              </w:rPr>
              <w:t>Trust in seller (vendor or store)</w:t>
            </w:r>
          </w:p>
        </w:tc>
        <w:tc>
          <w:tcPr>
            <w:tcW w:w="2235" w:type="pct"/>
          </w:tcPr>
          <w:p w14:paraId="69CAE05B" w14:textId="2794F55A"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Consumers’ belief that the seller is honest, competent, and will deliver products or services as promised</w:t>
            </w:r>
            <w:r w:rsidR="00E91A21" w:rsidRPr="004F289D">
              <w:rPr>
                <w:rFonts w:eastAsia="Aptos" w:cs="Times New Roman"/>
                <w:sz w:val="22"/>
                <w:szCs w:val="22"/>
                <w:lang w:val="en-US"/>
              </w:rPr>
              <w:t>.</w:t>
            </w:r>
          </w:p>
        </w:tc>
        <w:tc>
          <w:tcPr>
            <w:tcW w:w="1646" w:type="pct"/>
          </w:tcPr>
          <w:p w14:paraId="4D9898DE" w14:textId="4EC69303" w:rsidR="004E265D" w:rsidRPr="004F289D" w:rsidRDefault="004E265D" w:rsidP="004E265D">
            <w:pPr>
              <w:rPr>
                <w:rFonts w:eastAsia="Aptos" w:cs="Times New Roman"/>
                <w:sz w:val="22"/>
                <w:szCs w:val="22"/>
                <w:lang w:val="en-US"/>
              </w:rPr>
            </w:pPr>
            <w:r w:rsidRPr="004F289D">
              <w:rPr>
                <w:rFonts w:eastAsia="Aptos" w:cs="Times New Roman"/>
                <w:sz w:val="22"/>
                <w:szCs w:val="22"/>
                <w:lang w:val="sv-SE"/>
              </w:rPr>
              <w:t xml:space="preserve">Chou et al. (2015); Elbeltagi and Agag (2016); Fang et al. </w:t>
            </w:r>
            <w:r w:rsidRPr="004F289D">
              <w:rPr>
                <w:rFonts w:eastAsia="Aptos" w:cs="Times New Roman"/>
                <w:sz w:val="22"/>
                <w:szCs w:val="22"/>
                <w:lang w:val="es-ES"/>
              </w:rPr>
              <w:t xml:space="preserve">(2011); </w:t>
            </w:r>
            <w:proofErr w:type="spellStart"/>
            <w:r w:rsidRPr="004F289D">
              <w:rPr>
                <w:rFonts w:eastAsia="Aptos" w:cs="Times New Roman"/>
                <w:sz w:val="22"/>
                <w:szCs w:val="22"/>
                <w:lang w:val="es-ES"/>
              </w:rPr>
              <w:t>Farivar</w:t>
            </w:r>
            <w:proofErr w:type="spellEnd"/>
            <w:r w:rsidRPr="004F289D">
              <w:rPr>
                <w:rFonts w:eastAsia="Aptos" w:cs="Times New Roman"/>
                <w:sz w:val="22"/>
                <w:szCs w:val="22"/>
                <w:lang w:val="es-ES"/>
              </w:rPr>
              <w:t xml:space="preserve"> et al. (2017); Han (2023); </w:t>
            </w:r>
            <w:proofErr w:type="spellStart"/>
            <w:r w:rsidRPr="004F289D">
              <w:rPr>
                <w:rFonts w:eastAsia="Aptos" w:cs="Times New Roman"/>
                <w:sz w:val="22"/>
                <w:szCs w:val="22"/>
                <w:lang w:val="es-ES"/>
              </w:rPr>
              <w:t>Hsu</w:t>
            </w:r>
            <w:proofErr w:type="spellEnd"/>
            <w:r w:rsidRPr="004F289D">
              <w:rPr>
                <w:rFonts w:eastAsia="Aptos" w:cs="Times New Roman"/>
                <w:sz w:val="22"/>
                <w:szCs w:val="22"/>
                <w:lang w:val="es-ES"/>
              </w:rPr>
              <w:t xml:space="preserve"> et al. (2014a); </w:t>
            </w:r>
            <w:proofErr w:type="spellStart"/>
            <w:r w:rsidRPr="004F289D">
              <w:rPr>
                <w:rFonts w:eastAsia="Aptos" w:cs="Times New Roman"/>
                <w:sz w:val="22"/>
                <w:szCs w:val="22"/>
                <w:lang w:val="es-ES"/>
              </w:rPr>
              <w:t>Hsu</w:t>
            </w:r>
            <w:proofErr w:type="spellEnd"/>
            <w:r w:rsidRPr="004F289D">
              <w:rPr>
                <w:rFonts w:eastAsia="Aptos" w:cs="Times New Roman"/>
                <w:sz w:val="22"/>
                <w:szCs w:val="22"/>
                <w:lang w:val="es-ES"/>
              </w:rPr>
              <w:t xml:space="preserve"> et al. </w:t>
            </w:r>
            <w:r w:rsidRPr="004F289D">
              <w:rPr>
                <w:rFonts w:eastAsia="Aptos" w:cs="Times New Roman"/>
                <w:sz w:val="22"/>
                <w:szCs w:val="22"/>
                <w:lang w:val="en-US"/>
              </w:rPr>
              <w:t xml:space="preserve">(2014b); Lee et al. (2011); Othman (2021); </w:t>
            </w:r>
            <w:proofErr w:type="spellStart"/>
            <w:r w:rsidRPr="004F289D">
              <w:rPr>
                <w:rFonts w:eastAsia="Aptos" w:cs="Times New Roman"/>
                <w:sz w:val="22"/>
                <w:szCs w:val="22"/>
                <w:lang w:val="en-US"/>
              </w:rPr>
              <w:t>Patharia</w:t>
            </w:r>
            <w:proofErr w:type="spellEnd"/>
            <w:r w:rsidRPr="004F289D">
              <w:rPr>
                <w:rFonts w:eastAsia="Aptos" w:cs="Times New Roman"/>
                <w:sz w:val="22"/>
                <w:szCs w:val="22"/>
                <w:lang w:val="en-US"/>
              </w:rPr>
              <w:t xml:space="preserve"> and Jain (202</w:t>
            </w:r>
            <w:r w:rsidR="00FC24AD" w:rsidRPr="004F289D">
              <w:rPr>
                <w:rFonts w:eastAsia="Aptos" w:cs="Times New Roman"/>
                <w:sz w:val="22"/>
                <w:szCs w:val="22"/>
                <w:lang w:val="en-US"/>
              </w:rPr>
              <w:t>4</w:t>
            </w:r>
            <w:r w:rsidRPr="004F289D">
              <w:rPr>
                <w:rFonts w:eastAsia="Aptos" w:cs="Times New Roman"/>
                <w:sz w:val="22"/>
                <w:szCs w:val="22"/>
                <w:lang w:val="en-US"/>
              </w:rPr>
              <w:t xml:space="preserve">); </w:t>
            </w:r>
            <w:bookmarkStart w:id="13" w:name="_Hlk216426708"/>
            <w:proofErr w:type="spellStart"/>
            <w:r w:rsidRPr="004F289D">
              <w:rPr>
                <w:rFonts w:eastAsia="Aptos" w:cs="Times New Roman"/>
                <w:sz w:val="22"/>
                <w:szCs w:val="22"/>
                <w:lang w:val="en-US"/>
              </w:rPr>
              <w:t>Pizzutti</w:t>
            </w:r>
            <w:proofErr w:type="spellEnd"/>
            <w:r w:rsidRPr="004F289D">
              <w:rPr>
                <w:rFonts w:eastAsia="Aptos" w:cs="Times New Roman"/>
                <w:sz w:val="22"/>
                <w:szCs w:val="22"/>
                <w:lang w:val="en-US"/>
              </w:rPr>
              <w:t xml:space="preserve"> and </w:t>
            </w:r>
            <w:proofErr w:type="spellStart"/>
            <w:r w:rsidRPr="004F289D">
              <w:rPr>
                <w:rFonts w:eastAsia="Aptos" w:cs="Times New Roman"/>
                <w:sz w:val="22"/>
                <w:szCs w:val="22"/>
                <w:lang w:val="en-US"/>
              </w:rPr>
              <w:t>Fernandes</w:t>
            </w:r>
            <w:proofErr w:type="spellEnd"/>
            <w:r w:rsidRPr="004F289D">
              <w:rPr>
                <w:rFonts w:eastAsia="Aptos" w:cs="Times New Roman"/>
                <w:sz w:val="22"/>
                <w:szCs w:val="22"/>
                <w:lang w:val="en-US"/>
              </w:rPr>
              <w:t xml:space="preserve"> (2010)</w:t>
            </w:r>
            <w:bookmarkEnd w:id="13"/>
            <w:r w:rsidRPr="004F289D">
              <w:rPr>
                <w:rFonts w:eastAsia="Aptos" w:cs="Times New Roman"/>
                <w:sz w:val="22"/>
                <w:szCs w:val="22"/>
                <w:lang w:val="en-US"/>
              </w:rPr>
              <w:t xml:space="preserve">; </w:t>
            </w:r>
            <w:proofErr w:type="spellStart"/>
            <w:r w:rsidRPr="004F289D">
              <w:rPr>
                <w:rFonts w:eastAsia="Aptos" w:cs="Times New Roman"/>
                <w:sz w:val="22"/>
                <w:szCs w:val="22"/>
                <w:lang w:val="en-US"/>
              </w:rPr>
              <w:t>Riquelme</w:t>
            </w:r>
            <w:proofErr w:type="spellEnd"/>
            <w:r w:rsidRPr="004F289D">
              <w:rPr>
                <w:rFonts w:eastAsia="Aptos" w:cs="Times New Roman"/>
                <w:sz w:val="22"/>
                <w:szCs w:val="22"/>
                <w:lang w:val="en-US"/>
              </w:rPr>
              <w:t xml:space="preserve"> and Roman (2014); Wang and </w:t>
            </w:r>
            <w:proofErr w:type="spellStart"/>
            <w:r w:rsidRPr="004F289D">
              <w:rPr>
                <w:rFonts w:eastAsia="Aptos" w:cs="Times New Roman"/>
                <w:sz w:val="22"/>
                <w:szCs w:val="22"/>
                <w:lang w:val="en-US"/>
              </w:rPr>
              <w:t>Emurian</w:t>
            </w:r>
            <w:proofErr w:type="spellEnd"/>
            <w:r w:rsidRPr="004F289D">
              <w:rPr>
                <w:rFonts w:eastAsia="Aptos" w:cs="Times New Roman"/>
                <w:sz w:val="22"/>
                <w:szCs w:val="22"/>
                <w:lang w:val="en-US"/>
              </w:rPr>
              <w:t xml:space="preserve"> (200</w:t>
            </w:r>
            <w:r w:rsidR="00580537" w:rsidRPr="004F289D">
              <w:rPr>
                <w:rFonts w:eastAsia="Aptos" w:cs="Times New Roman"/>
                <w:sz w:val="22"/>
                <w:szCs w:val="22"/>
                <w:lang w:val="en-US"/>
              </w:rPr>
              <w:t>5</w:t>
            </w:r>
            <w:r w:rsidRPr="004F289D">
              <w:rPr>
                <w:rFonts w:eastAsia="Aptos" w:cs="Times New Roman"/>
                <w:sz w:val="22"/>
                <w:szCs w:val="22"/>
                <w:lang w:val="en-US"/>
              </w:rPr>
              <w:t>)</w:t>
            </w:r>
          </w:p>
          <w:p w14:paraId="5366C809" w14:textId="77777777" w:rsidR="001157D8" w:rsidRPr="004F289D" w:rsidRDefault="001157D8" w:rsidP="004E265D">
            <w:pPr>
              <w:rPr>
                <w:rFonts w:eastAsia="Aptos" w:cs="Times New Roman"/>
                <w:sz w:val="22"/>
                <w:szCs w:val="22"/>
                <w:lang w:val="en-US"/>
              </w:rPr>
            </w:pPr>
          </w:p>
          <w:p w14:paraId="270DE571" w14:textId="77777777" w:rsidR="001157D8" w:rsidRPr="004F289D" w:rsidRDefault="001157D8" w:rsidP="004E265D">
            <w:pPr>
              <w:rPr>
                <w:rFonts w:eastAsia="Aptos" w:cs="Times New Roman"/>
                <w:sz w:val="22"/>
                <w:szCs w:val="22"/>
                <w:lang w:val="en-US"/>
              </w:rPr>
            </w:pPr>
          </w:p>
        </w:tc>
      </w:tr>
      <w:tr w:rsidR="004F289D" w:rsidRPr="004F289D" w14:paraId="09982FB5" w14:textId="77777777" w:rsidTr="00BC7031">
        <w:tc>
          <w:tcPr>
            <w:tcW w:w="1119" w:type="pct"/>
          </w:tcPr>
          <w:p w14:paraId="7F6DF16C" w14:textId="77777777"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in the reviewer/recommender before making the purchase</w:t>
            </w:r>
          </w:p>
          <w:p w14:paraId="37D3CBB9" w14:textId="77777777" w:rsidR="004A5D5C" w:rsidRPr="004F289D" w:rsidRDefault="004A5D5C" w:rsidP="004A5D5C">
            <w:pPr>
              <w:rPr>
                <w:rFonts w:eastAsia="Aptos" w:cs="Times New Roman"/>
                <w:sz w:val="22"/>
                <w:szCs w:val="22"/>
                <w:lang w:val="en-US"/>
              </w:rPr>
            </w:pPr>
          </w:p>
          <w:p w14:paraId="6BDA8A17" w14:textId="77777777" w:rsidR="004A5D5C" w:rsidRPr="004F289D" w:rsidRDefault="004A5D5C" w:rsidP="004A5D5C">
            <w:pPr>
              <w:rPr>
                <w:rFonts w:eastAsia="Aptos" w:cs="Times New Roman"/>
                <w:lang w:val="en-US"/>
              </w:rPr>
            </w:pPr>
          </w:p>
        </w:tc>
        <w:tc>
          <w:tcPr>
            <w:tcW w:w="2235" w:type="pct"/>
          </w:tcPr>
          <w:p w14:paraId="39F08712" w14:textId="18953A2A" w:rsidR="004A5D5C" w:rsidRPr="004F289D" w:rsidRDefault="004A5D5C" w:rsidP="004A5D5C">
            <w:pPr>
              <w:rPr>
                <w:rFonts w:eastAsia="Aptos" w:cs="Times New Roman"/>
                <w:lang w:val="en-US"/>
              </w:rPr>
            </w:pPr>
            <w:r w:rsidRPr="004F289D">
              <w:rPr>
                <w:rFonts w:eastAsia="Aptos" w:cs="Times New Roman"/>
                <w:sz w:val="22"/>
                <w:szCs w:val="22"/>
                <w:lang w:val="en-US"/>
              </w:rPr>
              <w:t>Perceived trustworthiness of the reviewer, based on the quality and sincerity of their review content and the integrity of their descriptions</w:t>
            </w:r>
            <w:r w:rsidR="00E91A21" w:rsidRPr="004F289D">
              <w:rPr>
                <w:rFonts w:eastAsia="Aptos" w:cs="Times New Roman"/>
                <w:sz w:val="22"/>
                <w:szCs w:val="22"/>
                <w:lang w:val="en-US"/>
              </w:rPr>
              <w:t>.</w:t>
            </w:r>
          </w:p>
        </w:tc>
        <w:tc>
          <w:tcPr>
            <w:tcW w:w="1646" w:type="pct"/>
          </w:tcPr>
          <w:p w14:paraId="5B7A9AF9" w14:textId="24E17261" w:rsidR="004A5D5C" w:rsidRPr="004F289D" w:rsidRDefault="004A5D5C" w:rsidP="004A5D5C">
            <w:pPr>
              <w:rPr>
                <w:rFonts w:eastAsia="Aptos" w:cs="Times New Roman"/>
              </w:rPr>
            </w:pPr>
            <w:r w:rsidRPr="004F289D">
              <w:rPr>
                <w:rFonts w:eastAsia="Aptos" w:cs="Times New Roman"/>
                <w:sz w:val="22"/>
                <w:szCs w:val="22"/>
                <w:lang w:val="en-US"/>
              </w:rPr>
              <w:t xml:space="preserve">Chen and Ku (2021); Lin et al. (2019); </w:t>
            </w:r>
            <w:bookmarkStart w:id="14" w:name="_Hlk216426845"/>
            <w:proofErr w:type="spellStart"/>
            <w:r w:rsidRPr="004F289D">
              <w:rPr>
                <w:rFonts w:eastAsia="Aptos" w:cs="Times New Roman"/>
                <w:sz w:val="22"/>
                <w:szCs w:val="22"/>
                <w:lang w:val="en-US"/>
              </w:rPr>
              <w:t>Linh</w:t>
            </w:r>
            <w:proofErr w:type="spellEnd"/>
            <w:r w:rsidRPr="004F289D">
              <w:rPr>
                <w:rFonts w:eastAsia="Aptos" w:cs="Times New Roman"/>
                <w:sz w:val="22"/>
                <w:szCs w:val="22"/>
                <w:lang w:val="en-US"/>
              </w:rPr>
              <w:t xml:space="preserve"> and Park (2025</w:t>
            </w:r>
            <w:bookmarkEnd w:id="14"/>
            <w:r w:rsidRPr="004F289D">
              <w:rPr>
                <w:rFonts w:eastAsia="Aptos" w:cs="Times New Roman"/>
                <w:sz w:val="22"/>
                <w:szCs w:val="22"/>
                <w:lang w:val="en-US"/>
              </w:rPr>
              <w:t xml:space="preserve">); Park and Kim (2008); </w:t>
            </w:r>
            <w:proofErr w:type="spellStart"/>
            <w:r w:rsidRPr="004F289D">
              <w:rPr>
                <w:rFonts w:eastAsia="Aptos" w:cs="Times New Roman"/>
                <w:sz w:val="22"/>
                <w:szCs w:val="22"/>
                <w:lang w:val="en-US"/>
              </w:rPr>
              <w:t>Venkatakrishnan</w:t>
            </w:r>
            <w:proofErr w:type="spellEnd"/>
            <w:r w:rsidRPr="004F289D">
              <w:rPr>
                <w:rFonts w:eastAsia="Aptos" w:cs="Times New Roman"/>
                <w:sz w:val="22"/>
                <w:szCs w:val="22"/>
                <w:lang w:val="en-US"/>
              </w:rPr>
              <w:t xml:space="preserve"> et al. (2024); Yoon et al. (2013)</w:t>
            </w:r>
          </w:p>
        </w:tc>
      </w:tr>
      <w:tr w:rsidR="004F289D" w:rsidRPr="004F289D" w14:paraId="3403FE59" w14:textId="77777777" w:rsidTr="00BC7031">
        <w:tc>
          <w:tcPr>
            <w:tcW w:w="1119" w:type="pct"/>
          </w:tcPr>
          <w:p w14:paraId="2BBAD1AD" w14:textId="094FBAC3" w:rsidR="004A5D5C" w:rsidRPr="004F289D" w:rsidRDefault="004A5D5C" w:rsidP="004A5D5C">
            <w:pPr>
              <w:rPr>
                <w:rFonts w:eastAsia="Aptos" w:cs="Times New Roman"/>
                <w:lang w:val="en-US"/>
              </w:rPr>
            </w:pPr>
            <w:r w:rsidRPr="004F289D">
              <w:rPr>
                <w:rFonts w:eastAsia="Aptos" w:cs="Times New Roman"/>
                <w:sz w:val="22"/>
                <w:szCs w:val="22"/>
                <w:lang w:val="en-US"/>
              </w:rPr>
              <w:t>Dispositional trust</w:t>
            </w:r>
          </w:p>
        </w:tc>
        <w:tc>
          <w:tcPr>
            <w:tcW w:w="2235" w:type="pct"/>
          </w:tcPr>
          <w:p w14:paraId="390A9EEF" w14:textId="2FE52723" w:rsidR="004A5D5C" w:rsidRPr="004F289D" w:rsidRDefault="004A5D5C" w:rsidP="004A5D5C">
            <w:pPr>
              <w:rPr>
                <w:rFonts w:eastAsia="Aptos" w:cs="Times New Roman"/>
                <w:lang w:val="en-US"/>
              </w:rPr>
            </w:pPr>
            <w:r w:rsidRPr="004F289D">
              <w:rPr>
                <w:rFonts w:eastAsia="Aptos" w:cs="Times New Roman"/>
                <w:sz w:val="22"/>
                <w:szCs w:val="22"/>
                <w:lang w:val="en-US"/>
              </w:rPr>
              <w:t>A person’s general tendency to trust others, shaped by personality and cultural background</w:t>
            </w:r>
            <w:r w:rsidR="00E91A21" w:rsidRPr="004F289D">
              <w:rPr>
                <w:rFonts w:eastAsia="Aptos" w:cs="Times New Roman"/>
                <w:sz w:val="22"/>
                <w:szCs w:val="22"/>
                <w:lang w:val="en-US"/>
              </w:rPr>
              <w:t>.</w:t>
            </w:r>
          </w:p>
        </w:tc>
        <w:tc>
          <w:tcPr>
            <w:tcW w:w="1646" w:type="pct"/>
          </w:tcPr>
          <w:p w14:paraId="23388742" w14:textId="3795B040" w:rsidR="004A5D5C" w:rsidRPr="004F289D" w:rsidRDefault="004A5D5C" w:rsidP="004A5D5C">
            <w:pPr>
              <w:rPr>
                <w:rFonts w:eastAsia="Aptos" w:cs="Times New Roman"/>
                <w:sz w:val="22"/>
                <w:szCs w:val="22"/>
                <w:lang w:val="en-US"/>
              </w:rPr>
            </w:pPr>
            <w:r w:rsidRPr="004F289D">
              <w:rPr>
                <w:rFonts w:eastAsia="Aptos" w:cs="Times New Roman"/>
                <w:sz w:val="22"/>
                <w:szCs w:val="22"/>
                <w:lang w:val="sv-SE"/>
              </w:rPr>
              <w:t xml:space="preserve">Bianchi and Brockner (2012); </w:t>
            </w:r>
            <w:r w:rsidR="00837C01" w:rsidRPr="004F289D">
              <w:rPr>
                <w:rFonts w:eastAsia="Aptos" w:cs="Times New Roman"/>
                <w:sz w:val="22"/>
                <w:szCs w:val="22"/>
                <w:lang w:val="sv-SE"/>
              </w:rPr>
              <w:t xml:space="preserve">Grabner-Kräuter and Kaluscha </w:t>
            </w:r>
            <w:r w:rsidRPr="004F289D">
              <w:rPr>
                <w:rFonts w:eastAsia="Aptos" w:cs="Times New Roman"/>
                <w:sz w:val="22"/>
                <w:szCs w:val="22"/>
                <w:lang w:val="sv-SE"/>
              </w:rPr>
              <w:t xml:space="preserve">(2003); Li et al. </w:t>
            </w:r>
            <w:r w:rsidRPr="004F289D">
              <w:rPr>
                <w:rFonts w:eastAsia="Aptos" w:cs="Times New Roman"/>
                <w:sz w:val="22"/>
                <w:szCs w:val="22"/>
                <w:lang w:val="es-ES"/>
              </w:rPr>
              <w:t xml:space="preserve">(2012); Li et al. (2014); </w:t>
            </w:r>
            <w:proofErr w:type="spellStart"/>
            <w:r w:rsidRPr="004F289D">
              <w:rPr>
                <w:rFonts w:eastAsia="Aptos" w:cs="Times New Roman"/>
                <w:sz w:val="22"/>
                <w:szCs w:val="22"/>
                <w:lang w:val="es-ES"/>
              </w:rPr>
              <w:t>McKnight</w:t>
            </w:r>
            <w:proofErr w:type="spellEnd"/>
            <w:r w:rsidRPr="004F289D">
              <w:rPr>
                <w:rFonts w:eastAsia="Aptos" w:cs="Times New Roman"/>
                <w:sz w:val="22"/>
                <w:szCs w:val="22"/>
                <w:lang w:val="es-ES"/>
              </w:rPr>
              <w:t xml:space="preserve"> et al. (2004); </w:t>
            </w:r>
            <w:bookmarkStart w:id="15" w:name="_Hlk216426885"/>
            <w:proofErr w:type="spellStart"/>
            <w:r w:rsidRPr="004F289D">
              <w:rPr>
                <w:rFonts w:eastAsia="Aptos" w:cs="Times New Roman"/>
                <w:sz w:val="22"/>
                <w:szCs w:val="22"/>
                <w:lang w:val="es-ES"/>
              </w:rPr>
              <w:t>Papadopoulou</w:t>
            </w:r>
            <w:proofErr w:type="spellEnd"/>
            <w:r w:rsidRPr="004F289D">
              <w:rPr>
                <w:rFonts w:eastAsia="Aptos" w:cs="Times New Roman"/>
                <w:sz w:val="22"/>
                <w:szCs w:val="22"/>
                <w:lang w:val="es-ES"/>
              </w:rPr>
              <w:t xml:space="preserve"> et al. (2001</w:t>
            </w:r>
            <w:bookmarkEnd w:id="15"/>
            <w:r w:rsidRPr="004F289D">
              <w:rPr>
                <w:rFonts w:eastAsia="Aptos" w:cs="Times New Roman"/>
                <w:sz w:val="22"/>
                <w:szCs w:val="22"/>
                <w:lang w:val="es-ES"/>
              </w:rPr>
              <w:t xml:space="preserve">); Salo and </w:t>
            </w:r>
            <w:proofErr w:type="spellStart"/>
            <w:r w:rsidRPr="004F289D">
              <w:rPr>
                <w:rFonts w:eastAsia="Aptos" w:cs="Times New Roman"/>
                <w:sz w:val="22"/>
                <w:szCs w:val="22"/>
                <w:lang w:val="es-ES"/>
              </w:rPr>
              <w:t>Karjaluoto</w:t>
            </w:r>
            <w:proofErr w:type="spellEnd"/>
            <w:r w:rsidRPr="004F289D">
              <w:rPr>
                <w:rFonts w:eastAsia="Aptos" w:cs="Times New Roman"/>
                <w:sz w:val="22"/>
                <w:szCs w:val="22"/>
                <w:lang w:val="es-ES"/>
              </w:rPr>
              <w:t xml:space="preserve"> (2007); </w:t>
            </w:r>
            <w:proofErr w:type="spellStart"/>
            <w:r w:rsidRPr="004F289D">
              <w:rPr>
                <w:rFonts w:eastAsia="Aptos" w:cs="Times New Roman"/>
                <w:sz w:val="22"/>
                <w:szCs w:val="22"/>
                <w:lang w:val="es-ES"/>
              </w:rPr>
              <w:t>Sangeeta</w:t>
            </w:r>
            <w:proofErr w:type="spellEnd"/>
            <w:r w:rsidRPr="004F289D">
              <w:rPr>
                <w:rFonts w:eastAsia="Aptos" w:cs="Times New Roman"/>
                <w:sz w:val="22"/>
                <w:szCs w:val="22"/>
                <w:lang w:val="es-ES"/>
              </w:rPr>
              <w:t xml:space="preserve"> et al. </w:t>
            </w:r>
            <w:r w:rsidRPr="004F289D">
              <w:rPr>
                <w:rFonts w:eastAsia="Aptos" w:cs="Times New Roman"/>
                <w:sz w:val="22"/>
                <w:szCs w:val="22"/>
                <w:lang w:val="en-US"/>
              </w:rPr>
              <w:t xml:space="preserve">(2013); </w:t>
            </w:r>
            <w:r w:rsidRPr="004F289D">
              <w:rPr>
                <w:rFonts w:eastAsia="Times New Roman" w:cs="Times New Roman"/>
                <w:kern w:val="0"/>
                <w:sz w:val="22"/>
                <w:szCs w:val="22"/>
                <w:lang/>
                <w14:ligatures w14:val="none"/>
              </w:rPr>
              <w:t>Wang (2010); Wang et al. (2009); Wu et al. (2010)</w:t>
            </w:r>
            <w:r w:rsidRPr="004F289D">
              <w:rPr>
                <w:rFonts w:eastAsia="Aptos" w:cs="Times New Roman"/>
                <w:sz w:val="22"/>
                <w:szCs w:val="22"/>
                <w:lang w:val="en-US"/>
              </w:rPr>
              <w:t>; Zhou (2011)</w:t>
            </w:r>
          </w:p>
          <w:p w14:paraId="1E9AF125" w14:textId="77777777" w:rsidR="004A5D5C" w:rsidRPr="004F289D" w:rsidRDefault="004A5D5C" w:rsidP="004A5D5C">
            <w:pPr>
              <w:rPr>
                <w:rFonts w:eastAsia="Aptos" w:cs="Times New Roman"/>
                <w:sz w:val="22"/>
                <w:szCs w:val="22"/>
                <w:lang w:val="en-US"/>
              </w:rPr>
            </w:pPr>
          </w:p>
          <w:p w14:paraId="3921D0CA" w14:textId="77777777" w:rsidR="004A5D5C" w:rsidRPr="004F289D" w:rsidRDefault="004A5D5C" w:rsidP="004A5D5C">
            <w:pPr>
              <w:rPr>
                <w:rFonts w:eastAsia="Aptos" w:cs="Times New Roman"/>
                <w:sz w:val="22"/>
                <w:szCs w:val="22"/>
                <w:lang w:val="en-US"/>
              </w:rPr>
            </w:pPr>
          </w:p>
          <w:p w14:paraId="677FFC6E" w14:textId="77777777" w:rsidR="004A5D5C" w:rsidRPr="004F289D" w:rsidRDefault="004A5D5C" w:rsidP="004A5D5C">
            <w:pPr>
              <w:rPr>
                <w:rFonts w:eastAsia="Aptos" w:cs="Times New Roman"/>
                <w:lang w:val="en-US"/>
              </w:rPr>
            </w:pPr>
          </w:p>
        </w:tc>
      </w:tr>
      <w:tr w:rsidR="004F289D" w:rsidRPr="004F289D" w14:paraId="1F1E54B0" w14:textId="77777777" w:rsidTr="00BC7031">
        <w:tc>
          <w:tcPr>
            <w:tcW w:w="1119" w:type="pct"/>
          </w:tcPr>
          <w:p w14:paraId="07AE058B" w14:textId="04355AE9" w:rsidR="004A5D5C" w:rsidRPr="004F289D" w:rsidRDefault="004A5D5C" w:rsidP="004A5D5C">
            <w:pPr>
              <w:rPr>
                <w:rFonts w:eastAsia="Aptos" w:cs="Times New Roman"/>
                <w:lang w:val="en-US"/>
              </w:rPr>
            </w:pPr>
            <w:r w:rsidRPr="004F289D">
              <w:rPr>
                <w:rFonts w:eastAsia="Aptos" w:cs="Times New Roman"/>
                <w:sz w:val="22"/>
                <w:szCs w:val="22"/>
                <w:lang w:val="en-US"/>
              </w:rPr>
              <w:t>Institution-based trust</w:t>
            </w:r>
          </w:p>
        </w:tc>
        <w:tc>
          <w:tcPr>
            <w:tcW w:w="2235" w:type="pct"/>
          </w:tcPr>
          <w:p w14:paraId="3A174E7C" w14:textId="051B474E" w:rsidR="004A5D5C" w:rsidRPr="004F289D" w:rsidRDefault="004A5D5C" w:rsidP="004A5D5C">
            <w:pPr>
              <w:rPr>
                <w:rFonts w:eastAsia="Aptos" w:cs="Times New Roman"/>
                <w:lang w:val="en-US"/>
              </w:rPr>
            </w:pPr>
            <w:r w:rsidRPr="004F289D">
              <w:rPr>
                <w:rFonts w:eastAsia="Aptos" w:cs="Times New Roman"/>
                <w:sz w:val="22"/>
                <w:szCs w:val="22"/>
                <w:lang w:val="en-US"/>
              </w:rPr>
              <w:t>Trust that arises from belief in the supporting structures, safeguards, and conditions that make an environment (e.g., the e-commerce setting) appropriate for safe interaction</w:t>
            </w:r>
            <w:r w:rsidR="00E91A21" w:rsidRPr="004F289D">
              <w:rPr>
                <w:rFonts w:eastAsia="Aptos" w:cs="Times New Roman"/>
                <w:sz w:val="22"/>
                <w:szCs w:val="22"/>
                <w:lang w:val="en-US"/>
              </w:rPr>
              <w:t>.</w:t>
            </w:r>
          </w:p>
        </w:tc>
        <w:tc>
          <w:tcPr>
            <w:tcW w:w="1646" w:type="pct"/>
          </w:tcPr>
          <w:p w14:paraId="6621702C" w14:textId="39C24A2A" w:rsidR="004A5D5C" w:rsidRPr="004F289D" w:rsidRDefault="004A5D5C" w:rsidP="004A5D5C">
            <w:pPr>
              <w:rPr>
                <w:rFonts w:eastAsia="Aptos" w:cs="Times New Roman"/>
                <w:sz w:val="22"/>
                <w:szCs w:val="22"/>
                <w:lang w:val="en-US"/>
              </w:rPr>
            </w:pPr>
            <w:r w:rsidRPr="004F289D">
              <w:rPr>
                <w:rFonts w:eastAsia="Aptos" w:cs="Times New Roman"/>
                <w:sz w:val="22"/>
                <w:szCs w:val="22"/>
                <w:lang w:val="sv-SE"/>
              </w:rPr>
              <w:t>Hong et al. (2020); Li et al. (2022); Papadopoulou et al. (2001); Pavlou (2002); Pavlou and Gefen (2004); Walczuch and Lundgren (2004); Wang (2010)</w:t>
            </w:r>
            <w:r w:rsidR="005F6335" w:rsidRPr="004F289D">
              <w:rPr>
                <w:rFonts w:eastAsia="Aptos" w:cs="Times New Roman"/>
                <w:sz w:val="22"/>
                <w:szCs w:val="22"/>
                <w:lang w:val="sv-SE"/>
              </w:rPr>
              <w:t xml:space="preserve">; Yuliati et al. </w:t>
            </w:r>
            <w:r w:rsidR="005F6335" w:rsidRPr="004F289D">
              <w:rPr>
                <w:rFonts w:eastAsia="Aptos" w:cs="Times New Roman"/>
                <w:sz w:val="22"/>
                <w:szCs w:val="22"/>
                <w:lang w:val="en-US"/>
              </w:rPr>
              <w:t>(2020)</w:t>
            </w:r>
          </w:p>
          <w:p w14:paraId="2BD924F9" w14:textId="77777777" w:rsidR="004A5D5C" w:rsidRPr="004F289D" w:rsidRDefault="004A5D5C" w:rsidP="004A5D5C">
            <w:pPr>
              <w:rPr>
                <w:rFonts w:eastAsia="Aptos" w:cs="Times New Roman"/>
                <w:sz w:val="22"/>
                <w:szCs w:val="22"/>
                <w:lang w:val="en-US"/>
              </w:rPr>
            </w:pPr>
          </w:p>
          <w:p w14:paraId="2B2AAC3C" w14:textId="77777777" w:rsidR="004A5D5C" w:rsidRPr="004F289D" w:rsidRDefault="004A5D5C" w:rsidP="004A5D5C">
            <w:pPr>
              <w:rPr>
                <w:rFonts w:eastAsia="Aptos" w:cs="Times New Roman"/>
              </w:rPr>
            </w:pPr>
          </w:p>
        </w:tc>
      </w:tr>
      <w:tr w:rsidR="004F289D" w:rsidRPr="004F289D" w14:paraId="79426F7B" w14:textId="77777777" w:rsidTr="00BC7031">
        <w:tc>
          <w:tcPr>
            <w:tcW w:w="1119" w:type="pct"/>
          </w:tcPr>
          <w:p w14:paraId="4B782675" w14:textId="357993D4" w:rsidR="004A5D5C" w:rsidRPr="004F289D" w:rsidRDefault="004A5D5C" w:rsidP="004A5D5C">
            <w:pPr>
              <w:rPr>
                <w:rFonts w:eastAsia="Aptos" w:cs="Times New Roman"/>
                <w:lang w:val="en-US"/>
              </w:rPr>
            </w:pPr>
            <w:r w:rsidRPr="004F289D">
              <w:rPr>
                <w:rFonts w:eastAsia="Aptos" w:cs="Times New Roman"/>
                <w:sz w:val="22"/>
                <w:szCs w:val="22"/>
                <w:lang w:val="en-US"/>
              </w:rPr>
              <w:t>Trust in online payment</w:t>
            </w:r>
          </w:p>
        </w:tc>
        <w:tc>
          <w:tcPr>
            <w:tcW w:w="2235" w:type="pct"/>
          </w:tcPr>
          <w:p w14:paraId="1429052F" w14:textId="028B29CC"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Consumers’ expectation that the online payment platform will fulfill its obligations</w:t>
            </w:r>
            <w:r w:rsidR="00E91A21" w:rsidRPr="004F289D">
              <w:rPr>
                <w:rFonts w:eastAsia="Aptos" w:cs="Times New Roman"/>
                <w:sz w:val="22"/>
                <w:szCs w:val="22"/>
                <w:lang w:val="en-US"/>
              </w:rPr>
              <w:t>.</w:t>
            </w:r>
          </w:p>
          <w:p w14:paraId="04B89566" w14:textId="77777777" w:rsidR="004A5D5C" w:rsidRPr="004F289D" w:rsidRDefault="004A5D5C" w:rsidP="004A5D5C">
            <w:pPr>
              <w:rPr>
                <w:rFonts w:eastAsia="Aptos" w:cs="Times New Roman"/>
                <w:sz w:val="22"/>
                <w:szCs w:val="22"/>
                <w:lang w:val="en-US"/>
              </w:rPr>
            </w:pPr>
          </w:p>
          <w:p w14:paraId="5B68336A" w14:textId="77777777" w:rsidR="004A5D5C" w:rsidRPr="004F289D" w:rsidRDefault="004A5D5C" w:rsidP="004A5D5C">
            <w:pPr>
              <w:rPr>
                <w:rFonts w:eastAsia="Aptos" w:cs="Times New Roman"/>
                <w:lang w:val="en-US"/>
              </w:rPr>
            </w:pPr>
          </w:p>
        </w:tc>
        <w:tc>
          <w:tcPr>
            <w:tcW w:w="1646" w:type="pct"/>
          </w:tcPr>
          <w:p w14:paraId="47894C57" w14:textId="38481BCF" w:rsidR="004A5D5C" w:rsidRPr="004F289D" w:rsidRDefault="004A5D5C" w:rsidP="004A5D5C">
            <w:pPr>
              <w:rPr>
                <w:rFonts w:eastAsia="Aptos" w:cs="Times New Roman"/>
              </w:rPr>
            </w:pPr>
            <w:r w:rsidRPr="004F289D">
              <w:rPr>
                <w:rFonts w:eastAsia="Aptos" w:cs="Times New Roman"/>
                <w:sz w:val="22"/>
                <w:szCs w:val="22"/>
                <w:lang w:val="en-US"/>
              </w:rPr>
              <w:t>Cao et al. (2018); Kim (2014)</w:t>
            </w:r>
          </w:p>
        </w:tc>
      </w:tr>
      <w:bookmarkEnd w:id="12"/>
      <w:tr w:rsidR="004F289D" w:rsidRPr="004F289D" w14:paraId="7B482944" w14:textId="77777777" w:rsidTr="00BC7031">
        <w:tc>
          <w:tcPr>
            <w:tcW w:w="1119" w:type="pct"/>
          </w:tcPr>
          <w:p w14:paraId="24C1F2FF"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lastRenderedPageBreak/>
              <w:t>Trust in the auction initiator (in group buying transactions)</w:t>
            </w:r>
          </w:p>
        </w:tc>
        <w:tc>
          <w:tcPr>
            <w:tcW w:w="2235" w:type="pct"/>
          </w:tcPr>
          <w:p w14:paraId="3F93F335"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Consumers’ belief that the person organizing the group-buying transaction will act fairly, manage the process properly, and not take advantage of them</w:t>
            </w:r>
          </w:p>
        </w:tc>
        <w:tc>
          <w:tcPr>
            <w:tcW w:w="1646" w:type="pct"/>
          </w:tcPr>
          <w:p w14:paraId="29E6188A" w14:textId="77777777" w:rsidR="004E265D" w:rsidRPr="004F289D" w:rsidRDefault="004E265D" w:rsidP="004E265D">
            <w:pPr>
              <w:rPr>
                <w:rFonts w:eastAsia="Aptos" w:cs="Times New Roman"/>
                <w:sz w:val="22"/>
                <w:szCs w:val="22"/>
                <w:lang w:val="es-ES"/>
              </w:rPr>
            </w:pPr>
            <w:proofErr w:type="spellStart"/>
            <w:r w:rsidRPr="004F289D">
              <w:rPr>
                <w:rFonts w:eastAsia="Aptos" w:cs="Times New Roman"/>
                <w:sz w:val="22"/>
                <w:szCs w:val="22"/>
                <w:lang w:val="es-ES"/>
              </w:rPr>
              <w:t>Hsu</w:t>
            </w:r>
            <w:proofErr w:type="spellEnd"/>
            <w:r w:rsidRPr="004F289D">
              <w:rPr>
                <w:rFonts w:eastAsia="Aptos" w:cs="Times New Roman"/>
                <w:sz w:val="22"/>
                <w:szCs w:val="22"/>
                <w:lang w:val="es-ES"/>
              </w:rPr>
              <w:t xml:space="preserve"> et al. (2014a); </w:t>
            </w:r>
            <w:proofErr w:type="spellStart"/>
            <w:r w:rsidRPr="004F289D">
              <w:rPr>
                <w:rFonts w:eastAsia="Aptos" w:cs="Times New Roman"/>
                <w:sz w:val="22"/>
                <w:szCs w:val="22"/>
                <w:lang w:val="es-ES"/>
              </w:rPr>
              <w:t>Hung</w:t>
            </w:r>
            <w:proofErr w:type="spellEnd"/>
            <w:r w:rsidRPr="004F289D">
              <w:rPr>
                <w:rFonts w:eastAsia="Aptos" w:cs="Times New Roman"/>
                <w:sz w:val="22"/>
                <w:szCs w:val="22"/>
                <w:lang w:val="es-ES"/>
              </w:rPr>
              <w:t xml:space="preserve"> et al. (2022)</w:t>
            </w:r>
          </w:p>
        </w:tc>
      </w:tr>
      <w:tr w:rsidR="004F289D" w:rsidRPr="004F289D" w14:paraId="41953911" w14:textId="77777777" w:rsidTr="00BC7031">
        <w:tc>
          <w:tcPr>
            <w:tcW w:w="1119" w:type="pct"/>
          </w:tcPr>
          <w:p w14:paraId="1A640C51"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Trust in group members (in group buying transactions)</w:t>
            </w:r>
          </w:p>
        </w:tc>
        <w:tc>
          <w:tcPr>
            <w:tcW w:w="2235" w:type="pct"/>
          </w:tcPr>
          <w:p w14:paraId="0B394796" w14:textId="2FCF1BE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Consumers’ belief that other participants will behave responsibly—such as not dropping out and cooperating throughout the process—so the group purchase can succeed</w:t>
            </w:r>
            <w:r w:rsidR="00E91A21" w:rsidRPr="004F289D">
              <w:rPr>
                <w:rFonts w:eastAsia="Aptos" w:cs="Times New Roman"/>
                <w:sz w:val="22"/>
                <w:szCs w:val="22"/>
                <w:lang w:val="en-US"/>
              </w:rPr>
              <w:t>.</w:t>
            </w:r>
          </w:p>
        </w:tc>
        <w:tc>
          <w:tcPr>
            <w:tcW w:w="1646" w:type="pct"/>
          </w:tcPr>
          <w:p w14:paraId="7CEA02B8"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sv-SE"/>
              </w:rPr>
              <w:t xml:space="preserve">Chen et al. (2009); Farivar et al. </w:t>
            </w:r>
            <w:r w:rsidRPr="004F289D">
              <w:rPr>
                <w:rFonts w:eastAsia="Aptos" w:cs="Times New Roman"/>
                <w:sz w:val="22"/>
                <w:szCs w:val="22"/>
                <w:lang w:val="es-ES"/>
              </w:rPr>
              <w:t xml:space="preserve">(2017); </w:t>
            </w:r>
            <w:proofErr w:type="spellStart"/>
            <w:r w:rsidRPr="004F289D">
              <w:rPr>
                <w:rFonts w:eastAsia="Aptos" w:cs="Times New Roman"/>
                <w:sz w:val="22"/>
                <w:szCs w:val="22"/>
                <w:lang w:val="es-ES"/>
              </w:rPr>
              <w:t>Guo</w:t>
            </w:r>
            <w:proofErr w:type="spellEnd"/>
            <w:r w:rsidRPr="004F289D">
              <w:rPr>
                <w:rFonts w:eastAsia="Aptos" w:cs="Times New Roman"/>
                <w:sz w:val="22"/>
                <w:szCs w:val="22"/>
                <w:lang w:val="es-ES"/>
              </w:rPr>
              <w:t xml:space="preserve"> et al. (2021); </w:t>
            </w:r>
            <w:proofErr w:type="spellStart"/>
            <w:r w:rsidRPr="004F289D">
              <w:rPr>
                <w:rFonts w:eastAsia="Aptos" w:cs="Times New Roman"/>
                <w:sz w:val="22"/>
                <w:szCs w:val="22"/>
                <w:lang w:val="es-ES"/>
              </w:rPr>
              <w:t>Hsu</w:t>
            </w:r>
            <w:proofErr w:type="spellEnd"/>
            <w:r w:rsidRPr="004F289D">
              <w:rPr>
                <w:rFonts w:eastAsia="Aptos" w:cs="Times New Roman"/>
                <w:sz w:val="22"/>
                <w:szCs w:val="22"/>
                <w:lang w:val="es-ES"/>
              </w:rPr>
              <w:t xml:space="preserve"> et al. </w:t>
            </w:r>
            <w:r w:rsidRPr="004F289D">
              <w:rPr>
                <w:rFonts w:eastAsia="Aptos" w:cs="Times New Roman"/>
                <w:sz w:val="22"/>
                <w:szCs w:val="22"/>
                <w:lang w:val="en-US"/>
              </w:rPr>
              <w:t xml:space="preserve">(2014a); Ku (2012); </w:t>
            </w:r>
            <w:proofErr w:type="spellStart"/>
            <w:r w:rsidRPr="004F289D">
              <w:rPr>
                <w:rFonts w:eastAsia="Aptos" w:cs="Times New Roman"/>
                <w:sz w:val="22"/>
                <w:szCs w:val="22"/>
                <w:lang w:val="en-US"/>
              </w:rPr>
              <w:t>Sangeeta</w:t>
            </w:r>
            <w:proofErr w:type="spellEnd"/>
            <w:r w:rsidRPr="004F289D">
              <w:rPr>
                <w:rFonts w:eastAsia="Aptos" w:cs="Times New Roman"/>
                <w:sz w:val="22"/>
                <w:szCs w:val="22"/>
                <w:lang w:val="en-US"/>
              </w:rPr>
              <w:t xml:space="preserve"> et al. (2013); Shao and Yin (2019); Sharma and Klein (2020); Zhang and </w:t>
            </w:r>
            <w:proofErr w:type="spellStart"/>
            <w:r w:rsidRPr="004F289D">
              <w:rPr>
                <w:rFonts w:eastAsia="Aptos" w:cs="Times New Roman"/>
                <w:sz w:val="22"/>
                <w:szCs w:val="22"/>
                <w:lang w:val="en-US"/>
              </w:rPr>
              <w:t>Gu</w:t>
            </w:r>
            <w:proofErr w:type="spellEnd"/>
            <w:r w:rsidRPr="004F289D">
              <w:rPr>
                <w:rFonts w:eastAsia="Aptos" w:cs="Times New Roman"/>
                <w:sz w:val="22"/>
                <w:szCs w:val="22"/>
                <w:lang w:val="en-US"/>
              </w:rPr>
              <w:t xml:space="preserve"> (2015)</w:t>
            </w:r>
          </w:p>
          <w:p w14:paraId="520D6B8A" w14:textId="77777777" w:rsidR="001157D8" w:rsidRPr="004F289D" w:rsidRDefault="001157D8" w:rsidP="004E265D">
            <w:pPr>
              <w:rPr>
                <w:rFonts w:eastAsia="Aptos" w:cs="Times New Roman"/>
                <w:sz w:val="22"/>
                <w:szCs w:val="22"/>
                <w:lang w:val="en-US"/>
              </w:rPr>
            </w:pPr>
          </w:p>
          <w:p w14:paraId="2F7BF5E6" w14:textId="77777777" w:rsidR="001157D8" w:rsidRPr="004F289D" w:rsidRDefault="001157D8" w:rsidP="004E265D">
            <w:pPr>
              <w:rPr>
                <w:rFonts w:eastAsia="Aptos" w:cs="Times New Roman"/>
                <w:sz w:val="22"/>
                <w:szCs w:val="22"/>
                <w:lang w:val="en-US"/>
              </w:rPr>
            </w:pPr>
          </w:p>
        </w:tc>
      </w:tr>
      <w:tr w:rsidR="004F289D" w:rsidRPr="004F289D" w14:paraId="7626DB95" w14:textId="77777777" w:rsidTr="00BC7031">
        <w:tc>
          <w:tcPr>
            <w:tcW w:w="1119" w:type="pct"/>
          </w:tcPr>
          <w:p w14:paraId="14BB2A14" w14:textId="5B2902CF"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Deterrence-based trust</w:t>
            </w:r>
          </w:p>
        </w:tc>
        <w:tc>
          <w:tcPr>
            <w:tcW w:w="2235" w:type="pct"/>
          </w:tcPr>
          <w:p w14:paraId="4F5D9B49" w14:textId="376E2784"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based on the belief that the other party will act properly because violating expectations would lead to punishment or loss of reputation</w:t>
            </w:r>
            <w:r w:rsidR="00E91A21" w:rsidRPr="004F289D">
              <w:rPr>
                <w:rFonts w:eastAsia="Aptos" w:cs="Times New Roman"/>
                <w:sz w:val="22"/>
                <w:szCs w:val="22"/>
                <w:lang w:val="en-US"/>
              </w:rPr>
              <w:t>.</w:t>
            </w:r>
          </w:p>
          <w:p w14:paraId="6B4A0021" w14:textId="77777777" w:rsidR="004A5D5C" w:rsidRPr="004F289D" w:rsidRDefault="004A5D5C" w:rsidP="004A5D5C">
            <w:pPr>
              <w:rPr>
                <w:rFonts w:eastAsia="Aptos" w:cs="Times New Roman"/>
                <w:sz w:val="22"/>
                <w:szCs w:val="22"/>
                <w:lang w:val="en-US"/>
              </w:rPr>
            </w:pPr>
          </w:p>
        </w:tc>
        <w:tc>
          <w:tcPr>
            <w:tcW w:w="1646" w:type="pct"/>
          </w:tcPr>
          <w:p w14:paraId="10F3DB0A" w14:textId="551B226D" w:rsidR="004A5D5C" w:rsidRPr="004F289D" w:rsidRDefault="004A5D5C" w:rsidP="004A5D5C">
            <w:pPr>
              <w:rPr>
                <w:rFonts w:eastAsia="Aptos" w:cs="Times New Roman"/>
                <w:sz w:val="22"/>
                <w:szCs w:val="22"/>
                <w:lang w:val="en-US"/>
              </w:rPr>
            </w:pPr>
            <w:proofErr w:type="spellStart"/>
            <w:r w:rsidRPr="004F289D">
              <w:rPr>
                <w:rFonts w:eastAsia="Aptos" w:cs="Times New Roman"/>
                <w:sz w:val="22"/>
                <w:szCs w:val="22"/>
                <w:lang w:val="en-US"/>
              </w:rPr>
              <w:t>Ratnasingham</w:t>
            </w:r>
            <w:proofErr w:type="spellEnd"/>
            <w:r w:rsidRPr="004F289D">
              <w:rPr>
                <w:rFonts w:eastAsia="Aptos" w:cs="Times New Roman"/>
                <w:sz w:val="22"/>
                <w:szCs w:val="22"/>
                <w:lang w:val="en-US"/>
              </w:rPr>
              <w:t xml:space="preserve"> (1998); </w:t>
            </w:r>
            <w:proofErr w:type="spellStart"/>
            <w:r w:rsidRPr="004F289D">
              <w:rPr>
                <w:rFonts w:eastAsia="Aptos" w:cs="Times New Roman"/>
                <w:sz w:val="22"/>
                <w:szCs w:val="22"/>
                <w:lang w:val="en-US"/>
              </w:rPr>
              <w:t>Sangeeta</w:t>
            </w:r>
            <w:proofErr w:type="spellEnd"/>
            <w:r w:rsidRPr="004F289D">
              <w:rPr>
                <w:rFonts w:eastAsia="Aptos" w:cs="Times New Roman"/>
                <w:sz w:val="22"/>
                <w:szCs w:val="22"/>
                <w:lang w:val="en-US"/>
              </w:rPr>
              <w:t xml:space="preserve"> et al. (2013)</w:t>
            </w:r>
          </w:p>
        </w:tc>
      </w:tr>
      <w:tr w:rsidR="004F289D" w:rsidRPr="004F289D" w14:paraId="49BCE8CC" w14:textId="77777777" w:rsidTr="00BC7031">
        <w:tc>
          <w:tcPr>
            <w:tcW w:w="1119" w:type="pct"/>
          </w:tcPr>
          <w:p w14:paraId="4BC2D1DF" w14:textId="4194D60D" w:rsidR="004A5D5C" w:rsidRPr="004F289D" w:rsidRDefault="004A5D5C" w:rsidP="004A5D5C">
            <w:pPr>
              <w:rPr>
                <w:rFonts w:eastAsia="Aptos" w:cs="Times New Roman"/>
                <w:sz w:val="22"/>
                <w:szCs w:val="22"/>
                <w:lang w:val="en-US"/>
              </w:rPr>
            </w:pPr>
            <w:bookmarkStart w:id="16" w:name="_Hlk216426510"/>
            <w:r w:rsidRPr="004F289D">
              <w:rPr>
                <w:rFonts w:eastAsia="Aptos" w:cs="Times New Roman"/>
                <w:sz w:val="22"/>
                <w:szCs w:val="22"/>
                <w:lang w:val="en-US"/>
              </w:rPr>
              <w:t>Familiarity-based (or knowledge-based) trust</w:t>
            </w:r>
          </w:p>
        </w:tc>
        <w:tc>
          <w:tcPr>
            <w:tcW w:w="2235" w:type="pct"/>
          </w:tcPr>
          <w:p w14:paraId="05E47F2D" w14:textId="17EEBF15"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that arises from knowing the other party well enough to reliably predict their behavior, based on accumulated interaction history</w:t>
            </w:r>
            <w:r w:rsidR="00E91A21" w:rsidRPr="004F289D">
              <w:rPr>
                <w:rFonts w:eastAsia="Aptos" w:cs="Times New Roman"/>
                <w:sz w:val="22"/>
                <w:szCs w:val="22"/>
                <w:lang w:val="en-US"/>
              </w:rPr>
              <w:t>.</w:t>
            </w:r>
          </w:p>
          <w:p w14:paraId="29EF9BA5" w14:textId="77777777" w:rsidR="004A5D5C" w:rsidRPr="004F289D" w:rsidRDefault="004A5D5C" w:rsidP="004A5D5C">
            <w:pPr>
              <w:rPr>
                <w:rFonts w:eastAsia="Aptos" w:cs="Times New Roman"/>
                <w:sz w:val="22"/>
                <w:szCs w:val="22"/>
                <w:lang w:val="en-US"/>
              </w:rPr>
            </w:pPr>
          </w:p>
          <w:p w14:paraId="0BFA43D6" w14:textId="5B9B0352" w:rsidR="004A5D5C" w:rsidRPr="004F289D" w:rsidRDefault="004A5D5C" w:rsidP="004A5D5C">
            <w:pPr>
              <w:rPr>
                <w:rFonts w:eastAsia="Aptos" w:cs="Times New Roman"/>
                <w:sz w:val="22"/>
                <w:szCs w:val="22"/>
                <w:lang w:val="en-US"/>
              </w:rPr>
            </w:pPr>
          </w:p>
        </w:tc>
        <w:tc>
          <w:tcPr>
            <w:tcW w:w="1646" w:type="pct"/>
          </w:tcPr>
          <w:p w14:paraId="1B092AD5" w14:textId="6832C88E"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 xml:space="preserve">Chen (2006); </w:t>
            </w:r>
            <w:proofErr w:type="spellStart"/>
            <w:r w:rsidRPr="004F289D">
              <w:rPr>
                <w:rFonts w:eastAsia="Aptos" w:cs="Times New Roman"/>
                <w:sz w:val="22"/>
                <w:szCs w:val="22"/>
                <w:lang w:val="en-US"/>
              </w:rPr>
              <w:t>Ratnasingham</w:t>
            </w:r>
            <w:proofErr w:type="spellEnd"/>
            <w:r w:rsidRPr="004F289D">
              <w:rPr>
                <w:rFonts w:eastAsia="Aptos" w:cs="Times New Roman"/>
                <w:sz w:val="22"/>
                <w:szCs w:val="22"/>
                <w:lang w:val="en-US"/>
              </w:rPr>
              <w:t xml:space="preserve"> (1998); Wang (2010)</w:t>
            </w:r>
          </w:p>
        </w:tc>
      </w:tr>
      <w:bookmarkEnd w:id="16"/>
      <w:tr w:rsidR="004F289D" w:rsidRPr="004F289D" w14:paraId="447CD512" w14:textId="77777777" w:rsidTr="00BC7031">
        <w:tc>
          <w:tcPr>
            <w:tcW w:w="1119" w:type="pct"/>
          </w:tcPr>
          <w:p w14:paraId="370E2CBA"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General trust in e-commerce transaction</w:t>
            </w:r>
          </w:p>
        </w:tc>
        <w:tc>
          <w:tcPr>
            <w:tcW w:w="2235" w:type="pct"/>
          </w:tcPr>
          <w:p w14:paraId="35D6BDCD" w14:textId="3D255116"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Consumers’ expectation that the seller, financial organization, and deliverer (i.e., all agents involved) will behave in goodwill</w:t>
            </w:r>
            <w:r w:rsidR="00E91A21" w:rsidRPr="004F289D">
              <w:rPr>
                <w:rFonts w:eastAsia="Aptos" w:cs="Times New Roman"/>
                <w:sz w:val="22"/>
                <w:szCs w:val="22"/>
                <w:lang w:val="en-US"/>
              </w:rPr>
              <w:t>.</w:t>
            </w:r>
          </w:p>
        </w:tc>
        <w:tc>
          <w:tcPr>
            <w:tcW w:w="1646" w:type="pct"/>
          </w:tcPr>
          <w:p w14:paraId="4954DEAC"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 xml:space="preserve">Aiken and </w:t>
            </w:r>
            <w:proofErr w:type="spellStart"/>
            <w:r w:rsidRPr="004F289D">
              <w:rPr>
                <w:rFonts w:eastAsia="Aptos" w:cs="Times New Roman"/>
                <w:sz w:val="22"/>
                <w:szCs w:val="22"/>
                <w:lang w:val="en-US"/>
              </w:rPr>
              <w:t>Boush</w:t>
            </w:r>
            <w:proofErr w:type="spellEnd"/>
            <w:r w:rsidRPr="004F289D">
              <w:rPr>
                <w:rFonts w:eastAsia="Aptos" w:cs="Times New Roman"/>
                <w:sz w:val="22"/>
                <w:szCs w:val="22"/>
                <w:lang w:val="en-US"/>
              </w:rPr>
              <w:t xml:space="preserve"> (2006); Antoniou and Batten (2011); Jiang et al. (2009); Pan and </w:t>
            </w:r>
            <w:proofErr w:type="spellStart"/>
            <w:r w:rsidRPr="004F289D">
              <w:rPr>
                <w:rFonts w:eastAsia="Aptos" w:cs="Times New Roman"/>
                <w:sz w:val="22"/>
                <w:szCs w:val="22"/>
                <w:lang w:val="en-US"/>
              </w:rPr>
              <w:t>Chiou</w:t>
            </w:r>
            <w:proofErr w:type="spellEnd"/>
            <w:r w:rsidRPr="004F289D">
              <w:rPr>
                <w:rFonts w:eastAsia="Aptos" w:cs="Times New Roman"/>
                <w:sz w:val="22"/>
                <w:szCs w:val="22"/>
                <w:lang w:val="en-US"/>
              </w:rPr>
              <w:t xml:space="preserve"> (2011); </w:t>
            </w:r>
            <w:proofErr w:type="spellStart"/>
            <w:r w:rsidRPr="004F289D">
              <w:rPr>
                <w:rFonts w:eastAsia="Aptos" w:cs="Times New Roman"/>
                <w:sz w:val="22"/>
                <w:szCs w:val="22"/>
                <w:lang w:val="en-US"/>
              </w:rPr>
              <w:t>Pizzutti</w:t>
            </w:r>
            <w:proofErr w:type="spellEnd"/>
            <w:r w:rsidRPr="004F289D">
              <w:rPr>
                <w:rFonts w:eastAsia="Aptos" w:cs="Times New Roman"/>
                <w:sz w:val="22"/>
                <w:szCs w:val="22"/>
                <w:lang w:val="en-US"/>
              </w:rPr>
              <w:t xml:space="preserve"> and </w:t>
            </w:r>
            <w:proofErr w:type="spellStart"/>
            <w:r w:rsidRPr="004F289D">
              <w:rPr>
                <w:rFonts w:eastAsia="Aptos" w:cs="Times New Roman"/>
                <w:sz w:val="22"/>
                <w:szCs w:val="22"/>
                <w:lang w:val="en-US"/>
              </w:rPr>
              <w:t>Fernandes</w:t>
            </w:r>
            <w:proofErr w:type="spellEnd"/>
            <w:r w:rsidRPr="004F289D">
              <w:rPr>
                <w:rFonts w:eastAsia="Aptos" w:cs="Times New Roman"/>
                <w:sz w:val="22"/>
                <w:szCs w:val="22"/>
                <w:lang w:val="en-US"/>
              </w:rPr>
              <w:t xml:space="preserve"> (2010); Suh and Han (2003); Wang et al. (2009)</w:t>
            </w:r>
          </w:p>
          <w:p w14:paraId="11BA2C35" w14:textId="77777777" w:rsidR="001157D8" w:rsidRPr="004F289D" w:rsidRDefault="001157D8" w:rsidP="004E265D">
            <w:pPr>
              <w:rPr>
                <w:rFonts w:eastAsia="Aptos" w:cs="Times New Roman"/>
                <w:sz w:val="22"/>
                <w:szCs w:val="22"/>
                <w:lang w:val="en-US"/>
              </w:rPr>
            </w:pPr>
          </w:p>
          <w:p w14:paraId="0A3C4056" w14:textId="77777777" w:rsidR="001157D8" w:rsidRPr="004F289D" w:rsidRDefault="001157D8" w:rsidP="004E265D">
            <w:pPr>
              <w:rPr>
                <w:rFonts w:eastAsia="Aptos" w:cs="Times New Roman"/>
                <w:sz w:val="22"/>
                <w:szCs w:val="22"/>
                <w:lang w:val="en-US"/>
              </w:rPr>
            </w:pPr>
          </w:p>
        </w:tc>
      </w:tr>
      <w:tr w:rsidR="004F289D" w:rsidRPr="004F289D" w14:paraId="6D4AEC18" w14:textId="77777777" w:rsidTr="00BC7031">
        <w:tc>
          <w:tcPr>
            <w:tcW w:w="1119" w:type="pct"/>
          </w:tcPr>
          <w:p w14:paraId="183A58B4" w14:textId="3418C4E3" w:rsidR="004A5D5C" w:rsidRPr="004F289D" w:rsidRDefault="004A5D5C" w:rsidP="004A5D5C">
            <w:pPr>
              <w:rPr>
                <w:rFonts w:eastAsia="Aptos" w:cs="Times New Roman"/>
                <w:lang w:val="en-US"/>
              </w:rPr>
            </w:pPr>
            <w:r w:rsidRPr="004F289D">
              <w:rPr>
                <w:rFonts w:eastAsia="Aptos" w:cs="Times New Roman"/>
                <w:sz w:val="22"/>
                <w:szCs w:val="22"/>
                <w:lang w:val="en-US"/>
              </w:rPr>
              <w:t>“Hard trust”</w:t>
            </w:r>
          </w:p>
        </w:tc>
        <w:tc>
          <w:tcPr>
            <w:tcW w:w="2235" w:type="pct"/>
          </w:tcPr>
          <w:p w14:paraId="354604AB" w14:textId="5BA48545"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based on technical security—the belief that transmitted information will remain protected, uncorrupted, and not leaked due to secure technological measures (e.g., encryption, firewalls)</w:t>
            </w:r>
            <w:r w:rsidR="00E91A21" w:rsidRPr="004F289D">
              <w:rPr>
                <w:rFonts w:eastAsia="Aptos" w:cs="Times New Roman"/>
                <w:sz w:val="22"/>
                <w:szCs w:val="22"/>
                <w:lang w:val="en-US"/>
              </w:rPr>
              <w:t>.</w:t>
            </w:r>
          </w:p>
          <w:p w14:paraId="5A2DE38B" w14:textId="77777777" w:rsidR="004A5D5C" w:rsidRPr="004F289D" w:rsidRDefault="004A5D5C" w:rsidP="004A5D5C">
            <w:pPr>
              <w:rPr>
                <w:rFonts w:eastAsia="Aptos" w:cs="Times New Roman"/>
                <w:sz w:val="22"/>
                <w:szCs w:val="22"/>
                <w:lang w:val="en-US"/>
              </w:rPr>
            </w:pPr>
          </w:p>
          <w:p w14:paraId="2D7F3A04" w14:textId="77777777" w:rsidR="004A5D5C" w:rsidRPr="004F289D" w:rsidRDefault="004A5D5C" w:rsidP="004A5D5C">
            <w:pPr>
              <w:rPr>
                <w:rFonts w:eastAsia="Aptos" w:cs="Times New Roman"/>
                <w:sz w:val="22"/>
                <w:szCs w:val="22"/>
                <w:lang w:val="en-US"/>
              </w:rPr>
            </w:pPr>
          </w:p>
          <w:p w14:paraId="1169B8CD" w14:textId="77777777" w:rsidR="004A5D5C" w:rsidRPr="004F289D" w:rsidRDefault="004A5D5C" w:rsidP="004A5D5C">
            <w:pPr>
              <w:rPr>
                <w:rFonts w:eastAsia="Aptos" w:cs="Times New Roman"/>
                <w:lang w:val="en-US"/>
              </w:rPr>
            </w:pPr>
          </w:p>
        </w:tc>
        <w:tc>
          <w:tcPr>
            <w:tcW w:w="1646" w:type="pct"/>
          </w:tcPr>
          <w:p w14:paraId="1FE347EC" w14:textId="04E18239" w:rsidR="004A5D5C" w:rsidRPr="004F289D" w:rsidRDefault="004A5D5C" w:rsidP="004A5D5C">
            <w:pPr>
              <w:rPr>
                <w:rFonts w:eastAsia="Aptos" w:cs="Times New Roman"/>
                <w:lang w:val="en-US"/>
              </w:rPr>
            </w:pPr>
            <w:r w:rsidRPr="004F289D">
              <w:rPr>
                <w:rFonts w:eastAsia="Aptos" w:cs="Times New Roman"/>
                <w:sz w:val="22"/>
                <w:szCs w:val="22"/>
                <w:lang w:val="en-US"/>
              </w:rPr>
              <w:t xml:space="preserve">Head and </w:t>
            </w:r>
            <w:proofErr w:type="spellStart"/>
            <w:r w:rsidRPr="004F289D">
              <w:rPr>
                <w:rFonts w:eastAsia="Aptos" w:cs="Times New Roman"/>
                <w:sz w:val="22"/>
                <w:szCs w:val="22"/>
                <w:lang w:val="en-US"/>
              </w:rPr>
              <w:t>Hassanein</w:t>
            </w:r>
            <w:proofErr w:type="spellEnd"/>
            <w:r w:rsidRPr="004F289D">
              <w:rPr>
                <w:rFonts w:eastAsia="Aptos" w:cs="Times New Roman"/>
                <w:sz w:val="22"/>
                <w:szCs w:val="22"/>
                <w:lang w:val="en-US"/>
              </w:rPr>
              <w:t xml:space="preserve"> (2002)</w:t>
            </w:r>
          </w:p>
        </w:tc>
      </w:tr>
      <w:tr w:rsidR="004F289D" w:rsidRPr="004F289D" w14:paraId="10C872BC" w14:textId="77777777" w:rsidTr="00BC7031">
        <w:tc>
          <w:tcPr>
            <w:tcW w:w="1119" w:type="pct"/>
          </w:tcPr>
          <w:p w14:paraId="3713B0F8" w14:textId="31B417E2" w:rsidR="004A5D5C" w:rsidRPr="004F289D" w:rsidRDefault="004A5D5C" w:rsidP="004A5D5C">
            <w:pPr>
              <w:rPr>
                <w:rFonts w:eastAsia="Aptos" w:cs="Times New Roman"/>
                <w:lang w:val="en-US"/>
              </w:rPr>
            </w:pPr>
            <w:r w:rsidRPr="004F289D">
              <w:rPr>
                <w:rFonts w:eastAsia="Aptos" w:cs="Times New Roman"/>
                <w:sz w:val="22"/>
                <w:szCs w:val="22"/>
                <w:lang w:val="en-US"/>
              </w:rPr>
              <w:t>Identification-based trust</w:t>
            </w:r>
          </w:p>
        </w:tc>
        <w:tc>
          <w:tcPr>
            <w:tcW w:w="2235" w:type="pct"/>
          </w:tcPr>
          <w:p w14:paraId="6505024E" w14:textId="51997E75"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formed when both parties share common values and understand each other’s intentions so well that one can act on behalf of the other, reflecting deep mutual identification</w:t>
            </w:r>
            <w:r w:rsidR="00E91A21" w:rsidRPr="004F289D">
              <w:rPr>
                <w:rFonts w:eastAsia="Aptos" w:cs="Times New Roman"/>
                <w:sz w:val="22"/>
                <w:szCs w:val="22"/>
                <w:lang w:val="en-US"/>
              </w:rPr>
              <w:t>.</w:t>
            </w:r>
          </w:p>
          <w:p w14:paraId="0C3655F0" w14:textId="77777777" w:rsidR="004A5D5C" w:rsidRPr="004F289D" w:rsidRDefault="004A5D5C" w:rsidP="004A5D5C">
            <w:pPr>
              <w:rPr>
                <w:rFonts w:eastAsia="Aptos" w:cs="Times New Roman"/>
                <w:sz w:val="22"/>
                <w:szCs w:val="22"/>
                <w:lang w:val="en-US"/>
              </w:rPr>
            </w:pPr>
          </w:p>
          <w:p w14:paraId="0978F7E8" w14:textId="77777777" w:rsidR="004A5D5C" w:rsidRPr="004F289D" w:rsidRDefault="004A5D5C" w:rsidP="004A5D5C">
            <w:pPr>
              <w:rPr>
                <w:rFonts w:eastAsia="Aptos" w:cs="Times New Roman"/>
                <w:lang w:val="en-US"/>
              </w:rPr>
            </w:pPr>
          </w:p>
        </w:tc>
        <w:tc>
          <w:tcPr>
            <w:tcW w:w="1646" w:type="pct"/>
          </w:tcPr>
          <w:p w14:paraId="00CB42A5" w14:textId="1B8B855F" w:rsidR="004A5D5C" w:rsidRPr="004F289D" w:rsidRDefault="004A5D5C" w:rsidP="004A5D5C">
            <w:pPr>
              <w:rPr>
                <w:rFonts w:eastAsia="Aptos" w:cs="Times New Roman"/>
                <w:lang w:val="en-US"/>
              </w:rPr>
            </w:pPr>
            <w:proofErr w:type="spellStart"/>
            <w:r w:rsidRPr="004F289D">
              <w:rPr>
                <w:rFonts w:eastAsia="Aptos" w:cs="Times New Roman"/>
                <w:sz w:val="22"/>
                <w:szCs w:val="22"/>
                <w:lang w:val="en-US"/>
              </w:rPr>
              <w:t>Ratnasingham</w:t>
            </w:r>
            <w:proofErr w:type="spellEnd"/>
            <w:r w:rsidRPr="004F289D">
              <w:rPr>
                <w:rFonts w:eastAsia="Aptos" w:cs="Times New Roman"/>
                <w:sz w:val="22"/>
                <w:szCs w:val="22"/>
                <w:lang w:val="en-US"/>
              </w:rPr>
              <w:t xml:space="preserve"> (1998)</w:t>
            </w:r>
          </w:p>
        </w:tc>
      </w:tr>
      <w:tr w:rsidR="004F289D" w:rsidRPr="004F289D" w14:paraId="1A575AD0" w14:textId="77777777" w:rsidTr="00BC7031">
        <w:tc>
          <w:tcPr>
            <w:tcW w:w="1119" w:type="pct"/>
          </w:tcPr>
          <w:p w14:paraId="4FEC0F7E" w14:textId="61A37CE4" w:rsidR="004A5D5C" w:rsidRPr="004F289D" w:rsidRDefault="004A5D5C" w:rsidP="004A5D5C">
            <w:pPr>
              <w:rPr>
                <w:rFonts w:eastAsia="Aptos" w:cs="Times New Roman"/>
                <w:lang w:val="en-US"/>
              </w:rPr>
            </w:pPr>
            <w:r w:rsidRPr="004F289D">
              <w:rPr>
                <w:rFonts w:eastAsia="Aptos" w:cs="Times New Roman"/>
                <w:sz w:val="22"/>
                <w:szCs w:val="22"/>
                <w:lang w:val="en-US"/>
              </w:rPr>
              <w:t>Privacy-related trust</w:t>
            </w:r>
          </w:p>
        </w:tc>
        <w:tc>
          <w:tcPr>
            <w:tcW w:w="2235" w:type="pct"/>
          </w:tcPr>
          <w:p w14:paraId="57FB0F18" w14:textId="089538E8"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Belief that the website protects personal and financial information from intrusion or misuse</w:t>
            </w:r>
            <w:r w:rsidR="00E91A21" w:rsidRPr="004F289D">
              <w:rPr>
                <w:rFonts w:eastAsia="Aptos" w:cs="Times New Roman"/>
                <w:sz w:val="22"/>
                <w:szCs w:val="22"/>
                <w:lang w:val="en-US"/>
              </w:rPr>
              <w:t>.</w:t>
            </w:r>
          </w:p>
          <w:p w14:paraId="2E1B253F" w14:textId="77777777" w:rsidR="004A5D5C" w:rsidRPr="004F289D" w:rsidRDefault="004A5D5C" w:rsidP="004A5D5C">
            <w:pPr>
              <w:rPr>
                <w:rFonts w:eastAsia="Aptos" w:cs="Times New Roman"/>
                <w:lang w:val="en-US"/>
              </w:rPr>
            </w:pPr>
          </w:p>
        </w:tc>
        <w:tc>
          <w:tcPr>
            <w:tcW w:w="1646" w:type="pct"/>
          </w:tcPr>
          <w:p w14:paraId="6270BEDF" w14:textId="557EE482" w:rsidR="004A5D5C" w:rsidRPr="004F289D" w:rsidRDefault="004A5D5C" w:rsidP="004A5D5C">
            <w:pPr>
              <w:rPr>
                <w:rFonts w:eastAsia="Aptos" w:cs="Times New Roman"/>
                <w:lang w:val="en-US"/>
              </w:rPr>
            </w:pPr>
            <w:proofErr w:type="spellStart"/>
            <w:r w:rsidRPr="004F289D">
              <w:rPr>
                <w:rFonts w:eastAsia="Aptos" w:cs="Times New Roman"/>
                <w:sz w:val="22"/>
                <w:szCs w:val="22"/>
                <w:lang w:val="en-US"/>
              </w:rPr>
              <w:t>Barrutia</w:t>
            </w:r>
            <w:proofErr w:type="spellEnd"/>
            <w:r w:rsidRPr="004F289D">
              <w:rPr>
                <w:rFonts w:eastAsia="Aptos" w:cs="Times New Roman"/>
                <w:sz w:val="22"/>
                <w:szCs w:val="22"/>
                <w:lang w:val="en-US"/>
              </w:rPr>
              <w:t xml:space="preserve"> and </w:t>
            </w:r>
            <w:proofErr w:type="spellStart"/>
            <w:r w:rsidRPr="004F289D">
              <w:rPr>
                <w:rFonts w:eastAsia="Aptos" w:cs="Times New Roman"/>
                <w:sz w:val="22"/>
                <w:szCs w:val="22"/>
                <w:lang w:val="en-US"/>
              </w:rPr>
              <w:t>Gilsanz</w:t>
            </w:r>
            <w:proofErr w:type="spellEnd"/>
            <w:r w:rsidRPr="004F289D">
              <w:rPr>
                <w:rFonts w:eastAsia="Aptos" w:cs="Times New Roman"/>
                <w:sz w:val="22"/>
                <w:szCs w:val="22"/>
                <w:lang w:val="en-US"/>
              </w:rPr>
              <w:t xml:space="preserve"> (2012); </w:t>
            </w:r>
            <w:proofErr w:type="spellStart"/>
            <w:r w:rsidRPr="004F289D">
              <w:rPr>
                <w:rFonts w:eastAsia="Aptos" w:cs="Times New Roman"/>
                <w:sz w:val="22"/>
                <w:szCs w:val="22"/>
                <w:lang w:val="en-US"/>
              </w:rPr>
              <w:t>Riquelme</w:t>
            </w:r>
            <w:proofErr w:type="spellEnd"/>
            <w:r w:rsidRPr="004F289D">
              <w:rPr>
                <w:rFonts w:eastAsia="Aptos" w:cs="Times New Roman"/>
                <w:sz w:val="22"/>
                <w:szCs w:val="22"/>
                <w:lang w:val="en-US"/>
              </w:rPr>
              <w:t xml:space="preserve"> and Roman (2014)</w:t>
            </w:r>
          </w:p>
        </w:tc>
      </w:tr>
      <w:tr w:rsidR="004F289D" w:rsidRPr="004F289D" w14:paraId="35563041" w14:textId="77777777" w:rsidTr="00BC7031">
        <w:tc>
          <w:tcPr>
            <w:tcW w:w="1119" w:type="pct"/>
          </w:tcPr>
          <w:p w14:paraId="660880B6" w14:textId="705C04BC" w:rsidR="004A5D5C" w:rsidRPr="004F289D" w:rsidRDefault="004A5D5C" w:rsidP="004A5D5C">
            <w:pPr>
              <w:rPr>
                <w:rFonts w:eastAsia="Aptos" w:cs="Times New Roman"/>
                <w:lang w:val="en-US"/>
              </w:rPr>
            </w:pPr>
            <w:r w:rsidRPr="004F289D">
              <w:rPr>
                <w:rFonts w:eastAsia="Aptos" w:cs="Times New Roman"/>
                <w:sz w:val="22"/>
                <w:szCs w:val="22"/>
                <w:lang w:val="en-US"/>
              </w:rPr>
              <w:t>Referee trust</w:t>
            </w:r>
          </w:p>
        </w:tc>
        <w:tc>
          <w:tcPr>
            <w:tcW w:w="2235" w:type="pct"/>
          </w:tcPr>
          <w:p w14:paraId="152E8228" w14:textId="5FB4CD0F"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placed in third-party referees (e.g., seals, watchdogs, certificate authorities) who provide independent signals about a vendor’s credibility, security, or privacy practices</w:t>
            </w:r>
            <w:r w:rsidR="00E91A21" w:rsidRPr="004F289D">
              <w:rPr>
                <w:rFonts w:eastAsia="Aptos" w:cs="Times New Roman"/>
                <w:sz w:val="22"/>
                <w:szCs w:val="22"/>
                <w:lang w:val="en-US"/>
              </w:rPr>
              <w:t>.</w:t>
            </w:r>
          </w:p>
          <w:p w14:paraId="3443F4B3" w14:textId="77777777" w:rsidR="004A5D5C" w:rsidRPr="004F289D" w:rsidRDefault="004A5D5C" w:rsidP="004A5D5C">
            <w:pPr>
              <w:rPr>
                <w:rFonts w:eastAsia="Aptos" w:cs="Times New Roman"/>
                <w:sz w:val="22"/>
                <w:szCs w:val="22"/>
                <w:lang w:val="en-US"/>
              </w:rPr>
            </w:pPr>
          </w:p>
          <w:p w14:paraId="6F3EC2F2" w14:textId="77777777" w:rsidR="004A5D5C" w:rsidRPr="004F289D" w:rsidRDefault="004A5D5C" w:rsidP="004A5D5C">
            <w:pPr>
              <w:rPr>
                <w:rFonts w:eastAsia="Aptos" w:cs="Times New Roman"/>
                <w:lang w:val="en-US"/>
              </w:rPr>
            </w:pPr>
          </w:p>
        </w:tc>
        <w:tc>
          <w:tcPr>
            <w:tcW w:w="1646" w:type="pct"/>
          </w:tcPr>
          <w:p w14:paraId="55C9AF48" w14:textId="2E0F4B66" w:rsidR="004A5D5C" w:rsidRPr="004F289D" w:rsidRDefault="004A5D5C" w:rsidP="004A5D5C">
            <w:pPr>
              <w:rPr>
                <w:rFonts w:eastAsia="Aptos" w:cs="Times New Roman"/>
                <w:lang w:val="en-US"/>
              </w:rPr>
            </w:pPr>
            <w:r w:rsidRPr="004F289D">
              <w:rPr>
                <w:rFonts w:eastAsia="Aptos" w:cs="Times New Roman"/>
                <w:sz w:val="22"/>
                <w:szCs w:val="22"/>
                <w:lang w:val="en-US"/>
              </w:rPr>
              <w:t xml:space="preserve">Head and </w:t>
            </w:r>
            <w:proofErr w:type="spellStart"/>
            <w:r w:rsidRPr="004F289D">
              <w:rPr>
                <w:rFonts w:eastAsia="Aptos" w:cs="Times New Roman"/>
                <w:sz w:val="22"/>
                <w:szCs w:val="22"/>
                <w:lang w:val="en-US"/>
              </w:rPr>
              <w:t>Hassanein</w:t>
            </w:r>
            <w:proofErr w:type="spellEnd"/>
            <w:r w:rsidRPr="004F289D">
              <w:rPr>
                <w:rFonts w:eastAsia="Aptos" w:cs="Times New Roman"/>
                <w:sz w:val="22"/>
                <w:szCs w:val="22"/>
                <w:lang w:val="en-US"/>
              </w:rPr>
              <w:t xml:space="preserve"> (2002); Suki and Suki (2017)</w:t>
            </w:r>
          </w:p>
        </w:tc>
      </w:tr>
      <w:tr w:rsidR="004F289D" w:rsidRPr="004F289D" w14:paraId="7978A8BA" w14:textId="77777777" w:rsidTr="00BC7031">
        <w:tc>
          <w:tcPr>
            <w:tcW w:w="1119" w:type="pct"/>
          </w:tcPr>
          <w:p w14:paraId="08AB272D" w14:textId="2570C78F" w:rsidR="004A5D5C" w:rsidRPr="004F289D" w:rsidRDefault="004A5D5C" w:rsidP="004A5D5C">
            <w:pPr>
              <w:rPr>
                <w:rFonts w:eastAsia="Aptos" w:cs="Times New Roman"/>
                <w:lang w:val="en-US"/>
              </w:rPr>
            </w:pPr>
            <w:r w:rsidRPr="004F289D">
              <w:rPr>
                <w:rFonts w:eastAsia="Aptos" w:cs="Times New Roman"/>
                <w:sz w:val="22"/>
                <w:szCs w:val="22"/>
                <w:lang w:val="en-US"/>
              </w:rPr>
              <w:t>“Soft trust”</w:t>
            </w:r>
          </w:p>
        </w:tc>
        <w:tc>
          <w:tcPr>
            <w:tcW w:w="2235" w:type="pct"/>
          </w:tcPr>
          <w:p w14:paraId="72A4915D" w14:textId="362B9BCE"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Trust based on privacy and service quality—the belief that the vendor will not misuse personal data and will deliver reliable, authentic, and satisfactory service</w:t>
            </w:r>
            <w:r w:rsidR="00E91A21" w:rsidRPr="004F289D">
              <w:rPr>
                <w:rFonts w:eastAsia="Aptos" w:cs="Times New Roman"/>
                <w:sz w:val="22"/>
                <w:szCs w:val="22"/>
                <w:lang w:val="en-US"/>
              </w:rPr>
              <w:t>.</w:t>
            </w:r>
          </w:p>
          <w:p w14:paraId="2E698383" w14:textId="77777777" w:rsidR="004A5D5C" w:rsidRPr="004F289D" w:rsidRDefault="004A5D5C" w:rsidP="004A5D5C">
            <w:pPr>
              <w:rPr>
                <w:rFonts w:eastAsia="Aptos" w:cs="Times New Roman"/>
                <w:sz w:val="22"/>
                <w:szCs w:val="22"/>
                <w:lang w:val="en-US"/>
              </w:rPr>
            </w:pPr>
          </w:p>
          <w:p w14:paraId="290AA01F" w14:textId="77777777" w:rsidR="004A5D5C" w:rsidRPr="004F289D" w:rsidRDefault="004A5D5C" w:rsidP="004A5D5C">
            <w:pPr>
              <w:rPr>
                <w:rFonts w:eastAsia="Aptos" w:cs="Times New Roman"/>
                <w:lang w:val="en-US"/>
              </w:rPr>
            </w:pPr>
          </w:p>
        </w:tc>
        <w:tc>
          <w:tcPr>
            <w:tcW w:w="1646" w:type="pct"/>
          </w:tcPr>
          <w:p w14:paraId="17AD96A3" w14:textId="20E713A1" w:rsidR="004A5D5C" w:rsidRPr="004F289D" w:rsidRDefault="004A5D5C" w:rsidP="004A5D5C">
            <w:pPr>
              <w:rPr>
                <w:rFonts w:eastAsia="Aptos" w:cs="Times New Roman"/>
                <w:lang w:val="en-US"/>
              </w:rPr>
            </w:pPr>
            <w:r w:rsidRPr="004F289D">
              <w:rPr>
                <w:rFonts w:eastAsia="Aptos" w:cs="Times New Roman"/>
                <w:sz w:val="22"/>
                <w:szCs w:val="22"/>
                <w:lang w:val="en-US"/>
              </w:rPr>
              <w:lastRenderedPageBreak/>
              <w:t xml:space="preserve">Head and </w:t>
            </w:r>
            <w:proofErr w:type="spellStart"/>
            <w:r w:rsidRPr="004F289D">
              <w:rPr>
                <w:rFonts w:eastAsia="Aptos" w:cs="Times New Roman"/>
                <w:sz w:val="22"/>
                <w:szCs w:val="22"/>
                <w:lang w:val="en-US"/>
              </w:rPr>
              <w:t>Hassanein</w:t>
            </w:r>
            <w:proofErr w:type="spellEnd"/>
            <w:r w:rsidRPr="004F289D">
              <w:rPr>
                <w:rFonts w:eastAsia="Aptos" w:cs="Times New Roman"/>
                <w:sz w:val="22"/>
                <w:szCs w:val="22"/>
                <w:lang w:val="en-US"/>
              </w:rPr>
              <w:t xml:space="preserve"> (2002)</w:t>
            </w:r>
          </w:p>
        </w:tc>
      </w:tr>
      <w:tr w:rsidR="004F289D" w:rsidRPr="004F289D" w14:paraId="62E41D68" w14:textId="77777777" w:rsidTr="00BC7031">
        <w:tc>
          <w:tcPr>
            <w:tcW w:w="1119" w:type="pct"/>
          </w:tcPr>
          <w:p w14:paraId="0406E55D" w14:textId="77777777"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Trust in products sold or advertised online</w:t>
            </w:r>
          </w:p>
        </w:tc>
        <w:tc>
          <w:tcPr>
            <w:tcW w:w="2235" w:type="pct"/>
          </w:tcPr>
          <w:p w14:paraId="1799E1C0" w14:textId="42050221" w:rsidR="004E265D" w:rsidRPr="004F289D" w:rsidRDefault="004E265D" w:rsidP="004E265D">
            <w:pPr>
              <w:rPr>
                <w:rFonts w:eastAsia="Aptos" w:cs="Times New Roman"/>
                <w:sz w:val="22"/>
                <w:szCs w:val="22"/>
                <w:lang w:val="en-US"/>
              </w:rPr>
            </w:pPr>
            <w:r w:rsidRPr="004F289D">
              <w:rPr>
                <w:rFonts w:eastAsia="Aptos" w:cs="Times New Roman"/>
                <w:sz w:val="22"/>
                <w:szCs w:val="22"/>
                <w:lang w:val="en-US"/>
              </w:rPr>
              <w:t>The customer’s belief that the products are genuine, match the demonstrations, and will perform as expected in real life</w:t>
            </w:r>
            <w:r w:rsidR="00E91A21" w:rsidRPr="004F289D">
              <w:rPr>
                <w:rFonts w:eastAsia="Aptos" w:cs="Times New Roman"/>
                <w:sz w:val="22"/>
                <w:szCs w:val="22"/>
                <w:lang w:val="en-US"/>
              </w:rPr>
              <w:t>.</w:t>
            </w:r>
          </w:p>
          <w:p w14:paraId="057648BD" w14:textId="77777777" w:rsidR="004E265D" w:rsidRPr="004F289D" w:rsidRDefault="004E265D" w:rsidP="004E265D">
            <w:pPr>
              <w:rPr>
                <w:rFonts w:eastAsia="Aptos" w:cs="Times New Roman"/>
                <w:sz w:val="22"/>
                <w:szCs w:val="22"/>
                <w:lang w:val="en-US"/>
              </w:rPr>
            </w:pPr>
          </w:p>
        </w:tc>
        <w:tc>
          <w:tcPr>
            <w:tcW w:w="1646" w:type="pct"/>
          </w:tcPr>
          <w:p w14:paraId="25D120CD" w14:textId="4FD5AD79" w:rsidR="004E265D" w:rsidRPr="004F289D" w:rsidRDefault="004E265D" w:rsidP="004E265D">
            <w:pPr>
              <w:rPr>
                <w:rFonts w:eastAsia="Aptos" w:cs="Times New Roman"/>
                <w:sz w:val="22"/>
                <w:szCs w:val="22"/>
                <w:lang w:val="en-US"/>
              </w:rPr>
            </w:pPr>
            <w:proofErr w:type="spellStart"/>
            <w:r w:rsidRPr="004F289D">
              <w:rPr>
                <w:rFonts w:eastAsia="Aptos" w:cs="Times New Roman"/>
                <w:sz w:val="22"/>
                <w:szCs w:val="22"/>
                <w:lang w:val="en-US"/>
              </w:rPr>
              <w:t>Barrutia</w:t>
            </w:r>
            <w:proofErr w:type="spellEnd"/>
            <w:r w:rsidRPr="004F289D">
              <w:rPr>
                <w:rFonts w:eastAsia="Aptos" w:cs="Times New Roman"/>
                <w:sz w:val="22"/>
                <w:szCs w:val="22"/>
                <w:lang w:val="en-US"/>
              </w:rPr>
              <w:t xml:space="preserve"> and </w:t>
            </w:r>
            <w:proofErr w:type="spellStart"/>
            <w:r w:rsidRPr="004F289D">
              <w:rPr>
                <w:rFonts w:eastAsia="Aptos" w:cs="Times New Roman"/>
                <w:sz w:val="22"/>
                <w:szCs w:val="22"/>
                <w:lang w:val="en-US"/>
              </w:rPr>
              <w:t>Gilsanz</w:t>
            </w:r>
            <w:proofErr w:type="spellEnd"/>
            <w:r w:rsidRPr="004F289D">
              <w:rPr>
                <w:rFonts w:eastAsia="Aptos" w:cs="Times New Roman"/>
                <w:sz w:val="22"/>
                <w:szCs w:val="22"/>
                <w:lang w:val="en-US"/>
              </w:rPr>
              <w:t xml:space="preserve"> (2012); </w:t>
            </w:r>
            <w:proofErr w:type="spellStart"/>
            <w:r w:rsidRPr="004F289D">
              <w:rPr>
                <w:rFonts w:eastAsia="Aptos" w:cs="Times New Roman"/>
                <w:sz w:val="22"/>
                <w:szCs w:val="22"/>
                <w:lang w:val="en-US"/>
              </w:rPr>
              <w:t>Guo</w:t>
            </w:r>
            <w:proofErr w:type="spellEnd"/>
            <w:r w:rsidRPr="004F289D">
              <w:rPr>
                <w:rFonts w:eastAsia="Aptos" w:cs="Times New Roman"/>
                <w:sz w:val="22"/>
                <w:szCs w:val="22"/>
                <w:lang w:val="en-US"/>
              </w:rPr>
              <w:t xml:space="preserve"> et al. (2021); </w:t>
            </w:r>
            <w:proofErr w:type="spellStart"/>
            <w:r w:rsidRPr="004F289D">
              <w:rPr>
                <w:rFonts w:eastAsia="Aptos" w:cs="Times New Roman"/>
                <w:sz w:val="22"/>
                <w:szCs w:val="22"/>
                <w:lang w:val="en-US"/>
              </w:rPr>
              <w:t>Patharia</w:t>
            </w:r>
            <w:proofErr w:type="spellEnd"/>
            <w:r w:rsidRPr="004F289D">
              <w:rPr>
                <w:rFonts w:eastAsia="Aptos" w:cs="Times New Roman"/>
                <w:sz w:val="22"/>
                <w:szCs w:val="22"/>
                <w:lang w:val="en-US"/>
              </w:rPr>
              <w:t xml:space="preserve"> and Jain (202</w:t>
            </w:r>
            <w:r w:rsidR="00FC24AD" w:rsidRPr="004F289D">
              <w:rPr>
                <w:rFonts w:eastAsia="Aptos" w:cs="Times New Roman"/>
                <w:sz w:val="22"/>
                <w:szCs w:val="22"/>
                <w:lang w:val="en-US"/>
              </w:rPr>
              <w:t>4</w:t>
            </w:r>
            <w:r w:rsidRPr="004F289D">
              <w:rPr>
                <w:rFonts w:eastAsia="Aptos" w:cs="Times New Roman"/>
                <w:sz w:val="22"/>
                <w:szCs w:val="22"/>
                <w:lang w:val="en-US"/>
              </w:rPr>
              <w:t>)</w:t>
            </w:r>
          </w:p>
        </w:tc>
      </w:tr>
      <w:tr w:rsidR="004F289D" w:rsidRPr="004F289D" w14:paraId="1A7E5E2C" w14:textId="77777777" w:rsidTr="00BC7031">
        <w:tc>
          <w:tcPr>
            <w:tcW w:w="1119" w:type="pct"/>
          </w:tcPr>
          <w:p w14:paraId="23B04DD1" w14:textId="77777777"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 xml:space="preserve">Trust in social sites or platforms where transactions are conducted </w:t>
            </w:r>
          </w:p>
          <w:p w14:paraId="3DA609B7" w14:textId="77777777" w:rsidR="004A5D5C" w:rsidRPr="004F289D" w:rsidRDefault="004A5D5C" w:rsidP="004A5D5C">
            <w:pPr>
              <w:rPr>
                <w:rFonts w:eastAsia="Aptos" w:cs="Times New Roman"/>
                <w:sz w:val="22"/>
                <w:szCs w:val="22"/>
                <w:lang w:val="en-US"/>
              </w:rPr>
            </w:pPr>
          </w:p>
          <w:p w14:paraId="6448FCD0" w14:textId="0BC3CC8D" w:rsidR="004A5D5C" w:rsidRPr="004F289D" w:rsidRDefault="004A5D5C" w:rsidP="004A5D5C">
            <w:pPr>
              <w:rPr>
                <w:rFonts w:eastAsia="Aptos" w:cs="Times New Roman"/>
                <w:sz w:val="22"/>
                <w:szCs w:val="22"/>
                <w:lang w:val="en-US"/>
              </w:rPr>
            </w:pPr>
          </w:p>
        </w:tc>
        <w:tc>
          <w:tcPr>
            <w:tcW w:w="2235" w:type="pct"/>
          </w:tcPr>
          <w:p w14:paraId="2BB54E98" w14:textId="552F9317" w:rsidR="004A5D5C" w:rsidRPr="004F289D" w:rsidRDefault="004A5D5C" w:rsidP="004A5D5C">
            <w:pPr>
              <w:rPr>
                <w:rFonts w:eastAsia="Aptos" w:cs="Times New Roman"/>
                <w:sz w:val="22"/>
                <w:szCs w:val="22"/>
                <w:lang w:val="en-US"/>
              </w:rPr>
            </w:pPr>
            <w:r w:rsidRPr="004F289D">
              <w:rPr>
                <w:rFonts w:eastAsia="Aptos" w:cs="Times New Roman"/>
                <w:sz w:val="22"/>
                <w:szCs w:val="22"/>
                <w:lang w:val="en-US"/>
              </w:rPr>
              <w:t>Belief that social media sites used for shopping and their members are reliable</w:t>
            </w:r>
            <w:r w:rsidR="00E91A21" w:rsidRPr="004F289D">
              <w:rPr>
                <w:rFonts w:eastAsia="Aptos" w:cs="Times New Roman"/>
                <w:sz w:val="22"/>
                <w:szCs w:val="22"/>
                <w:lang w:val="en-US"/>
              </w:rPr>
              <w:t>.</w:t>
            </w:r>
          </w:p>
        </w:tc>
        <w:tc>
          <w:tcPr>
            <w:tcW w:w="1646" w:type="pct"/>
          </w:tcPr>
          <w:p w14:paraId="6594DA0F" w14:textId="275CCC3D" w:rsidR="004A5D5C" w:rsidRPr="004F289D" w:rsidRDefault="004A5D5C" w:rsidP="004A5D5C">
            <w:pPr>
              <w:rPr>
                <w:rFonts w:eastAsia="Aptos" w:cs="Times New Roman"/>
                <w:sz w:val="22"/>
                <w:szCs w:val="22"/>
                <w:lang w:val="en-US"/>
              </w:rPr>
            </w:pPr>
            <w:r w:rsidRPr="004F289D">
              <w:rPr>
                <w:rFonts w:eastAsia="Aptos" w:cs="Times New Roman"/>
                <w:sz w:val="22"/>
                <w:szCs w:val="22"/>
                <w:lang w:val="sv-SE"/>
              </w:rPr>
              <w:t xml:space="preserve">Chaturvedi et al. (2016); Lin et al. </w:t>
            </w:r>
            <w:r w:rsidRPr="004F289D">
              <w:rPr>
                <w:rFonts w:eastAsia="Aptos" w:cs="Times New Roman"/>
                <w:sz w:val="22"/>
                <w:szCs w:val="22"/>
                <w:lang w:val="en-US"/>
              </w:rPr>
              <w:t>(2019); Shao and Yin (2019)</w:t>
            </w:r>
          </w:p>
        </w:tc>
      </w:tr>
    </w:tbl>
    <w:p w14:paraId="7AFE92B9" w14:textId="75B539D7" w:rsidR="004E265D" w:rsidRPr="004F289D" w:rsidRDefault="00F34CE2" w:rsidP="004E265D">
      <w:pPr>
        <w:spacing w:line="278" w:lineRule="auto"/>
        <w:rPr>
          <w:rFonts w:eastAsia="Aptos" w:cs="Times New Roman"/>
          <w:lang w:val="en-US"/>
        </w:rPr>
      </w:pPr>
      <w:r w:rsidRPr="004F289D">
        <w:rPr>
          <w:rFonts w:eastAsia="Aptos" w:cs="Times New Roman"/>
          <w:lang w:val="en-US"/>
        </w:rPr>
        <w:t>Source: Author’s own work</w:t>
      </w:r>
    </w:p>
    <w:p w14:paraId="6CE190B4" w14:textId="77777777" w:rsidR="00F34CE2" w:rsidRPr="004F289D" w:rsidRDefault="00F34CE2" w:rsidP="004E265D">
      <w:pPr>
        <w:spacing w:line="278" w:lineRule="auto"/>
        <w:rPr>
          <w:rFonts w:eastAsia="Aptos" w:cs="Times New Roman"/>
          <w:b/>
          <w:bCs/>
          <w:lang w:val="en-US"/>
        </w:rPr>
      </w:pPr>
      <w:bookmarkStart w:id="17" w:name="_Hlk218850381"/>
    </w:p>
    <w:p w14:paraId="134FC10D" w14:textId="4478E477" w:rsidR="004E265D" w:rsidRPr="004F289D" w:rsidRDefault="004E265D" w:rsidP="004E265D">
      <w:pPr>
        <w:spacing w:line="278" w:lineRule="auto"/>
        <w:rPr>
          <w:rFonts w:eastAsia="Aptos" w:cs="Times New Roman"/>
          <w:b/>
          <w:bCs/>
          <w:lang w:val="en-US"/>
        </w:rPr>
      </w:pPr>
      <w:r w:rsidRPr="004F289D">
        <w:rPr>
          <w:rFonts w:eastAsia="Aptos" w:cs="Times New Roman"/>
          <w:b/>
          <w:bCs/>
          <w:lang w:val="en-US"/>
        </w:rPr>
        <w:t>References (Table A</w:t>
      </w:r>
      <w:r w:rsidR="00FC73A9" w:rsidRPr="004F289D">
        <w:rPr>
          <w:rFonts w:eastAsia="Aptos" w:cs="Times New Roman"/>
          <w:b/>
          <w:bCs/>
          <w:lang w:val="en-US"/>
        </w:rPr>
        <w:t>5</w:t>
      </w:r>
      <w:r w:rsidRPr="004F289D">
        <w:rPr>
          <w:rFonts w:eastAsia="Aptos" w:cs="Times New Roman"/>
          <w:b/>
          <w:bCs/>
          <w:lang w:val="en-US"/>
        </w:rPr>
        <w:t>)</w:t>
      </w:r>
    </w:p>
    <w:bookmarkEnd w:id="17"/>
    <w:p w14:paraId="75ADD8ED"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Agag</w:t>
      </w:r>
      <w:proofErr w:type="spellEnd"/>
      <w:r w:rsidRPr="004F289D">
        <w:rPr>
          <w:rFonts w:eastAsia="Aptos" w:cs="Times New Roman"/>
          <w:lang w:val="en-US"/>
        </w:rPr>
        <w:t>, G.M. and El-</w:t>
      </w:r>
      <w:proofErr w:type="spellStart"/>
      <w:r w:rsidRPr="004F289D">
        <w:rPr>
          <w:rFonts w:eastAsia="Aptos" w:cs="Times New Roman"/>
          <w:lang w:val="en-US"/>
        </w:rPr>
        <w:t>Masry</w:t>
      </w:r>
      <w:proofErr w:type="spellEnd"/>
      <w:r w:rsidRPr="004F289D">
        <w:rPr>
          <w:rFonts w:eastAsia="Aptos" w:cs="Times New Roman"/>
          <w:lang w:val="en-US"/>
        </w:rPr>
        <w:t xml:space="preserve">, A.A. (2017), “Why do consumers trust online travel websites? Drivers and outcomes of consumer trust toward online travel websites”, </w:t>
      </w:r>
      <w:r w:rsidRPr="004F289D">
        <w:rPr>
          <w:rFonts w:eastAsia="Aptos" w:cs="Times New Roman"/>
          <w:i/>
          <w:iCs/>
          <w:lang w:val="en-US"/>
        </w:rPr>
        <w:t>Journal of Travel Research</w:t>
      </w:r>
      <w:r w:rsidRPr="004F289D">
        <w:rPr>
          <w:rFonts w:eastAsia="Aptos" w:cs="Times New Roman"/>
          <w:lang w:val="en-US"/>
        </w:rPr>
        <w:t xml:space="preserve">, Vol. 56 No. 3, pp. 347–369. </w:t>
      </w:r>
    </w:p>
    <w:p w14:paraId="2967E7B2" w14:textId="3498B51D"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Aiken, K.D. and </w:t>
      </w:r>
      <w:proofErr w:type="spellStart"/>
      <w:r w:rsidRPr="004F289D">
        <w:rPr>
          <w:rFonts w:eastAsia="Aptos" w:cs="Times New Roman"/>
          <w:lang w:val="en-US"/>
        </w:rPr>
        <w:t>Boush</w:t>
      </w:r>
      <w:proofErr w:type="spellEnd"/>
      <w:r w:rsidRPr="004F289D">
        <w:rPr>
          <w:rFonts w:eastAsia="Aptos" w:cs="Times New Roman"/>
          <w:lang w:val="en-US"/>
        </w:rPr>
        <w:t>, D.M. (2006), “</w:t>
      </w:r>
      <w:proofErr w:type="spellStart"/>
      <w:r w:rsidRPr="004F289D">
        <w:rPr>
          <w:rFonts w:eastAsia="Aptos" w:cs="Times New Roman"/>
          <w:lang w:val="en-US"/>
        </w:rPr>
        <w:t>Trustmarks</w:t>
      </w:r>
      <w:proofErr w:type="spellEnd"/>
      <w:r w:rsidRPr="004F289D">
        <w:rPr>
          <w:rFonts w:eastAsia="Aptos" w:cs="Times New Roman"/>
          <w:lang w:val="en-US"/>
        </w:rPr>
        <w:t xml:space="preserve">, objective- source ratings, and implied investments in advertising: Investigating online trust and the context specific nature of internet signals”, </w:t>
      </w:r>
      <w:r w:rsidRPr="004F289D">
        <w:rPr>
          <w:rFonts w:eastAsia="Aptos" w:cs="Times New Roman"/>
          <w:i/>
          <w:iCs/>
          <w:lang w:val="en-US"/>
        </w:rPr>
        <w:t>Journal of the Academy of Marketing Science</w:t>
      </w:r>
      <w:r w:rsidRPr="004F289D">
        <w:rPr>
          <w:rFonts w:eastAsia="Aptos" w:cs="Times New Roman"/>
          <w:lang w:val="en-US"/>
        </w:rPr>
        <w:t>, Vol. 34 No. 3, pp. 308–</w:t>
      </w:r>
      <w:r w:rsidR="003A03A8" w:rsidRPr="004F289D">
        <w:rPr>
          <w:rFonts w:eastAsia="Aptos" w:cs="Times New Roman"/>
          <w:lang w:val="en-US"/>
        </w:rPr>
        <w:t>3</w:t>
      </w:r>
      <w:r w:rsidRPr="004F289D">
        <w:rPr>
          <w:rFonts w:eastAsia="Aptos" w:cs="Times New Roman"/>
          <w:lang w:val="en-US"/>
        </w:rPr>
        <w:t>23.</w:t>
      </w:r>
    </w:p>
    <w:p w14:paraId="12306B36" w14:textId="71598903" w:rsidR="004E265D" w:rsidRPr="004F289D" w:rsidRDefault="004E265D" w:rsidP="004E265D">
      <w:pPr>
        <w:spacing w:line="278" w:lineRule="auto"/>
        <w:rPr>
          <w:rFonts w:eastAsia="Aptos" w:cs="Times New Roman"/>
          <w:lang w:val="en-US"/>
        </w:rPr>
      </w:pPr>
      <w:r w:rsidRPr="004F289D">
        <w:rPr>
          <w:rFonts w:eastAsia="Aptos" w:cs="Times New Roman"/>
          <w:lang w:val="en-US"/>
        </w:rPr>
        <w:t>Al-</w:t>
      </w:r>
      <w:proofErr w:type="spellStart"/>
      <w:r w:rsidRPr="004F289D">
        <w:rPr>
          <w:rFonts w:eastAsia="Aptos" w:cs="Times New Roman"/>
          <w:lang w:val="en-US"/>
        </w:rPr>
        <w:t>Debei</w:t>
      </w:r>
      <w:proofErr w:type="spellEnd"/>
      <w:r w:rsidRPr="004F289D">
        <w:rPr>
          <w:rFonts w:eastAsia="Aptos" w:cs="Times New Roman"/>
          <w:lang w:val="en-US"/>
        </w:rPr>
        <w:t xml:space="preserve">, M. M., </w:t>
      </w:r>
      <w:proofErr w:type="spellStart"/>
      <w:r w:rsidRPr="004F289D">
        <w:rPr>
          <w:rFonts w:eastAsia="Aptos" w:cs="Times New Roman"/>
          <w:lang w:val="en-US"/>
        </w:rPr>
        <w:t>Akroush</w:t>
      </w:r>
      <w:proofErr w:type="spellEnd"/>
      <w:r w:rsidRPr="004F289D">
        <w:rPr>
          <w:rFonts w:eastAsia="Aptos" w:cs="Times New Roman"/>
          <w:lang w:val="en-US"/>
        </w:rPr>
        <w:t xml:space="preserve">, M. N. and </w:t>
      </w:r>
      <w:proofErr w:type="spellStart"/>
      <w:r w:rsidRPr="004F289D">
        <w:rPr>
          <w:rFonts w:eastAsia="Aptos" w:cs="Times New Roman"/>
          <w:lang w:val="en-US"/>
        </w:rPr>
        <w:t>Ashouri</w:t>
      </w:r>
      <w:proofErr w:type="spellEnd"/>
      <w:r w:rsidRPr="004F289D">
        <w:rPr>
          <w:rFonts w:eastAsia="Aptos" w:cs="Times New Roman"/>
          <w:lang w:val="en-US"/>
        </w:rPr>
        <w:t xml:space="preserve">, M. I. (2015), “Consumer attitudes towards online shopping: The effects of trust, perceived benefits, and perceived web quality”, </w:t>
      </w:r>
      <w:r w:rsidRPr="004F289D">
        <w:rPr>
          <w:rFonts w:eastAsia="Aptos" w:cs="Times New Roman"/>
          <w:i/>
          <w:iCs/>
          <w:lang w:val="en-US"/>
        </w:rPr>
        <w:t>Internet Research</w:t>
      </w:r>
      <w:r w:rsidRPr="004F289D">
        <w:rPr>
          <w:rFonts w:eastAsia="Aptos" w:cs="Times New Roman"/>
          <w:lang w:val="en-US"/>
        </w:rPr>
        <w:t xml:space="preserve">, Vol. 25 No. 5, pp. 707–733. </w:t>
      </w:r>
    </w:p>
    <w:p w14:paraId="668DBE65"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Antoniou, G. and Batten, L. (2011), “E-commerce: protecting purchaser privacy to enforce trust”, </w:t>
      </w:r>
      <w:r w:rsidRPr="004F289D">
        <w:rPr>
          <w:rFonts w:eastAsia="Aptos" w:cs="Times New Roman"/>
          <w:i/>
          <w:iCs/>
          <w:lang w:val="en-US"/>
        </w:rPr>
        <w:t>Electronic Commerce Research</w:t>
      </w:r>
      <w:r w:rsidRPr="004F289D">
        <w:rPr>
          <w:rFonts w:eastAsia="Aptos" w:cs="Times New Roman"/>
          <w:lang w:val="en-US"/>
        </w:rPr>
        <w:t>, Vol. 11 No. 4, pp. 421–456.</w:t>
      </w:r>
    </w:p>
    <w:p w14:paraId="66CE2957"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Barrutia</w:t>
      </w:r>
      <w:proofErr w:type="spellEnd"/>
      <w:r w:rsidRPr="004F289D">
        <w:rPr>
          <w:rFonts w:eastAsia="Aptos" w:cs="Times New Roman"/>
          <w:lang w:val="en-US"/>
        </w:rPr>
        <w:t xml:space="preserve">, J.M. and </w:t>
      </w:r>
      <w:proofErr w:type="spellStart"/>
      <w:r w:rsidRPr="004F289D">
        <w:rPr>
          <w:rFonts w:eastAsia="Aptos" w:cs="Times New Roman"/>
          <w:lang w:val="en-US"/>
        </w:rPr>
        <w:t>Gilsanz</w:t>
      </w:r>
      <w:proofErr w:type="spellEnd"/>
      <w:r w:rsidRPr="004F289D">
        <w:rPr>
          <w:rFonts w:eastAsia="Aptos" w:cs="Times New Roman"/>
          <w:lang w:val="en-US"/>
        </w:rPr>
        <w:t>, A. (2012), “Electronic service quality and value: Do consumer knowledge-related resources matter?</w:t>
      </w:r>
      <w:proofErr w:type="gramStart"/>
      <w:r w:rsidRPr="004F289D">
        <w:rPr>
          <w:rFonts w:eastAsia="Aptos" w:cs="Times New Roman"/>
          <w:lang w:val="en-US"/>
        </w:rPr>
        <w:t>”,</w:t>
      </w:r>
      <w:proofErr w:type="gramEnd"/>
      <w:r w:rsidRPr="004F289D">
        <w:rPr>
          <w:rFonts w:eastAsia="Aptos" w:cs="Times New Roman"/>
          <w:lang w:val="en-US"/>
        </w:rPr>
        <w:t xml:space="preserve"> </w:t>
      </w:r>
      <w:r w:rsidRPr="004F289D">
        <w:rPr>
          <w:rFonts w:eastAsia="Aptos" w:cs="Times New Roman"/>
          <w:i/>
          <w:iCs/>
          <w:lang w:val="en-US"/>
        </w:rPr>
        <w:t>Journal of Service Research</w:t>
      </w:r>
      <w:r w:rsidRPr="004F289D">
        <w:rPr>
          <w:rFonts w:eastAsia="Aptos" w:cs="Times New Roman"/>
          <w:lang w:val="en-US"/>
        </w:rPr>
        <w:t>, Vol. 16 No. 2, pp. 231–246.</w:t>
      </w:r>
    </w:p>
    <w:p w14:paraId="0E14EA17"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Bianchi, E.C. and </w:t>
      </w:r>
      <w:proofErr w:type="spellStart"/>
      <w:r w:rsidRPr="004F289D">
        <w:rPr>
          <w:rFonts w:eastAsia="Aptos" w:cs="Times New Roman"/>
          <w:lang w:val="en-US"/>
        </w:rPr>
        <w:t>Brockner</w:t>
      </w:r>
      <w:proofErr w:type="spellEnd"/>
      <w:r w:rsidRPr="004F289D">
        <w:rPr>
          <w:rFonts w:eastAsia="Aptos" w:cs="Times New Roman"/>
          <w:lang w:val="en-US"/>
        </w:rPr>
        <w:t xml:space="preserve">, J. (2012), “In the eyes of the beholder? The role of dispositional trust in judgments of procedural and interactional fairness”, </w:t>
      </w:r>
      <w:r w:rsidRPr="004F289D">
        <w:rPr>
          <w:rFonts w:eastAsia="Aptos" w:cs="Times New Roman"/>
          <w:i/>
          <w:iCs/>
          <w:lang w:val="en-US"/>
        </w:rPr>
        <w:t>Organizational Behavior and Human Decision Processes</w:t>
      </w:r>
      <w:r w:rsidRPr="004F289D">
        <w:rPr>
          <w:rFonts w:eastAsia="Aptos" w:cs="Times New Roman"/>
          <w:lang w:val="en-US"/>
        </w:rPr>
        <w:t xml:space="preserve">, Vol. 118 No. 1, pp. 46–59. </w:t>
      </w:r>
    </w:p>
    <w:p w14:paraId="53653505"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Cao, X., Yu, L., Liu, Z., Gong, M. and </w:t>
      </w:r>
      <w:proofErr w:type="spellStart"/>
      <w:r w:rsidRPr="004F289D">
        <w:rPr>
          <w:rFonts w:eastAsia="Aptos" w:cs="Times New Roman"/>
          <w:lang w:val="en-US"/>
        </w:rPr>
        <w:t>Adeel</w:t>
      </w:r>
      <w:proofErr w:type="spellEnd"/>
      <w:r w:rsidRPr="004F289D">
        <w:rPr>
          <w:rFonts w:eastAsia="Aptos" w:cs="Times New Roman"/>
          <w:lang w:val="en-US"/>
        </w:rPr>
        <w:t xml:space="preserve">, L. (2018), “Understanding mobile payment users’ continuance intention: a trust transfer perspective”, </w:t>
      </w:r>
      <w:r w:rsidRPr="004F289D">
        <w:rPr>
          <w:rFonts w:eastAsia="Aptos" w:cs="Times New Roman"/>
          <w:i/>
          <w:iCs/>
          <w:lang w:val="en-US"/>
        </w:rPr>
        <w:t>Internet Research</w:t>
      </w:r>
      <w:r w:rsidRPr="004F289D">
        <w:rPr>
          <w:rFonts w:eastAsia="Aptos" w:cs="Times New Roman"/>
          <w:lang w:val="en-US"/>
        </w:rPr>
        <w:t>, Vol. 28 No. 2, pp. 456–476.</w:t>
      </w:r>
    </w:p>
    <w:p w14:paraId="6CAFD149" w14:textId="6168E643"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Chaturvedi</w:t>
      </w:r>
      <w:proofErr w:type="spellEnd"/>
      <w:r w:rsidRPr="004F289D">
        <w:rPr>
          <w:rFonts w:eastAsia="Aptos" w:cs="Times New Roman"/>
          <w:lang w:val="en-US"/>
        </w:rPr>
        <w:t xml:space="preserve">, S., Gupta, S. and </w:t>
      </w:r>
      <w:proofErr w:type="spellStart"/>
      <w:r w:rsidRPr="004F289D">
        <w:rPr>
          <w:rFonts w:eastAsia="Aptos" w:cs="Times New Roman"/>
          <w:lang w:val="en-US"/>
        </w:rPr>
        <w:t>Hada</w:t>
      </w:r>
      <w:proofErr w:type="spellEnd"/>
      <w:r w:rsidRPr="004F289D">
        <w:rPr>
          <w:rFonts w:eastAsia="Aptos" w:cs="Times New Roman"/>
          <w:lang w:val="en-US"/>
        </w:rPr>
        <w:t xml:space="preserve">, D.S. (2016), “Perceived risk, trust and information seeking behavior as antecedents of online apparel buying behavior in India: An exploratory study in context of Rajasthan”, </w:t>
      </w:r>
      <w:r w:rsidRPr="004F289D">
        <w:rPr>
          <w:rFonts w:eastAsia="Aptos" w:cs="Times New Roman"/>
          <w:i/>
          <w:iCs/>
          <w:lang w:val="en-US"/>
        </w:rPr>
        <w:t>International Review of Management and Marketing</w:t>
      </w:r>
      <w:r w:rsidRPr="004F289D">
        <w:rPr>
          <w:rFonts w:eastAsia="Aptos" w:cs="Times New Roman"/>
          <w:lang w:val="en-US"/>
        </w:rPr>
        <w:t>, Vol. 6 No. 4, pp. 935–943.</w:t>
      </w:r>
    </w:p>
    <w:p w14:paraId="2FFCE0DF"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Chen, C. (2006), “Identifying significant factors influencing consumer trust in an online travel site”, </w:t>
      </w:r>
      <w:r w:rsidRPr="004F289D">
        <w:rPr>
          <w:rFonts w:eastAsia="Aptos" w:cs="Times New Roman"/>
          <w:i/>
          <w:iCs/>
          <w:lang w:val="en-US"/>
        </w:rPr>
        <w:t>Information Technology &amp; Tourism</w:t>
      </w:r>
      <w:r w:rsidRPr="004F289D">
        <w:rPr>
          <w:rFonts w:eastAsia="Aptos" w:cs="Times New Roman"/>
          <w:lang w:val="en-US"/>
        </w:rPr>
        <w:t xml:space="preserve">, Vol. 8, pp. 197–214. </w:t>
      </w:r>
    </w:p>
    <w:p w14:paraId="134B8E86"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Chen, C.-D. </w:t>
      </w:r>
      <w:proofErr w:type="gramStart"/>
      <w:r w:rsidRPr="004F289D">
        <w:rPr>
          <w:rFonts w:eastAsia="Aptos" w:cs="Times New Roman"/>
          <w:lang w:val="en-US"/>
        </w:rPr>
        <w:t>and</w:t>
      </w:r>
      <w:proofErr w:type="gramEnd"/>
      <w:r w:rsidRPr="004F289D">
        <w:rPr>
          <w:rFonts w:eastAsia="Aptos" w:cs="Times New Roman"/>
          <w:lang w:val="en-US"/>
        </w:rPr>
        <w:t xml:space="preserve"> Ku, E.C.S. (2021), “Diversified online review websites as accelerators for online impulsive buying: The moderating effect of price dispersion”, </w:t>
      </w:r>
      <w:r w:rsidRPr="004F289D">
        <w:rPr>
          <w:rFonts w:eastAsia="Aptos" w:cs="Times New Roman"/>
          <w:i/>
          <w:iCs/>
          <w:lang w:val="en-US"/>
        </w:rPr>
        <w:t>Journal of Internet Commerce</w:t>
      </w:r>
      <w:r w:rsidRPr="004F289D">
        <w:rPr>
          <w:rFonts w:eastAsia="Aptos" w:cs="Times New Roman"/>
          <w:lang w:val="en-US"/>
        </w:rPr>
        <w:t>, Vol. 20 No. 1, pp. 113–135.</w:t>
      </w:r>
    </w:p>
    <w:p w14:paraId="54A77768"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lastRenderedPageBreak/>
        <w:t xml:space="preserve">Chen, J., Zhang, C. and Xu, Y. (2009), “The role of mutual trust in building members’ loyalty to a C2C platform provider”, </w:t>
      </w:r>
      <w:r w:rsidRPr="004F289D">
        <w:rPr>
          <w:rFonts w:eastAsia="Aptos" w:cs="Times New Roman"/>
          <w:i/>
          <w:iCs/>
          <w:lang w:val="en-US"/>
        </w:rPr>
        <w:t>International Journal of Electronic Commerce</w:t>
      </w:r>
      <w:r w:rsidRPr="004F289D">
        <w:rPr>
          <w:rFonts w:eastAsia="Aptos" w:cs="Times New Roman"/>
          <w:lang w:val="en-US"/>
        </w:rPr>
        <w:t>, Vol. 14 No. 1, pp. 147–171.</w:t>
      </w:r>
    </w:p>
    <w:p w14:paraId="379CAA9F"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Chou, S., Chen, C.-W. </w:t>
      </w:r>
      <w:proofErr w:type="gramStart"/>
      <w:r w:rsidRPr="004F289D">
        <w:rPr>
          <w:rFonts w:eastAsia="Aptos" w:cs="Times New Roman"/>
          <w:lang w:val="en-US"/>
        </w:rPr>
        <w:t>and</w:t>
      </w:r>
      <w:proofErr w:type="gramEnd"/>
      <w:r w:rsidRPr="004F289D">
        <w:rPr>
          <w:rFonts w:eastAsia="Aptos" w:cs="Times New Roman"/>
          <w:lang w:val="en-US"/>
        </w:rPr>
        <w:t xml:space="preserve"> Lin, J.-Y. (2015), “Female online shoppers: examining the mediating roles of e-satisfaction and e-trust on e-loyalty development”, </w:t>
      </w:r>
      <w:r w:rsidRPr="004F289D">
        <w:rPr>
          <w:rFonts w:eastAsia="Aptos" w:cs="Times New Roman"/>
          <w:i/>
          <w:iCs/>
          <w:lang w:val="en-US"/>
        </w:rPr>
        <w:t>Internet Research</w:t>
      </w:r>
      <w:r w:rsidRPr="004F289D">
        <w:rPr>
          <w:rFonts w:eastAsia="Aptos" w:cs="Times New Roman"/>
          <w:lang w:val="en-US"/>
        </w:rPr>
        <w:t>, Vol. 25 No. 4, pp. 542–561.</w:t>
      </w:r>
    </w:p>
    <w:p w14:paraId="104A6770"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Elbeltagi</w:t>
      </w:r>
      <w:proofErr w:type="spellEnd"/>
      <w:r w:rsidRPr="004F289D">
        <w:rPr>
          <w:rFonts w:eastAsia="Aptos" w:cs="Times New Roman"/>
          <w:lang w:val="en-US"/>
        </w:rPr>
        <w:t xml:space="preserve">, I. and </w:t>
      </w:r>
      <w:proofErr w:type="spellStart"/>
      <w:r w:rsidRPr="004F289D">
        <w:rPr>
          <w:rFonts w:eastAsia="Aptos" w:cs="Times New Roman"/>
          <w:lang w:val="en-US"/>
        </w:rPr>
        <w:t>Agag</w:t>
      </w:r>
      <w:proofErr w:type="spellEnd"/>
      <w:r w:rsidRPr="004F289D">
        <w:rPr>
          <w:rFonts w:eastAsia="Aptos" w:cs="Times New Roman"/>
          <w:lang w:val="en-US"/>
        </w:rPr>
        <w:t xml:space="preserve">, G. (2016), “E-retailing ethics and its impact on customer satisfaction and repurchase intention: A cultural and commitment-trust theory perspective”, </w:t>
      </w:r>
      <w:r w:rsidRPr="004F289D">
        <w:rPr>
          <w:rFonts w:eastAsia="Aptos" w:cs="Times New Roman"/>
          <w:i/>
          <w:iCs/>
          <w:lang w:val="en-US"/>
        </w:rPr>
        <w:t>Internet Research</w:t>
      </w:r>
      <w:r w:rsidRPr="004F289D">
        <w:rPr>
          <w:rFonts w:eastAsia="Aptos" w:cs="Times New Roman"/>
          <w:lang w:val="en-US"/>
        </w:rPr>
        <w:t>, Vol. 26 No. 1, pp. 288–310.</w:t>
      </w:r>
    </w:p>
    <w:p w14:paraId="116EE6B8"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Fang, Y.-H., Chiu, C.-M. </w:t>
      </w:r>
      <w:proofErr w:type="gramStart"/>
      <w:r w:rsidRPr="004F289D">
        <w:rPr>
          <w:rFonts w:eastAsia="Aptos" w:cs="Times New Roman"/>
          <w:lang w:val="en-US"/>
        </w:rPr>
        <w:t>and</w:t>
      </w:r>
      <w:proofErr w:type="gramEnd"/>
      <w:r w:rsidRPr="004F289D">
        <w:rPr>
          <w:rFonts w:eastAsia="Aptos" w:cs="Times New Roman"/>
          <w:lang w:val="en-US"/>
        </w:rPr>
        <w:t xml:space="preserve"> Wang, E.T.G. (2011), “Understanding customers’ satisfaction and repurchase intentions: An integration of IS success model, trust, and justice”, </w:t>
      </w:r>
      <w:r w:rsidRPr="004F289D">
        <w:rPr>
          <w:rFonts w:eastAsia="Aptos" w:cs="Times New Roman"/>
          <w:i/>
          <w:iCs/>
          <w:lang w:val="en-US"/>
        </w:rPr>
        <w:t>Internet Research</w:t>
      </w:r>
      <w:r w:rsidRPr="004F289D">
        <w:rPr>
          <w:rFonts w:eastAsia="Aptos" w:cs="Times New Roman"/>
          <w:lang w:val="en-US"/>
        </w:rPr>
        <w:t>, Vol. 21 No. 4, pp. 479–503.</w:t>
      </w:r>
    </w:p>
    <w:p w14:paraId="6695C8B4"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Farivar</w:t>
      </w:r>
      <w:proofErr w:type="spellEnd"/>
      <w:r w:rsidRPr="004F289D">
        <w:rPr>
          <w:rFonts w:eastAsia="Aptos" w:cs="Times New Roman"/>
          <w:lang w:val="en-US"/>
        </w:rPr>
        <w:t xml:space="preserve">, S., </w:t>
      </w:r>
      <w:proofErr w:type="spellStart"/>
      <w:r w:rsidRPr="004F289D">
        <w:rPr>
          <w:rFonts w:eastAsia="Aptos" w:cs="Times New Roman"/>
          <w:lang w:val="en-US"/>
        </w:rPr>
        <w:t>Turel</w:t>
      </w:r>
      <w:proofErr w:type="spellEnd"/>
      <w:r w:rsidRPr="004F289D">
        <w:rPr>
          <w:rFonts w:eastAsia="Aptos" w:cs="Times New Roman"/>
          <w:lang w:val="en-US"/>
        </w:rPr>
        <w:t xml:space="preserve">, O. and Yuan, Y. (2017), “A trust-risk perspective on social commerce use: an examination of the biasing role of habit”, </w:t>
      </w:r>
      <w:r w:rsidRPr="004F289D">
        <w:rPr>
          <w:rFonts w:eastAsia="Aptos" w:cs="Times New Roman"/>
          <w:i/>
          <w:iCs/>
          <w:lang w:val="en-US"/>
        </w:rPr>
        <w:t>Internet Research</w:t>
      </w:r>
      <w:r w:rsidRPr="004F289D">
        <w:rPr>
          <w:rFonts w:eastAsia="Aptos" w:cs="Times New Roman"/>
          <w:lang w:val="en-US"/>
        </w:rPr>
        <w:t>, Vol. 27 No. 3, pp. 586–607.</w:t>
      </w:r>
    </w:p>
    <w:p w14:paraId="1B419382"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Grabner-Kräuter</w:t>
      </w:r>
      <w:proofErr w:type="spellEnd"/>
      <w:r w:rsidRPr="004F289D">
        <w:rPr>
          <w:rFonts w:eastAsia="Aptos" w:cs="Times New Roman"/>
          <w:lang w:val="en-US"/>
        </w:rPr>
        <w:t xml:space="preserve">, S. and </w:t>
      </w:r>
      <w:proofErr w:type="spellStart"/>
      <w:r w:rsidRPr="004F289D">
        <w:rPr>
          <w:rFonts w:eastAsia="Aptos" w:cs="Times New Roman"/>
          <w:lang w:val="en-US"/>
        </w:rPr>
        <w:t>Kaluscha</w:t>
      </w:r>
      <w:proofErr w:type="spellEnd"/>
      <w:r w:rsidRPr="004F289D">
        <w:rPr>
          <w:rFonts w:eastAsia="Aptos" w:cs="Times New Roman"/>
          <w:lang w:val="en-US"/>
        </w:rPr>
        <w:t xml:space="preserve">, E.A. (2003), “Empirical research in online trust: a review and critical assessment”, </w:t>
      </w:r>
      <w:r w:rsidRPr="004F289D">
        <w:rPr>
          <w:rFonts w:eastAsia="Aptos" w:cs="Times New Roman"/>
          <w:i/>
          <w:iCs/>
          <w:lang w:val="en-US"/>
        </w:rPr>
        <w:t>International Journal of Human-Computer Studies</w:t>
      </w:r>
      <w:r w:rsidRPr="004F289D">
        <w:rPr>
          <w:rFonts w:eastAsia="Aptos" w:cs="Times New Roman"/>
          <w:lang w:val="en-US"/>
        </w:rPr>
        <w:t>, Vol. 58 No. 6, pp. 783–812.</w:t>
      </w:r>
    </w:p>
    <w:p w14:paraId="3DC4AE34"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Guo</w:t>
      </w:r>
      <w:proofErr w:type="spellEnd"/>
      <w:r w:rsidRPr="004F289D">
        <w:rPr>
          <w:rFonts w:eastAsia="Aptos" w:cs="Times New Roman"/>
          <w:lang w:val="en-US"/>
        </w:rPr>
        <w:t xml:space="preserve">, L., Hu, X., Lu, J. and Ma, L. (2021), “Effects of customer trust on engagement in live streaming commerce: mediating role of swift </w:t>
      </w:r>
      <w:proofErr w:type="spellStart"/>
      <w:r w:rsidRPr="004F289D">
        <w:rPr>
          <w:rFonts w:eastAsia="Aptos" w:cs="Times New Roman"/>
          <w:lang w:val="en-US"/>
        </w:rPr>
        <w:t>guanxi</w:t>
      </w:r>
      <w:proofErr w:type="spellEnd"/>
      <w:r w:rsidRPr="004F289D">
        <w:rPr>
          <w:rFonts w:eastAsia="Aptos" w:cs="Times New Roman"/>
          <w:lang w:val="en-US"/>
        </w:rPr>
        <w:t xml:space="preserve">”, </w:t>
      </w:r>
      <w:r w:rsidRPr="004F289D">
        <w:rPr>
          <w:rFonts w:eastAsia="Aptos" w:cs="Times New Roman"/>
          <w:i/>
          <w:iCs/>
          <w:lang w:val="en-US"/>
        </w:rPr>
        <w:t>Internet Research,</w:t>
      </w:r>
      <w:r w:rsidRPr="004F289D">
        <w:rPr>
          <w:rFonts w:eastAsia="Aptos" w:cs="Times New Roman"/>
          <w:lang w:val="en-US"/>
        </w:rPr>
        <w:t xml:space="preserve"> Vol. 31 No. 5, pp. 1718–1744.</w:t>
      </w:r>
    </w:p>
    <w:p w14:paraId="3D5BE1C6"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Han, M.C. (2023), “Checkout button and online consumer impulse-buying behavior in social commerce: A trust transfer perspective”, </w:t>
      </w:r>
      <w:r w:rsidRPr="004F289D">
        <w:rPr>
          <w:rFonts w:eastAsia="Aptos" w:cs="Times New Roman"/>
          <w:i/>
          <w:iCs/>
          <w:lang w:val="en-US"/>
        </w:rPr>
        <w:t>Journal of Retailing and Consumer Services</w:t>
      </w:r>
      <w:r w:rsidRPr="004F289D">
        <w:rPr>
          <w:rFonts w:eastAsia="Aptos" w:cs="Times New Roman"/>
          <w:lang w:val="en-US"/>
        </w:rPr>
        <w:t>, Vol. 74, 103431.</w:t>
      </w:r>
    </w:p>
    <w:p w14:paraId="08F13D74"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Head, M. and </w:t>
      </w:r>
      <w:proofErr w:type="spellStart"/>
      <w:r w:rsidRPr="004F289D">
        <w:rPr>
          <w:rFonts w:eastAsia="Aptos" w:cs="Times New Roman"/>
          <w:lang w:val="en-US"/>
        </w:rPr>
        <w:t>Hassanein</w:t>
      </w:r>
      <w:proofErr w:type="spellEnd"/>
      <w:r w:rsidRPr="004F289D">
        <w:rPr>
          <w:rFonts w:eastAsia="Aptos" w:cs="Times New Roman"/>
          <w:lang w:val="en-US"/>
        </w:rPr>
        <w:t xml:space="preserve">, K. (2002), “Trust in e-commerce: Evaluating the impact of third-party seals”, </w:t>
      </w:r>
      <w:r w:rsidRPr="004F289D">
        <w:rPr>
          <w:rFonts w:eastAsia="Aptos" w:cs="Times New Roman"/>
          <w:i/>
          <w:iCs/>
          <w:lang w:val="en-US"/>
        </w:rPr>
        <w:t>Quarterly Journal of Electronic Commerce</w:t>
      </w:r>
      <w:r w:rsidRPr="004F289D">
        <w:rPr>
          <w:rFonts w:eastAsia="Aptos" w:cs="Times New Roman"/>
          <w:lang w:val="en-US"/>
        </w:rPr>
        <w:t>, Vol. 3 No. 3, pp. 307–325.</w:t>
      </w:r>
    </w:p>
    <w:p w14:paraId="29CF3A6C"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Hong, Z., Zhu, H. and Dong, K. (2020), “Buyer-side institution-based trust-building mechanisms: A 3S framework with evidence from online labor markets”, </w:t>
      </w:r>
      <w:r w:rsidRPr="004F289D">
        <w:rPr>
          <w:rFonts w:eastAsia="Aptos" w:cs="Times New Roman"/>
          <w:i/>
          <w:iCs/>
          <w:lang w:val="en-US"/>
        </w:rPr>
        <w:t>International Journal of Electronic Commerce</w:t>
      </w:r>
      <w:r w:rsidRPr="004F289D">
        <w:rPr>
          <w:rFonts w:eastAsia="Aptos" w:cs="Times New Roman"/>
          <w:lang w:val="en-US"/>
        </w:rPr>
        <w:t>, Vol. 24 No. 1, pp. 14–52.</w:t>
      </w:r>
    </w:p>
    <w:p w14:paraId="0E010C51" w14:textId="2D38EC7A"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Hsu, M.-H., Chuang, L.-W. </w:t>
      </w:r>
      <w:proofErr w:type="gramStart"/>
      <w:r w:rsidRPr="004F289D">
        <w:rPr>
          <w:rFonts w:eastAsia="Aptos" w:cs="Times New Roman"/>
          <w:lang w:val="en-US"/>
        </w:rPr>
        <w:t>and</w:t>
      </w:r>
      <w:proofErr w:type="gramEnd"/>
      <w:r w:rsidRPr="004F289D">
        <w:rPr>
          <w:rFonts w:eastAsia="Aptos" w:cs="Times New Roman"/>
          <w:lang w:val="en-US"/>
        </w:rPr>
        <w:t xml:space="preserve"> Hsu, C.-S. (2014</w:t>
      </w:r>
      <w:r w:rsidR="006D6057" w:rsidRPr="004F289D">
        <w:rPr>
          <w:rFonts w:eastAsia="Aptos" w:cs="Times New Roman"/>
          <w:lang w:val="en-US"/>
        </w:rPr>
        <w:t>a</w:t>
      </w:r>
      <w:r w:rsidRPr="004F289D">
        <w:rPr>
          <w:rFonts w:eastAsia="Aptos" w:cs="Times New Roman"/>
          <w:lang w:val="en-US"/>
        </w:rPr>
        <w:t xml:space="preserve">), “Understanding online shopping intention: The roles of four types of trust and their antecedents”, </w:t>
      </w:r>
      <w:r w:rsidRPr="004F289D">
        <w:rPr>
          <w:rFonts w:eastAsia="Aptos" w:cs="Times New Roman"/>
          <w:i/>
          <w:iCs/>
          <w:lang w:val="en-US"/>
        </w:rPr>
        <w:t>Internet Research</w:t>
      </w:r>
      <w:r w:rsidRPr="004F289D">
        <w:rPr>
          <w:rFonts w:eastAsia="Aptos" w:cs="Times New Roman"/>
          <w:lang w:val="en-US"/>
        </w:rPr>
        <w:t>, Vol. 24 No. 3, pp. 332–352.</w:t>
      </w:r>
    </w:p>
    <w:p w14:paraId="5942330D" w14:textId="7BD4DDDB"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Hsu, M.-H., Chang, C.-M., Chu, K.-K. </w:t>
      </w:r>
      <w:proofErr w:type="gramStart"/>
      <w:r w:rsidRPr="004F289D">
        <w:rPr>
          <w:rFonts w:eastAsia="Aptos" w:cs="Times New Roman"/>
          <w:lang w:val="en-US"/>
        </w:rPr>
        <w:t>and</w:t>
      </w:r>
      <w:proofErr w:type="gramEnd"/>
      <w:r w:rsidRPr="004F289D">
        <w:rPr>
          <w:rFonts w:eastAsia="Aptos" w:cs="Times New Roman"/>
          <w:lang w:val="en-US"/>
        </w:rPr>
        <w:t xml:space="preserve"> Lee, Y.-J. (2014</w:t>
      </w:r>
      <w:r w:rsidR="006D6057" w:rsidRPr="004F289D">
        <w:rPr>
          <w:rFonts w:eastAsia="Aptos" w:cs="Times New Roman"/>
          <w:lang w:val="en-US"/>
        </w:rPr>
        <w:t>b</w:t>
      </w:r>
      <w:r w:rsidRPr="004F289D">
        <w:rPr>
          <w:rFonts w:eastAsia="Aptos" w:cs="Times New Roman"/>
          <w:lang w:val="en-US"/>
        </w:rPr>
        <w:t xml:space="preserve">), “Determinants of repurchase intention in online group-buying: The perspectives of </w:t>
      </w:r>
      <w:proofErr w:type="spellStart"/>
      <w:r w:rsidRPr="004F289D">
        <w:rPr>
          <w:rFonts w:eastAsia="Aptos" w:cs="Times New Roman"/>
          <w:lang w:val="en-US"/>
        </w:rPr>
        <w:t>DeLone</w:t>
      </w:r>
      <w:proofErr w:type="spellEnd"/>
      <w:r w:rsidRPr="004F289D">
        <w:rPr>
          <w:rFonts w:eastAsia="Aptos" w:cs="Times New Roman"/>
          <w:lang w:val="en-US"/>
        </w:rPr>
        <w:t xml:space="preserve"> and McLean IS success model and trust”, </w:t>
      </w:r>
      <w:r w:rsidRPr="004F289D">
        <w:rPr>
          <w:rFonts w:eastAsia="Aptos" w:cs="Times New Roman"/>
          <w:i/>
          <w:iCs/>
          <w:lang w:val="en-US"/>
        </w:rPr>
        <w:t>Computers in Human Behavior</w:t>
      </w:r>
      <w:r w:rsidRPr="004F289D">
        <w:rPr>
          <w:rFonts w:eastAsia="Aptos" w:cs="Times New Roman"/>
          <w:lang w:val="en-US"/>
        </w:rPr>
        <w:t>, Vol. 36, pp. 234–245.</w:t>
      </w:r>
    </w:p>
    <w:p w14:paraId="5BAD5954"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Hung, S.-W., Cheng, M.-J. </w:t>
      </w:r>
      <w:proofErr w:type="gramStart"/>
      <w:r w:rsidRPr="004F289D">
        <w:rPr>
          <w:rFonts w:eastAsia="Aptos" w:cs="Times New Roman"/>
          <w:lang w:val="en-US"/>
        </w:rPr>
        <w:t>and</w:t>
      </w:r>
      <w:proofErr w:type="gramEnd"/>
      <w:r w:rsidRPr="004F289D">
        <w:rPr>
          <w:rFonts w:eastAsia="Aptos" w:cs="Times New Roman"/>
          <w:lang w:val="en-US"/>
        </w:rPr>
        <w:t xml:space="preserve"> Lee, C.-J. (2022), “A new mechanism for purchasing through personal interactions: fairness, trust and social influence in online group buying”, </w:t>
      </w:r>
      <w:r w:rsidRPr="004F289D">
        <w:rPr>
          <w:rFonts w:eastAsia="Aptos" w:cs="Times New Roman"/>
          <w:i/>
          <w:iCs/>
          <w:lang w:val="en-US"/>
        </w:rPr>
        <w:t>Information Technology and People</w:t>
      </w:r>
      <w:r w:rsidRPr="004F289D">
        <w:rPr>
          <w:rFonts w:eastAsia="Aptos" w:cs="Times New Roman"/>
          <w:lang w:val="en-US"/>
        </w:rPr>
        <w:t>, Vol. 35 No. 5, pp. 1563–1589.</w:t>
      </w:r>
    </w:p>
    <w:p w14:paraId="2448E307"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Jiang, J.-C., Chen, C.-A. </w:t>
      </w:r>
      <w:proofErr w:type="gramStart"/>
      <w:r w:rsidRPr="004F289D">
        <w:rPr>
          <w:rFonts w:eastAsia="Aptos" w:cs="Times New Roman"/>
          <w:lang w:val="en-US"/>
        </w:rPr>
        <w:t>and</w:t>
      </w:r>
      <w:proofErr w:type="gramEnd"/>
      <w:r w:rsidRPr="004F289D">
        <w:rPr>
          <w:rFonts w:eastAsia="Aptos" w:cs="Times New Roman"/>
          <w:lang w:val="en-US"/>
        </w:rPr>
        <w:t xml:space="preserve"> Wang, C.-C. (2009), “Knowledge and trust in e-consumers’ online shopping behavior”, </w:t>
      </w:r>
      <w:r w:rsidRPr="004F289D">
        <w:rPr>
          <w:rFonts w:eastAsia="Aptos" w:cs="Times New Roman"/>
          <w:i/>
          <w:iCs/>
          <w:lang w:val="en-US"/>
        </w:rPr>
        <w:t>International Symposium on Electronic Commerce and Security</w:t>
      </w:r>
      <w:r w:rsidRPr="004F289D">
        <w:rPr>
          <w:rFonts w:eastAsia="Aptos" w:cs="Times New Roman"/>
          <w:lang w:val="en-US"/>
        </w:rPr>
        <w:t xml:space="preserve">, pp. 652–656. </w:t>
      </w:r>
    </w:p>
    <w:p w14:paraId="1B3A5285"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lastRenderedPageBreak/>
        <w:t>Kim, J. (2014), “The role of mobile communication in explaining community-building intention toward festival brands”, International Journal of Hospitality Management, Vol. 40, pp. 131–140.</w:t>
      </w:r>
    </w:p>
    <w:p w14:paraId="277C7D07"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Ku, E.C.S. (2012), “Beyond price: how does trust encourage online group’s buying intention?</w:t>
      </w:r>
      <w:proofErr w:type="gramStart"/>
      <w:r w:rsidRPr="004F289D">
        <w:rPr>
          <w:rFonts w:eastAsia="Aptos" w:cs="Times New Roman"/>
          <w:lang w:val="en-US"/>
        </w:rPr>
        <w:t>”,</w:t>
      </w:r>
      <w:proofErr w:type="gramEnd"/>
      <w:r w:rsidRPr="004F289D">
        <w:rPr>
          <w:rFonts w:eastAsia="Aptos" w:cs="Times New Roman"/>
          <w:lang w:val="en-US"/>
        </w:rPr>
        <w:t xml:space="preserve"> Internet Research, Vol. 22 No. 5, pp. 569–590.</w:t>
      </w:r>
    </w:p>
    <w:p w14:paraId="28D2311D"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Lee, J., Park, D.-H. and Han, I. (2011), “The different effects of online consumer reviews on consumers’ purchase intentions depending on trust in online shopping malls: An advertising perspective”, </w:t>
      </w:r>
      <w:r w:rsidRPr="004F289D">
        <w:rPr>
          <w:rFonts w:eastAsia="Aptos" w:cs="Times New Roman"/>
          <w:i/>
          <w:iCs/>
          <w:lang w:val="en-US"/>
        </w:rPr>
        <w:t>Internet Research</w:t>
      </w:r>
      <w:r w:rsidRPr="004F289D">
        <w:rPr>
          <w:rFonts w:eastAsia="Aptos" w:cs="Times New Roman"/>
          <w:lang w:val="en-US"/>
        </w:rPr>
        <w:t>, Vol. 21 No. 2, pp. 187–206.</w:t>
      </w:r>
    </w:p>
    <w:p w14:paraId="22B2FD47"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Li, F., </w:t>
      </w:r>
      <w:proofErr w:type="spellStart"/>
      <w:r w:rsidRPr="004F289D">
        <w:rPr>
          <w:rFonts w:eastAsia="Aptos" w:cs="Times New Roman"/>
          <w:lang w:val="en-US"/>
        </w:rPr>
        <w:t>Pienkowski</w:t>
      </w:r>
      <w:proofErr w:type="spellEnd"/>
      <w:r w:rsidRPr="004F289D">
        <w:rPr>
          <w:rFonts w:eastAsia="Aptos" w:cs="Times New Roman"/>
          <w:lang w:val="en-US"/>
        </w:rPr>
        <w:t xml:space="preserve">, D., van </w:t>
      </w:r>
      <w:proofErr w:type="spellStart"/>
      <w:r w:rsidRPr="004F289D">
        <w:rPr>
          <w:rFonts w:eastAsia="Aptos" w:cs="Times New Roman"/>
          <w:lang w:val="en-US"/>
        </w:rPr>
        <w:t>Moorsel</w:t>
      </w:r>
      <w:proofErr w:type="spellEnd"/>
      <w:r w:rsidRPr="004F289D">
        <w:rPr>
          <w:rFonts w:eastAsia="Aptos" w:cs="Times New Roman"/>
          <w:lang w:val="en-US"/>
        </w:rPr>
        <w:t xml:space="preserve">, A. and Smith, C. (2012), “A holistic framework for trust in online transactions”, </w:t>
      </w:r>
      <w:r w:rsidRPr="004F289D">
        <w:rPr>
          <w:rFonts w:eastAsia="Aptos" w:cs="Times New Roman"/>
          <w:i/>
          <w:iCs/>
          <w:lang w:val="en-US"/>
        </w:rPr>
        <w:t>International Journal of Management Reviews</w:t>
      </w:r>
      <w:r w:rsidRPr="004F289D">
        <w:rPr>
          <w:rFonts w:eastAsia="Aptos" w:cs="Times New Roman"/>
          <w:lang w:val="en-US"/>
        </w:rPr>
        <w:t>, Vol. 14 No. 1, pp. 85–103.</w:t>
      </w:r>
    </w:p>
    <w:p w14:paraId="47AB5B2B"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Li, G., Wu, X. and Yuan, C. (2022), “Research on improving online purchase intention of poverty-alleviation agricultural products in China: From the perspective of institution-based trust”, </w:t>
      </w:r>
      <w:r w:rsidRPr="004F289D">
        <w:rPr>
          <w:rFonts w:eastAsia="Aptos" w:cs="Times New Roman"/>
          <w:i/>
          <w:iCs/>
          <w:lang w:val="en-US"/>
        </w:rPr>
        <w:t>Frontiers in Psychology</w:t>
      </w:r>
      <w:r w:rsidRPr="004F289D">
        <w:rPr>
          <w:rFonts w:eastAsia="Aptos" w:cs="Times New Roman"/>
          <w:lang w:val="en-US"/>
        </w:rPr>
        <w:t>, Vol. 13, Article 900328.</w:t>
      </w:r>
    </w:p>
    <w:p w14:paraId="13D55A50"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Li, H., Jiang, J. and Wu, M. (2014), “The effects of trust assurances on consumers’ initial online trust: A two-stage decision-making process perspective”, </w:t>
      </w:r>
      <w:r w:rsidRPr="004F289D">
        <w:rPr>
          <w:rFonts w:eastAsia="Aptos" w:cs="Times New Roman"/>
          <w:i/>
          <w:iCs/>
          <w:lang w:val="en-US"/>
        </w:rPr>
        <w:t>International Journal of Information Management</w:t>
      </w:r>
      <w:r w:rsidRPr="004F289D">
        <w:rPr>
          <w:rFonts w:eastAsia="Aptos" w:cs="Times New Roman"/>
          <w:lang w:val="en-US"/>
        </w:rPr>
        <w:t>, Vol. 34, pp. 395–405.</w:t>
      </w:r>
    </w:p>
    <w:p w14:paraId="7AF672CB"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Lin, X., Wang, X. and </w:t>
      </w:r>
      <w:proofErr w:type="spellStart"/>
      <w:r w:rsidRPr="004F289D">
        <w:rPr>
          <w:rFonts w:eastAsia="Aptos" w:cs="Times New Roman"/>
          <w:lang w:val="en-US"/>
        </w:rPr>
        <w:t>Hajli</w:t>
      </w:r>
      <w:proofErr w:type="spellEnd"/>
      <w:r w:rsidRPr="004F289D">
        <w:rPr>
          <w:rFonts w:eastAsia="Aptos" w:cs="Times New Roman"/>
          <w:lang w:val="en-US"/>
        </w:rPr>
        <w:t xml:space="preserve">, N. (2019), “Building e-commerce satisfaction and boosting sales: The role of social commerce trust and its antecedents”, </w:t>
      </w:r>
      <w:r w:rsidRPr="004F289D">
        <w:rPr>
          <w:rFonts w:eastAsia="Aptos" w:cs="Times New Roman"/>
          <w:i/>
          <w:iCs/>
          <w:lang w:val="en-US"/>
        </w:rPr>
        <w:t>International Journal of Electronic Commerce</w:t>
      </w:r>
      <w:r w:rsidRPr="004F289D">
        <w:rPr>
          <w:rFonts w:eastAsia="Aptos" w:cs="Times New Roman"/>
          <w:lang w:val="en-US"/>
        </w:rPr>
        <w:t>, Vol. 23 No. 3, pp. 328–363.</w:t>
      </w:r>
    </w:p>
    <w:p w14:paraId="5B9EDDBD"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Linh</w:t>
      </w:r>
      <w:proofErr w:type="spellEnd"/>
      <w:r w:rsidRPr="004F289D">
        <w:rPr>
          <w:rFonts w:eastAsia="Aptos" w:cs="Times New Roman"/>
          <w:lang w:val="en-US"/>
        </w:rPr>
        <w:t xml:space="preserve">, D.T. and Park, M.J. (2025), “Influence of host’s selling strategy on customers’ product return intention in livestreaming online commerce”, </w:t>
      </w:r>
      <w:r w:rsidRPr="004F289D">
        <w:rPr>
          <w:rFonts w:eastAsia="Aptos" w:cs="Times New Roman"/>
          <w:i/>
          <w:iCs/>
          <w:lang w:val="en-US"/>
        </w:rPr>
        <w:t>Journal of Internet Commerce</w:t>
      </w:r>
      <w:r w:rsidRPr="004F289D">
        <w:rPr>
          <w:rFonts w:eastAsia="Aptos" w:cs="Times New Roman"/>
          <w:lang w:val="en-US"/>
        </w:rPr>
        <w:t>, Vol. 24 Nos. 1–2, pp. 56–88.</w:t>
      </w:r>
    </w:p>
    <w:p w14:paraId="78AD8F92"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Lwin</w:t>
      </w:r>
      <w:proofErr w:type="spellEnd"/>
      <w:r w:rsidRPr="004F289D">
        <w:rPr>
          <w:rFonts w:eastAsia="Aptos" w:cs="Times New Roman"/>
          <w:lang w:val="en-US"/>
        </w:rPr>
        <w:t xml:space="preserve">, M.O., </w:t>
      </w:r>
      <w:proofErr w:type="spellStart"/>
      <w:r w:rsidRPr="004F289D">
        <w:rPr>
          <w:rFonts w:eastAsia="Aptos" w:cs="Times New Roman"/>
          <w:lang w:val="en-US"/>
        </w:rPr>
        <w:t>Wirtz</w:t>
      </w:r>
      <w:proofErr w:type="spellEnd"/>
      <w:r w:rsidRPr="004F289D">
        <w:rPr>
          <w:rFonts w:eastAsia="Aptos" w:cs="Times New Roman"/>
          <w:lang w:val="en-US"/>
        </w:rPr>
        <w:t xml:space="preserve">, J. and </w:t>
      </w:r>
      <w:proofErr w:type="spellStart"/>
      <w:r w:rsidRPr="004F289D">
        <w:rPr>
          <w:rFonts w:eastAsia="Aptos" w:cs="Times New Roman"/>
          <w:lang w:val="en-US"/>
        </w:rPr>
        <w:t>Stanaland</w:t>
      </w:r>
      <w:proofErr w:type="spellEnd"/>
      <w:r w:rsidRPr="004F289D">
        <w:rPr>
          <w:rFonts w:eastAsia="Aptos" w:cs="Times New Roman"/>
          <w:lang w:val="en-US"/>
        </w:rPr>
        <w:t xml:space="preserve">, A.J.S. (2016), “The privacy dyad: Antecedents of promotion- and prevention-focused online privacy behaviors and the mediating role of trust and privacy concern”, </w:t>
      </w:r>
      <w:r w:rsidRPr="004F289D">
        <w:rPr>
          <w:rFonts w:eastAsia="Aptos" w:cs="Times New Roman"/>
          <w:i/>
          <w:iCs/>
          <w:lang w:val="en-US"/>
        </w:rPr>
        <w:t>Internet Research</w:t>
      </w:r>
      <w:r w:rsidRPr="004F289D">
        <w:rPr>
          <w:rFonts w:eastAsia="Aptos" w:cs="Times New Roman"/>
          <w:lang w:val="en-US"/>
        </w:rPr>
        <w:t>, Vol. 26 No. 4, pp. 919–941.</w:t>
      </w:r>
    </w:p>
    <w:p w14:paraId="3569D42B"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McKnight, D.H., </w:t>
      </w:r>
      <w:proofErr w:type="spellStart"/>
      <w:r w:rsidRPr="004F289D">
        <w:rPr>
          <w:rFonts w:eastAsia="Aptos" w:cs="Times New Roman"/>
          <w:lang w:val="en-US"/>
        </w:rPr>
        <w:t>Kacmar</w:t>
      </w:r>
      <w:proofErr w:type="spellEnd"/>
      <w:r w:rsidRPr="004F289D">
        <w:rPr>
          <w:rFonts w:eastAsia="Aptos" w:cs="Times New Roman"/>
          <w:lang w:val="en-US"/>
        </w:rPr>
        <w:t xml:space="preserve">, C.J. and Choudhury, V. (2004), “Dispositional trust and distrust distinctions in predicting high- and low-risk Internet expert advice site perceptions”, </w:t>
      </w:r>
      <w:r w:rsidRPr="004F289D">
        <w:rPr>
          <w:rFonts w:eastAsia="Aptos" w:cs="Times New Roman"/>
          <w:i/>
          <w:iCs/>
          <w:lang w:val="en-US"/>
        </w:rPr>
        <w:t>e-Service Journal</w:t>
      </w:r>
      <w:r w:rsidRPr="004F289D">
        <w:rPr>
          <w:rFonts w:eastAsia="Aptos" w:cs="Times New Roman"/>
          <w:lang w:val="en-US"/>
        </w:rPr>
        <w:t>, Vol. 3 No. 2, pp. 35–58.</w:t>
      </w:r>
    </w:p>
    <w:p w14:paraId="37FD407A"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Othman, A.K. (2021), “The mediating role of customer trust in affecting the relationship between online shopping factors and customer purchase decision”, </w:t>
      </w:r>
      <w:r w:rsidRPr="004F289D">
        <w:rPr>
          <w:rFonts w:eastAsia="Aptos" w:cs="Times New Roman"/>
          <w:i/>
          <w:iCs/>
          <w:lang w:val="en-US"/>
        </w:rPr>
        <w:t>Journal of Information Technology Management</w:t>
      </w:r>
      <w:r w:rsidRPr="004F289D">
        <w:rPr>
          <w:rFonts w:eastAsia="Aptos" w:cs="Times New Roman"/>
          <w:lang w:val="en-US"/>
        </w:rPr>
        <w:t>, Vol. 13 No. 3, pp. 141–159.</w:t>
      </w:r>
    </w:p>
    <w:p w14:paraId="099F4D68"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Pan, L.-Y. </w:t>
      </w:r>
      <w:proofErr w:type="gramStart"/>
      <w:r w:rsidRPr="004F289D">
        <w:rPr>
          <w:rFonts w:eastAsia="Aptos" w:cs="Times New Roman"/>
          <w:lang w:val="en-US"/>
        </w:rPr>
        <w:t>and</w:t>
      </w:r>
      <w:proofErr w:type="gramEnd"/>
      <w:r w:rsidRPr="004F289D">
        <w:rPr>
          <w:rFonts w:eastAsia="Aptos" w:cs="Times New Roman"/>
          <w:lang w:val="en-US"/>
        </w:rPr>
        <w:t xml:space="preserve"> </w:t>
      </w:r>
      <w:proofErr w:type="spellStart"/>
      <w:r w:rsidRPr="004F289D">
        <w:rPr>
          <w:rFonts w:eastAsia="Aptos" w:cs="Times New Roman"/>
          <w:lang w:val="en-US"/>
        </w:rPr>
        <w:t>Chiou</w:t>
      </w:r>
      <w:proofErr w:type="spellEnd"/>
      <w:r w:rsidRPr="004F289D">
        <w:rPr>
          <w:rFonts w:eastAsia="Aptos" w:cs="Times New Roman"/>
          <w:lang w:val="en-US"/>
        </w:rPr>
        <w:t xml:space="preserve">, J.-S. (2011), “How much can you trust online information? Cues for perceived trustworthiness of consumer-generated online information”, </w:t>
      </w:r>
      <w:r w:rsidRPr="004F289D">
        <w:rPr>
          <w:rFonts w:eastAsia="Aptos" w:cs="Times New Roman"/>
          <w:i/>
          <w:iCs/>
          <w:lang w:val="en-US"/>
        </w:rPr>
        <w:t>Journal of Interactive Marketing</w:t>
      </w:r>
      <w:r w:rsidRPr="004F289D">
        <w:rPr>
          <w:rFonts w:eastAsia="Aptos" w:cs="Times New Roman"/>
          <w:lang w:val="en-US"/>
        </w:rPr>
        <w:t xml:space="preserve">, Vol. 25 No. 2, pp. 67–74. </w:t>
      </w:r>
    </w:p>
    <w:p w14:paraId="3F695464"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Papadopoulou</w:t>
      </w:r>
      <w:proofErr w:type="spellEnd"/>
      <w:r w:rsidRPr="004F289D">
        <w:rPr>
          <w:rFonts w:eastAsia="Aptos" w:cs="Times New Roman"/>
          <w:lang w:val="en-US"/>
        </w:rPr>
        <w:t xml:space="preserve">, P., </w:t>
      </w:r>
      <w:proofErr w:type="spellStart"/>
      <w:r w:rsidRPr="004F289D">
        <w:rPr>
          <w:rFonts w:eastAsia="Aptos" w:cs="Times New Roman"/>
          <w:lang w:val="en-US"/>
        </w:rPr>
        <w:t>Andreou</w:t>
      </w:r>
      <w:proofErr w:type="spellEnd"/>
      <w:r w:rsidRPr="004F289D">
        <w:rPr>
          <w:rFonts w:eastAsia="Aptos" w:cs="Times New Roman"/>
          <w:lang w:val="en-US"/>
        </w:rPr>
        <w:t xml:space="preserve">, A., </w:t>
      </w:r>
      <w:proofErr w:type="spellStart"/>
      <w:r w:rsidRPr="004F289D">
        <w:rPr>
          <w:rFonts w:eastAsia="Aptos" w:cs="Times New Roman"/>
          <w:lang w:val="en-US"/>
        </w:rPr>
        <w:t>Kanellis</w:t>
      </w:r>
      <w:proofErr w:type="spellEnd"/>
      <w:r w:rsidRPr="004F289D">
        <w:rPr>
          <w:rFonts w:eastAsia="Aptos" w:cs="Times New Roman"/>
          <w:lang w:val="en-US"/>
        </w:rPr>
        <w:t xml:space="preserve">, P. and </w:t>
      </w:r>
      <w:proofErr w:type="spellStart"/>
      <w:r w:rsidRPr="004F289D">
        <w:rPr>
          <w:rFonts w:eastAsia="Aptos" w:cs="Times New Roman"/>
          <w:lang w:val="en-US"/>
        </w:rPr>
        <w:t>Martakos</w:t>
      </w:r>
      <w:proofErr w:type="spellEnd"/>
      <w:r w:rsidRPr="004F289D">
        <w:rPr>
          <w:rFonts w:eastAsia="Aptos" w:cs="Times New Roman"/>
          <w:lang w:val="en-US"/>
        </w:rPr>
        <w:t xml:space="preserve">, D. (2001), “Trust and relationship building in electronic commerce”, </w:t>
      </w:r>
      <w:r w:rsidRPr="004F289D">
        <w:rPr>
          <w:rFonts w:eastAsia="Aptos" w:cs="Times New Roman"/>
          <w:i/>
          <w:iCs/>
          <w:lang w:val="en-US"/>
        </w:rPr>
        <w:t>Internet Research</w:t>
      </w:r>
      <w:r w:rsidRPr="004F289D">
        <w:rPr>
          <w:rFonts w:eastAsia="Aptos" w:cs="Times New Roman"/>
          <w:lang w:val="en-US"/>
        </w:rPr>
        <w:t>, Vol. 11 No. 4, pp. 322–332.</w:t>
      </w:r>
    </w:p>
    <w:p w14:paraId="46D7505A"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Park, D.-H. </w:t>
      </w:r>
      <w:proofErr w:type="gramStart"/>
      <w:r w:rsidRPr="004F289D">
        <w:rPr>
          <w:rFonts w:eastAsia="Aptos" w:cs="Times New Roman"/>
          <w:lang w:val="en-US"/>
        </w:rPr>
        <w:t>and</w:t>
      </w:r>
      <w:proofErr w:type="gramEnd"/>
      <w:r w:rsidRPr="004F289D">
        <w:rPr>
          <w:rFonts w:eastAsia="Aptos" w:cs="Times New Roman"/>
          <w:lang w:val="en-US"/>
        </w:rPr>
        <w:t xml:space="preserve"> Kim, S. (2008), “The effects of consumer knowledge on message processing of electronic word-of-mouth via online consumer reviews”, </w:t>
      </w:r>
      <w:r w:rsidRPr="004F289D">
        <w:rPr>
          <w:rFonts w:eastAsia="Aptos" w:cs="Times New Roman"/>
          <w:i/>
          <w:iCs/>
          <w:lang w:val="en-US"/>
        </w:rPr>
        <w:t>Electronic Commerce Research and Applications</w:t>
      </w:r>
      <w:r w:rsidRPr="004F289D">
        <w:rPr>
          <w:rFonts w:eastAsia="Aptos" w:cs="Times New Roman"/>
          <w:lang w:val="en-US"/>
        </w:rPr>
        <w:t>, Vol. 7 No. 4, pp. 399–410.</w:t>
      </w:r>
    </w:p>
    <w:p w14:paraId="4D32663C"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Patharia</w:t>
      </w:r>
      <w:proofErr w:type="spellEnd"/>
      <w:r w:rsidRPr="004F289D">
        <w:rPr>
          <w:rFonts w:eastAsia="Aptos" w:cs="Times New Roman"/>
          <w:lang w:val="en-US"/>
        </w:rPr>
        <w:t xml:space="preserve">, I. and Jain, T. (2024), “Antecedents of electronic shopping cart abandonment during online purchase process”, </w:t>
      </w:r>
      <w:r w:rsidRPr="004F289D">
        <w:rPr>
          <w:rFonts w:eastAsia="Aptos" w:cs="Times New Roman"/>
          <w:i/>
          <w:iCs/>
          <w:lang w:val="en-US"/>
        </w:rPr>
        <w:t>Business Perspectives and Research</w:t>
      </w:r>
      <w:r w:rsidRPr="004F289D">
        <w:rPr>
          <w:rFonts w:eastAsia="Aptos" w:cs="Times New Roman"/>
          <w:lang w:val="en-US"/>
        </w:rPr>
        <w:t>, Vol. 12 No. 3, pp. 400–418.</w:t>
      </w:r>
    </w:p>
    <w:p w14:paraId="2188E7F6"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lastRenderedPageBreak/>
        <w:t>Pavlou</w:t>
      </w:r>
      <w:proofErr w:type="spellEnd"/>
      <w:r w:rsidRPr="004F289D">
        <w:rPr>
          <w:rFonts w:eastAsia="Aptos" w:cs="Times New Roman"/>
          <w:lang w:val="en-US"/>
        </w:rPr>
        <w:t xml:space="preserve">, P.A. (2002), “Institution-based trust in </w:t>
      </w:r>
      <w:proofErr w:type="spellStart"/>
      <w:r w:rsidRPr="004F289D">
        <w:rPr>
          <w:rFonts w:eastAsia="Aptos" w:cs="Times New Roman"/>
          <w:lang w:val="en-US"/>
        </w:rPr>
        <w:t>interorganizational</w:t>
      </w:r>
      <w:proofErr w:type="spellEnd"/>
      <w:r w:rsidRPr="004F289D">
        <w:rPr>
          <w:rFonts w:eastAsia="Aptos" w:cs="Times New Roman"/>
          <w:lang w:val="en-US"/>
        </w:rPr>
        <w:t xml:space="preserve"> exchange relationships: The role of online B2B marketplaces on trust formation”, </w:t>
      </w:r>
      <w:r w:rsidRPr="004F289D">
        <w:rPr>
          <w:rFonts w:eastAsia="Aptos" w:cs="Times New Roman"/>
          <w:i/>
          <w:iCs/>
          <w:lang w:val="en-US"/>
        </w:rPr>
        <w:t>Journal of Strategic Information Systems</w:t>
      </w:r>
      <w:r w:rsidRPr="004F289D">
        <w:rPr>
          <w:rFonts w:eastAsia="Aptos" w:cs="Times New Roman"/>
          <w:lang w:val="en-US"/>
        </w:rPr>
        <w:t>, Vol. 11 No. 3–4, pp. 215–243.</w:t>
      </w:r>
    </w:p>
    <w:p w14:paraId="1C378BE1"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Pavlou</w:t>
      </w:r>
      <w:proofErr w:type="spellEnd"/>
      <w:r w:rsidRPr="004F289D">
        <w:rPr>
          <w:rFonts w:eastAsia="Aptos" w:cs="Times New Roman"/>
          <w:lang w:val="en-US"/>
        </w:rPr>
        <w:t xml:space="preserve">, P.A. and </w:t>
      </w:r>
      <w:proofErr w:type="spellStart"/>
      <w:r w:rsidRPr="004F289D">
        <w:rPr>
          <w:rFonts w:eastAsia="Aptos" w:cs="Times New Roman"/>
          <w:lang w:val="en-US"/>
        </w:rPr>
        <w:t>Gefen</w:t>
      </w:r>
      <w:proofErr w:type="spellEnd"/>
      <w:r w:rsidRPr="004F289D">
        <w:rPr>
          <w:rFonts w:eastAsia="Aptos" w:cs="Times New Roman"/>
          <w:lang w:val="en-US"/>
        </w:rPr>
        <w:t xml:space="preserve">, D. (2004), “Building effective online marketplaces with institution-based trust”, </w:t>
      </w:r>
      <w:r w:rsidRPr="004F289D">
        <w:rPr>
          <w:rFonts w:eastAsia="Aptos" w:cs="Times New Roman"/>
          <w:i/>
          <w:iCs/>
          <w:lang w:val="en-US"/>
        </w:rPr>
        <w:t>Information Systems Research</w:t>
      </w:r>
      <w:r w:rsidRPr="004F289D">
        <w:rPr>
          <w:rFonts w:eastAsia="Aptos" w:cs="Times New Roman"/>
          <w:lang w:val="en-US"/>
        </w:rPr>
        <w:t>, Vol. 15 No. 1, pp. 37–59.</w:t>
      </w:r>
    </w:p>
    <w:p w14:paraId="19FE0378"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Pizzutti</w:t>
      </w:r>
      <w:proofErr w:type="spellEnd"/>
      <w:r w:rsidRPr="004F289D">
        <w:rPr>
          <w:rFonts w:eastAsia="Aptos" w:cs="Times New Roman"/>
          <w:lang w:val="en-US"/>
        </w:rPr>
        <w:t xml:space="preserve">, C. and </w:t>
      </w:r>
      <w:proofErr w:type="spellStart"/>
      <w:r w:rsidRPr="004F289D">
        <w:rPr>
          <w:rFonts w:eastAsia="Aptos" w:cs="Times New Roman"/>
          <w:lang w:val="en-US"/>
        </w:rPr>
        <w:t>Fernandes</w:t>
      </w:r>
      <w:proofErr w:type="spellEnd"/>
      <w:r w:rsidRPr="004F289D">
        <w:rPr>
          <w:rFonts w:eastAsia="Aptos" w:cs="Times New Roman"/>
          <w:lang w:val="en-US"/>
        </w:rPr>
        <w:t xml:space="preserve">, D. (2010), “Effect of recovery efforts on consumer trust and loyalty in e-tail: A contingency model”, </w:t>
      </w:r>
      <w:r w:rsidRPr="004F289D">
        <w:rPr>
          <w:rFonts w:eastAsia="Aptos" w:cs="Times New Roman"/>
          <w:i/>
          <w:iCs/>
          <w:lang w:val="en-US"/>
        </w:rPr>
        <w:t>International Journal of Electronic Commerce</w:t>
      </w:r>
      <w:r w:rsidRPr="004F289D">
        <w:rPr>
          <w:rFonts w:eastAsia="Aptos" w:cs="Times New Roman"/>
          <w:lang w:val="en-US"/>
        </w:rPr>
        <w:t>, Vol. 14 No. 4, pp. 127–160.</w:t>
      </w:r>
    </w:p>
    <w:p w14:paraId="40D7C612"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Ratnasingham</w:t>
      </w:r>
      <w:proofErr w:type="spellEnd"/>
      <w:r w:rsidRPr="004F289D">
        <w:rPr>
          <w:rFonts w:eastAsia="Aptos" w:cs="Times New Roman"/>
          <w:lang w:val="en-US"/>
        </w:rPr>
        <w:t xml:space="preserve">, P. (1998), “The importance of trust in electronic commerce”, </w:t>
      </w:r>
      <w:r w:rsidRPr="004F289D">
        <w:rPr>
          <w:rFonts w:eastAsia="Aptos" w:cs="Times New Roman"/>
          <w:i/>
          <w:iCs/>
          <w:lang w:val="en-US"/>
        </w:rPr>
        <w:t>Internet Research</w:t>
      </w:r>
      <w:r w:rsidRPr="004F289D">
        <w:rPr>
          <w:rFonts w:eastAsia="Aptos" w:cs="Times New Roman"/>
          <w:lang w:val="en-US"/>
        </w:rPr>
        <w:t>, Vol. 8 No. 4, pp. 313–321.</w:t>
      </w:r>
    </w:p>
    <w:p w14:paraId="30D67236" w14:textId="346CF3D5"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Riquelme</w:t>
      </w:r>
      <w:proofErr w:type="spellEnd"/>
      <w:r w:rsidRPr="004F289D">
        <w:rPr>
          <w:rFonts w:eastAsia="Aptos" w:cs="Times New Roman"/>
          <w:lang w:val="en-US"/>
        </w:rPr>
        <w:t>, I.P. and Rom</w:t>
      </w:r>
      <w:r w:rsidR="00F54A4E" w:rsidRPr="004F289D">
        <w:rPr>
          <w:rFonts w:eastAsia="Aptos" w:cs="Times New Roman"/>
          <w:lang w:val="en-US"/>
        </w:rPr>
        <w:t>a</w:t>
      </w:r>
      <w:r w:rsidRPr="004F289D">
        <w:rPr>
          <w:rFonts w:eastAsia="Aptos" w:cs="Times New Roman"/>
          <w:lang w:val="en-US"/>
        </w:rPr>
        <w:t>n, S. (2014), “Is the influence of privacy and security on online trust the same for all type of consumers?</w:t>
      </w:r>
      <w:proofErr w:type="gramStart"/>
      <w:r w:rsidRPr="004F289D">
        <w:rPr>
          <w:rFonts w:eastAsia="Aptos" w:cs="Times New Roman"/>
          <w:lang w:val="en-US"/>
        </w:rPr>
        <w:t>”,</w:t>
      </w:r>
      <w:proofErr w:type="gramEnd"/>
      <w:r w:rsidRPr="004F289D">
        <w:rPr>
          <w:rFonts w:eastAsia="Aptos" w:cs="Times New Roman"/>
          <w:lang w:val="en-US"/>
        </w:rPr>
        <w:t xml:space="preserve"> </w:t>
      </w:r>
      <w:r w:rsidRPr="004F289D">
        <w:rPr>
          <w:rFonts w:eastAsia="Aptos" w:cs="Times New Roman"/>
          <w:i/>
          <w:iCs/>
          <w:lang w:val="en-US"/>
        </w:rPr>
        <w:t>Electronic Markets</w:t>
      </w:r>
      <w:r w:rsidRPr="004F289D">
        <w:rPr>
          <w:rFonts w:eastAsia="Aptos" w:cs="Times New Roman"/>
          <w:lang w:val="en-US"/>
        </w:rPr>
        <w:t xml:space="preserve">, Vol. 24 No. 2, pp. 135–149. </w:t>
      </w:r>
    </w:p>
    <w:p w14:paraId="2DE85B02"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Salo</w:t>
      </w:r>
      <w:proofErr w:type="spellEnd"/>
      <w:r w:rsidRPr="004F289D">
        <w:rPr>
          <w:rFonts w:eastAsia="Aptos" w:cs="Times New Roman"/>
          <w:lang w:val="en-US"/>
        </w:rPr>
        <w:t xml:space="preserve">, J. and </w:t>
      </w:r>
      <w:proofErr w:type="spellStart"/>
      <w:r w:rsidRPr="004F289D">
        <w:rPr>
          <w:rFonts w:eastAsia="Aptos" w:cs="Times New Roman"/>
          <w:lang w:val="en-US"/>
        </w:rPr>
        <w:t>Karjaluoto</w:t>
      </w:r>
      <w:proofErr w:type="spellEnd"/>
      <w:r w:rsidRPr="004F289D">
        <w:rPr>
          <w:rFonts w:eastAsia="Aptos" w:cs="Times New Roman"/>
          <w:lang w:val="en-US"/>
        </w:rPr>
        <w:t xml:space="preserve">, H. (2007), “A conceptual model of trust in the online environment”, </w:t>
      </w:r>
      <w:r w:rsidRPr="004F289D">
        <w:rPr>
          <w:rFonts w:eastAsia="Aptos" w:cs="Times New Roman"/>
          <w:i/>
          <w:iCs/>
          <w:lang w:val="en-US"/>
        </w:rPr>
        <w:t>Online Information Review</w:t>
      </w:r>
      <w:r w:rsidRPr="004F289D">
        <w:rPr>
          <w:rFonts w:eastAsia="Aptos" w:cs="Times New Roman"/>
          <w:lang w:val="en-US"/>
        </w:rPr>
        <w:t>, Vol. 31 No. 5, pp. 604–621.</w:t>
      </w:r>
    </w:p>
    <w:p w14:paraId="45F829F4"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Sangeeta</w:t>
      </w:r>
      <w:proofErr w:type="spellEnd"/>
      <w:r w:rsidRPr="004F289D">
        <w:rPr>
          <w:rFonts w:eastAsia="Aptos" w:cs="Times New Roman"/>
          <w:lang w:val="en-US"/>
        </w:rPr>
        <w:t xml:space="preserve">, S., Ghosh, K. and </w:t>
      </w:r>
      <w:proofErr w:type="spellStart"/>
      <w:r w:rsidRPr="004F289D">
        <w:rPr>
          <w:rFonts w:eastAsia="Aptos" w:cs="Times New Roman"/>
          <w:lang w:val="en-US"/>
        </w:rPr>
        <w:t>Shrivastava</w:t>
      </w:r>
      <w:proofErr w:type="spellEnd"/>
      <w:r w:rsidRPr="004F289D">
        <w:rPr>
          <w:rFonts w:eastAsia="Aptos" w:cs="Times New Roman"/>
          <w:lang w:val="en-US"/>
        </w:rPr>
        <w:t xml:space="preserve">, A. (2013), “Conceptualizing consumer ‘trust’ in online buying </w:t>
      </w:r>
      <w:proofErr w:type="spellStart"/>
      <w:r w:rsidRPr="004F289D">
        <w:rPr>
          <w:rFonts w:eastAsia="Aptos" w:cs="Times New Roman"/>
          <w:lang w:val="en-US"/>
        </w:rPr>
        <w:t>behaviour</w:t>
      </w:r>
      <w:proofErr w:type="spellEnd"/>
      <w:r w:rsidRPr="004F289D">
        <w:rPr>
          <w:rFonts w:eastAsia="Aptos" w:cs="Times New Roman"/>
          <w:lang w:val="en-US"/>
        </w:rPr>
        <w:t xml:space="preserve">: An empirical inquiry and model development in Indian context”, </w:t>
      </w:r>
      <w:r w:rsidRPr="004F289D">
        <w:rPr>
          <w:rFonts w:eastAsia="Aptos" w:cs="Times New Roman"/>
          <w:i/>
          <w:iCs/>
          <w:lang w:val="en-US"/>
        </w:rPr>
        <w:t>Journal of Asia Business Studies</w:t>
      </w:r>
      <w:r w:rsidRPr="004F289D">
        <w:rPr>
          <w:rFonts w:eastAsia="Aptos" w:cs="Times New Roman"/>
          <w:lang w:val="en-US"/>
        </w:rPr>
        <w:t xml:space="preserve">, Vol. 7 No. 3, pp. 278–298. </w:t>
      </w:r>
    </w:p>
    <w:p w14:paraId="5C6E4164"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Shao, Z. and Yin, H. (2019), “Building customers’ trust in the ridesharing platform with institutional mechanisms: An empirical study in China”, </w:t>
      </w:r>
      <w:r w:rsidRPr="004F289D">
        <w:rPr>
          <w:rFonts w:eastAsia="Aptos" w:cs="Times New Roman"/>
          <w:i/>
          <w:iCs/>
          <w:lang w:val="en-US"/>
        </w:rPr>
        <w:t>Internet Research</w:t>
      </w:r>
      <w:r w:rsidRPr="004F289D">
        <w:rPr>
          <w:rFonts w:eastAsia="Aptos" w:cs="Times New Roman"/>
          <w:lang w:val="en-US"/>
        </w:rPr>
        <w:t>, Vol. 29 No. 5, pp. 1040–1063.</w:t>
      </w:r>
    </w:p>
    <w:p w14:paraId="0CCF8BAC"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Sharma, V.M. and Klein, A. (2020), “Consumer perceived value, involvement, trust, susceptibility to interpersonal influence, and intention to participate in online group buying”, </w:t>
      </w:r>
      <w:r w:rsidRPr="004F289D">
        <w:rPr>
          <w:rFonts w:eastAsia="Aptos" w:cs="Times New Roman"/>
          <w:i/>
          <w:iCs/>
          <w:lang w:val="en-US"/>
        </w:rPr>
        <w:t>Journal of Retailing and Consumer Services</w:t>
      </w:r>
      <w:r w:rsidRPr="004F289D">
        <w:rPr>
          <w:rFonts w:eastAsia="Aptos" w:cs="Times New Roman"/>
          <w:lang w:val="en-US"/>
        </w:rPr>
        <w:t>, Vol. 52, 101946.</w:t>
      </w:r>
    </w:p>
    <w:p w14:paraId="112E0002"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Suh, B. and Han, I. (2003), “The impact of customer trust and perception of security control on the acceptance of electronic commerce”, </w:t>
      </w:r>
      <w:r w:rsidRPr="004F289D">
        <w:rPr>
          <w:rFonts w:eastAsia="Aptos" w:cs="Times New Roman"/>
          <w:i/>
          <w:iCs/>
          <w:lang w:val="en-US"/>
        </w:rPr>
        <w:t>International Journal of Electronic Commerce</w:t>
      </w:r>
      <w:r w:rsidRPr="004F289D">
        <w:rPr>
          <w:rFonts w:eastAsia="Aptos" w:cs="Times New Roman"/>
          <w:lang w:val="en-US"/>
        </w:rPr>
        <w:t>, Vol. 7 No. 3, pp. 135–161.</w:t>
      </w:r>
    </w:p>
    <w:p w14:paraId="2CC2FAE2"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Suki, N.M. and Suki, N.M. (2017), “Modeling the determinants of consumers’ attitudes toward online group buying: Do risks and trusts matter?</w:t>
      </w:r>
      <w:proofErr w:type="gramStart"/>
      <w:r w:rsidRPr="004F289D">
        <w:rPr>
          <w:rFonts w:eastAsia="Aptos" w:cs="Times New Roman"/>
          <w:lang w:val="en-US"/>
        </w:rPr>
        <w:t>”,</w:t>
      </w:r>
      <w:proofErr w:type="gramEnd"/>
      <w:r w:rsidRPr="004F289D">
        <w:rPr>
          <w:rFonts w:eastAsia="Aptos" w:cs="Times New Roman"/>
          <w:lang w:val="en-US"/>
        </w:rPr>
        <w:t xml:space="preserve"> </w:t>
      </w:r>
      <w:r w:rsidRPr="004F289D">
        <w:rPr>
          <w:rFonts w:eastAsia="Aptos" w:cs="Times New Roman"/>
          <w:i/>
          <w:iCs/>
          <w:lang w:val="en-US"/>
        </w:rPr>
        <w:t>Journal of Retailing and Consumer Services</w:t>
      </w:r>
      <w:r w:rsidRPr="004F289D">
        <w:rPr>
          <w:rFonts w:eastAsia="Aptos" w:cs="Times New Roman"/>
          <w:lang w:val="en-US"/>
        </w:rPr>
        <w:t>, Vol. 36, pp. 180–188.</w:t>
      </w:r>
    </w:p>
    <w:p w14:paraId="075ABB78"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Venkatakrishnan</w:t>
      </w:r>
      <w:proofErr w:type="spellEnd"/>
      <w:r w:rsidRPr="004F289D">
        <w:rPr>
          <w:rFonts w:eastAsia="Aptos" w:cs="Times New Roman"/>
          <w:lang w:val="en-US"/>
        </w:rPr>
        <w:t xml:space="preserve">, M., </w:t>
      </w:r>
      <w:proofErr w:type="spellStart"/>
      <w:r w:rsidRPr="004F289D">
        <w:rPr>
          <w:rFonts w:eastAsia="Aptos" w:cs="Times New Roman"/>
          <w:lang w:val="en-US"/>
        </w:rPr>
        <w:t>Vijayaragavan</w:t>
      </w:r>
      <w:proofErr w:type="spellEnd"/>
      <w:r w:rsidRPr="004F289D">
        <w:rPr>
          <w:rFonts w:eastAsia="Aptos" w:cs="Times New Roman"/>
          <w:lang w:val="en-US"/>
        </w:rPr>
        <w:t xml:space="preserve">, R. and </w:t>
      </w:r>
      <w:proofErr w:type="spellStart"/>
      <w:r w:rsidRPr="004F289D">
        <w:rPr>
          <w:rFonts w:eastAsia="Aptos" w:cs="Times New Roman"/>
          <w:lang w:val="en-US"/>
        </w:rPr>
        <w:t>Pingali</w:t>
      </w:r>
      <w:proofErr w:type="spellEnd"/>
      <w:r w:rsidRPr="004F289D">
        <w:rPr>
          <w:rFonts w:eastAsia="Aptos" w:cs="Times New Roman"/>
          <w:lang w:val="en-US"/>
        </w:rPr>
        <w:t xml:space="preserve">, V. (2024), “Trust and competition in online retailing: Evidence from a natural experiment”, </w:t>
      </w:r>
      <w:r w:rsidRPr="004F289D">
        <w:rPr>
          <w:rFonts w:eastAsia="Aptos" w:cs="Times New Roman"/>
          <w:i/>
          <w:iCs/>
          <w:lang w:val="en-US"/>
        </w:rPr>
        <w:t>Decision Support Systems</w:t>
      </w:r>
      <w:r w:rsidRPr="004F289D">
        <w:rPr>
          <w:rFonts w:eastAsia="Aptos" w:cs="Times New Roman"/>
          <w:lang w:val="en-US"/>
        </w:rPr>
        <w:t>, Vol. 178, 114113.</w:t>
      </w:r>
    </w:p>
    <w:p w14:paraId="3ED69E38"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Walczuch</w:t>
      </w:r>
      <w:proofErr w:type="spellEnd"/>
      <w:r w:rsidRPr="004F289D">
        <w:rPr>
          <w:rFonts w:eastAsia="Aptos" w:cs="Times New Roman"/>
          <w:lang w:val="en-US"/>
        </w:rPr>
        <w:t xml:space="preserve">, R. and Lundgren, H. (2004), “Psychological antecedents of institution-based consumer trust in e-retailing”, </w:t>
      </w:r>
      <w:r w:rsidRPr="004F289D">
        <w:rPr>
          <w:rFonts w:eastAsia="Aptos" w:cs="Times New Roman"/>
          <w:i/>
          <w:iCs/>
          <w:lang w:val="en-US"/>
        </w:rPr>
        <w:t>Information and Management</w:t>
      </w:r>
      <w:r w:rsidRPr="004F289D">
        <w:rPr>
          <w:rFonts w:eastAsia="Aptos" w:cs="Times New Roman"/>
          <w:lang w:val="en-US"/>
        </w:rPr>
        <w:t>, Vol. 42 No. 2, pp. 159–177.</w:t>
      </w:r>
    </w:p>
    <w:p w14:paraId="4A80A9F4"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Wang, C.-C., Chen, C.-A. </w:t>
      </w:r>
      <w:proofErr w:type="gramStart"/>
      <w:r w:rsidRPr="004F289D">
        <w:rPr>
          <w:rFonts w:eastAsia="Aptos" w:cs="Times New Roman"/>
          <w:lang w:val="en-US"/>
        </w:rPr>
        <w:t>and</w:t>
      </w:r>
      <w:proofErr w:type="gramEnd"/>
      <w:r w:rsidRPr="004F289D">
        <w:rPr>
          <w:rFonts w:eastAsia="Aptos" w:cs="Times New Roman"/>
          <w:lang w:val="en-US"/>
        </w:rPr>
        <w:t xml:space="preserve"> Jiang, J.-C. (2009), “The impact of knowledge and trust on e-consumers’ online shopping activities: An empirical study”, </w:t>
      </w:r>
      <w:r w:rsidRPr="004F289D">
        <w:rPr>
          <w:rFonts w:eastAsia="Aptos" w:cs="Times New Roman"/>
          <w:i/>
          <w:iCs/>
          <w:lang w:val="en-US"/>
        </w:rPr>
        <w:t>Journal of Computers</w:t>
      </w:r>
      <w:r w:rsidRPr="004F289D">
        <w:rPr>
          <w:rFonts w:eastAsia="Aptos" w:cs="Times New Roman"/>
          <w:lang w:val="en-US"/>
        </w:rPr>
        <w:t xml:space="preserve">, Vol. 4 No. 1, pp. 11–18. </w:t>
      </w:r>
    </w:p>
    <w:p w14:paraId="4504C6CA"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Wang, H. (2010), “Review of studies on online consumer trust”, </w:t>
      </w:r>
      <w:r w:rsidRPr="004F289D">
        <w:rPr>
          <w:rFonts w:eastAsia="Aptos" w:cs="Times New Roman"/>
          <w:i/>
          <w:iCs/>
          <w:lang w:val="en-US"/>
        </w:rPr>
        <w:t>Proceedings of the Second International Conference on Computational Intelligence and Natural Computing (CINC 2010)</w:t>
      </w:r>
      <w:r w:rsidRPr="004F289D">
        <w:rPr>
          <w:rFonts w:eastAsia="Aptos" w:cs="Times New Roman"/>
          <w:lang w:val="en-US"/>
        </w:rPr>
        <w:t xml:space="preserve">, pp. 97–100. </w:t>
      </w:r>
    </w:p>
    <w:p w14:paraId="634B025B"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lastRenderedPageBreak/>
        <w:t xml:space="preserve">Wang, Y.D. and </w:t>
      </w:r>
      <w:proofErr w:type="spellStart"/>
      <w:r w:rsidRPr="004F289D">
        <w:rPr>
          <w:rFonts w:eastAsia="Aptos" w:cs="Times New Roman"/>
          <w:lang w:val="en-US"/>
        </w:rPr>
        <w:t>Emurian</w:t>
      </w:r>
      <w:proofErr w:type="spellEnd"/>
      <w:r w:rsidRPr="004F289D">
        <w:rPr>
          <w:rFonts w:eastAsia="Aptos" w:cs="Times New Roman"/>
          <w:lang w:val="en-US"/>
        </w:rPr>
        <w:t xml:space="preserve">, H.H. (2005), “Trust in e-commerce: Consideration of interface design factors”, </w:t>
      </w:r>
      <w:r w:rsidRPr="004F289D">
        <w:rPr>
          <w:rFonts w:eastAsia="Aptos" w:cs="Times New Roman"/>
          <w:i/>
          <w:iCs/>
          <w:lang w:val="en-US"/>
        </w:rPr>
        <w:t>Journal of Electronic Commerce in Organizations</w:t>
      </w:r>
      <w:r w:rsidRPr="004F289D">
        <w:rPr>
          <w:rFonts w:eastAsia="Aptos" w:cs="Times New Roman"/>
          <w:lang w:val="en-US"/>
        </w:rPr>
        <w:t>, Vol. 3 No. 4, pp. 42–60.</w:t>
      </w:r>
    </w:p>
    <w:p w14:paraId="3D384583" w14:textId="77777777" w:rsidR="00FA0BEA" w:rsidRPr="004F289D" w:rsidRDefault="00FA0BEA" w:rsidP="004E265D">
      <w:pPr>
        <w:spacing w:line="278" w:lineRule="auto"/>
        <w:rPr>
          <w:rFonts w:eastAsia="Aptos" w:cs="Times New Roman"/>
          <w:lang w:val="en-US"/>
        </w:rPr>
      </w:pPr>
      <w:r w:rsidRPr="004F289D">
        <w:rPr>
          <w:rFonts w:eastAsia="Aptos" w:cs="Times New Roman"/>
          <w:lang w:val="en-US"/>
        </w:rPr>
        <w:t xml:space="preserve">Wu, G., Hu, X. and Wu, Y. (2010), “Effects of perceived interactivity, perceived Web assurance and disposition to trust on initial online trust”, </w:t>
      </w:r>
      <w:r w:rsidRPr="004F289D">
        <w:rPr>
          <w:rFonts w:eastAsia="Aptos" w:cs="Times New Roman"/>
          <w:i/>
          <w:iCs/>
          <w:lang w:val="en-US"/>
        </w:rPr>
        <w:t>Journal of Computer-Mediated Communication</w:t>
      </w:r>
      <w:r w:rsidRPr="004F289D">
        <w:rPr>
          <w:rFonts w:eastAsia="Aptos" w:cs="Times New Roman"/>
          <w:lang w:val="en-US"/>
        </w:rPr>
        <w:t>, Vol. 16 No. 1, pp. 1–26.</w:t>
      </w:r>
    </w:p>
    <w:p w14:paraId="4FA64821" w14:textId="5637FED6"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Yoon, V.Y., Hostler, R.E., </w:t>
      </w:r>
      <w:proofErr w:type="spellStart"/>
      <w:r w:rsidRPr="004F289D">
        <w:rPr>
          <w:rFonts w:eastAsia="Aptos" w:cs="Times New Roman"/>
          <w:lang w:val="en-US"/>
        </w:rPr>
        <w:t>Guo</w:t>
      </w:r>
      <w:proofErr w:type="spellEnd"/>
      <w:r w:rsidRPr="004F289D">
        <w:rPr>
          <w:rFonts w:eastAsia="Aptos" w:cs="Times New Roman"/>
          <w:lang w:val="en-US"/>
        </w:rPr>
        <w:t xml:space="preserve">, Z. and </w:t>
      </w:r>
      <w:proofErr w:type="spellStart"/>
      <w:r w:rsidRPr="004F289D">
        <w:rPr>
          <w:rFonts w:eastAsia="Aptos" w:cs="Times New Roman"/>
          <w:lang w:val="en-US"/>
        </w:rPr>
        <w:t>Guimaraes</w:t>
      </w:r>
      <w:proofErr w:type="spellEnd"/>
      <w:r w:rsidRPr="004F289D">
        <w:rPr>
          <w:rFonts w:eastAsia="Aptos" w:cs="Times New Roman"/>
          <w:lang w:val="en-US"/>
        </w:rPr>
        <w:t xml:space="preserve">, T. (2013), “Assessing the moderating effect of consumer product knowledge and online shopping experience on using recommendation agents for customer loyalty”, </w:t>
      </w:r>
      <w:r w:rsidRPr="004F289D">
        <w:rPr>
          <w:rFonts w:eastAsia="Aptos" w:cs="Times New Roman"/>
          <w:i/>
          <w:iCs/>
          <w:lang w:val="en-US"/>
        </w:rPr>
        <w:t>Decision Support Systems</w:t>
      </w:r>
      <w:r w:rsidRPr="004F289D">
        <w:rPr>
          <w:rFonts w:eastAsia="Aptos" w:cs="Times New Roman"/>
          <w:lang w:val="en-US"/>
        </w:rPr>
        <w:t xml:space="preserve">, Vol. 55, pp. 883–893. </w:t>
      </w:r>
    </w:p>
    <w:p w14:paraId="392A097B" w14:textId="77777777" w:rsidR="004E265D" w:rsidRPr="004F289D" w:rsidRDefault="004E265D" w:rsidP="004E265D">
      <w:pPr>
        <w:spacing w:line="278" w:lineRule="auto"/>
        <w:rPr>
          <w:rFonts w:eastAsia="Aptos" w:cs="Times New Roman"/>
          <w:lang w:val="en-US"/>
        </w:rPr>
      </w:pPr>
      <w:proofErr w:type="spellStart"/>
      <w:r w:rsidRPr="004F289D">
        <w:rPr>
          <w:rFonts w:eastAsia="Aptos" w:cs="Times New Roman"/>
          <w:lang w:val="en-US"/>
        </w:rPr>
        <w:t>Yuliati</w:t>
      </w:r>
      <w:proofErr w:type="spellEnd"/>
      <w:r w:rsidRPr="004F289D">
        <w:rPr>
          <w:rFonts w:eastAsia="Aptos" w:cs="Times New Roman"/>
          <w:lang w:val="en-US"/>
        </w:rPr>
        <w:t xml:space="preserve">, L.N., </w:t>
      </w:r>
      <w:proofErr w:type="spellStart"/>
      <w:r w:rsidRPr="004F289D">
        <w:rPr>
          <w:rFonts w:eastAsia="Aptos" w:cs="Times New Roman"/>
          <w:lang w:val="en-US"/>
        </w:rPr>
        <w:t>Dradjat</w:t>
      </w:r>
      <w:proofErr w:type="spellEnd"/>
      <w:r w:rsidRPr="004F289D">
        <w:rPr>
          <w:rFonts w:eastAsia="Aptos" w:cs="Times New Roman"/>
          <w:lang w:val="en-US"/>
        </w:rPr>
        <w:t xml:space="preserve">, H.A. and </w:t>
      </w:r>
      <w:proofErr w:type="spellStart"/>
      <w:r w:rsidRPr="004F289D">
        <w:rPr>
          <w:rFonts w:eastAsia="Aptos" w:cs="Times New Roman"/>
          <w:lang w:val="en-US"/>
        </w:rPr>
        <w:t>Simanjuntak</w:t>
      </w:r>
      <w:proofErr w:type="spellEnd"/>
      <w:r w:rsidRPr="004F289D">
        <w:rPr>
          <w:rFonts w:eastAsia="Aptos" w:cs="Times New Roman"/>
          <w:lang w:val="en-US"/>
        </w:rPr>
        <w:t xml:space="preserve">, M. (2020), “Online bike: Role of perceived technology, perceived risk, and institution-based trust on service usage via online trust”, </w:t>
      </w:r>
      <w:r w:rsidRPr="004F289D">
        <w:rPr>
          <w:rFonts w:eastAsia="Aptos" w:cs="Times New Roman"/>
          <w:i/>
          <w:iCs/>
          <w:lang w:val="en-US"/>
        </w:rPr>
        <w:t>Cogent Business and Management</w:t>
      </w:r>
      <w:r w:rsidRPr="004F289D">
        <w:rPr>
          <w:rFonts w:eastAsia="Aptos" w:cs="Times New Roman"/>
          <w:lang w:val="en-US"/>
        </w:rPr>
        <w:t>, Vol. 7 No. 1, 1798067.</w:t>
      </w:r>
    </w:p>
    <w:p w14:paraId="1CBA9851" w14:textId="77777777" w:rsidR="004E265D" w:rsidRPr="004F289D" w:rsidRDefault="004E265D" w:rsidP="004E265D">
      <w:pPr>
        <w:spacing w:line="278" w:lineRule="auto"/>
        <w:rPr>
          <w:rFonts w:eastAsia="Aptos" w:cs="Times New Roman"/>
          <w:lang w:val="en-US"/>
        </w:rPr>
      </w:pPr>
      <w:r w:rsidRPr="004F289D">
        <w:rPr>
          <w:rFonts w:eastAsia="Aptos" w:cs="Times New Roman"/>
          <w:lang w:val="en-US"/>
        </w:rPr>
        <w:t xml:space="preserve">Zhang, Z. and </w:t>
      </w:r>
      <w:proofErr w:type="spellStart"/>
      <w:proofErr w:type="gramStart"/>
      <w:r w:rsidRPr="004F289D">
        <w:rPr>
          <w:rFonts w:eastAsia="Aptos" w:cs="Times New Roman"/>
          <w:lang w:val="en-US"/>
        </w:rPr>
        <w:t>Gu</w:t>
      </w:r>
      <w:proofErr w:type="spellEnd"/>
      <w:proofErr w:type="gramEnd"/>
      <w:r w:rsidRPr="004F289D">
        <w:rPr>
          <w:rFonts w:eastAsia="Aptos" w:cs="Times New Roman"/>
          <w:lang w:val="en-US"/>
        </w:rPr>
        <w:t xml:space="preserve">, C. (2015), “Effects of consumer social interaction on trust in online group-buying contexts: An empirical study in China”, </w:t>
      </w:r>
      <w:r w:rsidRPr="004F289D">
        <w:rPr>
          <w:rFonts w:eastAsia="Aptos" w:cs="Times New Roman"/>
          <w:i/>
          <w:iCs/>
          <w:lang w:val="en-US"/>
        </w:rPr>
        <w:t>Journal of Electronic Commerce Research</w:t>
      </w:r>
      <w:r w:rsidRPr="004F289D">
        <w:rPr>
          <w:rFonts w:eastAsia="Aptos" w:cs="Times New Roman"/>
          <w:lang w:val="en-US"/>
        </w:rPr>
        <w:t>, Vol. 16 No. 1, pp. 1–23.</w:t>
      </w:r>
    </w:p>
    <w:p w14:paraId="1AD294DA" w14:textId="51063173" w:rsidR="008F46D7" w:rsidRPr="004F289D" w:rsidRDefault="004E265D" w:rsidP="00DB132D">
      <w:pPr>
        <w:spacing w:line="278" w:lineRule="auto"/>
        <w:rPr>
          <w:b/>
          <w:bCs/>
          <w:lang w:val="en-US"/>
        </w:rPr>
      </w:pPr>
      <w:r w:rsidRPr="004F289D">
        <w:rPr>
          <w:rFonts w:eastAsia="Aptos" w:cs="Times New Roman"/>
          <w:lang w:val="en-US"/>
        </w:rPr>
        <w:t xml:space="preserve">Zhou, T. (2011), “An empirical examination of initial trust in mobile banking”, </w:t>
      </w:r>
      <w:r w:rsidRPr="004F289D">
        <w:rPr>
          <w:rFonts w:eastAsia="Aptos" w:cs="Times New Roman"/>
          <w:i/>
          <w:iCs/>
          <w:lang w:val="en-US"/>
        </w:rPr>
        <w:t>Internet Research</w:t>
      </w:r>
      <w:r w:rsidRPr="004F289D">
        <w:rPr>
          <w:rFonts w:eastAsia="Aptos" w:cs="Times New Roman"/>
          <w:lang w:val="en-US"/>
        </w:rPr>
        <w:t>, Vol. 21 No. 5, pp. 527–540.</w:t>
      </w:r>
      <w:r w:rsidR="008F46D7" w:rsidRPr="004F289D">
        <w:rPr>
          <w:b/>
          <w:bCs/>
          <w:lang w:val="en-US"/>
        </w:rPr>
        <w:br w:type="page"/>
      </w:r>
    </w:p>
    <w:p w14:paraId="1D55C65E" w14:textId="5BB020E9" w:rsidR="00693250" w:rsidRPr="004F289D" w:rsidRDefault="007C7649" w:rsidP="00693250">
      <w:pPr>
        <w:spacing w:line="360" w:lineRule="auto"/>
        <w:rPr>
          <w:b/>
          <w:bCs/>
          <w:lang w:val="en-US"/>
        </w:rPr>
      </w:pPr>
      <w:r w:rsidRPr="004F289D">
        <w:rPr>
          <w:b/>
          <w:bCs/>
          <w:lang w:val="en-US"/>
        </w:rPr>
        <w:lastRenderedPageBreak/>
        <w:t>Table A</w:t>
      </w:r>
      <w:r w:rsidR="00FC73A9" w:rsidRPr="004F289D">
        <w:rPr>
          <w:b/>
          <w:bCs/>
          <w:lang w:val="en-US"/>
        </w:rPr>
        <w:t>6</w:t>
      </w:r>
      <w:r w:rsidR="00693250" w:rsidRPr="004F289D">
        <w:rPr>
          <w:b/>
          <w:bCs/>
          <w:lang w:val="en-US"/>
        </w:rPr>
        <w:t xml:space="preserve">. </w:t>
      </w:r>
      <w:r w:rsidR="00693250" w:rsidRPr="004F289D">
        <w:rPr>
          <w:lang w:val="en-US"/>
        </w:rPr>
        <w:t>Focus group guiding questions (i.e., Step 1)</w:t>
      </w:r>
    </w:p>
    <w:tbl>
      <w:tblPr>
        <w:tblW w:w="6253"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7830"/>
      </w:tblGrid>
      <w:tr w:rsidR="004F289D" w:rsidRPr="004F289D" w14:paraId="7393EB61" w14:textId="77777777" w:rsidTr="001C00B0">
        <w:tc>
          <w:tcPr>
            <w:tcW w:w="1368" w:type="pct"/>
            <w:tcBorders>
              <w:left w:val="nil"/>
              <w:bottom w:val="single" w:sz="4" w:space="0" w:color="auto"/>
              <w:right w:val="nil"/>
            </w:tcBorders>
          </w:tcPr>
          <w:p w14:paraId="60D4F2D6" w14:textId="77777777" w:rsidR="001C00B0" w:rsidRPr="004F289D" w:rsidRDefault="001C00B0" w:rsidP="00693250">
            <w:pPr>
              <w:spacing w:after="200" w:line="276" w:lineRule="auto"/>
              <w:jc w:val="center"/>
              <w:rPr>
                <w:rFonts w:eastAsia="MS Mincho" w:cs="Times New Roman"/>
                <w:kern w:val="0"/>
                <w:lang w:val="en-US"/>
                <w14:ligatures w14:val="none"/>
              </w:rPr>
            </w:pPr>
            <w:r w:rsidRPr="004F289D">
              <w:rPr>
                <w:rFonts w:eastAsia="MS Mincho" w:cs="Times New Roman"/>
                <w:kern w:val="0"/>
                <w:lang w:val="en-US"/>
                <w14:ligatures w14:val="none"/>
              </w:rPr>
              <w:t>Dimension / Focus</w:t>
            </w:r>
          </w:p>
        </w:tc>
        <w:tc>
          <w:tcPr>
            <w:tcW w:w="3632" w:type="pct"/>
            <w:tcBorders>
              <w:left w:val="nil"/>
              <w:bottom w:val="single" w:sz="4" w:space="0" w:color="auto"/>
              <w:right w:val="nil"/>
            </w:tcBorders>
          </w:tcPr>
          <w:p w14:paraId="6474E577" w14:textId="77777777" w:rsidR="001C00B0" w:rsidRPr="004F289D" w:rsidRDefault="001C00B0" w:rsidP="00693250">
            <w:pPr>
              <w:spacing w:after="200" w:line="276" w:lineRule="auto"/>
              <w:jc w:val="center"/>
              <w:rPr>
                <w:rFonts w:eastAsia="MS Mincho" w:cs="Times New Roman"/>
                <w:kern w:val="0"/>
                <w:lang w:val="en-US"/>
                <w14:ligatures w14:val="none"/>
              </w:rPr>
            </w:pPr>
            <w:r w:rsidRPr="004F289D">
              <w:rPr>
                <w:rFonts w:eastAsia="MS Mincho" w:cs="Times New Roman"/>
                <w:kern w:val="0"/>
                <w:lang w:val="en-US"/>
                <w14:ligatures w14:val="none"/>
              </w:rPr>
              <w:t>Guiding Questions (Examples)</w:t>
            </w:r>
          </w:p>
        </w:tc>
      </w:tr>
      <w:tr w:rsidR="004F289D" w:rsidRPr="004F289D" w14:paraId="0D9AEE01" w14:textId="77777777" w:rsidTr="001C00B0">
        <w:tc>
          <w:tcPr>
            <w:tcW w:w="1368" w:type="pct"/>
            <w:tcBorders>
              <w:left w:val="nil"/>
              <w:bottom w:val="nil"/>
              <w:right w:val="nil"/>
            </w:tcBorders>
          </w:tcPr>
          <w:p w14:paraId="54533A92"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Overall CLOF construct</w:t>
            </w:r>
          </w:p>
        </w:tc>
        <w:tc>
          <w:tcPr>
            <w:tcW w:w="3632" w:type="pct"/>
            <w:tcBorders>
              <w:left w:val="nil"/>
              <w:bottom w:val="nil"/>
              <w:right w:val="nil"/>
            </w:tcBorders>
          </w:tcPr>
          <w:p w14:paraId="7857980D"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Which types of knowledge are essential for consumers to identify and protect themselves from online fraud?</w:t>
            </w:r>
            <w:r w:rsidRPr="004F289D">
              <w:rPr>
                <w:rFonts w:eastAsia="MS Mincho" w:cs="Times New Roman"/>
                <w:kern w:val="0"/>
                <w:lang w:val="en-US"/>
                <w14:ligatures w14:val="none"/>
              </w:rPr>
              <w:br/>
              <w:t>Are the knowledge areas identified in prior research sufficiently comprehensive, or are important aspects missing?</w:t>
            </w:r>
          </w:p>
          <w:p w14:paraId="17FADA71" w14:textId="77777777" w:rsidR="001C00B0" w:rsidRPr="004F289D" w:rsidRDefault="001C00B0" w:rsidP="00693250">
            <w:pPr>
              <w:spacing w:after="200" w:line="276" w:lineRule="auto"/>
              <w:rPr>
                <w:rFonts w:eastAsia="MS Mincho" w:cs="Times New Roman"/>
                <w:kern w:val="0"/>
                <w:lang w:val="en-US"/>
                <w14:ligatures w14:val="none"/>
              </w:rPr>
            </w:pPr>
          </w:p>
        </w:tc>
      </w:tr>
      <w:tr w:rsidR="004F289D" w:rsidRPr="004F289D" w14:paraId="513C2B5F" w14:textId="77777777" w:rsidTr="001C00B0">
        <w:tc>
          <w:tcPr>
            <w:tcW w:w="1368" w:type="pct"/>
            <w:tcBorders>
              <w:top w:val="nil"/>
              <w:left w:val="nil"/>
              <w:bottom w:val="nil"/>
              <w:right w:val="nil"/>
            </w:tcBorders>
          </w:tcPr>
          <w:p w14:paraId="7C8AB8B1"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Identity theft and information disclosure</w:t>
            </w:r>
          </w:p>
        </w:tc>
        <w:tc>
          <w:tcPr>
            <w:tcW w:w="3632" w:type="pct"/>
            <w:tcBorders>
              <w:top w:val="nil"/>
              <w:left w:val="nil"/>
              <w:bottom w:val="nil"/>
              <w:right w:val="nil"/>
            </w:tcBorders>
          </w:tcPr>
          <w:p w14:paraId="3799D712" w14:textId="014A6FC3" w:rsidR="001C00B0" w:rsidRPr="004F289D" w:rsidRDefault="00542D98" w:rsidP="00693250">
            <w:pPr>
              <w:spacing w:after="200" w:line="276" w:lineRule="auto"/>
              <w:rPr>
                <w:rFonts w:eastAsia="MS Mincho" w:cs="Times New Roman"/>
                <w:kern w:val="0"/>
                <w:lang w:val="en-US"/>
                <w14:ligatures w14:val="none"/>
              </w:rPr>
            </w:pPr>
            <w:r w:rsidRPr="004F289D">
              <w:rPr>
                <w:rFonts w:eastAsia="MS Mincho" w:cs="Times New Roman"/>
                <w:kern w:val="0"/>
                <w:lang/>
                <w14:ligatures w14:val="none"/>
              </w:rPr>
              <w:t>What should consumers know about the types of personal or financial information that legitimate companies can request?</w:t>
            </w:r>
            <w:r w:rsidR="001C00B0" w:rsidRPr="004F289D">
              <w:rPr>
                <w:rFonts w:eastAsia="MS Mincho" w:cs="Times New Roman"/>
                <w:kern w:val="0"/>
                <w:lang w:val="en-US"/>
                <w14:ligatures w14:val="none"/>
              </w:rPr>
              <w:br/>
              <w:t>Which misunderstandings in this area most commonly expose consumers to fraud?</w:t>
            </w:r>
          </w:p>
          <w:p w14:paraId="70DC5F2D" w14:textId="77777777" w:rsidR="001C00B0" w:rsidRPr="004F289D" w:rsidRDefault="001C00B0" w:rsidP="00693250">
            <w:pPr>
              <w:spacing w:after="200" w:line="276" w:lineRule="auto"/>
              <w:rPr>
                <w:rFonts w:eastAsia="MS Mincho" w:cs="Times New Roman"/>
                <w:kern w:val="0"/>
                <w:lang w:val="en-US"/>
                <w14:ligatures w14:val="none"/>
              </w:rPr>
            </w:pPr>
          </w:p>
        </w:tc>
      </w:tr>
      <w:tr w:rsidR="004F289D" w:rsidRPr="004F289D" w14:paraId="3A58D8CB" w14:textId="77777777" w:rsidTr="001C00B0">
        <w:tc>
          <w:tcPr>
            <w:tcW w:w="1368" w:type="pct"/>
            <w:tcBorders>
              <w:top w:val="nil"/>
              <w:left w:val="nil"/>
              <w:bottom w:val="nil"/>
              <w:right w:val="nil"/>
            </w:tcBorders>
          </w:tcPr>
          <w:p w14:paraId="42548DD1"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Legitimacy of online sellers</w:t>
            </w:r>
          </w:p>
        </w:tc>
        <w:tc>
          <w:tcPr>
            <w:tcW w:w="3632" w:type="pct"/>
            <w:tcBorders>
              <w:top w:val="nil"/>
              <w:left w:val="nil"/>
              <w:bottom w:val="nil"/>
              <w:right w:val="nil"/>
            </w:tcBorders>
          </w:tcPr>
          <w:p w14:paraId="60538556" w14:textId="1631360B"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What information or cues should consumers check to determine whether an online seller is legitimate?</w:t>
            </w:r>
            <w:r w:rsidRPr="004F289D">
              <w:rPr>
                <w:rFonts w:eastAsia="MS Mincho" w:cs="Times New Roman"/>
                <w:kern w:val="0"/>
                <w:lang w:val="en-US"/>
                <w14:ligatures w14:val="none"/>
              </w:rPr>
              <w:br/>
            </w:r>
            <w:r w:rsidR="00542D98" w:rsidRPr="004F289D">
              <w:rPr>
                <w:rFonts w:eastAsia="MS Mincho" w:cs="Times New Roman"/>
                <w:kern w:val="0"/>
                <w:lang w:val="en-US"/>
                <w14:ligatures w14:val="none"/>
              </w:rPr>
              <w:t>Which verification practices are critical across various online purchasing contexts?</w:t>
            </w:r>
          </w:p>
          <w:p w14:paraId="40D1593A" w14:textId="77777777" w:rsidR="001C00B0" w:rsidRPr="004F289D" w:rsidRDefault="001C00B0" w:rsidP="00693250">
            <w:pPr>
              <w:spacing w:after="200" w:line="276" w:lineRule="auto"/>
              <w:rPr>
                <w:rFonts w:eastAsia="MS Mincho" w:cs="Times New Roman"/>
                <w:kern w:val="0"/>
                <w:lang w:val="en-US"/>
                <w14:ligatures w14:val="none"/>
              </w:rPr>
            </w:pPr>
          </w:p>
        </w:tc>
      </w:tr>
      <w:tr w:rsidR="004F289D" w:rsidRPr="004F289D" w14:paraId="58EFAEAE" w14:textId="77777777" w:rsidTr="001C00B0">
        <w:tc>
          <w:tcPr>
            <w:tcW w:w="1368" w:type="pct"/>
            <w:tcBorders>
              <w:top w:val="nil"/>
              <w:left w:val="nil"/>
              <w:bottom w:val="nil"/>
              <w:right w:val="nil"/>
            </w:tcBorders>
          </w:tcPr>
          <w:p w14:paraId="72A11433"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Detection of red flags</w:t>
            </w:r>
          </w:p>
        </w:tc>
        <w:tc>
          <w:tcPr>
            <w:tcW w:w="3632" w:type="pct"/>
            <w:tcBorders>
              <w:top w:val="nil"/>
              <w:left w:val="nil"/>
              <w:bottom w:val="nil"/>
              <w:right w:val="nil"/>
            </w:tcBorders>
          </w:tcPr>
          <w:p w14:paraId="4BC32739"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What warning signs typically indicate fraudulent emails, websites, or online communications?</w:t>
            </w:r>
            <w:r w:rsidRPr="004F289D">
              <w:rPr>
                <w:rFonts w:eastAsia="MS Mincho" w:cs="Times New Roman"/>
                <w:kern w:val="0"/>
                <w:lang w:val="en-US"/>
                <w14:ligatures w14:val="none"/>
              </w:rPr>
              <w:br/>
              <w:t>What knowledge enables consumers to distinguish legitimate from suspicious digital interactions?</w:t>
            </w:r>
          </w:p>
          <w:p w14:paraId="2890E00A" w14:textId="77777777" w:rsidR="001C00B0" w:rsidRPr="004F289D" w:rsidRDefault="001C00B0" w:rsidP="00693250">
            <w:pPr>
              <w:spacing w:after="200" w:line="276" w:lineRule="auto"/>
              <w:rPr>
                <w:rFonts w:eastAsia="MS Mincho" w:cs="Times New Roman"/>
                <w:kern w:val="0"/>
                <w:lang w:val="en-US"/>
                <w14:ligatures w14:val="none"/>
              </w:rPr>
            </w:pPr>
          </w:p>
        </w:tc>
      </w:tr>
      <w:tr w:rsidR="004F289D" w:rsidRPr="004F289D" w14:paraId="38D42438" w14:textId="77777777" w:rsidTr="001C00B0">
        <w:tc>
          <w:tcPr>
            <w:tcW w:w="1368" w:type="pct"/>
            <w:tcBorders>
              <w:top w:val="nil"/>
              <w:left w:val="nil"/>
              <w:bottom w:val="nil"/>
              <w:right w:val="nil"/>
            </w:tcBorders>
          </w:tcPr>
          <w:p w14:paraId="5CA6F19F"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Protective tools and practices</w:t>
            </w:r>
          </w:p>
        </w:tc>
        <w:tc>
          <w:tcPr>
            <w:tcW w:w="3632" w:type="pct"/>
            <w:tcBorders>
              <w:top w:val="nil"/>
              <w:left w:val="nil"/>
              <w:bottom w:val="nil"/>
              <w:right w:val="nil"/>
            </w:tcBorders>
          </w:tcPr>
          <w:p w14:paraId="476D8369" w14:textId="0033C751"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What tools or technologies should consumers be aware of to protect themselves from scams?</w:t>
            </w:r>
            <w:r w:rsidRPr="004F289D">
              <w:rPr>
                <w:rFonts w:eastAsia="MS Mincho" w:cs="Times New Roman"/>
                <w:kern w:val="0"/>
                <w:lang w:val="en-US"/>
                <w14:ligatures w14:val="none"/>
              </w:rPr>
              <w:br/>
            </w:r>
            <w:r w:rsidR="008F20E7" w:rsidRPr="004F289D">
              <w:rPr>
                <w:rFonts w:eastAsia="MS Mincho" w:cs="Times New Roman"/>
                <w:kern w:val="0"/>
                <w:lang w:val="en-US"/>
                <w14:ligatures w14:val="none"/>
              </w:rPr>
              <w:t>How should consumers determine when and how to use such tools?</w:t>
            </w:r>
          </w:p>
          <w:p w14:paraId="0B9045D8" w14:textId="77777777" w:rsidR="001C00B0" w:rsidRPr="004F289D" w:rsidRDefault="001C00B0" w:rsidP="00693250">
            <w:pPr>
              <w:spacing w:after="200" w:line="276" w:lineRule="auto"/>
              <w:rPr>
                <w:rFonts w:eastAsia="MS Mincho" w:cs="Times New Roman"/>
                <w:kern w:val="0"/>
                <w:lang w:val="en-US"/>
                <w14:ligatures w14:val="none"/>
              </w:rPr>
            </w:pPr>
          </w:p>
        </w:tc>
      </w:tr>
      <w:tr w:rsidR="004F289D" w:rsidRPr="004F289D" w14:paraId="5782818A" w14:textId="77777777" w:rsidTr="001C00B0">
        <w:tc>
          <w:tcPr>
            <w:tcW w:w="1368" w:type="pct"/>
            <w:tcBorders>
              <w:top w:val="nil"/>
              <w:left w:val="nil"/>
              <w:bottom w:val="nil"/>
              <w:right w:val="nil"/>
            </w:tcBorders>
          </w:tcPr>
          <w:p w14:paraId="316BAF06"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Reporting fraud</w:t>
            </w:r>
          </w:p>
        </w:tc>
        <w:tc>
          <w:tcPr>
            <w:tcW w:w="3632" w:type="pct"/>
            <w:tcBorders>
              <w:top w:val="nil"/>
              <w:left w:val="nil"/>
              <w:bottom w:val="nil"/>
              <w:right w:val="nil"/>
            </w:tcBorders>
          </w:tcPr>
          <w:p w14:paraId="5F9C0340"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What knowledge do consumers need to respond appropriately once fraud is suspected or has occurred?</w:t>
            </w:r>
            <w:r w:rsidRPr="004F289D">
              <w:rPr>
                <w:rFonts w:eastAsia="MS Mincho" w:cs="Times New Roman"/>
                <w:kern w:val="0"/>
                <w:lang w:val="en-US"/>
                <w14:ligatures w14:val="none"/>
              </w:rPr>
              <w:br/>
              <w:t>Which reporting procedures or institutions should consumers be aware of?</w:t>
            </w:r>
          </w:p>
          <w:p w14:paraId="0B264DC7" w14:textId="77777777" w:rsidR="001C00B0" w:rsidRPr="004F289D" w:rsidRDefault="001C00B0" w:rsidP="00693250">
            <w:pPr>
              <w:spacing w:after="200" w:line="276" w:lineRule="auto"/>
              <w:rPr>
                <w:rFonts w:eastAsia="MS Mincho" w:cs="Times New Roman"/>
                <w:kern w:val="0"/>
                <w:lang w:val="en-US"/>
                <w14:ligatures w14:val="none"/>
              </w:rPr>
            </w:pPr>
          </w:p>
        </w:tc>
      </w:tr>
      <w:tr w:rsidR="004F289D" w:rsidRPr="004F289D" w14:paraId="3B3E312F" w14:textId="77777777" w:rsidTr="001C00B0">
        <w:tc>
          <w:tcPr>
            <w:tcW w:w="1368" w:type="pct"/>
            <w:tcBorders>
              <w:top w:val="nil"/>
              <w:left w:val="nil"/>
              <w:right w:val="nil"/>
            </w:tcBorders>
          </w:tcPr>
          <w:p w14:paraId="4109D481" w14:textId="77777777"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Scale item wording</w:t>
            </w:r>
          </w:p>
        </w:tc>
        <w:tc>
          <w:tcPr>
            <w:tcW w:w="3632" w:type="pct"/>
            <w:tcBorders>
              <w:top w:val="nil"/>
              <w:left w:val="nil"/>
              <w:right w:val="nil"/>
            </w:tcBorders>
          </w:tcPr>
          <w:p w14:paraId="312A34F4" w14:textId="2475BBB4" w:rsidR="001C00B0" w:rsidRPr="004F289D" w:rsidRDefault="001C00B0" w:rsidP="00693250">
            <w:pPr>
              <w:spacing w:after="200" w:line="276" w:lineRule="auto"/>
              <w:rPr>
                <w:rFonts w:eastAsia="MS Mincho" w:cs="Times New Roman"/>
                <w:kern w:val="0"/>
                <w:lang w:val="en-US"/>
                <w14:ligatures w14:val="none"/>
              </w:rPr>
            </w:pPr>
            <w:r w:rsidRPr="004F289D">
              <w:rPr>
                <w:rFonts w:eastAsia="MS Mincho" w:cs="Times New Roman"/>
                <w:kern w:val="0"/>
                <w:lang w:val="en-US"/>
                <w14:ligatures w14:val="none"/>
              </w:rPr>
              <w:t>How can these knowledge areas be expressed as self-assessed statements suitable for a Likert-type scale?</w:t>
            </w:r>
            <w:r w:rsidRPr="004F289D">
              <w:rPr>
                <w:rFonts w:eastAsia="MS Mincho" w:cs="Times New Roman"/>
                <w:kern w:val="0"/>
                <w:lang w:val="en-US"/>
                <w14:ligatures w14:val="none"/>
              </w:rPr>
              <w:br/>
            </w:r>
            <w:r w:rsidR="008F255E" w:rsidRPr="004F289D">
              <w:rPr>
                <w:rFonts w:eastAsia="MS Mincho" w:cs="Times New Roman"/>
                <w:kern w:val="0"/>
                <w:lang/>
                <w14:ligatures w14:val="none"/>
              </w:rPr>
              <w:t>How can items be designed to capture knowledge</w:t>
            </w:r>
            <w:r w:rsidRPr="004F289D">
              <w:rPr>
                <w:rFonts w:eastAsia="MS Mincho" w:cs="Times New Roman"/>
                <w:kern w:val="0"/>
                <w:lang w:val="en-US"/>
                <w14:ligatures w14:val="none"/>
              </w:rPr>
              <w:t xml:space="preserve"> rather than specific behaviors or experiences?</w:t>
            </w:r>
            <w:r w:rsidR="008F255E" w:rsidRPr="004F289D">
              <w:rPr>
                <w:rFonts w:eastAsia="MS Mincho" w:cs="Times New Roman"/>
                <w:kern w:val="0"/>
                <w:lang w:val="en-US"/>
                <w14:ligatures w14:val="none"/>
              </w:rPr>
              <w:t xml:space="preserve"> </w:t>
            </w:r>
          </w:p>
        </w:tc>
      </w:tr>
    </w:tbl>
    <w:p w14:paraId="3FC2C21A" w14:textId="77777777" w:rsidR="00F34CE2" w:rsidRPr="004F289D" w:rsidRDefault="00F34CE2" w:rsidP="00F34CE2">
      <w:pPr>
        <w:spacing w:line="256" w:lineRule="auto"/>
        <w:rPr>
          <w:rFonts w:eastAsia="ScalaOT" w:cs="Times New Roman"/>
          <w:lang w:val="en-US"/>
        </w:rPr>
      </w:pPr>
      <w:r w:rsidRPr="004F289D">
        <w:rPr>
          <w:rFonts w:eastAsia="Aptos" w:cs="Times New Roman"/>
        </w:rPr>
        <w:t>Source: Author’s own work</w:t>
      </w:r>
    </w:p>
    <w:p w14:paraId="16ADEF5C" w14:textId="77777777" w:rsidR="00693250" w:rsidRPr="004F289D" w:rsidRDefault="00693250" w:rsidP="00693250">
      <w:pPr>
        <w:spacing w:line="360" w:lineRule="auto"/>
        <w:rPr>
          <w:lang w:val="en-US"/>
        </w:rPr>
      </w:pPr>
    </w:p>
    <w:p w14:paraId="5A5FB266" w14:textId="7BEFE75F" w:rsidR="00977594" w:rsidRPr="004F289D" w:rsidRDefault="007C7649" w:rsidP="00AE2E11">
      <w:pPr>
        <w:rPr>
          <w:b/>
          <w:bCs/>
          <w:lang w:val="en-US"/>
        </w:rPr>
      </w:pPr>
      <w:r w:rsidRPr="004F289D">
        <w:rPr>
          <w:b/>
          <w:bCs/>
          <w:lang w:val="en-US"/>
        </w:rPr>
        <w:br w:type="page"/>
      </w:r>
      <w:r w:rsidR="00977594" w:rsidRPr="004F289D">
        <w:rPr>
          <w:b/>
          <w:bCs/>
          <w:lang w:val="en-US"/>
        </w:rPr>
        <w:lastRenderedPageBreak/>
        <w:t>Table A</w:t>
      </w:r>
      <w:r w:rsidR="00FC73A9" w:rsidRPr="004F289D">
        <w:rPr>
          <w:b/>
          <w:bCs/>
          <w:lang w:val="en-US"/>
        </w:rPr>
        <w:t>7</w:t>
      </w:r>
      <w:r w:rsidR="00977594" w:rsidRPr="004F289D">
        <w:rPr>
          <w:b/>
          <w:bCs/>
          <w:lang w:val="en-US"/>
        </w:rPr>
        <w:t>. Initial items of the CLOF scale</w:t>
      </w:r>
    </w:p>
    <w:tbl>
      <w:tblPr>
        <w:tblStyle w:val="TableGrid"/>
        <w:tblW w:w="10349" w:type="dxa"/>
        <w:tblInd w:w="-856" w:type="dxa"/>
        <w:tblBorders>
          <w:left w:val="none" w:sz="0" w:space="0" w:color="auto"/>
          <w:right w:val="none" w:sz="0" w:space="0" w:color="auto"/>
          <w:insideH w:val="none" w:sz="0" w:space="0" w:color="auto"/>
        </w:tblBorders>
        <w:tblLook w:val="04A0" w:firstRow="1" w:lastRow="0" w:firstColumn="1" w:lastColumn="0" w:noHBand="0" w:noVBand="1"/>
      </w:tblPr>
      <w:tblGrid>
        <w:gridCol w:w="10349"/>
      </w:tblGrid>
      <w:tr w:rsidR="004F289D" w:rsidRPr="004F289D" w14:paraId="10DEA193" w14:textId="77777777" w:rsidTr="001157D8">
        <w:tc>
          <w:tcPr>
            <w:tcW w:w="10349" w:type="dxa"/>
          </w:tcPr>
          <w:p w14:paraId="244BE612" w14:textId="77777777" w:rsidR="00977594" w:rsidRPr="004F289D" w:rsidRDefault="00977594" w:rsidP="00367FC3">
            <w:pPr>
              <w:rPr>
                <w:b/>
                <w:bCs/>
                <w:i/>
                <w:iCs/>
                <w:sz w:val="20"/>
                <w:szCs w:val="20"/>
                <w:lang w:val="en-US"/>
              </w:rPr>
            </w:pPr>
            <w:r w:rsidRPr="004F289D">
              <w:rPr>
                <w:b/>
                <w:bCs/>
                <w:i/>
                <w:iCs/>
                <w:sz w:val="20"/>
                <w:szCs w:val="20"/>
                <w:lang w:val="en-US"/>
              </w:rPr>
              <w:t>Knowledge about identity theft</w:t>
            </w:r>
          </w:p>
          <w:p w14:paraId="0EC6136A" w14:textId="1D2AB0CD" w:rsidR="00977594" w:rsidRPr="004F289D" w:rsidRDefault="00977594" w:rsidP="00367FC3">
            <w:pPr>
              <w:pStyle w:val="ListParagraph"/>
              <w:numPr>
                <w:ilvl w:val="0"/>
                <w:numId w:val="15"/>
              </w:numPr>
              <w:spacing w:after="0" w:line="240" w:lineRule="auto"/>
              <w:rPr>
                <w:sz w:val="20"/>
                <w:lang w:val="en-US"/>
              </w:rPr>
            </w:pPr>
            <w:r w:rsidRPr="004F289D">
              <w:rPr>
                <w:sz w:val="20"/>
                <w:lang w:val="en-US"/>
              </w:rPr>
              <w:t>I know to what extent a company can ask for personal/private information</w:t>
            </w:r>
            <w:r w:rsidR="00E91A21" w:rsidRPr="004F289D">
              <w:rPr>
                <w:sz w:val="20"/>
                <w:lang w:val="en-US"/>
              </w:rPr>
              <w:t>.</w:t>
            </w:r>
          </w:p>
          <w:p w14:paraId="5FE378F0" w14:textId="09CD5AFA" w:rsidR="00977594" w:rsidRPr="004F289D" w:rsidRDefault="00977594" w:rsidP="00367FC3">
            <w:pPr>
              <w:pStyle w:val="ListParagraph"/>
              <w:numPr>
                <w:ilvl w:val="0"/>
                <w:numId w:val="15"/>
              </w:numPr>
              <w:spacing w:after="0" w:line="240" w:lineRule="auto"/>
              <w:rPr>
                <w:sz w:val="20"/>
                <w:lang w:val="en-US"/>
              </w:rPr>
            </w:pPr>
            <w:r w:rsidRPr="004F289D">
              <w:rPr>
                <w:sz w:val="20"/>
                <w:lang w:val="en-US"/>
              </w:rPr>
              <w:t>I know in which circumstances a company can ask for private information</w:t>
            </w:r>
            <w:r w:rsidR="00E91A21" w:rsidRPr="004F289D">
              <w:rPr>
                <w:sz w:val="20"/>
                <w:lang w:val="en-US"/>
              </w:rPr>
              <w:t>.</w:t>
            </w:r>
          </w:p>
          <w:p w14:paraId="364ECB2E" w14:textId="2627ECA2" w:rsidR="00977594" w:rsidRPr="004F289D" w:rsidRDefault="00977594" w:rsidP="00367FC3">
            <w:pPr>
              <w:pStyle w:val="ListParagraph"/>
              <w:numPr>
                <w:ilvl w:val="0"/>
                <w:numId w:val="15"/>
              </w:numPr>
              <w:spacing w:after="0" w:line="240" w:lineRule="auto"/>
              <w:rPr>
                <w:sz w:val="20"/>
                <w:lang w:val="en-US"/>
              </w:rPr>
            </w:pPr>
            <w:r w:rsidRPr="004F289D">
              <w:rPr>
                <w:sz w:val="20"/>
                <w:lang w:val="en-US"/>
              </w:rPr>
              <w:t>I know which types of personal information should never be requested by a company</w:t>
            </w:r>
            <w:r w:rsidR="00E91A21" w:rsidRPr="004F289D">
              <w:rPr>
                <w:sz w:val="20"/>
                <w:lang w:val="en-US"/>
              </w:rPr>
              <w:t>.</w:t>
            </w:r>
          </w:p>
          <w:p w14:paraId="34A36834" w14:textId="64ADC516" w:rsidR="00977594" w:rsidRPr="004F289D" w:rsidRDefault="00977594" w:rsidP="00367FC3">
            <w:pPr>
              <w:pStyle w:val="ListParagraph"/>
              <w:numPr>
                <w:ilvl w:val="0"/>
                <w:numId w:val="15"/>
              </w:numPr>
              <w:spacing w:after="0" w:line="240" w:lineRule="auto"/>
              <w:rPr>
                <w:sz w:val="20"/>
                <w:lang w:val="en-US"/>
              </w:rPr>
            </w:pPr>
            <w:r w:rsidRPr="004F289D">
              <w:rPr>
                <w:sz w:val="20"/>
                <w:lang w:val="en-US"/>
              </w:rPr>
              <w:t xml:space="preserve">I know what personal information a company or organization can </w:t>
            </w:r>
            <w:r w:rsidR="008A11E3" w:rsidRPr="004F289D">
              <w:rPr>
                <w:sz w:val="20"/>
                <w:lang w:val="en-US"/>
              </w:rPr>
              <w:t>ask for</w:t>
            </w:r>
            <w:r w:rsidR="00E91A21" w:rsidRPr="004F289D">
              <w:rPr>
                <w:sz w:val="20"/>
                <w:lang w:val="en-US"/>
              </w:rPr>
              <w:t>.</w:t>
            </w:r>
          </w:p>
          <w:p w14:paraId="7BE164A2" w14:textId="77777777" w:rsidR="00977594" w:rsidRPr="004F289D" w:rsidRDefault="00977594" w:rsidP="00367FC3">
            <w:pPr>
              <w:spacing w:line="360" w:lineRule="auto"/>
              <w:jc w:val="center"/>
              <w:rPr>
                <w:b/>
                <w:bCs/>
                <w:lang w:val="en-US"/>
              </w:rPr>
            </w:pPr>
          </w:p>
        </w:tc>
      </w:tr>
      <w:tr w:rsidR="004F289D" w:rsidRPr="004F289D" w14:paraId="4AAB5FF0" w14:textId="77777777" w:rsidTr="001157D8">
        <w:tc>
          <w:tcPr>
            <w:tcW w:w="10349" w:type="dxa"/>
          </w:tcPr>
          <w:p w14:paraId="47E94EA8" w14:textId="77777777" w:rsidR="00977594" w:rsidRPr="004F289D" w:rsidRDefault="00977594" w:rsidP="00367FC3">
            <w:pPr>
              <w:rPr>
                <w:b/>
                <w:bCs/>
                <w:i/>
                <w:iCs/>
                <w:sz w:val="20"/>
                <w:szCs w:val="20"/>
                <w:lang w:val="en-US"/>
              </w:rPr>
            </w:pPr>
            <w:r w:rsidRPr="004F289D">
              <w:rPr>
                <w:b/>
                <w:bCs/>
                <w:i/>
                <w:iCs/>
                <w:sz w:val="20"/>
                <w:szCs w:val="20"/>
                <w:lang w:val="en-US"/>
              </w:rPr>
              <w:t xml:space="preserve">Verification of the legitimacy of companies </w:t>
            </w:r>
          </w:p>
          <w:p w14:paraId="5C7B5D18" w14:textId="796ECCB5" w:rsidR="00977594" w:rsidRPr="004F289D" w:rsidRDefault="00977594" w:rsidP="00367FC3">
            <w:pPr>
              <w:pStyle w:val="ListParagraph"/>
              <w:numPr>
                <w:ilvl w:val="0"/>
                <w:numId w:val="16"/>
              </w:numPr>
              <w:spacing w:after="0" w:line="240" w:lineRule="auto"/>
              <w:rPr>
                <w:sz w:val="20"/>
                <w:lang w:val="en-US"/>
              </w:rPr>
            </w:pPr>
            <w:r w:rsidRPr="004F289D">
              <w:rPr>
                <w:sz w:val="20"/>
                <w:lang w:val="en-US"/>
              </w:rPr>
              <w:t>When I buy a product that will be delivered to my house (i.e., buying online), I verify if the company exists</w:t>
            </w:r>
            <w:r w:rsidR="00E91A21" w:rsidRPr="004F289D">
              <w:rPr>
                <w:sz w:val="20"/>
                <w:lang w:val="en-US"/>
              </w:rPr>
              <w:t>.</w:t>
            </w:r>
          </w:p>
          <w:p w14:paraId="03AF484D" w14:textId="2AB0354A" w:rsidR="00977594" w:rsidRPr="004F289D" w:rsidRDefault="00977594" w:rsidP="00367FC3">
            <w:pPr>
              <w:pStyle w:val="ListParagraph"/>
              <w:numPr>
                <w:ilvl w:val="0"/>
                <w:numId w:val="16"/>
              </w:numPr>
              <w:spacing w:after="0" w:line="240" w:lineRule="auto"/>
              <w:rPr>
                <w:sz w:val="20"/>
                <w:lang w:val="en-US"/>
              </w:rPr>
            </w:pPr>
            <w:r w:rsidRPr="004F289D">
              <w:rPr>
                <w:sz w:val="20"/>
                <w:lang w:val="en-US"/>
              </w:rPr>
              <w:t>When I receive an invoice (e.g., via email), I verify whether it is genuine or not</w:t>
            </w:r>
            <w:r w:rsidR="00E91A21" w:rsidRPr="004F289D">
              <w:rPr>
                <w:sz w:val="20"/>
                <w:lang w:val="en-US"/>
              </w:rPr>
              <w:t>.</w:t>
            </w:r>
          </w:p>
          <w:p w14:paraId="767558A2" w14:textId="44F92356" w:rsidR="00977594" w:rsidRPr="004F289D" w:rsidRDefault="00977594" w:rsidP="00367FC3">
            <w:pPr>
              <w:pStyle w:val="ListParagraph"/>
              <w:numPr>
                <w:ilvl w:val="0"/>
                <w:numId w:val="16"/>
              </w:numPr>
              <w:spacing w:after="0" w:line="240" w:lineRule="auto"/>
              <w:rPr>
                <w:sz w:val="20"/>
                <w:lang w:val="en-US"/>
              </w:rPr>
            </w:pPr>
            <w:r w:rsidRPr="004F289D">
              <w:rPr>
                <w:sz w:val="20"/>
                <w:lang w:val="en-US"/>
              </w:rPr>
              <w:t>When I purchase a product online, I check information about the company to verify that it exists</w:t>
            </w:r>
            <w:r w:rsidR="00E91A21" w:rsidRPr="004F289D">
              <w:rPr>
                <w:sz w:val="20"/>
                <w:lang w:val="en-US"/>
              </w:rPr>
              <w:t>.</w:t>
            </w:r>
          </w:p>
          <w:p w14:paraId="02555774" w14:textId="24CD70B6" w:rsidR="00977594" w:rsidRPr="004F289D" w:rsidRDefault="00977594" w:rsidP="00367FC3">
            <w:pPr>
              <w:pStyle w:val="ListParagraph"/>
              <w:numPr>
                <w:ilvl w:val="0"/>
                <w:numId w:val="16"/>
              </w:numPr>
              <w:spacing w:after="0" w:line="240" w:lineRule="auto"/>
              <w:rPr>
                <w:sz w:val="20"/>
                <w:lang w:val="en-US"/>
              </w:rPr>
            </w:pPr>
            <w:r w:rsidRPr="004F289D">
              <w:rPr>
                <w:sz w:val="20"/>
                <w:lang w:val="en-US"/>
              </w:rPr>
              <w:t>Before completing an online purchase, I make sure the seller or company exists</w:t>
            </w:r>
            <w:r w:rsidR="00E91A21" w:rsidRPr="004F289D">
              <w:rPr>
                <w:sz w:val="20"/>
                <w:lang w:val="en-US"/>
              </w:rPr>
              <w:t>.</w:t>
            </w:r>
          </w:p>
          <w:p w14:paraId="0ED63491" w14:textId="77777777" w:rsidR="00977594" w:rsidRPr="004F289D" w:rsidRDefault="00977594" w:rsidP="00367FC3">
            <w:pPr>
              <w:spacing w:line="360" w:lineRule="auto"/>
              <w:jc w:val="center"/>
              <w:rPr>
                <w:b/>
                <w:bCs/>
                <w:lang w:val="en-US"/>
              </w:rPr>
            </w:pPr>
          </w:p>
        </w:tc>
      </w:tr>
      <w:tr w:rsidR="004F289D" w:rsidRPr="004F289D" w14:paraId="627ADA79" w14:textId="77777777" w:rsidTr="001157D8">
        <w:tc>
          <w:tcPr>
            <w:tcW w:w="10349" w:type="dxa"/>
          </w:tcPr>
          <w:p w14:paraId="2B8C5C0C" w14:textId="0C3E0932" w:rsidR="00977594" w:rsidRPr="004F289D" w:rsidRDefault="00977594" w:rsidP="00367FC3">
            <w:pPr>
              <w:rPr>
                <w:b/>
                <w:bCs/>
                <w:i/>
                <w:iCs/>
                <w:sz w:val="20"/>
                <w:szCs w:val="20"/>
                <w:lang w:val="en-US"/>
              </w:rPr>
            </w:pPr>
            <w:r w:rsidRPr="004F289D">
              <w:rPr>
                <w:b/>
                <w:bCs/>
                <w:i/>
                <w:iCs/>
                <w:sz w:val="20"/>
                <w:szCs w:val="20"/>
                <w:lang w:val="en-US"/>
              </w:rPr>
              <w:t xml:space="preserve">Knowledge </w:t>
            </w:r>
            <w:r w:rsidR="001E6D84" w:rsidRPr="004F289D">
              <w:rPr>
                <w:b/>
                <w:bCs/>
                <w:i/>
                <w:iCs/>
                <w:sz w:val="20"/>
                <w:szCs w:val="20"/>
                <w:lang w:val="en-US"/>
              </w:rPr>
              <w:t>of</w:t>
            </w:r>
            <w:r w:rsidRPr="004F289D">
              <w:rPr>
                <w:b/>
                <w:bCs/>
                <w:i/>
                <w:iCs/>
                <w:sz w:val="20"/>
                <w:szCs w:val="20"/>
                <w:lang w:val="en-US"/>
              </w:rPr>
              <w:t xml:space="preserve"> how to report fraud</w:t>
            </w:r>
          </w:p>
          <w:p w14:paraId="42B3F461" w14:textId="7869C11E" w:rsidR="00977594" w:rsidRPr="004F289D" w:rsidRDefault="00977594" w:rsidP="00367FC3">
            <w:pPr>
              <w:pStyle w:val="ListParagraph"/>
              <w:numPr>
                <w:ilvl w:val="0"/>
                <w:numId w:val="17"/>
              </w:numPr>
              <w:spacing w:after="0" w:line="240" w:lineRule="auto"/>
              <w:rPr>
                <w:sz w:val="20"/>
                <w:lang w:val="en-US"/>
              </w:rPr>
            </w:pPr>
            <w:r w:rsidRPr="004F289D">
              <w:rPr>
                <w:sz w:val="20"/>
                <w:lang w:val="en-US"/>
              </w:rPr>
              <w:t>I know to whom I should report a fraudulent action (e.g., having paid for a product to a company that does not exist)</w:t>
            </w:r>
            <w:r w:rsidR="00E91A21" w:rsidRPr="004F289D">
              <w:rPr>
                <w:sz w:val="20"/>
                <w:lang w:val="en-US"/>
              </w:rPr>
              <w:t>.</w:t>
            </w:r>
          </w:p>
          <w:p w14:paraId="0CB2F3AD" w14:textId="0C229549" w:rsidR="00977594" w:rsidRPr="004F289D" w:rsidRDefault="00977594" w:rsidP="00367FC3">
            <w:pPr>
              <w:pStyle w:val="ListParagraph"/>
              <w:numPr>
                <w:ilvl w:val="0"/>
                <w:numId w:val="17"/>
              </w:numPr>
              <w:spacing w:after="0" w:line="240" w:lineRule="auto"/>
              <w:rPr>
                <w:sz w:val="20"/>
                <w:lang w:val="en-US"/>
              </w:rPr>
            </w:pPr>
            <w:r w:rsidRPr="004F289D">
              <w:rPr>
                <w:sz w:val="20"/>
                <w:lang w:val="en-US"/>
              </w:rPr>
              <w:t>I know how to follow the process of fraud once it has been reported</w:t>
            </w:r>
            <w:r w:rsidR="00E91A21" w:rsidRPr="004F289D">
              <w:rPr>
                <w:sz w:val="20"/>
                <w:lang w:val="en-US"/>
              </w:rPr>
              <w:t>.</w:t>
            </w:r>
          </w:p>
          <w:p w14:paraId="5B8DA6ED" w14:textId="25C5CEE3" w:rsidR="00977594" w:rsidRPr="004F289D" w:rsidRDefault="00977594" w:rsidP="00367FC3">
            <w:pPr>
              <w:pStyle w:val="ListParagraph"/>
              <w:numPr>
                <w:ilvl w:val="0"/>
                <w:numId w:val="17"/>
              </w:numPr>
              <w:spacing w:after="0" w:line="240" w:lineRule="auto"/>
              <w:rPr>
                <w:sz w:val="20"/>
                <w:lang w:val="en-US"/>
              </w:rPr>
            </w:pPr>
            <w:r w:rsidRPr="004F289D">
              <w:rPr>
                <w:sz w:val="20"/>
                <w:lang w:val="en-US"/>
              </w:rPr>
              <w:t>I know what steps to take after realizing that I have been a victim of online fraud</w:t>
            </w:r>
            <w:r w:rsidR="00E91A21" w:rsidRPr="004F289D">
              <w:rPr>
                <w:sz w:val="20"/>
                <w:lang w:val="en-US"/>
              </w:rPr>
              <w:t>.</w:t>
            </w:r>
          </w:p>
          <w:p w14:paraId="483ADD6F" w14:textId="309EAB3D" w:rsidR="00977594" w:rsidRPr="004F289D" w:rsidRDefault="00977594" w:rsidP="00367FC3">
            <w:pPr>
              <w:pStyle w:val="ListParagraph"/>
              <w:numPr>
                <w:ilvl w:val="0"/>
                <w:numId w:val="17"/>
              </w:numPr>
              <w:spacing w:after="0" w:line="240" w:lineRule="auto"/>
              <w:rPr>
                <w:sz w:val="20"/>
                <w:lang w:val="en-US"/>
              </w:rPr>
            </w:pPr>
            <w:r w:rsidRPr="004F289D">
              <w:rPr>
                <w:sz w:val="20"/>
                <w:lang w:val="en-US"/>
              </w:rPr>
              <w:t>I know about the possible outcomes of reporting fraud to authorities</w:t>
            </w:r>
            <w:r w:rsidR="00E91A21" w:rsidRPr="004F289D">
              <w:rPr>
                <w:sz w:val="20"/>
                <w:lang w:val="en-US"/>
              </w:rPr>
              <w:t>.</w:t>
            </w:r>
          </w:p>
          <w:p w14:paraId="154DBDE6" w14:textId="77777777" w:rsidR="00977594" w:rsidRPr="004F289D" w:rsidRDefault="00977594" w:rsidP="00367FC3">
            <w:pPr>
              <w:spacing w:line="360" w:lineRule="auto"/>
              <w:jc w:val="center"/>
              <w:rPr>
                <w:b/>
                <w:bCs/>
                <w:lang w:val="en-US"/>
              </w:rPr>
            </w:pPr>
          </w:p>
        </w:tc>
      </w:tr>
      <w:tr w:rsidR="004F289D" w:rsidRPr="004F289D" w14:paraId="773BAA41" w14:textId="77777777" w:rsidTr="001157D8">
        <w:tc>
          <w:tcPr>
            <w:tcW w:w="10349" w:type="dxa"/>
          </w:tcPr>
          <w:p w14:paraId="1E1C3D75" w14:textId="7952E94C" w:rsidR="00977594" w:rsidRPr="004F289D" w:rsidRDefault="00977594" w:rsidP="00367FC3">
            <w:pPr>
              <w:rPr>
                <w:b/>
                <w:bCs/>
                <w:i/>
                <w:iCs/>
                <w:sz w:val="20"/>
                <w:szCs w:val="20"/>
                <w:lang w:val="en-US"/>
              </w:rPr>
            </w:pPr>
            <w:r w:rsidRPr="004F289D">
              <w:rPr>
                <w:b/>
                <w:bCs/>
                <w:i/>
                <w:iCs/>
                <w:sz w:val="20"/>
                <w:szCs w:val="20"/>
                <w:lang w:val="en-US"/>
              </w:rPr>
              <w:t xml:space="preserve">Checking </w:t>
            </w:r>
            <w:r w:rsidR="00F96F7C" w:rsidRPr="004F289D">
              <w:rPr>
                <w:b/>
                <w:bCs/>
                <w:i/>
                <w:iCs/>
                <w:sz w:val="20"/>
                <w:szCs w:val="20"/>
                <w:lang w:val="en-US"/>
              </w:rPr>
              <w:t>red flags</w:t>
            </w:r>
            <w:r w:rsidRPr="004F289D">
              <w:rPr>
                <w:b/>
                <w:bCs/>
                <w:i/>
                <w:iCs/>
                <w:sz w:val="20"/>
                <w:szCs w:val="20"/>
                <w:lang w:val="en-US"/>
              </w:rPr>
              <w:t xml:space="preserve"> that prevent </w:t>
            </w:r>
            <w:r w:rsidR="00F27057" w:rsidRPr="004F289D">
              <w:rPr>
                <w:b/>
                <w:bCs/>
                <w:i/>
                <w:iCs/>
                <w:sz w:val="20"/>
                <w:szCs w:val="20"/>
                <w:lang w:val="en-US"/>
              </w:rPr>
              <w:t>being a</w:t>
            </w:r>
            <w:r w:rsidRPr="004F289D">
              <w:rPr>
                <w:b/>
                <w:bCs/>
                <w:i/>
                <w:iCs/>
                <w:sz w:val="20"/>
                <w:szCs w:val="20"/>
                <w:lang w:val="en-US"/>
              </w:rPr>
              <w:t xml:space="preserve"> victim of online scams </w:t>
            </w:r>
          </w:p>
          <w:p w14:paraId="3C6E81C1" w14:textId="393BA108" w:rsidR="00977594" w:rsidRPr="004F289D" w:rsidRDefault="00977594" w:rsidP="00367FC3">
            <w:pPr>
              <w:pStyle w:val="ListParagraph"/>
              <w:numPr>
                <w:ilvl w:val="0"/>
                <w:numId w:val="18"/>
              </w:numPr>
              <w:spacing w:after="0" w:line="240" w:lineRule="auto"/>
              <w:rPr>
                <w:sz w:val="20"/>
                <w:lang w:val="en-US"/>
              </w:rPr>
            </w:pPr>
            <w:r w:rsidRPr="004F289D">
              <w:rPr>
                <w:sz w:val="20"/>
                <w:lang w:val="en-US"/>
              </w:rPr>
              <w:t xml:space="preserve">When I receive an email from a company or organization, I always check if the email address looks </w:t>
            </w:r>
            <w:r w:rsidR="00B70300" w:rsidRPr="004F289D">
              <w:rPr>
                <w:sz w:val="20"/>
                <w:lang w:val="en-US"/>
              </w:rPr>
              <w:t xml:space="preserve">corporate </w:t>
            </w:r>
            <w:r w:rsidRPr="004F289D">
              <w:rPr>
                <w:sz w:val="20"/>
                <w:lang w:val="en-US"/>
              </w:rPr>
              <w:t>and legitimate</w:t>
            </w:r>
            <w:r w:rsidR="00E91A21" w:rsidRPr="004F289D">
              <w:rPr>
                <w:sz w:val="20"/>
                <w:lang w:val="en-US"/>
              </w:rPr>
              <w:t>.</w:t>
            </w:r>
          </w:p>
          <w:p w14:paraId="325C4FD7" w14:textId="1A77A759" w:rsidR="00977594" w:rsidRPr="004F289D" w:rsidRDefault="00977594" w:rsidP="00367FC3">
            <w:pPr>
              <w:pStyle w:val="ListParagraph"/>
              <w:numPr>
                <w:ilvl w:val="0"/>
                <w:numId w:val="18"/>
              </w:numPr>
              <w:spacing w:after="0" w:line="240" w:lineRule="auto"/>
              <w:rPr>
                <w:sz w:val="20"/>
                <w:lang w:val="en-US"/>
              </w:rPr>
            </w:pPr>
            <w:r w:rsidRPr="004F289D">
              <w:rPr>
                <w:sz w:val="20"/>
                <w:lang w:val="en-US"/>
              </w:rPr>
              <w:t>I am able to notice warning signs (e.g., unknown email addresses, suspicious links, etc.) that indicate an email or message may be fraudulent</w:t>
            </w:r>
            <w:r w:rsidR="00E91A21" w:rsidRPr="004F289D">
              <w:rPr>
                <w:sz w:val="20"/>
                <w:lang w:val="en-US"/>
              </w:rPr>
              <w:t>.</w:t>
            </w:r>
          </w:p>
          <w:p w14:paraId="76749131" w14:textId="7B5BC896" w:rsidR="00977594" w:rsidRPr="004F289D" w:rsidRDefault="00977594" w:rsidP="00367FC3">
            <w:pPr>
              <w:pStyle w:val="ListParagraph"/>
              <w:numPr>
                <w:ilvl w:val="0"/>
                <w:numId w:val="18"/>
              </w:numPr>
              <w:spacing w:after="0" w:line="240" w:lineRule="auto"/>
              <w:rPr>
                <w:sz w:val="20"/>
                <w:lang w:val="en-US"/>
              </w:rPr>
            </w:pPr>
            <w:r w:rsidRPr="004F289D">
              <w:rPr>
                <w:sz w:val="20"/>
                <w:lang w:val="en-US"/>
              </w:rPr>
              <w:t>When I receive an email from a company or organization, I always check if there are suspicious links</w:t>
            </w:r>
            <w:r w:rsidR="00E91A21" w:rsidRPr="004F289D">
              <w:rPr>
                <w:sz w:val="20"/>
                <w:lang w:val="en-US"/>
              </w:rPr>
              <w:t>.</w:t>
            </w:r>
          </w:p>
          <w:p w14:paraId="70F2FAF6" w14:textId="0B2B18BC" w:rsidR="00977594" w:rsidRPr="004F289D" w:rsidRDefault="00977594" w:rsidP="00367FC3">
            <w:pPr>
              <w:pStyle w:val="ListParagraph"/>
              <w:numPr>
                <w:ilvl w:val="0"/>
                <w:numId w:val="18"/>
              </w:numPr>
              <w:spacing w:after="0" w:line="240" w:lineRule="auto"/>
              <w:rPr>
                <w:sz w:val="20"/>
                <w:lang w:val="en-US"/>
              </w:rPr>
            </w:pPr>
            <w:r w:rsidRPr="004F289D">
              <w:rPr>
                <w:sz w:val="20"/>
                <w:lang w:val="en-US"/>
              </w:rPr>
              <w:t>When I receive an email from a company or organization, I check the quality of the message (e.g., poorly written, gramma</w:t>
            </w:r>
            <w:r w:rsidR="00AB057F" w:rsidRPr="004F289D">
              <w:rPr>
                <w:sz w:val="20"/>
                <w:lang w:val="en-US"/>
              </w:rPr>
              <w:t>tical</w:t>
            </w:r>
            <w:r w:rsidRPr="004F289D">
              <w:rPr>
                <w:sz w:val="20"/>
                <w:lang w:val="en-US"/>
              </w:rPr>
              <w:t xml:space="preserve"> mistakes, etc.)</w:t>
            </w:r>
            <w:r w:rsidR="00E91A21" w:rsidRPr="004F289D">
              <w:rPr>
                <w:sz w:val="20"/>
                <w:lang w:val="en-US"/>
              </w:rPr>
              <w:t>.</w:t>
            </w:r>
          </w:p>
          <w:p w14:paraId="34929A71" w14:textId="77777777" w:rsidR="00977594" w:rsidRPr="004F289D" w:rsidRDefault="00977594" w:rsidP="00367FC3">
            <w:pPr>
              <w:spacing w:line="360" w:lineRule="auto"/>
              <w:jc w:val="center"/>
              <w:rPr>
                <w:b/>
                <w:bCs/>
                <w:lang w:val="en-US"/>
              </w:rPr>
            </w:pPr>
          </w:p>
        </w:tc>
      </w:tr>
      <w:tr w:rsidR="004F289D" w:rsidRPr="004F289D" w14:paraId="64F6E638" w14:textId="77777777" w:rsidTr="001157D8">
        <w:tc>
          <w:tcPr>
            <w:tcW w:w="10349" w:type="dxa"/>
          </w:tcPr>
          <w:p w14:paraId="46FF6B36" w14:textId="55DFAF5F" w:rsidR="00977594" w:rsidRPr="004F289D" w:rsidRDefault="00977594" w:rsidP="00367FC3">
            <w:pPr>
              <w:rPr>
                <w:b/>
                <w:bCs/>
                <w:i/>
                <w:iCs/>
                <w:sz w:val="20"/>
                <w:szCs w:val="20"/>
                <w:lang w:val="en-US"/>
              </w:rPr>
            </w:pPr>
            <w:r w:rsidRPr="004F289D">
              <w:rPr>
                <w:b/>
                <w:bCs/>
                <w:i/>
                <w:iCs/>
                <w:sz w:val="20"/>
                <w:szCs w:val="20"/>
                <w:lang w:val="en-US"/>
              </w:rPr>
              <w:t>Knowledge and use of tools to protect from scam</w:t>
            </w:r>
            <w:r w:rsidR="00606037" w:rsidRPr="004F289D">
              <w:rPr>
                <w:b/>
                <w:bCs/>
                <w:i/>
                <w:iCs/>
                <w:sz w:val="20"/>
                <w:szCs w:val="20"/>
                <w:lang w:val="en-US"/>
              </w:rPr>
              <w:t>s</w:t>
            </w:r>
          </w:p>
          <w:p w14:paraId="4FC0CA29" w14:textId="57BD21E4" w:rsidR="00977594" w:rsidRPr="004F289D" w:rsidRDefault="00977594" w:rsidP="00367FC3">
            <w:pPr>
              <w:pStyle w:val="ListParagraph"/>
              <w:numPr>
                <w:ilvl w:val="0"/>
                <w:numId w:val="19"/>
              </w:numPr>
              <w:spacing w:after="0" w:line="240" w:lineRule="auto"/>
              <w:rPr>
                <w:sz w:val="20"/>
                <w:lang w:val="en-US"/>
              </w:rPr>
            </w:pPr>
            <w:r w:rsidRPr="004F289D">
              <w:rPr>
                <w:sz w:val="20"/>
                <w:lang w:val="en-US"/>
              </w:rPr>
              <w:t>I use technology to protect myself from scams</w:t>
            </w:r>
            <w:r w:rsidR="00E91A21" w:rsidRPr="004F289D">
              <w:rPr>
                <w:sz w:val="20"/>
                <w:lang w:val="en-US"/>
              </w:rPr>
              <w:t>.</w:t>
            </w:r>
          </w:p>
          <w:p w14:paraId="3218750A" w14:textId="0DC9FC5A" w:rsidR="00977594" w:rsidRPr="004F289D" w:rsidRDefault="00977594" w:rsidP="00367FC3">
            <w:pPr>
              <w:pStyle w:val="ListParagraph"/>
              <w:numPr>
                <w:ilvl w:val="0"/>
                <w:numId w:val="19"/>
              </w:numPr>
              <w:spacing w:after="0" w:line="240" w:lineRule="auto"/>
              <w:rPr>
                <w:sz w:val="20"/>
                <w:lang w:val="en-US"/>
              </w:rPr>
            </w:pPr>
            <w:r w:rsidRPr="004F289D">
              <w:rPr>
                <w:sz w:val="20"/>
                <w:lang w:val="en-US"/>
              </w:rPr>
              <w:t>I know and use anti-spam software</w:t>
            </w:r>
            <w:r w:rsidR="00E91A21" w:rsidRPr="004F289D">
              <w:rPr>
                <w:sz w:val="20"/>
                <w:lang w:val="en-US"/>
              </w:rPr>
              <w:t>.</w:t>
            </w:r>
          </w:p>
          <w:p w14:paraId="6F4EDAEB" w14:textId="18E2B7FA" w:rsidR="00977594" w:rsidRPr="004F289D" w:rsidRDefault="00977594" w:rsidP="00367FC3">
            <w:pPr>
              <w:pStyle w:val="ListParagraph"/>
              <w:numPr>
                <w:ilvl w:val="0"/>
                <w:numId w:val="19"/>
              </w:numPr>
              <w:spacing w:after="0" w:line="240" w:lineRule="auto"/>
              <w:rPr>
                <w:sz w:val="20"/>
                <w:lang w:val="en-US"/>
              </w:rPr>
            </w:pPr>
            <w:r w:rsidRPr="004F289D">
              <w:rPr>
                <w:sz w:val="20"/>
                <w:lang w:val="en-US"/>
              </w:rPr>
              <w:t>I know about what technology can be used to identify potential fraud</w:t>
            </w:r>
            <w:r w:rsidR="00E91A21" w:rsidRPr="004F289D">
              <w:rPr>
                <w:sz w:val="20"/>
                <w:lang w:val="en-US"/>
              </w:rPr>
              <w:t>.</w:t>
            </w:r>
          </w:p>
          <w:p w14:paraId="6A025929" w14:textId="4CB8BCE6" w:rsidR="00977594" w:rsidRPr="004F289D" w:rsidRDefault="00977594" w:rsidP="00367FC3">
            <w:pPr>
              <w:pStyle w:val="ListParagraph"/>
              <w:numPr>
                <w:ilvl w:val="0"/>
                <w:numId w:val="19"/>
              </w:numPr>
              <w:spacing w:after="0" w:line="240" w:lineRule="auto"/>
              <w:rPr>
                <w:sz w:val="20"/>
                <w:lang w:val="en-US"/>
              </w:rPr>
            </w:pPr>
            <w:r w:rsidRPr="004F289D">
              <w:rPr>
                <w:sz w:val="20"/>
                <w:lang w:val="en-US"/>
              </w:rPr>
              <w:t>I use digital tools to protect myself from scams</w:t>
            </w:r>
            <w:r w:rsidR="00E91A21" w:rsidRPr="004F289D">
              <w:rPr>
                <w:sz w:val="20"/>
                <w:lang w:val="en-US"/>
              </w:rPr>
              <w:t>.</w:t>
            </w:r>
          </w:p>
          <w:p w14:paraId="3F3164DA" w14:textId="77777777" w:rsidR="00977594" w:rsidRPr="004F289D" w:rsidRDefault="00977594" w:rsidP="00367FC3">
            <w:pPr>
              <w:spacing w:line="360" w:lineRule="auto"/>
              <w:jc w:val="center"/>
              <w:rPr>
                <w:b/>
                <w:bCs/>
                <w:lang w:val="en-US"/>
              </w:rPr>
            </w:pPr>
          </w:p>
        </w:tc>
      </w:tr>
      <w:tr w:rsidR="004F289D" w:rsidRPr="004F289D" w14:paraId="2782F597" w14:textId="77777777" w:rsidTr="001157D8">
        <w:tc>
          <w:tcPr>
            <w:tcW w:w="10349" w:type="dxa"/>
          </w:tcPr>
          <w:p w14:paraId="6EEAE92D" w14:textId="77777777" w:rsidR="00977594" w:rsidRPr="004F289D" w:rsidRDefault="00977594" w:rsidP="00367FC3">
            <w:pPr>
              <w:rPr>
                <w:b/>
                <w:bCs/>
                <w:i/>
                <w:iCs/>
                <w:sz w:val="20"/>
                <w:szCs w:val="20"/>
                <w:lang w:val="en-US"/>
              </w:rPr>
            </w:pPr>
            <w:r w:rsidRPr="004F289D">
              <w:rPr>
                <w:b/>
                <w:bCs/>
                <w:i/>
                <w:iCs/>
                <w:sz w:val="20"/>
                <w:szCs w:val="20"/>
                <w:lang w:val="en-US"/>
              </w:rPr>
              <w:t>Reading terms and conditions as a protection practice</w:t>
            </w:r>
          </w:p>
          <w:p w14:paraId="450066B2" w14:textId="66339D8B" w:rsidR="00977594" w:rsidRPr="004F289D" w:rsidRDefault="00977594" w:rsidP="00367FC3">
            <w:pPr>
              <w:pStyle w:val="ListParagraph"/>
              <w:numPr>
                <w:ilvl w:val="0"/>
                <w:numId w:val="20"/>
              </w:numPr>
              <w:spacing w:after="0" w:line="240" w:lineRule="auto"/>
              <w:rPr>
                <w:sz w:val="20"/>
                <w:lang w:val="en-US"/>
              </w:rPr>
            </w:pPr>
            <w:r w:rsidRPr="004F289D">
              <w:rPr>
                <w:sz w:val="20"/>
                <w:lang w:val="en-US"/>
              </w:rPr>
              <w:t>When I make a purchase, I read and can understand all the information, including the “small print”</w:t>
            </w:r>
            <w:r w:rsidR="00E91A21" w:rsidRPr="004F289D">
              <w:rPr>
                <w:sz w:val="20"/>
                <w:lang w:val="en-US"/>
              </w:rPr>
              <w:t>.</w:t>
            </w:r>
          </w:p>
          <w:p w14:paraId="3B70A48A" w14:textId="652FBD1A" w:rsidR="00977594" w:rsidRPr="004F289D" w:rsidRDefault="00977594" w:rsidP="00367FC3">
            <w:pPr>
              <w:pStyle w:val="ListParagraph"/>
              <w:numPr>
                <w:ilvl w:val="0"/>
                <w:numId w:val="20"/>
              </w:numPr>
              <w:spacing w:after="0" w:line="240" w:lineRule="auto"/>
              <w:rPr>
                <w:sz w:val="20"/>
                <w:lang w:val="en-US"/>
              </w:rPr>
            </w:pPr>
            <w:r w:rsidRPr="004F289D">
              <w:rPr>
                <w:sz w:val="20"/>
                <w:lang w:val="en-US"/>
              </w:rPr>
              <w:t>I pay attention to all the terms and conditions when I make a purchase online</w:t>
            </w:r>
            <w:r w:rsidR="00E91A21" w:rsidRPr="004F289D">
              <w:rPr>
                <w:sz w:val="20"/>
                <w:lang w:val="en-US"/>
              </w:rPr>
              <w:t>.</w:t>
            </w:r>
          </w:p>
          <w:p w14:paraId="6B650EDB" w14:textId="737685F4" w:rsidR="00977594" w:rsidRPr="004F289D" w:rsidRDefault="00970A3B" w:rsidP="00367FC3">
            <w:pPr>
              <w:pStyle w:val="ListParagraph"/>
              <w:numPr>
                <w:ilvl w:val="0"/>
                <w:numId w:val="20"/>
              </w:numPr>
              <w:spacing w:after="0" w:line="240" w:lineRule="auto"/>
              <w:rPr>
                <w:sz w:val="20"/>
                <w:lang w:val="en-US"/>
              </w:rPr>
            </w:pPr>
            <w:r w:rsidRPr="004F289D">
              <w:rPr>
                <w:sz w:val="20"/>
                <w:lang/>
              </w:rPr>
              <w:t>I read and understand the terms and conditions of the products</w:t>
            </w:r>
            <w:r w:rsidR="00977594" w:rsidRPr="004F289D">
              <w:rPr>
                <w:sz w:val="20"/>
                <w:lang w:val="en-US"/>
              </w:rPr>
              <w:t xml:space="preserve"> and services I purchase online</w:t>
            </w:r>
            <w:r w:rsidR="00E91A21" w:rsidRPr="004F289D">
              <w:rPr>
                <w:sz w:val="20"/>
                <w:lang w:val="en-US"/>
              </w:rPr>
              <w:t>.</w:t>
            </w:r>
          </w:p>
          <w:p w14:paraId="4E80494A" w14:textId="24FDD6FB" w:rsidR="00977594" w:rsidRPr="004F289D" w:rsidRDefault="00977594" w:rsidP="00367FC3">
            <w:pPr>
              <w:pStyle w:val="ListParagraph"/>
              <w:numPr>
                <w:ilvl w:val="0"/>
                <w:numId w:val="20"/>
              </w:numPr>
              <w:spacing w:after="0" w:line="240" w:lineRule="auto"/>
              <w:rPr>
                <w:sz w:val="20"/>
                <w:lang w:val="en-US"/>
              </w:rPr>
            </w:pPr>
            <w:r w:rsidRPr="004F289D">
              <w:rPr>
                <w:sz w:val="20"/>
                <w:lang w:val="en-US"/>
              </w:rPr>
              <w:t>I carefully review the terms and conditions before agreeing to an online purchase</w:t>
            </w:r>
            <w:r w:rsidR="00E91A21" w:rsidRPr="004F289D">
              <w:rPr>
                <w:sz w:val="20"/>
                <w:lang w:val="en-US"/>
              </w:rPr>
              <w:t>.</w:t>
            </w:r>
          </w:p>
          <w:p w14:paraId="1EF7E7C3" w14:textId="77777777" w:rsidR="00977594" w:rsidRPr="004F289D" w:rsidRDefault="00977594" w:rsidP="00367FC3">
            <w:pPr>
              <w:spacing w:line="360" w:lineRule="auto"/>
              <w:jc w:val="center"/>
              <w:rPr>
                <w:b/>
                <w:bCs/>
                <w:lang w:val="en-US"/>
              </w:rPr>
            </w:pPr>
          </w:p>
        </w:tc>
      </w:tr>
    </w:tbl>
    <w:p w14:paraId="3A3CC7FF" w14:textId="77777777" w:rsidR="00F34CE2" w:rsidRPr="004F289D" w:rsidRDefault="00F34CE2" w:rsidP="00F34CE2">
      <w:pPr>
        <w:spacing w:line="256" w:lineRule="auto"/>
        <w:rPr>
          <w:rFonts w:eastAsia="ScalaOT" w:cs="Times New Roman"/>
          <w:lang w:val="en-US"/>
        </w:rPr>
      </w:pPr>
      <w:r w:rsidRPr="004F289D">
        <w:rPr>
          <w:rFonts w:eastAsia="Aptos" w:cs="Times New Roman"/>
        </w:rPr>
        <w:t>Source: Author’s own work</w:t>
      </w:r>
    </w:p>
    <w:p w14:paraId="66145BD9" w14:textId="77777777" w:rsidR="00977594" w:rsidRPr="004F289D" w:rsidRDefault="00977594" w:rsidP="00977594">
      <w:pPr>
        <w:spacing w:line="360" w:lineRule="auto"/>
        <w:jc w:val="center"/>
        <w:rPr>
          <w:b/>
          <w:bCs/>
          <w:lang w:val="en-US"/>
        </w:rPr>
      </w:pPr>
    </w:p>
    <w:p w14:paraId="71D38344" w14:textId="3614844D" w:rsidR="00977594" w:rsidRPr="004F289D" w:rsidRDefault="00977594">
      <w:pPr>
        <w:rPr>
          <w:b/>
          <w:bCs/>
          <w:lang w:val="en-US"/>
        </w:rPr>
      </w:pPr>
    </w:p>
    <w:p w14:paraId="2F915FAF" w14:textId="46D372AC" w:rsidR="009A75C7" w:rsidRPr="004F289D" w:rsidRDefault="009A75C7" w:rsidP="009A75C7">
      <w:pPr>
        <w:spacing w:line="360" w:lineRule="auto"/>
        <w:jc w:val="center"/>
        <w:rPr>
          <w:b/>
          <w:bCs/>
          <w:lang w:val="en-US"/>
        </w:rPr>
      </w:pPr>
      <w:r w:rsidRPr="004F289D">
        <w:rPr>
          <w:b/>
          <w:bCs/>
          <w:lang w:val="en-US"/>
        </w:rPr>
        <w:t>Table A</w:t>
      </w:r>
      <w:r w:rsidR="00FC73A9" w:rsidRPr="004F289D">
        <w:rPr>
          <w:b/>
          <w:bCs/>
          <w:lang w:val="en-US"/>
        </w:rPr>
        <w:t>8</w:t>
      </w:r>
      <w:r w:rsidRPr="004F289D">
        <w:rPr>
          <w:b/>
          <w:bCs/>
          <w:lang w:val="en-US"/>
        </w:rPr>
        <w:t xml:space="preserve">. </w:t>
      </w:r>
      <w:r w:rsidR="00EE4604" w:rsidRPr="004F289D">
        <w:rPr>
          <w:b/>
          <w:bCs/>
          <w:lang w:val="en-US"/>
        </w:rPr>
        <w:t>Final i</w:t>
      </w:r>
      <w:r w:rsidRPr="004F289D">
        <w:rPr>
          <w:b/>
          <w:bCs/>
          <w:lang w:val="en-US"/>
        </w:rPr>
        <w:t xml:space="preserve">tems of the </w:t>
      </w:r>
      <w:r w:rsidR="001F3D08" w:rsidRPr="004F289D">
        <w:rPr>
          <w:b/>
          <w:bCs/>
          <w:lang w:val="en-US"/>
        </w:rPr>
        <w:t>CLOF</w:t>
      </w:r>
      <w:r w:rsidRPr="004F289D">
        <w:rPr>
          <w:b/>
          <w:bCs/>
          <w:lang w:val="en-US"/>
        </w:rPr>
        <w:t xml:space="preserve"> scale</w:t>
      </w:r>
    </w:p>
    <w:tbl>
      <w:tblPr>
        <w:tblStyle w:val="TableGrid"/>
        <w:tblW w:w="10349" w:type="dxa"/>
        <w:tblInd w:w="-856" w:type="dxa"/>
        <w:tblBorders>
          <w:left w:val="none" w:sz="0" w:space="0" w:color="auto"/>
          <w:right w:val="none" w:sz="0" w:space="0" w:color="auto"/>
          <w:insideH w:val="none" w:sz="0" w:space="0" w:color="auto"/>
        </w:tblBorders>
        <w:tblLook w:val="04A0" w:firstRow="1" w:lastRow="0" w:firstColumn="1" w:lastColumn="0" w:noHBand="0" w:noVBand="1"/>
      </w:tblPr>
      <w:tblGrid>
        <w:gridCol w:w="10349"/>
      </w:tblGrid>
      <w:tr w:rsidR="004F289D" w:rsidRPr="004F289D" w14:paraId="4811233A" w14:textId="77777777" w:rsidTr="001157D8">
        <w:tc>
          <w:tcPr>
            <w:tcW w:w="10349" w:type="dxa"/>
          </w:tcPr>
          <w:p w14:paraId="2F3A3EB0" w14:textId="77777777" w:rsidR="009A75C7" w:rsidRPr="004F289D" w:rsidRDefault="009A75C7" w:rsidP="009A75C7">
            <w:pPr>
              <w:rPr>
                <w:b/>
                <w:bCs/>
                <w:i/>
                <w:iCs/>
                <w:sz w:val="20"/>
                <w:szCs w:val="20"/>
                <w:lang w:val="en-US"/>
              </w:rPr>
            </w:pPr>
            <w:r w:rsidRPr="004F289D">
              <w:rPr>
                <w:b/>
                <w:bCs/>
                <w:i/>
                <w:iCs/>
                <w:sz w:val="20"/>
                <w:szCs w:val="20"/>
                <w:lang w:val="en-US"/>
              </w:rPr>
              <w:t>Knowledge about identity theft</w:t>
            </w:r>
          </w:p>
          <w:p w14:paraId="6883BD3A" w14:textId="392D200B" w:rsidR="009A75C7" w:rsidRPr="004F289D" w:rsidRDefault="009A75C7" w:rsidP="009A75C7">
            <w:pPr>
              <w:pStyle w:val="ListParagraph"/>
              <w:numPr>
                <w:ilvl w:val="0"/>
                <w:numId w:val="15"/>
              </w:numPr>
              <w:spacing w:after="0" w:line="240" w:lineRule="auto"/>
              <w:rPr>
                <w:sz w:val="20"/>
                <w:lang w:val="en-US"/>
              </w:rPr>
            </w:pPr>
            <w:r w:rsidRPr="004F289D">
              <w:rPr>
                <w:sz w:val="20"/>
                <w:lang w:val="en-US"/>
              </w:rPr>
              <w:t>I know to what extent a company can ask for personal/private information</w:t>
            </w:r>
            <w:r w:rsidR="00E91A21" w:rsidRPr="004F289D">
              <w:rPr>
                <w:sz w:val="20"/>
                <w:lang w:val="en-US"/>
              </w:rPr>
              <w:t>.</w:t>
            </w:r>
          </w:p>
          <w:p w14:paraId="20FF4B5D" w14:textId="13331D11" w:rsidR="009A75C7" w:rsidRPr="004F289D" w:rsidRDefault="009A75C7" w:rsidP="009A75C7">
            <w:pPr>
              <w:pStyle w:val="ListParagraph"/>
              <w:numPr>
                <w:ilvl w:val="0"/>
                <w:numId w:val="15"/>
              </w:numPr>
              <w:spacing w:after="0" w:line="240" w:lineRule="auto"/>
              <w:rPr>
                <w:sz w:val="20"/>
                <w:lang w:val="en-US"/>
              </w:rPr>
            </w:pPr>
            <w:r w:rsidRPr="004F289D">
              <w:rPr>
                <w:sz w:val="20"/>
                <w:lang w:val="en-US"/>
              </w:rPr>
              <w:t>I know in which circumstances a company can ask for private information</w:t>
            </w:r>
            <w:r w:rsidR="00E91A21" w:rsidRPr="004F289D">
              <w:rPr>
                <w:sz w:val="20"/>
                <w:lang w:val="en-US"/>
              </w:rPr>
              <w:t>.</w:t>
            </w:r>
          </w:p>
          <w:p w14:paraId="7CFAFAD5" w14:textId="5F6145C1" w:rsidR="009A75C7" w:rsidRPr="004F289D" w:rsidRDefault="009A75C7" w:rsidP="009A75C7">
            <w:pPr>
              <w:pStyle w:val="ListParagraph"/>
              <w:numPr>
                <w:ilvl w:val="0"/>
                <w:numId w:val="15"/>
              </w:numPr>
              <w:spacing w:after="0" w:line="240" w:lineRule="auto"/>
              <w:rPr>
                <w:sz w:val="20"/>
                <w:lang w:val="en-US"/>
              </w:rPr>
            </w:pPr>
            <w:r w:rsidRPr="004F289D">
              <w:rPr>
                <w:sz w:val="20"/>
                <w:lang w:val="en-US"/>
              </w:rPr>
              <w:t xml:space="preserve">I know what personal information </w:t>
            </w:r>
            <w:r w:rsidR="006B33E7" w:rsidRPr="004F289D">
              <w:rPr>
                <w:sz w:val="20"/>
                <w:lang w:val="en-US"/>
              </w:rPr>
              <w:t>a company or organization can ask</w:t>
            </w:r>
            <w:r w:rsidR="00E91A21" w:rsidRPr="004F289D">
              <w:rPr>
                <w:sz w:val="20"/>
                <w:lang w:val="en-US"/>
              </w:rPr>
              <w:t>.</w:t>
            </w:r>
          </w:p>
          <w:p w14:paraId="2FED9245" w14:textId="77777777" w:rsidR="009A75C7" w:rsidRPr="004F289D" w:rsidRDefault="009A75C7" w:rsidP="009A75C7">
            <w:pPr>
              <w:spacing w:line="360" w:lineRule="auto"/>
              <w:jc w:val="center"/>
              <w:rPr>
                <w:b/>
                <w:bCs/>
                <w:lang w:val="en-US"/>
              </w:rPr>
            </w:pPr>
          </w:p>
        </w:tc>
      </w:tr>
      <w:tr w:rsidR="004F289D" w:rsidRPr="004F289D" w14:paraId="00065F96" w14:textId="77777777" w:rsidTr="001157D8">
        <w:tc>
          <w:tcPr>
            <w:tcW w:w="10349" w:type="dxa"/>
          </w:tcPr>
          <w:p w14:paraId="65F0FAC0" w14:textId="77777777" w:rsidR="009A75C7" w:rsidRPr="004F289D" w:rsidRDefault="009A75C7" w:rsidP="009A75C7">
            <w:pPr>
              <w:rPr>
                <w:b/>
                <w:bCs/>
                <w:i/>
                <w:iCs/>
                <w:sz w:val="20"/>
                <w:szCs w:val="20"/>
                <w:lang w:val="en-US"/>
              </w:rPr>
            </w:pPr>
            <w:r w:rsidRPr="004F289D">
              <w:rPr>
                <w:b/>
                <w:bCs/>
                <w:i/>
                <w:iCs/>
                <w:sz w:val="20"/>
                <w:szCs w:val="20"/>
                <w:lang w:val="en-US"/>
              </w:rPr>
              <w:t xml:space="preserve">Verification of the legitimacy of companies </w:t>
            </w:r>
          </w:p>
          <w:p w14:paraId="68D07230" w14:textId="31BDEABC" w:rsidR="009A75C7" w:rsidRPr="004F289D" w:rsidRDefault="009A75C7" w:rsidP="009A75C7">
            <w:pPr>
              <w:pStyle w:val="ListParagraph"/>
              <w:numPr>
                <w:ilvl w:val="0"/>
                <w:numId w:val="16"/>
              </w:numPr>
              <w:spacing w:after="0" w:line="240" w:lineRule="auto"/>
              <w:rPr>
                <w:sz w:val="20"/>
                <w:lang w:val="en-US"/>
              </w:rPr>
            </w:pPr>
            <w:r w:rsidRPr="004F289D">
              <w:rPr>
                <w:sz w:val="20"/>
                <w:lang w:val="en-US"/>
              </w:rPr>
              <w:t>When I buy a product that will be delivered to my house (</w:t>
            </w:r>
            <w:r w:rsidR="00A024C5" w:rsidRPr="004F289D">
              <w:rPr>
                <w:sz w:val="20"/>
                <w:lang w:val="en-US"/>
              </w:rPr>
              <w:t>i.e</w:t>
            </w:r>
            <w:r w:rsidRPr="004F289D">
              <w:rPr>
                <w:sz w:val="20"/>
                <w:lang w:val="en-US"/>
              </w:rPr>
              <w:t>., buying online), I verify if the company exists</w:t>
            </w:r>
            <w:r w:rsidR="00E91A21" w:rsidRPr="004F289D">
              <w:rPr>
                <w:sz w:val="20"/>
                <w:lang w:val="en-US"/>
              </w:rPr>
              <w:t>.</w:t>
            </w:r>
          </w:p>
          <w:p w14:paraId="1FB97E7F" w14:textId="5DE2FE2B" w:rsidR="009A75C7" w:rsidRPr="004F289D" w:rsidRDefault="009A75C7" w:rsidP="009A75C7">
            <w:pPr>
              <w:pStyle w:val="ListParagraph"/>
              <w:numPr>
                <w:ilvl w:val="0"/>
                <w:numId w:val="16"/>
              </w:numPr>
              <w:spacing w:after="0" w:line="240" w:lineRule="auto"/>
              <w:rPr>
                <w:sz w:val="20"/>
                <w:lang w:val="en-US"/>
              </w:rPr>
            </w:pPr>
            <w:r w:rsidRPr="004F289D">
              <w:rPr>
                <w:sz w:val="20"/>
                <w:lang w:val="en-US"/>
              </w:rPr>
              <w:t>When I receive an invoice (e.g., via email), I verify whether it is genuine or not</w:t>
            </w:r>
            <w:r w:rsidR="00E91A21" w:rsidRPr="004F289D">
              <w:rPr>
                <w:sz w:val="20"/>
                <w:lang w:val="en-US"/>
              </w:rPr>
              <w:t>.</w:t>
            </w:r>
          </w:p>
          <w:p w14:paraId="2A36868F" w14:textId="683DA996" w:rsidR="009A75C7" w:rsidRPr="004F289D" w:rsidRDefault="009A75C7" w:rsidP="009A75C7">
            <w:pPr>
              <w:pStyle w:val="ListParagraph"/>
              <w:numPr>
                <w:ilvl w:val="0"/>
                <w:numId w:val="16"/>
              </w:numPr>
              <w:spacing w:after="0" w:line="240" w:lineRule="auto"/>
              <w:rPr>
                <w:sz w:val="20"/>
                <w:lang w:val="en-US"/>
              </w:rPr>
            </w:pPr>
            <w:r w:rsidRPr="004F289D">
              <w:rPr>
                <w:sz w:val="20"/>
                <w:lang w:val="en-US"/>
              </w:rPr>
              <w:t xml:space="preserve">When I </w:t>
            </w:r>
            <w:r w:rsidR="006B33E7" w:rsidRPr="004F289D">
              <w:rPr>
                <w:sz w:val="20"/>
                <w:lang w:val="en-US"/>
              </w:rPr>
              <w:t>purchase a product</w:t>
            </w:r>
            <w:r w:rsidR="00A024C5" w:rsidRPr="004F289D">
              <w:rPr>
                <w:sz w:val="20"/>
                <w:lang w:val="en-US"/>
              </w:rPr>
              <w:t xml:space="preserve"> online</w:t>
            </w:r>
            <w:r w:rsidR="006B33E7" w:rsidRPr="004F289D">
              <w:rPr>
                <w:sz w:val="20"/>
                <w:lang w:val="en-US"/>
              </w:rPr>
              <w:t>, I check information about the company to verify that it exists</w:t>
            </w:r>
            <w:r w:rsidR="00E91A21" w:rsidRPr="004F289D">
              <w:rPr>
                <w:sz w:val="20"/>
                <w:lang w:val="en-US"/>
              </w:rPr>
              <w:t>.</w:t>
            </w:r>
          </w:p>
          <w:p w14:paraId="548150D2" w14:textId="77777777" w:rsidR="009A75C7" w:rsidRPr="004F289D" w:rsidRDefault="009A75C7" w:rsidP="009A75C7">
            <w:pPr>
              <w:spacing w:line="360" w:lineRule="auto"/>
              <w:jc w:val="center"/>
              <w:rPr>
                <w:b/>
                <w:bCs/>
                <w:lang w:val="en-US"/>
              </w:rPr>
            </w:pPr>
          </w:p>
        </w:tc>
      </w:tr>
      <w:tr w:rsidR="004F289D" w:rsidRPr="004F289D" w14:paraId="478EE581" w14:textId="77777777" w:rsidTr="001157D8">
        <w:tc>
          <w:tcPr>
            <w:tcW w:w="10349" w:type="dxa"/>
          </w:tcPr>
          <w:p w14:paraId="68E733D0" w14:textId="48267562" w:rsidR="009A75C7" w:rsidRPr="004F289D" w:rsidRDefault="009A75C7" w:rsidP="009A75C7">
            <w:pPr>
              <w:rPr>
                <w:b/>
                <w:bCs/>
                <w:i/>
                <w:iCs/>
                <w:sz w:val="20"/>
                <w:szCs w:val="20"/>
                <w:lang w:val="en-US"/>
              </w:rPr>
            </w:pPr>
            <w:r w:rsidRPr="004F289D">
              <w:rPr>
                <w:b/>
                <w:bCs/>
                <w:i/>
                <w:iCs/>
                <w:sz w:val="20"/>
                <w:szCs w:val="20"/>
                <w:lang w:val="en-US"/>
              </w:rPr>
              <w:t xml:space="preserve">Knowledge </w:t>
            </w:r>
            <w:r w:rsidR="00C34F5F" w:rsidRPr="004F289D">
              <w:rPr>
                <w:b/>
                <w:bCs/>
                <w:i/>
                <w:iCs/>
                <w:sz w:val="20"/>
                <w:szCs w:val="20"/>
                <w:lang w:val="en-US"/>
              </w:rPr>
              <w:t>of</w:t>
            </w:r>
            <w:r w:rsidRPr="004F289D">
              <w:rPr>
                <w:b/>
                <w:bCs/>
                <w:i/>
                <w:iCs/>
                <w:sz w:val="20"/>
                <w:szCs w:val="20"/>
                <w:lang w:val="en-US"/>
              </w:rPr>
              <w:t xml:space="preserve"> how to report fraud</w:t>
            </w:r>
          </w:p>
          <w:p w14:paraId="08BBADAC" w14:textId="209FC3E6" w:rsidR="009A75C7" w:rsidRPr="004F289D" w:rsidRDefault="009A75C7" w:rsidP="009A75C7">
            <w:pPr>
              <w:pStyle w:val="ListParagraph"/>
              <w:numPr>
                <w:ilvl w:val="0"/>
                <w:numId w:val="17"/>
              </w:numPr>
              <w:spacing w:after="0" w:line="240" w:lineRule="auto"/>
              <w:rPr>
                <w:sz w:val="20"/>
                <w:lang w:val="en-US"/>
              </w:rPr>
            </w:pPr>
            <w:r w:rsidRPr="004F289D">
              <w:rPr>
                <w:sz w:val="20"/>
                <w:lang w:val="en-US"/>
              </w:rPr>
              <w:t>I know to whom I should report a fraudulent action (e.g., having paid for a product to a company that does not exist)</w:t>
            </w:r>
            <w:r w:rsidR="00E91A21" w:rsidRPr="004F289D">
              <w:rPr>
                <w:sz w:val="20"/>
                <w:lang w:val="en-US"/>
              </w:rPr>
              <w:t>.</w:t>
            </w:r>
          </w:p>
          <w:p w14:paraId="230263AC" w14:textId="2C2B1151" w:rsidR="009A75C7" w:rsidRPr="004F289D" w:rsidRDefault="009A75C7" w:rsidP="009A75C7">
            <w:pPr>
              <w:pStyle w:val="ListParagraph"/>
              <w:numPr>
                <w:ilvl w:val="0"/>
                <w:numId w:val="17"/>
              </w:numPr>
              <w:spacing w:after="0" w:line="240" w:lineRule="auto"/>
              <w:rPr>
                <w:sz w:val="20"/>
                <w:lang w:val="en-US"/>
              </w:rPr>
            </w:pPr>
            <w:r w:rsidRPr="004F289D">
              <w:rPr>
                <w:sz w:val="20"/>
                <w:lang w:val="en-US"/>
              </w:rPr>
              <w:t>I know how to follow the process of fraud once it has been reported</w:t>
            </w:r>
            <w:r w:rsidR="00E91A21" w:rsidRPr="004F289D">
              <w:rPr>
                <w:sz w:val="20"/>
                <w:lang w:val="en-US"/>
              </w:rPr>
              <w:t>.</w:t>
            </w:r>
          </w:p>
          <w:p w14:paraId="2DB67C33" w14:textId="0B442433" w:rsidR="009A75C7" w:rsidRPr="004F289D" w:rsidRDefault="009A75C7" w:rsidP="009A75C7">
            <w:pPr>
              <w:pStyle w:val="ListParagraph"/>
              <w:numPr>
                <w:ilvl w:val="0"/>
                <w:numId w:val="17"/>
              </w:numPr>
              <w:spacing w:after="0" w:line="240" w:lineRule="auto"/>
              <w:rPr>
                <w:sz w:val="20"/>
                <w:lang w:val="en-US"/>
              </w:rPr>
            </w:pPr>
            <w:r w:rsidRPr="004F289D">
              <w:rPr>
                <w:sz w:val="20"/>
                <w:lang w:val="en-US"/>
              </w:rPr>
              <w:t>I know about the possible outcomes of reporting fraud to authorities</w:t>
            </w:r>
            <w:r w:rsidR="00E91A21" w:rsidRPr="004F289D">
              <w:rPr>
                <w:sz w:val="20"/>
                <w:lang w:val="en-US"/>
              </w:rPr>
              <w:t>.</w:t>
            </w:r>
          </w:p>
          <w:p w14:paraId="0F8DA20F" w14:textId="77777777" w:rsidR="009A75C7" w:rsidRPr="004F289D" w:rsidRDefault="009A75C7" w:rsidP="009A75C7">
            <w:pPr>
              <w:spacing w:line="360" w:lineRule="auto"/>
              <w:jc w:val="center"/>
              <w:rPr>
                <w:b/>
                <w:bCs/>
                <w:lang w:val="en-US"/>
              </w:rPr>
            </w:pPr>
          </w:p>
        </w:tc>
      </w:tr>
      <w:tr w:rsidR="004F289D" w:rsidRPr="004F289D" w14:paraId="4454F881" w14:textId="77777777" w:rsidTr="001157D8">
        <w:tc>
          <w:tcPr>
            <w:tcW w:w="10349" w:type="dxa"/>
          </w:tcPr>
          <w:p w14:paraId="5D223ECE" w14:textId="5FDDD07C" w:rsidR="009A75C7" w:rsidRPr="004F289D" w:rsidRDefault="009A75C7" w:rsidP="009A75C7">
            <w:pPr>
              <w:rPr>
                <w:b/>
                <w:bCs/>
                <w:i/>
                <w:iCs/>
                <w:sz w:val="20"/>
                <w:szCs w:val="20"/>
                <w:lang w:val="en-US"/>
              </w:rPr>
            </w:pPr>
            <w:r w:rsidRPr="004F289D">
              <w:rPr>
                <w:b/>
                <w:bCs/>
                <w:i/>
                <w:iCs/>
                <w:sz w:val="20"/>
                <w:szCs w:val="20"/>
                <w:lang w:val="en-US"/>
              </w:rPr>
              <w:t xml:space="preserve">Checking </w:t>
            </w:r>
            <w:r w:rsidR="00F96F7C" w:rsidRPr="004F289D">
              <w:rPr>
                <w:b/>
                <w:bCs/>
                <w:i/>
                <w:iCs/>
                <w:sz w:val="20"/>
                <w:szCs w:val="20"/>
                <w:lang w:val="en-US"/>
              </w:rPr>
              <w:t>red flags</w:t>
            </w:r>
            <w:r w:rsidRPr="004F289D">
              <w:rPr>
                <w:b/>
                <w:bCs/>
                <w:i/>
                <w:iCs/>
                <w:sz w:val="20"/>
                <w:szCs w:val="20"/>
                <w:lang w:val="en-US"/>
              </w:rPr>
              <w:t xml:space="preserve"> that prevent </w:t>
            </w:r>
            <w:r w:rsidR="007A5EDD" w:rsidRPr="004F289D">
              <w:rPr>
                <w:b/>
                <w:bCs/>
                <w:i/>
                <w:iCs/>
                <w:sz w:val="20"/>
                <w:szCs w:val="20"/>
                <w:lang w:val="en-US"/>
              </w:rPr>
              <w:t>being a</w:t>
            </w:r>
            <w:r w:rsidRPr="004F289D">
              <w:rPr>
                <w:b/>
                <w:bCs/>
                <w:i/>
                <w:iCs/>
                <w:sz w:val="20"/>
                <w:szCs w:val="20"/>
                <w:lang w:val="en-US"/>
              </w:rPr>
              <w:t xml:space="preserve"> victim of </w:t>
            </w:r>
            <w:r w:rsidR="006B33E7" w:rsidRPr="004F289D">
              <w:rPr>
                <w:b/>
                <w:bCs/>
                <w:i/>
                <w:iCs/>
                <w:sz w:val="20"/>
                <w:szCs w:val="20"/>
                <w:lang w:val="en-US"/>
              </w:rPr>
              <w:t xml:space="preserve">online </w:t>
            </w:r>
            <w:r w:rsidRPr="004F289D">
              <w:rPr>
                <w:b/>
                <w:bCs/>
                <w:i/>
                <w:iCs/>
                <w:sz w:val="20"/>
                <w:szCs w:val="20"/>
                <w:lang w:val="en-US"/>
              </w:rPr>
              <w:t>scams</w:t>
            </w:r>
            <w:r w:rsidR="006B33E7" w:rsidRPr="004F289D">
              <w:rPr>
                <w:b/>
                <w:bCs/>
                <w:i/>
                <w:iCs/>
                <w:sz w:val="20"/>
                <w:szCs w:val="20"/>
                <w:lang w:val="en-US"/>
              </w:rPr>
              <w:t xml:space="preserve"> </w:t>
            </w:r>
          </w:p>
          <w:p w14:paraId="05D04D24" w14:textId="66DB79E2" w:rsidR="009A75C7" w:rsidRPr="004F289D" w:rsidRDefault="009A75C7" w:rsidP="009A75C7">
            <w:pPr>
              <w:pStyle w:val="ListParagraph"/>
              <w:numPr>
                <w:ilvl w:val="0"/>
                <w:numId w:val="18"/>
              </w:numPr>
              <w:spacing w:after="0" w:line="240" w:lineRule="auto"/>
              <w:rPr>
                <w:sz w:val="20"/>
                <w:lang w:val="en-US"/>
              </w:rPr>
            </w:pPr>
            <w:r w:rsidRPr="004F289D">
              <w:rPr>
                <w:sz w:val="20"/>
                <w:lang w:val="en-US"/>
              </w:rPr>
              <w:t xml:space="preserve">When I receive an email from a company or organization, I always check if the email address looks </w:t>
            </w:r>
            <w:r w:rsidR="00B70300" w:rsidRPr="004F289D">
              <w:rPr>
                <w:sz w:val="20"/>
                <w:lang w:val="en-US"/>
              </w:rPr>
              <w:t xml:space="preserve">corporate </w:t>
            </w:r>
            <w:r w:rsidRPr="004F289D">
              <w:rPr>
                <w:sz w:val="20"/>
                <w:lang w:val="en-US"/>
              </w:rPr>
              <w:t>and legitimate</w:t>
            </w:r>
            <w:r w:rsidR="00E91A21" w:rsidRPr="004F289D">
              <w:rPr>
                <w:sz w:val="20"/>
                <w:lang w:val="en-US"/>
              </w:rPr>
              <w:t>.</w:t>
            </w:r>
          </w:p>
          <w:p w14:paraId="232C0B90" w14:textId="7A026F1E" w:rsidR="009A75C7" w:rsidRPr="004F289D" w:rsidRDefault="009A75C7" w:rsidP="009A75C7">
            <w:pPr>
              <w:pStyle w:val="ListParagraph"/>
              <w:numPr>
                <w:ilvl w:val="0"/>
                <w:numId w:val="18"/>
              </w:numPr>
              <w:spacing w:after="0" w:line="240" w:lineRule="auto"/>
              <w:rPr>
                <w:sz w:val="20"/>
                <w:lang w:val="en-US"/>
              </w:rPr>
            </w:pPr>
            <w:r w:rsidRPr="004F289D">
              <w:rPr>
                <w:sz w:val="20"/>
                <w:lang w:val="en-US"/>
              </w:rPr>
              <w:t>When I receive an email from a company or organization, I always check if there are suspicious links</w:t>
            </w:r>
            <w:r w:rsidR="00E91A21" w:rsidRPr="004F289D">
              <w:rPr>
                <w:sz w:val="20"/>
                <w:lang w:val="en-US"/>
              </w:rPr>
              <w:t>.</w:t>
            </w:r>
          </w:p>
          <w:p w14:paraId="6BC4509A" w14:textId="4A6DCE81" w:rsidR="009A75C7" w:rsidRPr="004F289D" w:rsidRDefault="009A75C7" w:rsidP="009A75C7">
            <w:pPr>
              <w:pStyle w:val="ListParagraph"/>
              <w:numPr>
                <w:ilvl w:val="0"/>
                <w:numId w:val="18"/>
              </w:numPr>
              <w:spacing w:after="0" w:line="240" w:lineRule="auto"/>
              <w:rPr>
                <w:sz w:val="20"/>
                <w:lang w:val="en-US"/>
              </w:rPr>
            </w:pPr>
            <w:r w:rsidRPr="004F289D">
              <w:rPr>
                <w:sz w:val="20"/>
                <w:lang w:val="en-US"/>
              </w:rPr>
              <w:t>When I receive an email from a company or organization, I check the quality of the message (e.g., poorly written, gramma</w:t>
            </w:r>
            <w:r w:rsidR="00AB057F" w:rsidRPr="004F289D">
              <w:rPr>
                <w:sz w:val="20"/>
                <w:lang w:val="en-US"/>
              </w:rPr>
              <w:t>tical</w:t>
            </w:r>
            <w:r w:rsidRPr="004F289D">
              <w:rPr>
                <w:sz w:val="20"/>
                <w:lang w:val="en-US"/>
              </w:rPr>
              <w:t xml:space="preserve"> mistakes, etc.)</w:t>
            </w:r>
            <w:r w:rsidR="00E91A21" w:rsidRPr="004F289D">
              <w:rPr>
                <w:sz w:val="20"/>
                <w:lang w:val="en-US"/>
              </w:rPr>
              <w:t>.</w:t>
            </w:r>
          </w:p>
          <w:p w14:paraId="50075501" w14:textId="77777777" w:rsidR="009A75C7" w:rsidRPr="004F289D" w:rsidRDefault="009A75C7" w:rsidP="009A75C7">
            <w:pPr>
              <w:spacing w:line="360" w:lineRule="auto"/>
              <w:jc w:val="center"/>
              <w:rPr>
                <w:b/>
                <w:bCs/>
                <w:lang w:val="en-US"/>
              </w:rPr>
            </w:pPr>
          </w:p>
        </w:tc>
      </w:tr>
      <w:tr w:rsidR="004F289D" w:rsidRPr="004F289D" w14:paraId="281366B3" w14:textId="77777777" w:rsidTr="001157D8">
        <w:tc>
          <w:tcPr>
            <w:tcW w:w="10349" w:type="dxa"/>
          </w:tcPr>
          <w:p w14:paraId="3CFA62F6" w14:textId="0B51A2D0" w:rsidR="009A75C7" w:rsidRPr="004F289D" w:rsidRDefault="009A75C7" w:rsidP="009A75C7">
            <w:pPr>
              <w:rPr>
                <w:b/>
                <w:bCs/>
                <w:i/>
                <w:iCs/>
                <w:sz w:val="20"/>
                <w:szCs w:val="20"/>
                <w:lang w:val="en-US"/>
              </w:rPr>
            </w:pPr>
            <w:r w:rsidRPr="004F289D">
              <w:rPr>
                <w:b/>
                <w:bCs/>
                <w:i/>
                <w:iCs/>
                <w:sz w:val="20"/>
                <w:szCs w:val="20"/>
                <w:lang w:val="en-US"/>
              </w:rPr>
              <w:t>Knowledge and use of tools to protect from scam</w:t>
            </w:r>
            <w:r w:rsidR="00606037" w:rsidRPr="004F289D">
              <w:rPr>
                <w:b/>
                <w:bCs/>
                <w:i/>
                <w:iCs/>
                <w:sz w:val="20"/>
                <w:szCs w:val="20"/>
                <w:lang w:val="en-US"/>
              </w:rPr>
              <w:t>s</w:t>
            </w:r>
          </w:p>
          <w:p w14:paraId="6CB33D93" w14:textId="71980766" w:rsidR="009A75C7" w:rsidRPr="004F289D" w:rsidRDefault="009A75C7" w:rsidP="009A75C7">
            <w:pPr>
              <w:pStyle w:val="ListParagraph"/>
              <w:numPr>
                <w:ilvl w:val="0"/>
                <w:numId w:val="19"/>
              </w:numPr>
              <w:spacing w:after="0" w:line="240" w:lineRule="auto"/>
              <w:rPr>
                <w:sz w:val="20"/>
                <w:lang w:val="en-US"/>
              </w:rPr>
            </w:pPr>
            <w:r w:rsidRPr="004F289D">
              <w:rPr>
                <w:sz w:val="20"/>
                <w:lang w:val="en-US"/>
              </w:rPr>
              <w:t>I use technology to protect myself from scam</w:t>
            </w:r>
            <w:r w:rsidR="00977594" w:rsidRPr="004F289D">
              <w:rPr>
                <w:sz w:val="20"/>
                <w:lang w:val="en-US"/>
              </w:rPr>
              <w:t>s</w:t>
            </w:r>
            <w:r w:rsidR="00E91A21" w:rsidRPr="004F289D">
              <w:rPr>
                <w:sz w:val="20"/>
                <w:lang w:val="en-US"/>
              </w:rPr>
              <w:t>.</w:t>
            </w:r>
          </w:p>
          <w:p w14:paraId="334E11CF" w14:textId="7060BA67" w:rsidR="009A75C7" w:rsidRPr="004F289D" w:rsidRDefault="009A75C7" w:rsidP="009A75C7">
            <w:pPr>
              <w:pStyle w:val="ListParagraph"/>
              <w:numPr>
                <w:ilvl w:val="0"/>
                <w:numId w:val="19"/>
              </w:numPr>
              <w:spacing w:after="0" w:line="240" w:lineRule="auto"/>
              <w:rPr>
                <w:sz w:val="20"/>
                <w:lang w:val="en-US"/>
              </w:rPr>
            </w:pPr>
            <w:r w:rsidRPr="004F289D">
              <w:rPr>
                <w:sz w:val="20"/>
                <w:lang w:val="en-US"/>
              </w:rPr>
              <w:t>I know and use anti-spam software</w:t>
            </w:r>
            <w:r w:rsidR="00E91A21" w:rsidRPr="004F289D">
              <w:rPr>
                <w:sz w:val="20"/>
                <w:lang w:val="en-US"/>
              </w:rPr>
              <w:t>.</w:t>
            </w:r>
          </w:p>
          <w:p w14:paraId="550E1122" w14:textId="49DC066A" w:rsidR="009A75C7" w:rsidRPr="004F289D" w:rsidRDefault="009A75C7" w:rsidP="009A75C7">
            <w:pPr>
              <w:pStyle w:val="ListParagraph"/>
              <w:numPr>
                <w:ilvl w:val="0"/>
                <w:numId w:val="19"/>
              </w:numPr>
              <w:spacing w:after="0" w:line="240" w:lineRule="auto"/>
              <w:rPr>
                <w:sz w:val="20"/>
                <w:lang w:val="en-US"/>
              </w:rPr>
            </w:pPr>
            <w:r w:rsidRPr="004F289D">
              <w:rPr>
                <w:sz w:val="20"/>
                <w:lang w:val="en-US"/>
              </w:rPr>
              <w:t>I know about what technology can be used to identify potential fraud</w:t>
            </w:r>
            <w:r w:rsidR="00E91A21" w:rsidRPr="004F289D">
              <w:rPr>
                <w:sz w:val="20"/>
                <w:lang w:val="en-US"/>
              </w:rPr>
              <w:t>.</w:t>
            </w:r>
          </w:p>
          <w:p w14:paraId="0ACE5158" w14:textId="77777777" w:rsidR="009A75C7" w:rsidRPr="004F289D" w:rsidRDefault="009A75C7" w:rsidP="009A75C7">
            <w:pPr>
              <w:spacing w:line="360" w:lineRule="auto"/>
              <w:jc w:val="center"/>
              <w:rPr>
                <w:b/>
                <w:bCs/>
                <w:lang w:val="en-US"/>
              </w:rPr>
            </w:pPr>
          </w:p>
        </w:tc>
      </w:tr>
      <w:tr w:rsidR="004F289D" w:rsidRPr="004F289D" w14:paraId="3E21B9E9" w14:textId="77777777" w:rsidTr="001157D8">
        <w:tc>
          <w:tcPr>
            <w:tcW w:w="10349" w:type="dxa"/>
          </w:tcPr>
          <w:p w14:paraId="602A37E6" w14:textId="77777777" w:rsidR="009A75C7" w:rsidRPr="004F289D" w:rsidRDefault="009A75C7" w:rsidP="009A75C7">
            <w:pPr>
              <w:rPr>
                <w:b/>
                <w:bCs/>
                <w:i/>
                <w:iCs/>
                <w:sz w:val="20"/>
                <w:szCs w:val="20"/>
                <w:lang w:val="en-US"/>
              </w:rPr>
            </w:pPr>
            <w:bookmarkStart w:id="18" w:name="_Hlk184116923"/>
            <w:r w:rsidRPr="004F289D">
              <w:rPr>
                <w:b/>
                <w:bCs/>
                <w:i/>
                <w:iCs/>
                <w:sz w:val="20"/>
                <w:szCs w:val="20"/>
                <w:lang w:val="en-US"/>
              </w:rPr>
              <w:t>Reading terms and conditions as a protection practice</w:t>
            </w:r>
          </w:p>
          <w:bookmarkEnd w:id="18"/>
          <w:p w14:paraId="38FDEEBD" w14:textId="23028E97" w:rsidR="009A75C7" w:rsidRPr="004F289D" w:rsidRDefault="009A75C7" w:rsidP="009A75C7">
            <w:pPr>
              <w:pStyle w:val="ListParagraph"/>
              <w:numPr>
                <w:ilvl w:val="0"/>
                <w:numId w:val="20"/>
              </w:numPr>
              <w:spacing w:after="0" w:line="240" w:lineRule="auto"/>
              <w:rPr>
                <w:sz w:val="20"/>
                <w:lang w:val="en-US"/>
              </w:rPr>
            </w:pPr>
            <w:r w:rsidRPr="004F289D">
              <w:rPr>
                <w:sz w:val="20"/>
                <w:lang w:val="en-US"/>
              </w:rPr>
              <w:t xml:space="preserve">I pay attention to all the </w:t>
            </w:r>
            <w:r w:rsidR="006B33E7" w:rsidRPr="004F289D">
              <w:rPr>
                <w:sz w:val="20"/>
                <w:lang w:val="en-US"/>
              </w:rPr>
              <w:t>terms and conditions</w:t>
            </w:r>
            <w:r w:rsidRPr="004F289D">
              <w:rPr>
                <w:sz w:val="20"/>
                <w:lang w:val="en-US"/>
              </w:rPr>
              <w:t xml:space="preserve"> when I make a purchase online</w:t>
            </w:r>
            <w:r w:rsidR="00E91A21" w:rsidRPr="004F289D">
              <w:rPr>
                <w:sz w:val="20"/>
                <w:lang w:val="en-US"/>
              </w:rPr>
              <w:t>.</w:t>
            </w:r>
          </w:p>
          <w:p w14:paraId="00BCA4C0" w14:textId="3424F293" w:rsidR="009A75C7" w:rsidRPr="004F289D" w:rsidRDefault="00970A3B" w:rsidP="009A75C7">
            <w:pPr>
              <w:pStyle w:val="ListParagraph"/>
              <w:numPr>
                <w:ilvl w:val="0"/>
                <w:numId w:val="20"/>
              </w:numPr>
              <w:spacing w:after="0" w:line="240" w:lineRule="auto"/>
              <w:rPr>
                <w:sz w:val="20"/>
                <w:lang w:val="en-US"/>
              </w:rPr>
            </w:pPr>
            <w:r w:rsidRPr="004F289D">
              <w:rPr>
                <w:sz w:val="20"/>
                <w:lang/>
              </w:rPr>
              <w:t>I read and understand the terms and conditions of the products</w:t>
            </w:r>
            <w:r w:rsidRPr="004F289D">
              <w:rPr>
                <w:sz w:val="20"/>
                <w:lang w:val="en-US"/>
              </w:rPr>
              <w:t xml:space="preserve"> </w:t>
            </w:r>
            <w:r w:rsidR="009A75C7" w:rsidRPr="004F289D">
              <w:rPr>
                <w:sz w:val="20"/>
                <w:lang w:val="en-US"/>
              </w:rPr>
              <w:t>and services I purchase</w:t>
            </w:r>
            <w:r w:rsidR="006B33E7" w:rsidRPr="004F289D">
              <w:rPr>
                <w:sz w:val="20"/>
                <w:lang w:val="en-US"/>
              </w:rPr>
              <w:t xml:space="preserve"> </w:t>
            </w:r>
            <w:r w:rsidR="00A024C5" w:rsidRPr="004F289D">
              <w:rPr>
                <w:sz w:val="20"/>
                <w:lang w:val="en-US"/>
              </w:rPr>
              <w:t>online</w:t>
            </w:r>
            <w:r w:rsidR="00E91A21" w:rsidRPr="004F289D">
              <w:rPr>
                <w:sz w:val="20"/>
                <w:lang w:val="en-US"/>
              </w:rPr>
              <w:t>.</w:t>
            </w:r>
          </w:p>
          <w:p w14:paraId="30EB7F98" w14:textId="669F384B" w:rsidR="00363C40" w:rsidRPr="004F289D" w:rsidRDefault="00363C40" w:rsidP="00363C40">
            <w:pPr>
              <w:pStyle w:val="ListParagraph"/>
              <w:numPr>
                <w:ilvl w:val="0"/>
                <w:numId w:val="20"/>
              </w:numPr>
              <w:spacing w:after="0" w:line="240" w:lineRule="auto"/>
              <w:rPr>
                <w:sz w:val="20"/>
                <w:lang w:val="en-US"/>
              </w:rPr>
            </w:pPr>
            <w:r w:rsidRPr="004F289D">
              <w:rPr>
                <w:sz w:val="20"/>
                <w:lang w:val="en-US"/>
              </w:rPr>
              <w:t>I carefully review the terms and conditions before agreeing to an online purchase.</w:t>
            </w:r>
          </w:p>
          <w:p w14:paraId="0B57B0AE" w14:textId="77777777" w:rsidR="009A75C7" w:rsidRPr="004F289D" w:rsidRDefault="009A75C7" w:rsidP="009A75C7">
            <w:pPr>
              <w:spacing w:line="360" w:lineRule="auto"/>
              <w:jc w:val="center"/>
              <w:rPr>
                <w:b/>
                <w:bCs/>
                <w:lang w:val="en-US"/>
              </w:rPr>
            </w:pPr>
          </w:p>
        </w:tc>
      </w:tr>
    </w:tbl>
    <w:p w14:paraId="14C36FC0" w14:textId="77777777" w:rsidR="00F34CE2" w:rsidRPr="004F289D" w:rsidRDefault="00F34CE2" w:rsidP="00F34CE2">
      <w:pPr>
        <w:spacing w:line="256" w:lineRule="auto"/>
        <w:rPr>
          <w:rFonts w:eastAsia="ScalaOT" w:cs="Times New Roman"/>
          <w:lang w:val="en-US"/>
        </w:rPr>
      </w:pPr>
      <w:r w:rsidRPr="004F289D">
        <w:rPr>
          <w:rFonts w:eastAsia="Aptos" w:cs="Times New Roman"/>
          <w:lang w:val="en-US"/>
        </w:rPr>
        <w:t>Source: Author’s own work</w:t>
      </w:r>
    </w:p>
    <w:p w14:paraId="1F740CAD" w14:textId="370EC498" w:rsidR="00EC0F92" w:rsidRPr="004F289D" w:rsidRDefault="00EC0F92" w:rsidP="009A75C7">
      <w:pPr>
        <w:spacing w:line="360" w:lineRule="auto"/>
        <w:jc w:val="center"/>
        <w:rPr>
          <w:b/>
          <w:bCs/>
          <w:lang w:val="en-US"/>
        </w:rPr>
      </w:pPr>
    </w:p>
    <w:p w14:paraId="57D2D29F" w14:textId="053EA6FA" w:rsidR="00EC0F92" w:rsidRPr="004F289D" w:rsidRDefault="00EC0F92" w:rsidP="00EC0F92">
      <w:pPr>
        <w:spacing w:line="278" w:lineRule="auto"/>
        <w:rPr>
          <w:rFonts w:eastAsia="Aptos" w:cs="Times New Roman"/>
          <w:sz w:val="24"/>
          <w:szCs w:val="24"/>
          <w:lang w:val="en-US"/>
        </w:rPr>
      </w:pPr>
      <w:r w:rsidRPr="004F289D">
        <w:rPr>
          <w:rFonts w:eastAsia="Aptos" w:cs="Times New Roman"/>
          <w:b/>
          <w:bCs/>
          <w:sz w:val="24"/>
          <w:szCs w:val="24"/>
          <w:lang w:val="en-US"/>
        </w:rPr>
        <w:lastRenderedPageBreak/>
        <w:t>Table A</w:t>
      </w:r>
      <w:r w:rsidR="00FC73A9" w:rsidRPr="004F289D">
        <w:rPr>
          <w:rFonts w:eastAsia="Aptos" w:cs="Times New Roman"/>
          <w:b/>
          <w:bCs/>
          <w:sz w:val="24"/>
          <w:szCs w:val="24"/>
          <w:lang w:val="en-US"/>
        </w:rPr>
        <w:t>9</w:t>
      </w:r>
      <w:r w:rsidRPr="004F289D">
        <w:rPr>
          <w:rFonts w:eastAsia="Aptos" w:cs="Times New Roman"/>
          <w:b/>
          <w:bCs/>
          <w:sz w:val="24"/>
          <w:szCs w:val="24"/>
          <w:lang w:val="en-US"/>
        </w:rPr>
        <w:t xml:space="preserve">. </w:t>
      </w:r>
      <w:r w:rsidRPr="004F289D">
        <w:rPr>
          <w:rFonts w:eastAsia="Aptos" w:cs="Times New Roman"/>
          <w:sz w:val="24"/>
          <w:szCs w:val="24"/>
          <w:lang w:val="en-US"/>
        </w:rPr>
        <w:t>Harman’s one-factor test (Study 1A - USA)</w:t>
      </w:r>
    </w:p>
    <w:p w14:paraId="277C3FBC" w14:textId="77777777" w:rsidR="009302DE" w:rsidRPr="004F289D" w:rsidRDefault="009302DE" w:rsidP="00EC0F92">
      <w:pPr>
        <w:spacing w:line="278" w:lineRule="auto"/>
        <w:rPr>
          <w:rFonts w:ascii="Aptos" w:eastAsia="Aptos" w:hAnsi="Aptos" w:cs="Times New Roman"/>
          <w:sz w:val="24"/>
          <w:szCs w:val="24"/>
          <w:lang/>
        </w:rPr>
      </w:pPr>
    </w:p>
    <w:tbl>
      <w:tblPr>
        <w:tblW w:w="9408" w:type="dxa"/>
        <w:tblLayout w:type="fixed"/>
        <w:tblCellMar>
          <w:left w:w="0" w:type="dxa"/>
          <w:right w:w="0" w:type="dxa"/>
        </w:tblCellMar>
        <w:tblLook w:val="0000" w:firstRow="0" w:lastRow="0" w:firstColumn="0" w:lastColumn="0" w:noHBand="0" w:noVBand="0"/>
      </w:tblPr>
      <w:tblGrid>
        <w:gridCol w:w="1284"/>
        <w:gridCol w:w="1105"/>
        <w:gridCol w:w="1447"/>
        <w:gridCol w:w="1462"/>
        <w:gridCol w:w="1202"/>
        <w:gridCol w:w="1446"/>
        <w:gridCol w:w="1462"/>
      </w:tblGrid>
      <w:tr w:rsidR="004F289D" w:rsidRPr="004F289D" w14:paraId="337E808C" w14:textId="77777777" w:rsidTr="00F75D40">
        <w:trPr>
          <w:cantSplit/>
        </w:trPr>
        <w:tc>
          <w:tcPr>
            <w:tcW w:w="9405" w:type="dxa"/>
            <w:gridSpan w:val="7"/>
            <w:tcBorders>
              <w:top w:val="nil"/>
              <w:left w:val="nil"/>
              <w:bottom w:val="nil"/>
              <w:right w:val="nil"/>
            </w:tcBorders>
            <w:shd w:val="clear" w:color="auto" w:fill="FFFFFF"/>
            <w:vAlign w:val="center"/>
          </w:tcPr>
          <w:p w14:paraId="4DE70A2F"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b/>
                <w:bCs/>
                <w:sz w:val="24"/>
                <w:szCs w:val="24"/>
                <w:lang/>
              </w:rPr>
              <w:t>Total Variance Explained</w:t>
            </w:r>
          </w:p>
        </w:tc>
      </w:tr>
      <w:tr w:rsidR="004F289D" w:rsidRPr="004F289D" w14:paraId="21C11760" w14:textId="77777777" w:rsidTr="00F75D40">
        <w:trPr>
          <w:cantSplit/>
        </w:trPr>
        <w:tc>
          <w:tcPr>
            <w:tcW w:w="1283" w:type="dxa"/>
            <w:vMerge w:val="restart"/>
            <w:tcBorders>
              <w:top w:val="nil"/>
              <w:left w:val="nil"/>
              <w:bottom w:val="nil"/>
              <w:right w:val="nil"/>
            </w:tcBorders>
            <w:shd w:val="clear" w:color="auto" w:fill="FFFFFF"/>
            <w:vAlign w:val="bottom"/>
          </w:tcPr>
          <w:p w14:paraId="17163BAD"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Component</w:t>
            </w:r>
          </w:p>
        </w:tc>
        <w:tc>
          <w:tcPr>
            <w:tcW w:w="4012" w:type="dxa"/>
            <w:gridSpan w:val="3"/>
            <w:tcBorders>
              <w:top w:val="nil"/>
              <w:left w:val="nil"/>
              <w:bottom w:val="nil"/>
              <w:right w:val="nil"/>
            </w:tcBorders>
            <w:shd w:val="clear" w:color="auto" w:fill="FFFFFF"/>
            <w:vAlign w:val="bottom"/>
          </w:tcPr>
          <w:p w14:paraId="4AFC13E5"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Initial Eigenvalues</w:t>
            </w:r>
          </w:p>
        </w:tc>
        <w:tc>
          <w:tcPr>
            <w:tcW w:w="4110" w:type="dxa"/>
            <w:gridSpan w:val="3"/>
            <w:tcBorders>
              <w:top w:val="nil"/>
              <w:left w:val="single" w:sz="8" w:space="0" w:color="E0E0E0"/>
              <w:bottom w:val="nil"/>
              <w:right w:val="nil"/>
            </w:tcBorders>
            <w:shd w:val="clear" w:color="auto" w:fill="FFFFFF"/>
            <w:vAlign w:val="bottom"/>
          </w:tcPr>
          <w:p w14:paraId="43940CEF"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Extraction Sums of Squared Loadings</w:t>
            </w:r>
          </w:p>
        </w:tc>
      </w:tr>
      <w:tr w:rsidR="004F289D" w:rsidRPr="004F289D" w14:paraId="26159255" w14:textId="77777777" w:rsidTr="00F75D40">
        <w:trPr>
          <w:cantSplit/>
        </w:trPr>
        <w:tc>
          <w:tcPr>
            <w:tcW w:w="1283" w:type="dxa"/>
            <w:vMerge/>
            <w:tcBorders>
              <w:top w:val="nil"/>
              <w:left w:val="nil"/>
              <w:bottom w:val="nil"/>
              <w:right w:val="nil"/>
            </w:tcBorders>
            <w:shd w:val="clear" w:color="auto" w:fill="FFFFFF"/>
            <w:vAlign w:val="bottom"/>
          </w:tcPr>
          <w:p w14:paraId="07AA7C98" w14:textId="77777777" w:rsidR="00EC0F92" w:rsidRPr="004F289D" w:rsidRDefault="00EC0F92" w:rsidP="00EC0F92">
            <w:pPr>
              <w:spacing w:after="0" w:line="240" w:lineRule="auto"/>
              <w:rPr>
                <w:rFonts w:eastAsia="Aptos" w:cs="Times New Roman"/>
                <w:sz w:val="24"/>
                <w:szCs w:val="24"/>
                <w:lang/>
              </w:rPr>
            </w:pPr>
          </w:p>
        </w:tc>
        <w:tc>
          <w:tcPr>
            <w:tcW w:w="1104" w:type="dxa"/>
            <w:tcBorders>
              <w:top w:val="nil"/>
              <w:left w:val="nil"/>
              <w:bottom w:val="single" w:sz="8" w:space="0" w:color="152935"/>
              <w:right w:val="single" w:sz="8" w:space="0" w:color="E0E0E0"/>
            </w:tcBorders>
            <w:shd w:val="clear" w:color="auto" w:fill="FFFFFF"/>
            <w:vAlign w:val="bottom"/>
          </w:tcPr>
          <w:p w14:paraId="327A87F8"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Total</w:t>
            </w:r>
          </w:p>
        </w:tc>
        <w:tc>
          <w:tcPr>
            <w:tcW w:w="1446" w:type="dxa"/>
            <w:tcBorders>
              <w:top w:val="nil"/>
              <w:left w:val="single" w:sz="8" w:space="0" w:color="E0E0E0"/>
              <w:bottom w:val="single" w:sz="8" w:space="0" w:color="152935"/>
              <w:right w:val="single" w:sz="8" w:space="0" w:color="E0E0E0"/>
            </w:tcBorders>
            <w:shd w:val="clear" w:color="auto" w:fill="FFFFFF"/>
            <w:vAlign w:val="bottom"/>
          </w:tcPr>
          <w:p w14:paraId="21BF0A24"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 of Variance</w:t>
            </w:r>
          </w:p>
        </w:tc>
        <w:tc>
          <w:tcPr>
            <w:tcW w:w="1462" w:type="dxa"/>
            <w:tcBorders>
              <w:top w:val="nil"/>
              <w:left w:val="single" w:sz="8" w:space="0" w:color="E0E0E0"/>
              <w:bottom w:val="single" w:sz="8" w:space="0" w:color="152935"/>
              <w:right w:val="nil"/>
            </w:tcBorders>
            <w:shd w:val="clear" w:color="auto" w:fill="FFFFFF"/>
            <w:vAlign w:val="bottom"/>
          </w:tcPr>
          <w:p w14:paraId="38F4C0C6"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Cumulative %</w:t>
            </w:r>
          </w:p>
        </w:tc>
        <w:tc>
          <w:tcPr>
            <w:tcW w:w="1202" w:type="dxa"/>
            <w:tcBorders>
              <w:top w:val="nil"/>
              <w:left w:val="single" w:sz="8" w:space="0" w:color="E0E0E0"/>
              <w:bottom w:val="single" w:sz="8" w:space="0" w:color="152935"/>
              <w:right w:val="single" w:sz="8" w:space="0" w:color="E0E0E0"/>
            </w:tcBorders>
            <w:shd w:val="clear" w:color="auto" w:fill="FFFFFF"/>
            <w:vAlign w:val="bottom"/>
          </w:tcPr>
          <w:p w14:paraId="20944087"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Total</w:t>
            </w:r>
          </w:p>
        </w:tc>
        <w:tc>
          <w:tcPr>
            <w:tcW w:w="1446" w:type="dxa"/>
            <w:tcBorders>
              <w:top w:val="nil"/>
              <w:left w:val="single" w:sz="8" w:space="0" w:color="E0E0E0"/>
              <w:bottom w:val="single" w:sz="8" w:space="0" w:color="152935"/>
              <w:right w:val="single" w:sz="8" w:space="0" w:color="E0E0E0"/>
            </w:tcBorders>
            <w:shd w:val="clear" w:color="auto" w:fill="FFFFFF"/>
            <w:vAlign w:val="bottom"/>
          </w:tcPr>
          <w:p w14:paraId="727C314A"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 of Variance</w:t>
            </w:r>
          </w:p>
        </w:tc>
        <w:tc>
          <w:tcPr>
            <w:tcW w:w="1462" w:type="dxa"/>
            <w:tcBorders>
              <w:top w:val="nil"/>
              <w:left w:val="single" w:sz="8" w:space="0" w:color="E0E0E0"/>
              <w:bottom w:val="single" w:sz="8" w:space="0" w:color="152935"/>
              <w:right w:val="nil"/>
            </w:tcBorders>
            <w:shd w:val="clear" w:color="auto" w:fill="FFFFFF"/>
            <w:vAlign w:val="bottom"/>
          </w:tcPr>
          <w:p w14:paraId="217BD135"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Cumulative %</w:t>
            </w:r>
          </w:p>
        </w:tc>
      </w:tr>
      <w:tr w:rsidR="004F289D" w:rsidRPr="004F289D" w14:paraId="267B616A" w14:textId="77777777" w:rsidTr="00F75D40">
        <w:trPr>
          <w:cantSplit/>
        </w:trPr>
        <w:tc>
          <w:tcPr>
            <w:tcW w:w="1283" w:type="dxa"/>
            <w:tcBorders>
              <w:top w:val="single" w:sz="8" w:space="0" w:color="152935"/>
              <w:left w:val="nil"/>
              <w:bottom w:val="single" w:sz="8" w:space="0" w:color="AEAEAE"/>
              <w:right w:val="nil"/>
            </w:tcBorders>
            <w:shd w:val="clear" w:color="auto" w:fill="E0E0E0"/>
          </w:tcPr>
          <w:p w14:paraId="249B8393"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w:t>
            </w:r>
          </w:p>
        </w:tc>
        <w:tc>
          <w:tcPr>
            <w:tcW w:w="1104" w:type="dxa"/>
            <w:tcBorders>
              <w:top w:val="single" w:sz="8" w:space="0" w:color="152935"/>
              <w:left w:val="nil"/>
              <w:bottom w:val="single" w:sz="8" w:space="0" w:color="AEAEAE"/>
              <w:right w:val="single" w:sz="8" w:space="0" w:color="E0E0E0"/>
            </w:tcBorders>
            <w:shd w:val="clear" w:color="auto" w:fill="F9F9FB"/>
          </w:tcPr>
          <w:p w14:paraId="7D1356D2" w14:textId="24679F06"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4</w:t>
            </w:r>
            <w:r w:rsidR="00F9529B" w:rsidRPr="004F289D">
              <w:rPr>
                <w:rFonts w:eastAsia="Aptos" w:cs="Times New Roman"/>
                <w:sz w:val="24"/>
                <w:szCs w:val="24"/>
                <w:lang/>
              </w:rPr>
              <w:t>.</w:t>
            </w:r>
            <w:r w:rsidRPr="004F289D">
              <w:rPr>
                <w:rFonts w:eastAsia="Aptos" w:cs="Times New Roman"/>
                <w:sz w:val="24"/>
                <w:szCs w:val="24"/>
                <w:lang/>
              </w:rPr>
              <w:t>123</w:t>
            </w:r>
          </w:p>
        </w:tc>
        <w:tc>
          <w:tcPr>
            <w:tcW w:w="1446" w:type="dxa"/>
            <w:tcBorders>
              <w:top w:val="single" w:sz="8" w:space="0" w:color="152935"/>
              <w:left w:val="single" w:sz="8" w:space="0" w:color="E0E0E0"/>
              <w:bottom w:val="single" w:sz="8" w:space="0" w:color="AEAEAE"/>
              <w:right w:val="single" w:sz="8" w:space="0" w:color="E0E0E0"/>
            </w:tcBorders>
            <w:shd w:val="clear" w:color="auto" w:fill="F9F9FB"/>
          </w:tcPr>
          <w:p w14:paraId="69F6ADDF" w14:textId="2EAD3B1D"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22</w:t>
            </w:r>
            <w:r w:rsidR="00F9529B" w:rsidRPr="004F289D">
              <w:rPr>
                <w:rFonts w:eastAsia="Aptos" w:cs="Times New Roman"/>
                <w:sz w:val="24"/>
                <w:szCs w:val="24"/>
                <w:lang/>
              </w:rPr>
              <w:t>.</w:t>
            </w:r>
            <w:r w:rsidRPr="004F289D">
              <w:rPr>
                <w:rFonts w:eastAsia="Aptos" w:cs="Times New Roman"/>
                <w:sz w:val="24"/>
                <w:szCs w:val="24"/>
                <w:lang/>
              </w:rPr>
              <w:t>903</w:t>
            </w:r>
          </w:p>
        </w:tc>
        <w:tc>
          <w:tcPr>
            <w:tcW w:w="1462" w:type="dxa"/>
            <w:tcBorders>
              <w:top w:val="single" w:sz="8" w:space="0" w:color="152935"/>
              <w:left w:val="single" w:sz="8" w:space="0" w:color="E0E0E0"/>
              <w:bottom w:val="single" w:sz="8" w:space="0" w:color="AEAEAE"/>
              <w:right w:val="nil"/>
            </w:tcBorders>
            <w:shd w:val="clear" w:color="auto" w:fill="F9F9FB"/>
          </w:tcPr>
          <w:p w14:paraId="37794052" w14:textId="0A399581"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22</w:t>
            </w:r>
            <w:r w:rsidR="00F9529B" w:rsidRPr="004F289D">
              <w:rPr>
                <w:rFonts w:eastAsia="Aptos" w:cs="Times New Roman"/>
                <w:sz w:val="24"/>
                <w:szCs w:val="24"/>
                <w:lang/>
              </w:rPr>
              <w:t>.</w:t>
            </w:r>
            <w:r w:rsidRPr="004F289D">
              <w:rPr>
                <w:rFonts w:eastAsia="Aptos" w:cs="Times New Roman"/>
                <w:sz w:val="24"/>
                <w:szCs w:val="24"/>
                <w:lang/>
              </w:rPr>
              <w:t>903</w:t>
            </w:r>
          </w:p>
        </w:tc>
        <w:tc>
          <w:tcPr>
            <w:tcW w:w="1202" w:type="dxa"/>
            <w:tcBorders>
              <w:top w:val="single" w:sz="8" w:space="0" w:color="152935"/>
              <w:left w:val="single" w:sz="8" w:space="0" w:color="E0E0E0"/>
              <w:bottom w:val="single" w:sz="8" w:space="0" w:color="AEAEAE"/>
              <w:right w:val="single" w:sz="8" w:space="0" w:color="E0E0E0"/>
            </w:tcBorders>
            <w:shd w:val="clear" w:color="auto" w:fill="F9F9FB"/>
          </w:tcPr>
          <w:p w14:paraId="41A54A61" w14:textId="6B494A1B"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4</w:t>
            </w:r>
            <w:r w:rsidR="00F9529B" w:rsidRPr="004F289D">
              <w:rPr>
                <w:rFonts w:eastAsia="Aptos" w:cs="Times New Roman"/>
                <w:sz w:val="24"/>
                <w:szCs w:val="24"/>
                <w:lang/>
              </w:rPr>
              <w:t>.</w:t>
            </w:r>
            <w:r w:rsidRPr="004F289D">
              <w:rPr>
                <w:rFonts w:eastAsia="Aptos" w:cs="Times New Roman"/>
                <w:sz w:val="24"/>
                <w:szCs w:val="24"/>
                <w:lang/>
              </w:rPr>
              <w:t>123</w:t>
            </w:r>
          </w:p>
        </w:tc>
        <w:tc>
          <w:tcPr>
            <w:tcW w:w="1446" w:type="dxa"/>
            <w:tcBorders>
              <w:top w:val="single" w:sz="8" w:space="0" w:color="152935"/>
              <w:left w:val="single" w:sz="8" w:space="0" w:color="E0E0E0"/>
              <w:bottom w:val="single" w:sz="8" w:space="0" w:color="AEAEAE"/>
              <w:right w:val="single" w:sz="8" w:space="0" w:color="E0E0E0"/>
            </w:tcBorders>
            <w:shd w:val="clear" w:color="auto" w:fill="F9F9FB"/>
          </w:tcPr>
          <w:p w14:paraId="7D2334BD" w14:textId="015432F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22</w:t>
            </w:r>
            <w:r w:rsidR="00F9529B" w:rsidRPr="004F289D">
              <w:rPr>
                <w:rFonts w:eastAsia="Aptos" w:cs="Times New Roman"/>
                <w:sz w:val="24"/>
                <w:szCs w:val="24"/>
                <w:lang/>
              </w:rPr>
              <w:t>.</w:t>
            </w:r>
            <w:r w:rsidRPr="004F289D">
              <w:rPr>
                <w:rFonts w:eastAsia="Aptos" w:cs="Times New Roman"/>
                <w:sz w:val="24"/>
                <w:szCs w:val="24"/>
                <w:lang/>
              </w:rPr>
              <w:t>903</w:t>
            </w:r>
          </w:p>
        </w:tc>
        <w:tc>
          <w:tcPr>
            <w:tcW w:w="1462" w:type="dxa"/>
            <w:tcBorders>
              <w:top w:val="single" w:sz="8" w:space="0" w:color="152935"/>
              <w:left w:val="single" w:sz="8" w:space="0" w:color="E0E0E0"/>
              <w:bottom w:val="single" w:sz="8" w:space="0" w:color="AEAEAE"/>
              <w:right w:val="nil"/>
            </w:tcBorders>
            <w:shd w:val="clear" w:color="auto" w:fill="F9F9FB"/>
          </w:tcPr>
          <w:p w14:paraId="4AAB3E21" w14:textId="63E28B6B"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22</w:t>
            </w:r>
            <w:r w:rsidR="00F9529B" w:rsidRPr="004F289D">
              <w:rPr>
                <w:rFonts w:eastAsia="Aptos" w:cs="Times New Roman"/>
                <w:sz w:val="24"/>
                <w:szCs w:val="24"/>
                <w:lang/>
              </w:rPr>
              <w:t>.</w:t>
            </w:r>
            <w:r w:rsidRPr="004F289D">
              <w:rPr>
                <w:rFonts w:eastAsia="Aptos" w:cs="Times New Roman"/>
                <w:sz w:val="24"/>
                <w:szCs w:val="24"/>
                <w:lang/>
              </w:rPr>
              <w:t>903</w:t>
            </w:r>
          </w:p>
        </w:tc>
      </w:tr>
      <w:tr w:rsidR="004F289D" w:rsidRPr="004F289D" w14:paraId="1C1F20E8"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654E8C9"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2</w:t>
            </w:r>
          </w:p>
        </w:tc>
        <w:tc>
          <w:tcPr>
            <w:tcW w:w="1104" w:type="dxa"/>
            <w:tcBorders>
              <w:top w:val="single" w:sz="8" w:space="0" w:color="AEAEAE"/>
              <w:left w:val="nil"/>
              <w:bottom w:val="single" w:sz="8" w:space="0" w:color="AEAEAE"/>
              <w:right w:val="single" w:sz="8" w:space="0" w:color="E0E0E0"/>
            </w:tcBorders>
            <w:shd w:val="clear" w:color="auto" w:fill="F9F9FB"/>
          </w:tcPr>
          <w:p w14:paraId="62735995" w14:textId="24917825"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3</w:t>
            </w:r>
            <w:r w:rsidR="00F9529B" w:rsidRPr="004F289D">
              <w:rPr>
                <w:rFonts w:eastAsia="Aptos" w:cs="Times New Roman"/>
                <w:sz w:val="24"/>
                <w:szCs w:val="24"/>
                <w:lang/>
              </w:rPr>
              <w:t>.</w:t>
            </w:r>
            <w:r w:rsidRPr="004F289D">
              <w:rPr>
                <w:rFonts w:eastAsia="Aptos" w:cs="Times New Roman"/>
                <w:sz w:val="24"/>
                <w:szCs w:val="24"/>
                <w:lang/>
              </w:rPr>
              <w:t>236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7E409EEA" w14:textId="4F5FC72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17</w:t>
            </w:r>
            <w:r w:rsidR="00F9529B" w:rsidRPr="004F289D">
              <w:rPr>
                <w:rFonts w:eastAsia="Aptos" w:cs="Times New Roman"/>
                <w:sz w:val="24"/>
                <w:szCs w:val="24"/>
                <w:lang/>
              </w:rPr>
              <w:t>.</w:t>
            </w:r>
            <w:r w:rsidRPr="004F289D">
              <w:rPr>
                <w:rFonts w:eastAsia="Aptos" w:cs="Times New Roman"/>
                <w:sz w:val="24"/>
                <w:szCs w:val="24"/>
                <w:lang/>
              </w:rPr>
              <w:t>980</w:t>
            </w:r>
          </w:p>
        </w:tc>
        <w:tc>
          <w:tcPr>
            <w:tcW w:w="1462" w:type="dxa"/>
            <w:tcBorders>
              <w:top w:val="single" w:sz="8" w:space="0" w:color="AEAEAE"/>
              <w:left w:val="single" w:sz="8" w:space="0" w:color="E0E0E0"/>
              <w:bottom w:val="single" w:sz="8" w:space="0" w:color="AEAEAE"/>
              <w:right w:val="nil"/>
            </w:tcBorders>
            <w:shd w:val="clear" w:color="auto" w:fill="F9F9FB"/>
          </w:tcPr>
          <w:p w14:paraId="101D6588" w14:textId="3DAECA5B"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40</w:t>
            </w:r>
            <w:r w:rsidR="00F9529B" w:rsidRPr="004F289D">
              <w:rPr>
                <w:rFonts w:eastAsia="Aptos" w:cs="Times New Roman"/>
                <w:sz w:val="24"/>
                <w:szCs w:val="24"/>
                <w:lang/>
              </w:rPr>
              <w:t>.</w:t>
            </w:r>
            <w:r w:rsidRPr="004F289D">
              <w:rPr>
                <w:rFonts w:eastAsia="Aptos" w:cs="Times New Roman"/>
                <w:sz w:val="24"/>
                <w:szCs w:val="24"/>
                <w:lang/>
              </w:rPr>
              <w:t>884</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2CCC2E2"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45D45F3"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95139B1" w14:textId="77777777" w:rsidR="00EC0F92" w:rsidRPr="004F289D" w:rsidRDefault="00EC0F92" w:rsidP="00EC0F92">
            <w:pPr>
              <w:spacing w:after="0" w:line="240" w:lineRule="auto"/>
              <w:rPr>
                <w:rFonts w:eastAsia="Aptos" w:cs="Times New Roman"/>
                <w:sz w:val="24"/>
                <w:szCs w:val="24"/>
                <w:lang/>
              </w:rPr>
            </w:pPr>
          </w:p>
        </w:tc>
      </w:tr>
      <w:tr w:rsidR="004F289D" w:rsidRPr="004F289D" w14:paraId="155A9B61"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713E2371"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3</w:t>
            </w:r>
          </w:p>
        </w:tc>
        <w:tc>
          <w:tcPr>
            <w:tcW w:w="1104" w:type="dxa"/>
            <w:tcBorders>
              <w:top w:val="single" w:sz="8" w:space="0" w:color="AEAEAE"/>
              <w:left w:val="nil"/>
              <w:bottom w:val="single" w:sz="8" w:space="0" w:color="AEAEAE"/>
              <w:right w:val="single" w:sz="8" w:space="0" w:color="E0E0E0"/>
            </w:tcBorders>
            <w:shd w:val="clear" w:color="auto" w:fill="F9F9FB"/>
          </w:tcPr>
          <w:p w14:paraId="77E2AAF8" w14:textId="13389C59"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w:t>
            </w:r>
            <w:r w:rsidR="00F9529B" w:rsidRPr="004F289D">
              <w:rPr>
                <w:rFonts w:eastAsia="Aptos" w:cs="Times New Roman"/>
                <w:sz w:val="24"/>
                <w:szCs w:val="24"/>
                <w:lang/>
              </w:rPr>
              <w:t>.</w:t>
            </w:r>
            <w:r w:rsidRPr="004F289D">
              <w:rPr>
                <w:rFonts w:eastAsia="Aptos" w:cs="Times New Roman"/>
                <w:sz w:val="24"/>
                <w:szCs w:val="24"/>
                <w:lang/>
              </w:rPr>
              <w:t>675</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4DC5F549" w14:textId="195603B3"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14</w:t>
            </w:r>
            <w:r w:rsidR="00F9529B" w:rsidRPr="004F289D">
              <w:rPr>
                <w:rFonts w:eastAsia="Aptos" w:cs="Times New Roman"/>
                <w:sz w:val="24"/>
                <w:szCs w:val="24"/>
                <w:lang/>
              </w:rPr>
              <w:t>.</w:t>
            </w:r>
            <w:r w:rsidRPr="004F289D">
              <w:rPr>
                <w:rFonts w:eastAsia="Aptos" w:cs="Times New Roman"/>
                <w:sz w:val="24"/>
                <w:szCs w:val="24"/>
                <w:lang/>
              </w:rPr>
              <w:t>860</w:t>
            </w:r>
          </w:p>
        </w:tc>
        <w:tc>
          <w:tcPr>
            <w:tcW w:w="1462" w:type="dxa"/>
            <w:tcBorders>
              <w:top w:val="single" w:sz="8" w:space="0" w:color="AEAEAE"/>
              <w:left w:val="single" w:sz="8" w:space="0" w:color="E0E0E0"/>
              <w:bottom w:val="single" w:sz="8" w:space="0" w:color="AEAEAE"/>
              <w:right w:val="nil"/>
            </w:tcBorders>
            <w:shd w:val="clear" w:color="auto" w:fill="F9F9FB"/>
          </w:tcPr>
          <w:p w14:paraId="3E5FE1D6" w14:textId="79782003"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55</w:t>
            </w:r>
            <w:r w:rsidR="00F9529B" w:rsidRPr="004F289D">
              <w:rPr>
                <w:rFonts w:eastAsia="Aptos" w:cs="Times New Roman"/>
                <w:sz w:val="24"/>
                <w:szCs w:val="24"/>
                <w:lang/>
              </w:rPr>
              <w:t>.</w:t>
            </w:r>
            <w:r w:rsidRPr="004F289D">
              <w:rPr>
                <w:rFonts w:eastAsia="Aptos" w:cs="Times New Roman"/>
                <w:sz w:val="24"/>
                <w:szCs w:val="24"/>
                <w:lang/>
              </w:rPr>
              <w:t>744</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F67B34B"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8563B4F"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2F2E114E" w14:textId="77777777" w:rsidR="00EC0F92" w:rsidRPr="004F289D" w:rsidRDefault="00EC0F92" w:rsidP="00EC0F92">
            <w:pPr>
              <w:spacing w:after="0" w:line="240" w:lineRule="auto"/>
              <w:rPr>
                <w:rFonts w:eastAsia="Aptos" w:cs="Times New Roman"/>
                <w:sz w:val="24"/>
                <w:szCs w:val="24"/>
                <w:lang/>
              </w:rPr>
            </w:pPr>
          </w:p>
        </w:tc>
      </w:tr>
      <w:tr w:rsidR="004F289D" w:rsidRPr="004F289D" w14:paraId="39A9E8BB"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50079B00"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4</w:t>
            </w:r>
          </w:p>
        </w:tc>
        <w:tc>
          <w:tcPr>
            <w:tcW w:w="1104" w:type="dxa"/>
            <w:tcBorders>
              <w:top w:val="single" w:sz="8" w:space="0" w:color="AEAEAE"/>
              <w:left w:val="nil"/>
              <w:bottom w:val="single" w:sz="8" w:space="0" w:color="AEAEAE"/>
              <w:right w:val="single" w:sz="8" w:space="0" w:color="E0E0E0"/>
            </w:tcBorders>
            <w:shd w:val="clear" w:color="auto" w:fill="F9F9FB"/>
          </w:tcPr>
          <w:p w14:paraId="4ED222C5" w14:textId="5D8DAF86"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w:t>
            </w:r>
            <w:r w:rsidR="00F9529B" w:rsidRPr="004F289D">
              <w:rPr>
                <w:rFonts w:eastAsia="Aptos" w:cs="Times New Roman"/>
                <w:sz w:val="24"/>
                <w:szCs w:val="24"/>
                <w:lang/>
              </w:rPr>
              <w:t>.</w:t>
            </w:r>
            <w:r w:rsidRPr="004F289D">
              <w:rPr>
                <w:rFonts w:eastAsia="Aptos" w:cs="Times New Roman"/>
                <w:sz w:val="24"/>
                <w:szCs w:val="24"/>
                <w:lang/>
              </w:rPr>
              <w:t>247</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6E8CBC40" w14:textId="7D744817"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12</w:t>
            </w:r>
            <w:r w:rsidR="00F9529B" w:rsidRPr="004F289D">
              <w:rPr>
                <w:rFonts w:eastAsia="Aptos" w:cs="Times New Roman"/>
                <w:sz w:val="24"/>
                <w:szCs w:val="24"/>
                <w:lang/>
              </w:rPr>
              <w:t>.</w:t>
            </w:r>
            <w:r w:rsidRPr="004F289D">
              <w:rPr>
                <w:rFonts w:eastAsia="Aptos" w:cs="Times New Roman"/>
                <w:sz w:val="24"/>
                <w:szCs w:val="24"/>
                <w:lang/>
              </w:rPr>
              <w:t>483</w:t>
            </w:r>
          </w:p>
        </w:tc>
        <w:tc>
          <w:tcPr>
            <w:tcW w:w="1462" w:type="dxa"/>
            <w:tcBorders>
              <w:top w:val="single" w:sz="8" w:space="0" w:color="AEAEAE"/>
              <w:left w:val="single" w:sz="8" w:space="0" w:color="E0E0E0"/>
              <w:bottom w:val="single" w:sz="8" w:space="0" w:color="AEAEAE"/>
              <w:right w:val="nil"/>
            </w:tcBorders>
            <w:shd w:val="clear" w:color="auto" w:fill="F9F9FB"/>
          </w:tcPr>
          <w:p w14:paraId="281ED78A" w14:textId="72C9CE47"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68</w:t>
            </w:r>
            <w:r w:rsidR="00F9529B" w:rsidRPr="004F289D">
              <w:rPr>
                <w:rFonts w:eastAsia="Aptos" w:cs="Times New Roman"/>
                <w:sz w:val="24"/>
                <w:szCs w:val="24"/>
                <w:lang/>
              </w:rPr>
              <w:t>.</w:t>
            </w:r>
            <w:r w:rsidRPr="004F289D">
              <w:rPr>
                <w:rFonts w:eastAsia="Aptos" w:cs="Times New Roman"/>
                <w:sz w:val="24"/>
                <w:szCs w:val="24"/>
                <w:lang/>
              </w:rPr>
              <w:t>227</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23F9F60"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DD20257"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1CB07CA1" w14:textId="77777777" w:rsidR="00EC0F92" w:rsidRPr="004F289D" w:rsidRDefault="00EC0F92" w:rsidP="00EC0F92">
            <w:pPr>
              <w:spacing w:after="0" w:line="240" w:lineRule="auto"/>
              <w:rPr>
                <w:rFonts w:eastAsia="Aptos" w:cs="Times New Roman"/>
                <w:sz w:val="24"/>
                <w:szCs w:val="24"/>
                <w:lang/>
              </w:rPr>
            </w:pPr>
          </w:p>
        </w:tc>
      </w:tr>
      <w:tr w:rsidR="004F289D" w:rsidRPr="004F289D" w14:paraId="6F2D0D1C"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46522945"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5</w:t>
            </w:r>
          </w:p>
        </w:tc>
        <w:tc>
          <w:tcPr>
            <w:tcW w:w="1104" w:type="dxa"/>
            <w:tcBorders>
              <w:top w:val="single" w:sz="8" w:space="0" w:color="AEAEAE"/>
              <w:left w:val="nil"/>
              <w:bottom w:val="single" w:sz="8" w:space="0" w:color="AEAEAE"/>
              <w:right w:val="single" w:sz="8" w:space="0" w:color="E0E0E0"/>
            </w:tcBorders>
            <w:shd w:val="clear" w:color="auto" w:fill="F9F9FB"/>
          </w:tcPr>
          <w:p w14:paraId="59062604" w14:textId="415F219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w:t>
            </w:r>
            <w:r w:rsidR="00F9529B" w:rsidRPr="004F289D">
              <w:rPr>
                <w:rFonts w:eastAsia="Aptos" w:cs="Times New Roman"/>
                <w:sz w:val="24"/>
                <w:szCs w:val="24"/>
                <w:lang/>
              </w:rPr>
              <w:t>.</w:t>
            </w:r>
            <w:r w:rsidRPr="004F289D">
              <w:rPr>
                <w:rFonts w:eastAsia="Aptos" w:cs="Times New Roman"/>
                <w:sz w:val="24"/>
                <w:szCs w:val="24"/>
                <w:lang/>
              </w:rPr>
              <w:t>635</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5BED3B26" w14:textId="706186B2"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w:t>
            </w:r>
            <w:r w:rsidR="00F9529B" w:rsidRPr="004F289D">
              <w:rPr>
                <w:rFonts w:eastAsia="Aptos" w:cs="Times New Roman"/>
                <w:sz w:val="24"/>
                <w:szCs w:val="24"/>
                <w:lang/>
              </w:rPr>
              <w:t>.</w:t>
            </w:r>
            <w:r w:rsidRPr="004F289D">
              <w:rPr>
                <w:rFonts w:eastAsia="Aptos" w:cs="Times New Roman"/>
                <w:sz w:val="24"/>
                <w:szCs w:val="24"/>
                <w:lang/>
              </w:rPr>
              <w:t>083</w:t>
            </w:r>
          </w:p>
        </w:tc>
        <w:tc>
          <w:tcPr>
            <w:tcW w:w="1462" w:type="dxa"/>
            <w:tcBorders>
              <w:top w:val="single" w:sz="8" w:space="0" w:color="AEAEAE"/>
              <w:left w:val="single" w:sz="8" w:space="0" w:color="E0E0E0"/>
              <w:bottom w:val="single" w:sz="8" w:space="0" w:color="AEAEAE"/>
              <w:right w:val="nil"/>
            </w:tcBorders>
            <w:shd w:val="clear" w:color="auto" w:fill="F9F9FB"/>
          </w:tcPr>
          <w:p w14:paraId="3702F686" w14:textId="0EDFB39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77</w:t>
            </w:r>
            <w:r w:rsidR="00F9529B" w:rsidRPr="004F289D">
              <w:rPr>
                <w:rFonts w:eastAsia="Aptos" w:cs="Times New Roman"/>
                <w:sz w:val="24"/>
                <w:szCs w:val="24"/>
                <w:lang/>
              </w:rPr>
              <w:t>.</w:t>
            </w:r>
            <w:r w:rsidRPr="004F289D">
              <w:rPr>
                <w:rFonts w:eastAsia="Aptos" w:cs="Times New Roman"/>
                <w:sz w:val="24"/>
                <w:szCs w:val="24"/>
                <w:lang/>
              </w:rPr>
              <w:t>310</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7B844BB"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3316970"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9A6CDAB" w14:textId="77777777" w:rsidR="00EC0F92" w:rsidRPr="004F289D" w:rsidRDefault="00EC0F92" w:rsidP="00EC0F92">
            <w:pPr>
              <w:spacing w:after="0" w:line="240" w:lineRule="auto"/>
              <w:rPr>
                <w:rFonts w:eastAsia="Aptos" w:cs="Times New Roman"/>
                <w:sz w:val="24"/>
                <w:szCs w:val="24"/>
                <w:lang/>
              </w:rPr>
            </w:pPr>
          </w:p>
        </w:tc>
      </w:tr>
      <w:tr w:rsidR="004F289D" w:rsidRPr="004F289D" w14:paraId="398F28BC"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2E5CCBE8"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6</w:t>
            </w:r>
          </w:p>
        </w:tc>
        <w:tc>
          <w:tcPr>
            <w:tcW w:w="1104" w:type="dxa"/>
            <w:tcBorders>
              <w:top w:val="single" w:sz="8" w:space="0" w:color="AEAEAE"/>
              <w:left w:val="nil"/>
              <w:bottom w:val="single" w:sz="8" w:space="0" w:color="AEAEAE"/>
              <w:right w:val="single" w:sz="8" w:space="0" w:color="E0E0E0"/>
            </w:tcBorders>
            <w:shd w:val="clear" w:color="auto" w:fill="F9F9FB"/>
          </w:tcPr>
          <w:p w14:paraId="390749F0" w14:textId="1D39381B"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w:t>
            </w:r>
            <w:r w:rsidR="00F9529B" w:rsidRPr="004F289D">
              <w:rPr>
                <w:rFonts w:eastAsia="Aptos" w:cs="Times New Roman"/>
                <w:sz w:val="24"/>
                <w:szCs w:val="24"/>
                <w:lang/>
              </w:rPr>
              <w:t>.</w:t>
            </w:r>
            <w:r w:rsidRPr="004F289D">
              <w:rPr>
                <w:rFonts w:eastAsia="Aptos" w:cs="Times New Roman"/>
                <w:sz w:val="24"/>
                <w:szCs w:val="24"/>
                <w:lang/>
              </w:rPr>
              <w:t>186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67AC610A" w14:textId="6689A925"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6</w:t>
            </w:r>
            <w:r w:rsidR="00F9529B" w:rsidRPr="004F289D">
              <w:rPr>
                <w:rFonts w:eastAsia="Aptos" w:cs="Times New Roman"/>
                <w:sz w:val="24"/>
                <w:szCs w:val="24"/>
                <w:lang/>
              </w:rPr>
              <w:t>.</w:t>
            </w:r>
            <w:r w:rsidRPr="004F289D">
              <w:rPr>
                <w:rFonts w:eastAsia="Aptos" w:cs="Times New Roman"/>
                <w:sz w:val="24"/>
                <w:szCs w:val="24"/>
                <w:lang/>
              </w:rPr>
              <w:t>588</w:t>
            </w:r>
          </w:p>
        </w:tc>
        <w:tc>
          <w:tcPr>
            <w:tcW w:w="1462" w:type="dxa"/>
            <w:tcBorders>
              <w:top w:val="single" w:sz="8" w:space="0" w:color="AEAEAE"/>
              <w:left w:val="single" w:sz="8" w:space="0" w:color="E0E0E0"/>
              <w:bottom w:val="single" w:sz="8" w:space="0" w:color="AEAEAE"/>
              <w:right w:val="nil"/>
            </w:tcBorders>
            <w:shd w:val="clear" w:color="auto" w:fill="F9F9FB"/>
          </w:tcPr>
          <w:p w14:paraId="5B13A934" w14:textId="68904774"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83</w:t>
            </w:r>
            <w:r w:rsidR="00F9529B" w:rsidRPr="004F289D">
              <w:rPr>
                <w:rFonts w:eastAsia="Aptos" w:cs="Times New Roman"/>
                <w:sz w:val="24"/>
                <w:szCs w:val="24"/>
                <w:lang/>
              </w:rPr>
              <w:t>.</w:t>
            </w:r>
            <w:r w:rsidRPr="004F289D">
              <w:rPr>
                <w:rFonts w:eastAsia="Aptos" w:cs="Times New Roman"/>
                <w:sz w:val="24"/>
                <w:szCs w:val="24"/>
                <w:lang/>
              </w:rPr>
              <w:t>898</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C4F114D"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0576F8C"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55F06A7" w14:textId="77777777" w:rsidR="00EC0F92" w:rsidRPr="004F289D" w:rsidRDefault="00EC0F92" w:rsidP="00EC0F92">
            <w:pPr>
              <w:spacing w:after="0" w:line="240" w:lineRule="auto"/>
              <w:rPr>
                <w:rFonts w:eastAsia="Aptos" w:cs="Times New Roman"/>
                <w:sz w:val="24"/>
                <w:szCs w:val="24"/>
                <w:lang/>
              </w:rPr>
            </w:pPr>
          </w:p>
        </w:tc>
      </w:tr>
      <w:tr w:rsidR="004F289D" w:rsidRPr="004F289D" w14:paraId="6D74C192"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441A75A2"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7</w:t>
            </w:r>
          </w:p>
        </w:tc>
        <w:tc>
          <w:tcPr>
            <w:tcW w:w="1104" w:type="dxa"/>
            <w:tcBorders>
              <w:top w:val="single" w:sz="8" w:space="0" w:color="AEAEAE"/>
              <w:left w:val="nil"/>
              <w:bottom w:val="single" w:sz="8" w:space="0" w:color="AEAEAE"/>
              <w:right w:val="single" w:sz="8" w:space="0" w:color="E0E0E0"/>
            </w:tcBorders>
            <w:shd w:val="clear" w:color="auto" w:fill="F9F9FB"/>
          </w:tcPr>
          <w:p w14:paraId="461FB0AD" w14:textId="77CD3975"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597</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48C9BB1B" w14:textId="2591677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3</w:t>
            </w:r>
            <w:r w:rsidR="00F9529B" w:rsidRPr="004F289D">
              <w:rPr>
                <w:rFonts w:eastAsia="Aptos" w:cs="Times New Roman"/>
                <w:sz w:val="24"/>
                <w:szCs w:val="24"/>
                <w:lang/>
              </w:rPr>
              <w:t>.</w:t>
            </w:r>
            <w:r w:rsidRPr="004F289D">
              <w:rPr>
                <w:rFonts w:eastAsia="Aptos" w:cs="Times New Roman"/>
                <w:sz w:val="24"/>
                <w:szCs w:val="24"/>
                <w:lang/>
              </w:rPr>
              <w:t>318</w:t>
            </w:r>
          </w:p>
        </w:tc>
        <w:tc>
          <w:tcPr>
            <w:tcW w:w="1462" w:type="dxa"/>
            <w:tcBorders>
              <w:top w:val="single" w:sz="8" w:space="0" w:color="AEAEAE"/>
              <w:left w:val="single" w:sz="8" w:space="0" w:color="E0E0E0"/>
              <w:bottom w:val="single" w:sz="8" w:space="0" w:color="AEAEAE"/>
              <w:right w:val="nil"/>
            </w:tcBorders>
            <w:shd w:val="clear" w:color="auto" w:fill="F9F9FB"/>
          </w:tcPr>
          <w:p w14:paraId="7E1BE7FA" w14:textId="3A1F0837"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87</w:t>
            </w:r>
            <w:r w:rsidR="00F9529B" w:rsidRPr="004F289D">
              <w:rPr>
                <w:rFonts w:eastAsia="Aptos" w:cs="Times New Roman"/>
                <w:sz w:val="24"/>
                <w:szCs w:val="24"/>
                <w:lang/>
              </w:rPr>
              <w:t>.</w:t>
            </w:r>
            <w:r w:rsidRPr="004F289D">
              <w:rPr>
                <w:rFonts w:eastAsia="Aptos" w:cs="Times New Roman"/>
                <w:sz w:val="24"/>
                <w:szCs w:val="24"/>
                <w:lang/>
              </w:rPr>
              <w:t>216</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F9F549D"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E7DC900"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6A94E727" w14:textId="77777777" w:rsidR="00EC0F92" w:rsidRPr="004F289D" w:rsidRDefault="00EC0F92" w:rsidP="00EC0F92">
            <w:pPr>
              <w:spacing w:after="0" w:line="240" w:lineRule="auto"/>
              <w:rPr>
                <w:rFonts w:eastAsia="Aptos" w:cs="Times New Roman"/>
                <w:sz w:val="24"/>
                <w:szCs w:val="24"/>
                <w:lang/>
              </w:rPr>
            </w:pPr>
          </w:p>
        </w:tc>
      </w:tr>
      <w:tr w:rsidR="004F289D" w:rsidRPr="004F289D" w14:paraId="63CCC07B"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3332E84A"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8</w:t>
            </w:r>
          </w:p>
        </w:tc>
        <w:tc>
          <w:tcPr>
            <w:tcW w:w="1104" w:type="dxa"/>
            <w:tcBorders>
              <w:top w:val="single" w:sz="8" w:space="0" w:color="AEAEAE"/>
              <w:left w:val="nil"/>
              <w:bottom w:val="single" w:sz="8" w:space="0" w:color="AEAEAE"/>
              <w:right w:val="single" w:sz="8" w:space="0" w:color="E0E0E0"/>
            </w:tcBorders>
            <w:shd w:val="clear" w:color="auto" w:fill="F9F9FB"/>
          </w:tcPr>
          <w:p w14:paraId="4306283D" w14:textId="172229A1"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462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5E427F54" w14:textId="7B280DF6"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w:t>
            </w:r>
            <w:r w:rsidR="00F9529B" w:rsidRPr="004F289D">
              <w:rPr>
                <w:rFonts w:eastAsia="Aptos" w:cs="Times New Roman"/>
                <w:sz w:val="24"/>
                <w:szCs w:val="24"/>
                <w:lang/>
              </w:rPr>
              <w:t>.</w:t>
            </w:r>
            <w:r w:rsidRPr="004F289D">
              <w:rPr>
                <w:rFonts w:eastAsia="Aptos" w:cs="Times New Roman"/>
                <w:sz w:val="24"/>
                <w:szCs w:val="24"/>
                <w:lang/>
              </w:rPr>
              <w:t>566</w:t>
            </w:r>
          </w:p>
        </w:tc>
        <w:tc>
          <w:tcPr>
            <w:tcW w:w="1462" w:type="dxa"/>
            <w:tcBorders>
              <w:top w:val="single" w:sz="8" w:space="0" w:color="AEAEAE"/>
              <w:left w:val="single" w:sz="8" w:space="0" w:color="E0E0E0"/>
              <w:bottom w:val="single" w:sz="8" w:space="0" w:color="AEAEAE"/>
              <w:right w:val="nil"/>
            </w:tcBorders>
            <w:shd w:val="clear" w:color="auto" w:fill="F9F9FB"/>
          </w:tcPr>
          <w:p w14:paraId="381BAB2F" w14:textId="599AB67A"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89</w:t>
            </w:r>
            <w:r w:rsidR="00F9529B" w:rsidRPr="004F289D">
              <w:rPr>
                <w:rFonts w:eastAsia="Aptos" w:cs="Times New Roman"/>
                <w:sz w:val="24"/>
                <w:szCs w:val="24"/>
                <w:lang/>
              </w:rPr>
              <w:t>.</w:t>
            </w:r>
            <w:r w:rsidRPr="004F289D">
              <w:rPr>
                <w:rFonts w:eastAsia="Aptos" w:cs="Times New Roman"/>
                <w:sz w:val="24"/>
                <w:szCs w:val="24"/>
                <w:lang/>
              </w:rPr>
              <w:t>783</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882F29C"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2A1F78D"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4AA2D4DB" w14:textId="77777777" w:rsidR="00EC0F92" w:rsidRPr="004F289D" w:rsidRDefault="00EC0F92" w:rsidP="00EC0F92">
            <w:pPr>
              <w:spacing w:after="0" w:line="240" w:lineRule="auto"/>
              <w:rPr>
                <w:rFonts w:eastAsia="Aptos" w:cs="Times New Roman"/>
                <w:sz w:val="24"/>
                <w:szCs w:val="24"/>
                <w:lang/>
              </w:rPr>
            </w:pPr>
          </w:p>
        </w:tc>
      </w:tr>
      <w:tr w:rsidR="004F289D" w:rsidRPr="004F289D" w14:paraId="70421DAE"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4101103E"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9</w:t>
            </w:r>
          </w:p>
        </w:tc>
        <w:tc>
          <w:tcPr>
            <w:tcW w:w="1104" w:type="dxa"/>
            <w:tcBorders>
              <w:top w:val="single" w:sz="8" w:space="0" w:color="AEAEAE"/>
              <w:left w:val="nil"/>
              <w:bottom w:val="single" w:sz="8" w:space="0" w:color="AEAEAE"/>
              <w:right w:val="single" w:sz="8" w:space="0" w:color="E0E0E0"/>
            </w:tcBorders>
            <w:shd w:val="clear" w:color="auto" w:fill="F9F9FB"/>
          </w:tcPr>
          <w:p w14:paraId="60D8E107" w14:textId="14A3BD2A"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435</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7B3DC6D2" w14:textId="3BFFE9A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2</w:t>
            </w:r>
            <w:r w:rsidR="00F9529B" w:rsidRPr="004F289D">
              <w:rPr>
                <w:rFonts w:eastAsia="Aptos" w:cs="Times New Roman"/>
                <w:sz w:val="24"/>
                <w:szCs w:val="24"/>
                <w:lang/>
              </w:rPr>
              <w:t>.</w:t>
            </w:r>
            <w:r w:rsidRPr="004F289D">
              <w:rPr>
                <w:rFonts w:eastAsia="Aptos" w:cs="Times New Roman"/>
                <w:sz w:val="24"/>
                <w:szCs w:val="24"/>
                <w:lang/>
              </w:rPr>
              <w:t>417</w:t>
            </w:r>
          </w:p>
        </w:tc>
        <w:tc>
          <w:tcPr>
            <w:tcW w:w="1462" w:type="dxa"/>
            <w:tcBorders>
              <w:top w:val="single" w:sz="8" w:space="0" w:color="AEAEAE"/>
              <w:left w:val="single" w:sz="8" w:space="0" w:color="E0E0E0"/>
              <w:bottom w:val="single" w:sz="8" w:space="0" w:color="AEAEAE"/>
              <w:right w:val="nil"/>
            </w:tcBorders>
            <w:shd w:val="clear" w:color="auto" w:fill="F9F9FB"/>
          </w:tcPr>
          <w:p w14:paraId="0C015B1B" w14:textId="7BF29CEB"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92</w:t>
            </w:r>
            <w:r w:rsidR="00F9529B" w:rsidRPr="004F289D">
              <w:rPr>
                <w:rFonts w:eastAsia="Aptos" w:cs="Times New Roman"/>
                <w:sz w:val="24"/>
                <w:szCs w:val="24"/>
                <w:lang/>
              </w:rPr>
              <w:t>.</w:t>
            </w:r>
            <w:r w:rsidRPr="004F289D">
              <w:rPr>
                <w:rFonts w:eastAsia="Aptos" w:cs="Times New Roman"/>
                <w:sz w:val="24"/>
                <w:szCs w:val="24"/>
                <w:lang/>
              </w:rPr>
              <w:t>200</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B10D52E"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FCF0C4B"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05177723" w14:textId="77777777" w:rsidR="00EC0F92" w:rsidRPr="004F289D" w:rsidRDefault="00EC0F92" w:rsidP="00EC0F92">
            <w:pPr>
              <w:spacing w:after="0" w:line="240" w:lineRule="auto"/>
              <w:rPr>
                <w:rFonts w:eastAsia="Aptos" w:cs="Times New Roman"/>
                <w:sz w:val="24"/>
                <w:szCs w:val="24"/>
                <w:lang/>
              </w:rPr>
            </w:pPr>
          </w:p>
        </w:tc>
      </w:tr>
      <w:tr w:rsidR="004F289D" w:rsidRPr="004F289D" w14:paraId="4ACA7865"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33797D3F"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10</w:t>
            </w:r>
          </w:p>
        </w:tc>
        <w:tc>
          <w:tcPr>
            <w:tcW w:w="1104" w:type="dxa"/>
            <w:tcBorders>
              <w:top w:val="single" w:sz="8" w:space="0" w:color="AEAEAE"/>
              <w:left w:val="nil"/>
              <w:bottom w:val="single" w:sz="8" w:space="0" w:color="AEAEAE"/>
              <w:right w:val="single" w:sz="8" w:space="0" w:color="E0E0E0"/>
            </w:tcBorders>
            <w:shd w:val="clear" w:color="auto" w:fill="F9F9FB"/>
          </w:tcPr>
          <w:p w14:paraId="56C6960E" w14:textId="689CA628"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332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B776B75" w14:textId="5ED2ABA6"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w:t>
            </w:r>
            <w:r w:rsidR="00F9529B" w:rsidRPr="004F289D">
              <w:rPr>
                <w:rFonts w:eastAsia="Aptos" w:cs="Times New Roman"/>
                <w:sz w:val="24"/>
                <w:szCs w:val="24"/>
                <w:lang/>
              </w:rPr>
              <w:t>.</w:t>
            </w:r>
            <w:r w:rsidRPr="004F289D">
              <w:rPr>
                <w:rFonts w:eastAsia="Aptos" w:cs="Times New Roman"/>
                <w:sz w:val="24"/>
                <w:szCs w:val="24"/>
                <w:lang/>
              </w:rPr>
              <w:t>845</w:t>
            </w:r>
          </w:p>
        </w:tc>
        <w:tc>
          <w:tcPr>
            <w:tcW w:w="1462" w:type="dxa"/>
            <w:tcBorders>
              <w:top w:val="single" w:sz="8" w:space="0" w:color="AEAEAE"/>
              <w:left w:val="single" w:sz="8" w:space="0" w:color="E0E0E0"/>
              <w:bottom w:val="single" w:sz="8" w:space="0" w:color="AEAEAE"/>
              <w:right w:val="nil"/>
            </w:tcBorders>
            <w:shd w:val="clear" w:color="auto" w:fill="F9F9FB"/>
          </w:tcPr>
          <w:p w14:paraId="4F622F36" w14:textId="220A321E"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94</w:t>
            </w:r>
            <w:r w:rsidR="00F9529B" w:rsidRPr="004F289D">
              <w:rPr>
                <w:rFonts w:eastAsia="Aptos" w:cs="Times New Roman"/>
                <w:sz w:val="24"/>
                <w:szCs w:val="24"/>
                <w:lang/>
              </w:rPr>
              <w:t>.</w:t>
            </w:r>
            <w:r w:rsidRPr="004F289D">
              <w:rPr>
                <w:rFonts w:eastAsia="Aptos" w:cs="Times New Roman"/>
                <w:sz w:val="24"/>
                <w:szCs w:val="24"/>
                <w:lang/>
              </w:rPr>
              <w:t>044</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4B9FDF1"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E4FB96D"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03897141" w14:textId="77777777" w:rsidR="00EC0F92" w:rsidRPr="004F289D" w:rsidRDefault="00EC0F92" w:rsidP="00EC0F92">
            <w:pPr>
              <w:spacing w:after="0" w:line="240" w:lineRule="auto"/>
              <w:rPr>
                <w:rFonts w:eastAsia="Aptos" w:cs="Times New Roman"/>
                <w:sz w:val="24"/>
                <w:szCs w:val="24"/>
                <w:lang/>
              </w:rPr>
            </w:pPr>
          </w:p>
        </w:tc>
      </w:tr>
      <w:tr w:rsidR="004F289D" w:rsidRPr="004F289D" w14:paraId="35324041"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547993DB"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11</w:t>
            </w:r>
          </w:p>
        </w:tc>
        <w:tc>
          <w:tcPr>
            <w:tcW w:w="1104" w:type="dxa"/>
            <w:tcBorders>
              <w:top w:val="single" w:sz="8" w:space="0" w:color="AEAEAE"/>
              <w:left w:val="nil"/>
              <w:bottom w:val="single" w:sz="8" w:space="0" w:color="AEAEAE"/>
              <w:right w:val="single" w:sz="8" w:space="0" w:color="E0E0E0"/>
            </w:tcBorders>
            <w:shd w:val="clear" w:color="auto" w:fill="F9F9FB"/>
          </w:tcPr>
          <w:p w14:paraId="572A183E" w14:textId="5C9F4BAF"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254</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04F0DAA5" w14:textId="62A52842"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w:t>
            </w:r>
            <w:r w:rsidR="00F9529B" w:rsidRPr="004F289D">
              <w:rPr>
                <w:rFonts w:eastAsia="Aptos" w:cs="Times New Roman"/>
                <w:sz w:val="24"/>
                <w:szCs w:val="24"/>
                <w:lang/>
              </w:rPr>
              <w:t>.</w:t>
            </w:r>
            <w:r w:rsidRPr="004F289D">
              <w:rPr>
                <w:rFonts w:eastAsia="Aptos" w:cs="Times New Roman"/>
                <w:sz w:val="24"/>
                <w:szCs w:val="24"/>
                <w:lang/>
              </w:rPr>
              <w:t>411</w:t>
            </w:r>
          </w:p>
        </w:tc>
        <w:tc>
          <w:tcPr>
            <w:tcW w:w="1462" w:type="dxa"/>
            <w:tcBorders>
              <w:top w:val="single" w:sz="8" w:space="0" w:color="AEAEAE"/>
              <w:left w:val="single" w:sz="8" w:space="0" w:color="E0E0E0"/>
              <w:bottom w:val="single" w:sz="8" w:space="0" w:color="AEAEAE"/>
              <w:right w:val="nil"/>
            </w:tcBorders>
            <w:shd w:val="clear" w:color="auto" w:fill="F9F9FB"/>
          </w:tcPr>
          <w:p w14:paraId="2700906F" w14:textId="0DC52830"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95</w:t>
            </w:r>
            <w:r w:rsidR="00F9529B" w:rsidRPr="004F289D">
              <w:rPr>
                <w:rFonts w:eastAsia="Aptos" w:cs="Times New Roman"/>
                <w:sz w:val="24"/>
                <w:szCs w:val="24"/>
                <w:lang/>
              </w:rPr>
              <w:t>.</w:t>
            </w:r>
            <w:r w:rsidRPr="004F289D">
              <w:rPr>
                <w:rFonts w:eastAsia="Aptos" w:cs="Times New Roman"/>
                <w:sz w:val="24"/>
                <w:szCs w:val="24"/>
                <w:lang/>
              </w:rPr>
              <w:t>456</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BB1B768"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BD5FCC1"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6B4E4822" w14:textId="77777777" w:rsidR="00EC0F92" w:rsidRPr="004F289D" w:rsidRDefault="00EC0F92" w:rsidP="00EC0F92">
            <w:pPr>
              <w:spacing w:after="0" w:line="240" w:lineRule="auto"/>
              <w:rPr>
                <w:rFonts w:eastAsia="Aptos" w:cs="Times New Roman"/>
                <w:sz w:val="24"/>
                <w:szCs w:val="24"/>
                <w:lang/>
              </w:rPr>
            </w:pPr>
          </w:p>
        </w:tc>
      </w:tr>
      <w:tr w:rsidR="004F289D" w:rsidRPr="004F289D" w14:paraId="5CB81AD4"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3D7D9D9"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12</w:t>
            </w:r>
          </w:p>
        </w:tc>
        <w:tc>
          <w:tcPr>
            <w:tcW w:w="1104" w:type="dxa"/>
            <w:tcBorders>
              <w:top w:val="single" w:sz="8" w:space="0" w:color="AEAEAE"/>
              <w:left w:val="nil"/>
              <w:bottom w:val="single" w:sz="8" w:space="0" w:color="AEAEAE"/>
              <w:right w:val="single" w:sz="8" w:space="0" w:color="E0E0E0"/>
            </w:tcBorders>
            <w:shd w:val="clear" w:color="auto" w:fill="F9F9FB"/>
          </w:tcPr>
          <w:p w14:paraId="6ACD4AAC" w14:textId="7A04386E"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227</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60B69774" w14:textId="016FCAEC"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w:t>
            </w:r>
            <w:r w:rsidR="00F9529B" w:rsidRPr="004F289D">
              <w:rPr>
                <w:rFonts w:eastAsia="Aptos" w:cs="Times New Roman"/>
                <w:sz w:val="24"/>
                <w:szCs w:val="24"/>
                <w:lang/>
              </w:rPr>
              <w:t>.</w:t>
            </w:r>
            <w:r w:rsidRPr="004F289D">
              <w:rPr>
                <w:rFonts w:eastAsia="Aptos" w:cs="Times New Roman"/>
                <w:sz w:val="24"/>
                <w:szCs w:val="24"/>
                <w:lang/>
              </w:rPr>
              <w:t>259</w:t>
            </w:r>
          </w:p>
        </w:tc>
        <w:tc>
          <w:tcPr>
            <w:tcW w:w="1462" w:type="dxa"/>
            <w:tcBorders>
              <w:top w:val="single" w:sz="8" w:space="0" w:color="AEAEAE"/>
              <w:left w:val="single" w:sz="8" w:space="0" w:color="E0E0E0"/>
              <w:bottom w:val="single" w:sz="8" w:space="0" w:color="AEAEAE"/>
              <w:right w:val="nil"/>
            </w:tcBorders>
            <w:shd w:val="clear" w:color="auto" w:fill="F9F9FB"/>
          </w:tcPr>
          <w:p w14:paraId="57DD176E" w14:textId="7B2CC4FB"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96</w:t>
            </w:r>
            <w:r w:rsidR="00F9529B" w:rsidRPr="004F289D">
              <w:rPr>
                <w:rFonts w:eastAsia="Aptos" w:cs="Times New Roman"/>
                <w:sz w:val="24"/>
                <w:szCs w:val="24"/>
                <w:lang/>
              </w:rPr>
              <w:t>.</w:t>
            </w:r>
            <w:r w:rsidRPr="004F289D">
              <w:rPr>
                <w:rFonts w:eastAsia="Aptos" w:cs="Times New Roman"/>
                <w:sz w:val="24"/>
                <w:szCs w:val="24"/>
                <w:lang/>
              </w:rPr>
              <w:t>715</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7D8AC14"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E4E624B"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101DA7B9" w14:textId="77777777" w:rsidR="00EC0F92" w:rsidRPr="004F289D" w:rsidRDefault="00EC0F92" w:rsidP="00EC0F92">
            <w:pPr>
              <w:spacing w:after="0" w:line="240" w:lineRule="auto"/>
              <w:rPr>
                <w:rFonts w:eastAsia="Aptos" w:cs="Times New Roman"/>
                <w:sz w:val="24"/>
                <w:szCs w:val="24"/>
                <w:lang/>
              </w:rPr>
            </w:pPr>
          </w:p>
        </w:tc>
      </w:tr>
      <w:tr w:rsidR="004F289D" w:rsidRPr="004F289D" w14:paraId="7DE204FD"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1DEA20D1"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13</w:t>
            </w:r>
          </w:p>
        </w:tc>
        <w:tc>
          <w:tcPr>
            <w:tcW w:w="1104" w:type="dxa"/>
            <w:tcBorders>
              <w:top w:val="single" w:sz="8" w:space="0" w:color="AEAEAE"/>
              <w:left w:val="nil"/>
              <w:bottom w:val="single" w:sz="8" w:space="0" w:color="AEAEAE"/>
              <w:right w:val="single" w:sz="8" w:space="0" w:color="E0E0E0"/>
            </w:tcBorders>
            <w:shd w:val="clear" w:color="auto" w:fill="F9F9FB"/>
          </w:tcPr>
          <w:p w14:paraId="39F9B7AF" w14:textId="0EF5D105"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206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3C089289" w14:textId="3D8017B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w:t>
            </w:r>
            <w:r w:rsidR="00F9529B" w:rsidRPr="004F289D">
              <w:rPr>
                <w:rFonts w:eastAsia="Aptos" w:cs="Times New Roman"/>
                <w:sz w:val="24"/>
                <w:szCs w:val="24"/>
                <w:lang/>
              </w:rPr>
              <w:t>.</w:t>
            </w:r>
            <w:r w:rsidRPr="004F289D">
              <w:rPr>
                <w:rFonts w:eastAsia="Aptos" w:cs="Times New Roman"/>
                <w:sz w:val="24"/>
                <w:szCs w:val="24"/>
                <w:lang/>
              </w:rPr>
              <w:t>142</w:t>
            </w:r>
          </w:p>
        </w:tc>
        <w:tc>
          <w:tcPr>
            <w:tcW w:w="1462" w:type="dxa"/>
            <w:tcBorders>
              <w:top w:val="single" w:sz="8" w:space="0" w:color="AEAEAE"/>
              <w:left w:val="single" w:sz="8" w:space="0" w:color="E0E0E0"/>
              <w:bottom w:val="single" w:sz="8" w:space="0" w:color="AEAEAE"/>
              <w:right w:val="nil"/>
            </w:tcBorders>
            <w:shd w:val="clear" w:color="auto" w:fill="F9F9FB"/>
          </w:tcPr>
          <w:p w14:paraId="2FEA6311" w14:textId="79187C86"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97</w:t>
            </w:r>
            <w:r w:rsidR="00F9529B" w:rsidRPr="004F289D">
              <w:rPr>
                <w:rFonts w:eastAsia="Aptos" w:cs="Times New Roman"/>
                <w:sz w:val="24"/>
                <w:szCs w:val="24"/>
                <w:lang/>
              </w:rPr>
              <w:t>.</w:t>
            </w:r>
            <w:r w:rsidRPr="004F289D">
              <w:rPr>
                <w:rFonts w:eastAsia="Aptos" w:cs="Times New Roman"/>
                <w:sz w:val="24"/>
                <w:szCs w:val="24"/>
                <w:lang/>
              </w:rPr>
              <w:t>857</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DE76016"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05E0ED3"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736B7E87" w14:textId="77777777" w:rsidR="00EC0F92" w:rsidRPr="004F289D" w:rsidRDefault="00EC0F92" w:rsidP="00EC0F92">
            <w:pPr>
              <w:spacing w:after="0" w:line="240" w:lineRule="auto"/>
              <w:rPr>
                <w:rFonts w:eastAsia="Aptos" w:cs="Times New Roman"/>
                <w:sz w:val="24"/>
                <w:szCs w:val="24"/>
                <w:lang/>
              </w:rPr>
            </w:pPr>
          </w:p>
        </w:tc>
      </w:tr>
      <w:tr w:rsidR="004F289D" w:rsidRPr="004F289D" w14:paraId="626B0403"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2E6592A"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14</w:t>
            </w:r>
          </w:p>
        </w:tc>
        <w:tc>
          <w:tcPr>
            <w:tcW w:w="1104" w:type="dxa"/>
            <w:tcBorders>
              <w:top w:val="single" w:sz="8" w:space="0" w:color="AEAEAE"/>
              <w:left w:val="nil"/>
              <w:bottom w:val="single" w:sz="8" w:space="0" w:color="AEAEAE"/>
              <w:right w:val="single" w:sz="8" w:space="0" w:color="E0E0E0"/>
            </w:tcBorders>
            <w:shd w:val="clear" w:color="auto" w:fill="F9F9FB"/>
          </w:tcPr>
          <w:p w14:paraId="39F798D1" w14:textId="07606671"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150</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6AAE6DBA" w14:textId="27079CC5"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836</w:t>
            </w:r>
          </w:p>
        </w:tc>
        <w:tc>
          <w:tcPr>
            <w:tcW w:w="1462" w:type="dxa"/>
            <w:tcBorders>
              <w:top w:val="single" w:sz="8" w:space="0" w:color="AEAEAE"/>
              <w:left w:val="single" w:sz="8" w:space="0" w:color="E0E0E0"/>
              <w:bottom w:val="single" w:sz="8" w:space="0" w:color="AEAEAE"/>
              <w:right w:val="nil"/>
            </w:tcBorders>
            <w:shd w:val="clear" w:color="auto" w:fill="F9F9FB"/>
          </w:tcPr>
          <w:p w14:paraId="40B476AD" w14:textId="798EFBB4"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98</w:t>
            </w:r>
            <w:r w:rsidR="00F9529B" w:rsidRPr="004F289D">
              <w:rPr>
                <w:rFonts w:eastAsia="Aptos" w:cs="Times New Roman"/>
                <w:sz w:val="24"/>
                <w:szCs w:val="24"/>
                <w:lang/>
              </w:rPr>
              <w:t>.</w:t>
            </w:r>
            <w:r w:rsidRPr="004F289D">
              <w:rPr>
                <w:rFonts w:eastAsia="Aptos" w:cs="Times New Roman"/>
                <w:sz w:val="24"/>
                <w:szCs w:val="24"/>
                <w:lang/>
              </w:rPr>
              <w:t>692</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6399938"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AB7F965"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0EE781CB" w14:textId="77777777" w:rsidR="00EC0F92" w:rsidRPr="004F289D" w:rsidRDefault="00EC0F92" w:rsidP="00EC0F92">
            <w:pPr>
              <w:spacing w:after="0" w:line="240" w:lineRule="auto"/>
              <w:rPr>
                <w:rFonts w:eastAsia="Aptos" w:cs="Times New Roman"/>
                <w:sz w:val="24"/>
                <w:szCs w:val="24"/>
                <w:lang/>
              </w:rPr>
            </w:pPr>
          </w:p>
        </w:tc>
      </w:tr>
      <w:tr w:rsidR="004F289D" w:rsidRPr="004F289D" w14:paraId="14B1D740"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3E85DAEE"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15</w:t>
            </w:r>
          </w:p>
        </w:tc>
        <w:tc>
          <w:tcPr>
            <w:tcW w:w="1104" w:type="dxa"/>
            <w:tcBorders>
              <w:top w:val="single" w:sz="8" w:space="0" w:color="AEAEAE"/>
              <w:left w:val="nil"/>
              <w:bottom w:val="single" w:sz="8" w:space="0" w:color="AEAEAE"/>
              <w:right w:val="single" w:sz="8" w:space="0" w:color="E0E0E0"/>
            </w:tcBorders>
            <w:shd w:val="clear" w:color="auto" w:fill="F9F9FB"/>
          </w:tcPr>
          <w:p w14:paraId="302CAF42" w14:textId="1846A451"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100</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3D4C45CD" w14:textId="6A15EC3C"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556</w:t>
            </w:r>
          </w:p>
        </w:tc>
        <w:tc>
          <w:tcPr>
            <w:tcW w:w="1462" w:type="dxa"/>
            <w:tcBorders>
              <w:top w:val="single" w:sz="8" w:space="0" w:color="AEAEAE"/>
              <w:left w:val="single" w:sz="8" w:space="0" w:color="E0E0E0"/>
              <w:bottom w:val="single" w:sz="8" w:space="0" w:color="AEAEAE"/>
              <w:right w:val="nil"/>
            </w:tcBorders>
            <w:shd w:val="clear" w:color="auto" w:fill="F9F9FB"/>
          </w:tcPr>
          <w:p w14:paraId="321EA69C" w14:textId="543443B2"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99</w:t>
            </w:r>
            <w:r w:rsidR="00F9529B" w:rsidRPr="004F289D">
              <w:rPr>
                <w:rFonts w:eastAsia="Aptos" w:cs="Times New Roman"/>
                <w:sz w:val="24"/>
                <w:szCs w:val="24"/>
                <w:lang/>
              </w:rPr>
              <w:t>.</w:t>
            </w:r>
            <w:r w:rsidRPr="004F289D">
              <w:rPr>
                <w:rFonts w:eastAsia="Aptos" w:cs="Times New Roman"/>
                <w:sz w:val="24"/>
                <w:szCs w:val="24"/>
                <w:lang/>
              </w:rPr>
              <w:t>249</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CEA800B"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B3F09E1"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2C6AB516" w14:textId="77777777" w:rsidR="00EC0F92" w:rsidRPr="004F289D" w:rsidRDefault="00EC0F92" w:rsidP="00EC0F92">
            <w:pPr>
              <w:spacing w:after="0" w:line="240" w:lineRule="auto"/>
              <w:rPr>
                <w:rFonts w:eastAsia="Aptos" w:cs="Times New Roman"/>
                <w:sz w:val="24"/>
                <w:szCs w:val="24"/>
                <w:lang/>
              </w:rPr>
            </w:pPr>
          </w:p>
        </w:tc>
      </w:tr>
      <w:tr w:rsidR="004F289D" w:rsidRPr="004F289D" w14:paraId="28CFC637"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059B65F4"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16</w:t>
            </w:r>
          </w:p>
        </w:tc>
        <w:tc>
          <w:tcPr>
            <w:tcW w:w="1104" w:type="dxa"/>
            <w:tcBorders>
              <w:top w:val="single" w:sz="8" w:space="0" w:color="AEAEAE"/>
              <w:left w:val="nil"/>
              <w:bottom w:val="single" w:sz="8" w:space="0" w:color="AEAEAE"/>
              <w:right w:val="single" w:sz="8" w:space="0" w:color="E0E0E0"/>
            </w:tcBorders>
            <w:shd w:val="clear" w:color="auto" w:fill="F9F9FB"/>
          </w:tcPr>
          <w:p w14:paraId="35A301DB" w14:textId="691A71CB"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092</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498AFB96" w14:textId="66149C40"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512</w:t>
            </w:r>
          </w:p>
        </w:tc>
        <w:tc>
          <w:tcPr>
            <w:tcW w:w="1462" w:type="dxa"/>
            <w:tcBorders>
              <w:top w:val="single" w:sz="8" w:space="0" w:color="AEAEAE"/>
              <w:left w:val="single" w:sz="8" w:space="0" w:color="E0E0E0"/>
              <w:bottom w:val="single" w:sz="8" w:space="0" w:color="AEAEAE"/>
              <w:right w:val="nil"/>
            </w:tcBorders>
            <w:shd w:val="clear" w:color="auto" w:fill="F9F9FB"/>
          </w:tcPr>
          <w:p w14:paraId="73E278D7" w14:textId="7FD9615E"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99</w:t>
            </w:r>
            <w:r w:rsidR="00F9529B" w:rsidRPr="004F289D">
              <w:rPr>
                <w:rFonts w:eastAsia="Aptos" w:cs="Times New Roman"/>
                <w:sz w:val="24"/>
                <w:szCs w:val="24"/>
                <w:lang/>
              </w:rPr>
              <w:t>.</w:t>
            </w:r>
            <w:r w:rsidRPr="004F289D">
              <w:rPr>
                <w:rFonts w:eastAsia="Aptos" w:cs="Times New Roman"/>
                <w:sz w:val="24"/>
                <w:szCs w:val="24"/>
                <w:lang/>
              </w:rPr>
              <w:t>761</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242B7A8"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48C8311"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7D8D179C" w14:textId="77777777" w:rsidR="00EC0F92" w:rsidRPr="004F289D" w:rsidRDefault="00EC0F92" w:rsidP="00EC0F92">
            <w:pPr>
              <w:spacing w:after="0" w:line="240" w:lineRule="auto"/>
              <w:rPr>
                <w:rFonts w:eastAsia="Aptos" w:cs="Times New Roman"/>
                <w:sz w:val="24"/>
                <w:szCs w:val="24"/>
                <w:lang/>
              </w:rPr>
            </w:pPr>
          </w:p>
        </w:tc>
      </w:tr>
      <w:tr w:rsidR="004F289D" w:rsidRPr="004F289D" w14:paraId="43D119BA"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45F40046"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17</w:t>
            </w:r>
          </w:p>
        </w:tc>
        <w:tc>
          <w:tcPr>
            <w:tcW w:w="1104" w:type="dxa"/>
            <w:tcBorders>
              <w:top w:val="single" w:sz="8" w:space="0" w:color="AEAEAE"/>
              <w:left w:val="nil"/>
              <w:bottom w:val="single" w:sz="8" w:space="0" w:color="AEAEAE"/>
              <w:right w:val="single" w:sz="8" w:space="0" w:color="E0E0E0"/>
            </w:tcBorders>
            <w:shd w:val="clear" w:color="auto" w:fill="F9F9FB"/>
          </w:tcPr>
          <w:p w14:paraId="3CBB6488" w14:textId="368C65B1"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031</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7C0C8CD8" w14:textId="3FBB3704"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173</w:t>
            </w:r>
          </w:p>
        </w:tc>
        <w:tc>
          <w:tcPr>
            <w:tcW w:w="1462" w:type="dxa"/>
            <w:tcBorders>
              <w:top w:val="single" w:sz="8" w:space="0" w:color="AEAEAE"/>
              <w:left w:val="single" w:sz="8" w:space="0" w:color="E0E0E0"/>
              <w:bottom w:val="single" w:sz="8" w:space="0" w:color="AEAEAE"/>
              <w:right w:val="nil"/>
            </w:tcBorders>
            <w:shd w:val="clear" w:color="auto" w:fill="F9F9FB"/>
          </w:tcPr>
          <w:p w14:paraId="088439B3" w14:textId="189AB228"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99</w:t>
            </w:r>
            <w:r w:rsidR="00F9529B" w:rsidRPr="004F289D">
              <w:rPr>
                <w:rFonts w:eastAsia="Aptos" w:cs="Times New Roman"/>
                <w:sz w:val="24"/>
                <w:szCs w:val="24"/>
                <w:lang/>
              </w:rPr>
              <w:t>.</w:t>
            </w:r>
            <w:r w:rsidRPr="004F289D">
              <w:rPr>
                <w:rFonts w:eastAsia="Aptos" w:cs="Times New Roman"/>
                <w:sz w:val="24"/>
                <w:szCs w:val="24"/>
                <w:lang/>
              </w:rPr>
              <w:t>934</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3A64BFD"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DBDF916"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6C09821A" w14:textId="77777777" w:rsidR="00EC0F92" w:rsidRPr="004F289D" w:rsidRDefault="00EC0F92" w:rsidP="00EC0F92">
            <w:pPr>
              <w:spacing w:after="0" w:line="240" w:lineRule="auto"/>
              <w:rPr>
                <w:rFonts w:eastAsia="Aptos" w:cs="Times New Roman"/>
                <w:sz w:val="24"/>
                <w:szCs w:val="24"/>
                <w:lang/>
              </w:rPr>
            </w:pPr>
          </w:p>
        </w:tc>
      </w:tr>
      <w:tr w:rsidR="004F289D" w:rsidRPr="004F289D" w14:paraId="0B953BD7" w14:textId="77777777" w:rsidTr="00F75D40">
        <w:trPr>
          <w:cantSplit/>
        </w:trPr>
        <w:tc>
          <w:tcPr>
            <w:tcW w:w="1283" w:type="dxa"/>
            <w:tcBorders>
              <w:top w:val="single" w:sz="8" w:space="0" w:color="AEAEAE"/>
              <w:left w:val="nil"/>
              <w:bottom w:val="single" w:sz="8" w:space="0" w:color="152935"/>
              <w:right w:val="nil"/>
            </w:tcBorders>
            <w:shd w:val="clear" w:color="auto" w:fill="E0E0E0"/>
          </w:tcPr>
          <w:p w14:paraId="47D4DF31" w14:textId="77777777"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18</w:t>
            </w:r>
          </w:p>
        </w:tc>
        <w:tc>
          <w:tcPr>
            <w:tcW w:w="1104" w:type="dxa"/>
            <w:tcBorders>
              <w:top w:val="single" w:sz="8" w:space="0" w:color="AEAEAE"/>
              <w:left w:val="nil"/>
              <w:bottom w:val="single" w:sz="8" w:space="0" w:color="152935"/>
              <w:right w:val="single" w:sz="8" w:space="0" w:color="E0E0E0"/>
            </w:tcBorders>
            <w:shd w:val="clear" w:color="auto" w:fill="F9F9FB"/>
          </w:tcPr>
          <w:p w14:paraId="4C8346D9" w14:textId="43261530"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012</w:t>
            </w:r>
          </w:p>
        </w:tc>
        <w:tc>
          <w:tcPr>
            <w:tcW w:w="1446" w:type="dxa"/>
            <w:tcBorders>
              <w:top w:val="single" w:sz="8" w:space="0" w:color="AEAEAE"/>
              <w:left w:val="single" w:sz="8" w:space="0" w:color="E0E0E0"/>
              <w:bottom w:val="single" w:sz="8" w:space="0" w:color="152935"/>
              <w:right w:val="single" w:sz="8" w:space="0" w:color="E0E0E0"/>
            </w:tcBorders>
            <w:shd w:val="clear" w:color="auto" w:fill="F9F9FB"/>
          </w:tcPr>
          <w:p w14:paraId="6341C9D2" w14:textId="0C3A6049" w:rsidR="00EC0F92" w:rsidRPr="004F289D" w:rsidRDefault="00F9529B" w:rsidP="004D51E6">
            <w:pPr>
              <w:spacing w:after="0" w:line="240" w:lineRule="auto"/>
              <w:jc w:val="right"/>
              <w:rPr>
                <w:rFonts w:eastAsia="Aptos" w:cs="Times New Roman"/>
                <w:sz w:val="24"/>
                <w:szCs w:val="24"/>
                <w:lang/>
              </w:rPr>
            </w:pPr>
            <w:r w:rsidRPr="004F289D">
              <w:rPr>
                <w:rFonts w:eastAsia="Aptos" w:cs="Times New Roman"/>
                <w:sz w:val="24"/>
                <w:szCs w:val="24"/>
                <w:lang/>
              </w:rPr>
              <w:t>0.</w:t>
            </w:r>
            <w:r w:rsidR="00EC0F92" w:rsidRPr="004F289D">
              <w:rPr>
                <w:rFonts w:eastAsia="Aptos" w:cs="Times New Roman"/>
                <w:sz w:val="24"/>
                <w:szCs w:val="24"/>
                <w:lang/>
              </w:rPr>
              <w:t>066</w:t>
            </w:r>
          </w:p>
        </w:tc>
        <w:tc>
          <w:tcPr>
            <w:tcW w:w="1462" w:type="dxa"/>
            <w:tcBorders>
              <w:top w:val="single" w:sz="8" w:space="0" w:color="AEAEAE"/>
              <w:left w:val="single" w:sz="8" w:space="0" w:color="E0E0E0"/>
              <w:bottom w:val="single" w:sz="8" w:space="0" w:color="152935"/>
              <w:right w:val="nil"/>
            </w:tcBorders>
            <w:shd w:val="clear" w:color="auto" w:fill="F9F9FB"/>
          </w:tcPr>
          <w:p w14:paraId="6DE87911" w14:textId="743030CE" w:rsidR="00EC0F92" w:rsidRPr="004F289D" w:rsidRDefault="00EC0F92" w:rsidP="004D51E6">
            <w:pPr>
              <w:spacing w:after="0" w:line="240" w:lineRule="auto"/>
              <w:jc w:val="right"/>
              <w:rPr>
                <w:rFonts w:eastAsia="Aptos" w:cs="Times New Roman"/>
                <w:sz w:val="24"/>
                <w:szCs w:val="24"/>
                <w:lang/>
              </w:rPr>
            </w:pPr>
            <w:r w:rsidRPr="004F289D">
              <w:rPr>
                <w:rFonts w:eastAsia="Aptos" w:cs="Times New Roman"/>
                <w:sz w:val="24"/>
                <w:szCs w:val="24"/>
                <w:lang/>
              </w:rPr>
              <w:t>100</w:t>
            </w:r>
            <w:r w:rsidR="00F9529B" w:rsidRPr="004F289D">
              <w:rPr>
                <w:rFonts w:eastAsia="Aptos" w:cs="Times New Roman"/>
                <w:sz w:val="24"/>
                <w:szCs w:val="24"/>
                <w:lang/>
              </w:rPr>
              <w:t>.</w:t>
            </w:r>
            <w:r w:rsidRPr="004F289D">
              <w:rPr>
                <w:rFonts w:eastAsia="Aptos" w:cs="Times New Roman"/>
                <w:sz w:val="24"/>
                <w:szCs w:val="24"/>
                <w:lang/>
              </w:rPr>
              <w:t>000</w:t>
            </w:r>
          </w:p>
        </w:tc>
        <w:tc>
          <w:tcPr>
            <w:tcW w:w="120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A798414" w14:textId="77777777" w:rsidR="00EC0F92" w:rsidRPr="004F289D" w:rsidRDefault="00EC0F92" w:rsidP="00EC0F92">
            <w:pPr>
              <w:spacing w:after="0" w:line="240" w:lineRule="auto"/>
              <w:rPr>
                <w:rFonts w:eastAsia="Aptos" w:cs="Times New Roman"/>
                <w:sz w:val="24"/>
                <w:szCs w:val="24"/>
                <w:lang/>
              </w:rPr>
            </w:pPr>
          </w:p>
        </w:tc>
        <w:tc>
          <w:tcPr>
            <w:tcW w:w="1446"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2CCB354" w14:textId="77777777" w:rsidR="00EC0F92" w:rsidRPr="004F289D" w:rsidRDefault="00EC0F92" w:rsidP="00EC0F92">
            <w:pPr>
              <w:spacing w:after="0" w:line="240" w:lineRule="auto"/>
              <w:rPr>
                <w:rFonts w:eastAsia="Aptos" w:cs="Times New Roman"/>
                <w:sz w:val="24"/>
                <w:szCs w:val="24"/>
                <w:lang/>
              </w:rPr>
            </w:pPr>
          </w:p>
        </w:tc>
        <w:tc>
          <w:tcPr>
            <w:tcW w:w="1462" w:type="dxa"/>
            <w:tcBorders>
              <w:top w:val="single" w:sz="8" w:space="0" w:color="AEAEAE"/>
              <w:left w:val="single" w:sz="8" w:space="0" w:color="E0E0E0"/>
              <w:bottom w:val="single" w:sz="8" w:space="0" w:color="152935"/>
              <w:right w:val="nil"/>
            </w:tcBorders>
            <w:shd w:val="clear" w:color="auto" w:fill="F9F9FB"/>
            <w:vAlign w:val="center"/>
          </w:tcPr>
          <w:p w14:paraId="320882F8" w14:textId="77777777" w:rsidR="00EC0F92" w:rsidRPr="004F289D" w:rsidRDefault="00EC0F92" w:rsidP="00EC0F92">
            <w:pPr>
              <w:spacing w:after="0" w:line="240" w:lineRule="auto"/>
              <w:rPr>
                <w:rFonts w:eastAsia="Aptos" w:cs="Times New Roman"/>
                <w:sz w:val="24"/>
                <w:szCs w:val="24"/>
                <w:lang/>
              </w:rPr>
            </w:pPr>
          </w:p>
        </w:tc>
      </w:tr>
      <w:tr w:rsidR="004F289D" w:rsidRPr="004F289D" w14:paraId="6D590B96" w14:textId="77777777" w:rsidTr="00F75D40">
        <w:trPr>
          <w:cantSplit/>
        </w:trPr>
        <w:tc>
          <w:tcPr>
            <w:tcW w:w="9405" w:type="dxa"/>
            <w:gridSpan w:val="7"/>
            <w:tcBorders>
              <w:top w:val="nil"/>
              <w:left w:val="nil"/>
              <w:bottom w:val="nil"/>
              <w:right w:val="nil"/>
            </w:tcBorders>
            <w:shd w:val="clear" w:color="auto" w:fill="FFFFFF"/>
          </w:tcPr>
          <w:p w14:paraId="77254F1D" w14:textId="4007B08D" w:rsidR="00EC0F92" w:rsidRPr="004F289D" w:rsidRDefault="00EC0F92" w:rsidP="00EC0F92">
            <w:pPr>
              <w:spacing w:after="0" w:line="240" w:lineRule="auto"/>
              <w:rPr>
                <w:rFonts w:eastAsia="Aptos" w:cs="Times New Roman"/>
                <w:sz w:val="24"/>
                <w:szCs w:val="24"/>
                <w:lang/>
              </w:rPr>
            </w:pPr>
            <w:r w:rsidRPr="004F289D">
              <w:rPr>
                <w:rFonts w:eastAsia="Aptos" w:cs="Times New Roman"/>
                <w:sz w:val="24"/>
                <w:szCs w:val="24"/>
                <w:lang/>
              </w:rPr>
              <w:t>Extraction Method: Principal Component Analysis</w:t>
            </w:r>
          </w:p>
        </w:tc>
      </w:tr>
    </w:tbl>
    <w:p w14:paraId="0C1E63AB" w14:textId="77777777" w:rsidR="00EC0F92" w:rsidRPr="004F289D" w:rsidRDefault="00EC0F92" w:rsidP="00EC0F92">
      <w:pPr>
        <w:spacing w:line="278" w:lineRule="auto"/>
        <w:rPr>
          <w:rFonts w:ascii="Aptos" w:eastAsia="Aptos" w:hAnsi="Aptos" w:cs="Times New Roman"/>
          <w:sz w:val="24"/>
          <w:szCs w:val="24"/>
          <w:lang/>
        </w:rPr>
      </w:pPr>
    </w:p>
    <w:p w14:paraId="04E25970" w14:textId="77777777" w:rsidR="00EC0F92" w:rsidRPr="004F289D" w:rsidRDefault="00EC0F92" w:rsidP="00EC0F92">
      <w:pPr>
        <w:spacing w:line="278" w:lineRule="auto"/>
        <w:rPr>
          <w:rFonts w:ascii="Aptos" w:eastAsia="Aptos" w:hAnsi="Aptos" w:cs="Times New Roman"/>
          <w:sz w:val="24"/>
          <w:szCs w:val="24"/>
          <w:lang/>
        </w:rPr>
      </w:pPr>
      <w:r w:rsidRPr="004F289D">
        <w:rPr>
          <w:rFonts w:ascii="Aptos" w:eastAsia="Aptos" w:hAnsi="Aptos" w:cs="Times New Roman"/>
          <w:sz w:val="24"/>
          <w:szCs w:val="24"/>
          <w:lang/>
        </w:rPr>
        <w:br w:type="page"/>
      </w:r>
    </w:p>
    <w:p w14:paraId="7A8DC7A5" w14:textId="38D679F6" w:rsidR="00EC0F92" w:rsidRPr="004F289D" w:rsidRDefault="00EC0F92" w:rsidP="00EC0F92">
      <w:pPr>
        <w:spacing w:line="278" w:lineRule="auto"/>
        <w:rPr>
          <w:rFonts w:eastAsia="Aptos" w:cs="Times New Roman"/>
          <w:sz w:val="24"/>
          <w:szCs w:val="24"/>
          <w:lang/>
        </w:rPr>
      </w:pPr>
      <w:r w:rsidRPr="004F289D">
        <w:rPr>
          <w:rFonts w:eastAsia="Aptos" w:cs="Times New Roman"/>
          <w:b/>
          <w:bCs/>
          <w:sz w:val="24"/>
          <w:szCs w:val="24"/>
          <w:lang/>
        </w:rPr>
        <w:lastRenderedPageBreak/>
        <w:t>Table A</w:t>
      </w:r>
      <w:r w:rsidR="00FC73A9" w:rsidRPr="004F289D">
        <w:rPr>
          <w:rFonts w:eastAsia="Aptos" w:cs="Times New Roman"/>
          <w:b/>
          <w:bCs/>
          <w:sz w:val="24"/>
          <w:szCs w:val="24"/>
          <w:lang/>
        </w:rPr>
        <w:t>10</w:t>
      </w:r>
      <w:r w:rsidRPr="004F289D">
        <w:rPr>
          <w:rFonts w:eastAsia="Aptos" w:cs="Times New Roman"/>
          <w:b/>
          <w:bCs/>
          <w:sz w:val="24"/>
          <w:szCs w:val="24"/>
          <w:lang/>
        </w:rPr>
        <w:t>.</w:t>
      </w:r>
      <w:r w:rsidRPr="004F289D">
        <w:rPr>
          <w:rFonts w:eastAsia="Aptos" w:cs="Times New Roman"/>
          <w:sz w:val="24"/>
          <w:szCs w:val="24"/>
          <w:lang/>
        </w:rPr>
        <w:t xml:space="preserve"> Unmeasured Latent Factor Approach </w:t>
      </w:r>
      <w:r w:rsidRPr="004F289D">
        <w:rPr>
          <w:rFonts w:eastAsia="Aptos" w:cs="Times New Roman"/>
          <w:sz w:val="24"/>
          <w:szCs w:val="24"/>
          <w:lang w:val="en-US"/>
        </w:rPr>
        <w:t>(Study 1A - USA)</w:t>
      </w:r>
    </w:p>
    <w:tbl>
      <w:tblPr>
        <w:tblStyle w:val="TableGrid5"/>
        <w:tblW w:w="10065" w:type="dxa"/>
        <w:tblInd w:w="-95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Description w:val="Standardized Regression Weights: (Group number 1 -  Default model)"/>
      </w:tblPr>
      <w:tblGrid>
        <w:gridCol w:w="4390"/>
        <w:gridCol w:w="4400"/>
        <w:gridCol w:w="1275"/>
      </w:tblGrid>
      <w:tr w:rsidR="004F289D" w:rsidRPr="004F289D" w14:paraId="0BFF8A2B" w14:textId="77777777" w:rsidTr="00EC0F92">
        <w:tc>
          <w:tcPr>
            <w:tcW w:w="4488" w:type="dxa"/>
          </w:tcPr>
          <w:p w14:paraId="2C30FA5B" w14:textId="77777777" w:rsidR="00EC0F92" w:rsidRPr="004F289D" w:rsidRDefault="00EC0F92" w:rsidP="00EC0F92">
            <w:pPr>
              <w:rPr>
                <w:rFonts w:eastAsia="Aptos" w:cs="Times New Roman"/>
                <w:b/>
                <w:bCs/>
              </w:rPr>
            </w:pPr>
            <w:r w:rsidRPr="004F289D">
              <w:rPr>
                <w:rFonts w:eastAsia="Aptos" w:cs="Times New Roman"/>
                <w:b/>
                <w:bCs/>
              </w:rPr>
              <w:t>Base Model</w:t>
            </w:r>
          </w:p>
        </w:tc>
        <w:tc>
          <w:tcPr>
            <w:tcW w:w="4401" w:type="dxa"/>
          </w:tcPr>
          <w:p w14:paraId="6E0140CF" w14:textId="77777777" w:rsidR="00EC0F92" w:rsidRPr="004F289D" w:rsidRDefault="00EC0F92" w:rsidP="00EC0F92">
            <w:pPr>
              <w:rPr>
                <w:rFonts w:eastAsia="Aptos" w:cs="Times New Roman"/>
                <w:b/>
                <w:bCs/>
              </w:rPr>
            </w:pPr>
            <w:r w:rsidRPr="004F289D">
              <w:rPr>
                <w:rFonts w:eastAsia="Aptos" w:cs="Times New Roman"/>
                <w:b/>
                <w:bCs/>
              </w:rPr>
              <w:t>Common Method Model</w:t>
            </w:r>
          </w:p>
        </w:tc>
        <w:tc>
          <w:tcPr>
            <w:tcW w:w="1176" w:type="dxa"/>
          </w:tcPr>
          <w:p w14:paraId="4120378A" w14:textId="77777777" w:rsidR="00EC0F92" w:rsidRPr="004F289D" w:rsidRDefault="00EC0F92" w:rsidP="00EC0F92">
            <w:pPr>
              <w:rPr>
                <w:rFonts w:ascii="Aptos" w:eastAsia="Aptos" w:hAnsi="Aptos" w:cs="Times New Roman"/>
              </w:rPr>
            </w:pPr>
          </w:p>
        </w:tc>
      </w:tr>
      <w:tr w:rsidR="004F289D" w:rsidRPr="004F289D" w14:paraId="69912E68" w14:textId="77777777" w:rsidTr="00EC0F92">
        <w:tc>
          <w:tcPr>
            <w:tcW w:w="4488" w:type="dxa"/>
          </w:tcPr>
          <w:p w14:paraId="65644FB6" w14:textId="77777777" w:rsidR="00EC0F92" w:rsidRPr="004F289D" w:rsidRDefault="00EC0F92" w:rsidP="00EC0F92">
            <w:pPr>
              <w:rPr>
                <w:rFonts w:ascii="Aptos" w:eastAsia="Aptos" w:hAnsi="Aptos" w:cs="Times New Roman"/>
              </w:rPr>
            </w:pPr>
            <w:r w:rsidRPr="004F289D">
              <w:rPr>
                <w:rFonts w:ascii="Aptos" w:eastAsia="Aptos" w:hAnsi="Aptos" w:cs="Times New Roman"/>
                <w:noProof/>
                <w:lang w:val="en-IN" w:eastAsia="en-IN"/>
              </w:rPr>
              <w:drawing>
                <wp:inline distT="0" distB="0" distL="0" distR="0" wp14:anchorId="09F5FE9A" wp14:editId="3D352240">
                  <wp:extent cx="1962068" cy="3619500"/>
                  <wp:effectExtent l="0" t="0" r="635" b="0"/>
                  <wp:docPr id="1364692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92282" name=""/>
                          <pic:cNvPicPr/>
                        </pic:nvPicPr>
                        <pic:blipFill>
                          <a:blip r:embed="rId8"/>
                          <a:stretch>
                            <a:fillRect/>
                          </a:stretch>
                        </pic:blipFill>
                        <pic:spPr>
                          <a:xfrm>
                            <a:off x="0" y="0"/>
                            <a:ext cx="1966397" cy="3627486"/>
                          </a:xfrm>
                          <a:prstGeom prst="rect">
                            <a:avLst/>
                          </a:prstGeom>
                        </pic:spPr>
                      </pic:pic>
                    </a:graphicData>
                  </a:graphic>
                </wp:inline>
              </w:drawing>
            </w:r>
          </w:p>
        </w:tc>
        <w:tc>
          <w:tcPr>
            <w:tcW w:w="4401" w:type="dxa"/>
          </w:tcPr>
          <w:p w14:paraId="5452ECE1" w14:textId="77777777" w:rsidR="00EC0F92" w:rsidRPr="004F289D" w:rsidRDefault="00EC0F92" w:rsidP="00EC0F92">
            <w:pPr>
              <w:rPr>
                <w:rFonts w:ascii="Aptos" w:eastAsia="Aptos" w:hAnsi="Aptos" w:cs="Times New Roman"/>
              </w:rPr>
            </w:pPr>
            <w:r w:rsidRPr="004F289D">
              <w:rPr>
                <w:rFonts w:ascii="Aptos" w:eastAsia="Aptos" w:hAnsi="Aptos" w:cs="Times New Roman"/>
                <w:noProof/>
                <w:lang w:val="en-IN" w:eastAsia="en-IN"/>
              </w:rPr>
              <w:drawing>
                <wp:inline distT="0" distB="0" distL="0" distR="0" wp14:anchorId="3A6FD5F4" wp14:editId="6F6FD046">
                  <wp:extent cx="2652292" cy="3649345"/>
                  <wp:effectExtent l="0" t="0" r="0" b="8255"/>
                  <wp:docPr id="136923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1927" cy="3662602"/>
                          </a:xfrm>
                          <a:prstGeom prst="rect">
                            <a:avLst/>
                          </a:prstGeom>
                          <a:noFill/>
                        </pic:spPr>
                      </pic:pic>
                    </a:graphicData>
                  </a:graphic>
                </wp:inline>
              </w:drawing>
            </w:r>
          </w:p>
        </w:tc>
        <w:tc>
          <w:tcPr>
            <w:tcW w:w="1176" w:type="dxa"/>
          </w:tcPr>
          <w:p w14:paraId="0C5665EF" w14:textId="77777777" w:rsidR="00EC0F92" w:rsidRPr="004F289D" w:rsidRDefault="00EC0F92" w:rsidP="00EC0F92">
            <w:pPr>
              <w:rPr>
                <w:rFonts w:ascii="Aptos" w:eastAsia="Aptos" w:hAnsi="Aptos" w:cs="Times New Roman"/>
              </w:rPr>
            </w:pPr>
          </w:p>
        </w:tc>
      </w:tr>
      <w:tr w:rsidR="004F289D" w:rsidRPr="004F289D" w14:paraId="62A57E9D" w14:textId="77777777" w:rsidTr="00EC0F92">
        <w:tc>
          <w:tcPr>
            <w:tcW w:w="4488" w:type="dxa"/>
          </w:tcPr>
          <w:p w14:paraId="5A8FE381" w14:textId="77777777" w:rsidR="00EC0F92" w:rsidRPr="004F289D" w:rsidRDefault="00EC0F92" w:rsidP="00EC0F92">
            <w:pPr>
              <w:rPr>
                <w:rFonts w:eastAsia="Aptos" w:cs="Times New Roman"/>
                <w:b/>
                <w:bCs/>
              </w:rPr>
            </w:pPr>
          </w:p>
          <w:p w14:paraId="01AE288C" w14:textId="27253C88" w:rsidR="00EC0F92" w:rsidRPr="004F289D" w:rsidRDefault="00EC0F92" w:rsidP="00EC0F92">
            <w:pPr>
              <w:rPr>
                <w:rFonts w:eastAsia="Aptos" w:cs="Times New Roman"/>
                <w:b/>
                <w:bCs/>
              </w:rPr>
            </w:pPr>
            <w:r w:rsidRPr="004F289D">
              <w:rPr>
                <w:rFonts w:eastAsia="Aptos" w:cs="Times New Roman"/>
                <w:b/>
                <w:bCs/>
              </w:rPr>
              <w:t>Standardized factor loadings</w:t>
            </w:r>
          </w:p>
        </w:tc>
        <w:tc>
          <w:tcPr>
            <w:tcW w:w="4401" w:type="dxa"/>
          </w:tcPr>
          <w:p w14:paraId="7011727D" w14:textId="77777777" w:rsidR="00EC0F92" w:rsidRPr="004F289D" w:rsidRDefault="00EC0F92" w:rsidP="00EC0F92">
            <w:pPr>
              <w:rPr>
                <w:rFonts w:eastAsia="Aptos" w:cs="Times New Roman"/>
                <w:b/>
                <w:bCs/>
              </w:rPr>
            </w:pPr>
          </w:p>
          <w:p w14:paraId="11563165" w14:textId="5D17AB3F" w:rsidR="00EC0F92" w:rsidRPr="004F289D" w:rsidRDefault="00EC0F92" w:rsidP="00EC0F92">
            <w:pPr>
              <w:rPr>
                <w:rFonts w:eastAsia="Aptos" w:cs="Times New Roman"/>
                <w:b/>
                <w:bCs/>
              </w:rPr>
            </w:pPr>
            <w:r w:rsidRPr="004F289D">
              <w:rPr>
                <w:rFonts w:eastAsia="Aptos" w:cs="Times New Roman"/>
                <w:b/>
                <w:bCs/>
              </w:rPr>
              <w:t>Standardized factor loadings</w:t>
            </w:r>
          </w:p>
        </w:tc>
        <w:tc>
          <w:tcPr>
            <w:tcW w:w="1176" w:type="dxa"/>
          </w:tcPr>
          <w:p w14:paraId="199FCE07" w14:textId="77777777" w:rsidR="00EC0F92" w:rsidRPr="004F289D" w:rsidRDefault="00EC0F92" w:rsidP="00EC0F92">
            <w:pPr>
              <w:rPr>
                <w:rFonts w:eastAsia="Aptos" w:cs="Times New Roman"/>
                <w:b/>
                <w:bCs/>
                <w:sz w:val="22"/>
                <w:szCs w:val="22"/>
              </w:rPr>
            </w:pPr>
          </w:p>
          <w:p w14:paraId="32B19B74" w14:textId="1E721517" w:rsidR="00EC0F92" w:rsidRPr="004F289D" w:rsidRDefault="00EC0F92" w:rsidP="00EC0F92">
            <w:pPr>
              <w:rPr>
                <w:rFonts w:eastAsia="Aptos" w:cs="Times New Roman"/>
                <w:b/>
                <w:bCs/>
                <w:sz w:val="22"/>
                <w:szCs w:val="22"/>
              </w:rPr>
            </w:pPr>
            <w:r w:rsidRPr="004F289D">
              <w:rPr>
                <w:rFonts w:eastAsia="Aptos" w:cs="Times New Roman"/>
                <w:b/>
                <w:bCs/>
                <w:sz w:val="22"/>
                <w:szCs w:val="22"/>
              </w:rPr>
              <w:t>Differences</w:t>
            </w:r>
          </w:p>
        </w:tc>
      </w:tr>
      <w:tr w:rsidR="004F289D" w:rsidRPr="004F289D" w14:paraId="639B09B9" w14:textId="77777777" w:rsidTr="00EC0F92">
        <w:tc>
          <w:tcPr>
            <w:tcW w:w="4488" w:type="dxa"/>
          </w:tcPr>
          <w:p w14:paraId="01F74633" w14:textId="77777777" w:rsidR="00EC0F92" w:rsidRPr="004F289D" w:rsidRDefault="00EC0F92" w:rsidP="00EC0F92">
            <w:pPr>
              <w:rPr>
                <w:rFonts w:ascii="Aptos" w:eastAsia="Aptos" w:hAnsi="Aptos" w:cs="Times New Roman"/>
              </w:rPr>
            </w:pPr>
          </w:p>
        </w:tc>
        <w:tc>
          <w:tcPr>
            <w:tcW w:w="4401" w:type="dxa"/>
          </w:tcPr>
          <w:p w14:paraId="064CBAFE" w14:textId="77777777" w:rsidR="00EC0F92" w:rsidRPr="004F289D" w:rsidRDefault="00EC0F92" w:rsidP="00EC0F92">
            <w:pPr>
              <w:rPr>
                <w:rFonts w:ascii="Aptos" w:eastAsia="Aptos" w:hAnsi="Aptos" w:cs="Times New Roman"/>
              </w:rPr>
            </w:pPr>
          </w:p>
        </w:tc>
        <w:tc>
          <w:tcPr>
            <w:tcW w:w="1176" w:type="dxa"/>
          </w:tcPr>
          <w:p w14:paraId="48AE590C" w14:textId="77777777" w:rsidR="00EC0F92" w:rsidRPr="004F289D" w:rsidRDefault="00EC0F92" w:rsidP="00EC0F92">
            <w:pPr>
              <w:rPr>
                <w:rFonts w:ascii="Aptos" w:eastAsia="Aptos" w:hAnsi="Aptos" w:cs="Times New Roman"/>
              </w:rPr>
            </w:pPr>
          </w:p>
        </w:tc>
      </w:tr>
      <w:tr w:rsidR="004F289D" w:rsidRPr="004F289D" w14:paraId="2F6B4DEB" w14:textId="77777777" w:rsidTr="00EC0F92">
        <w:tc>
          <w:tcPr>
            <w:tcW w:w="4488" w:type="dxa"/>
          </w:tcPr>
          <w:tbl>
            <w:tblPr>
              <w:tblW w:w="0" w:type="auto"/>
              <w:tblCellMar>
                <w:top w:w="15" w:type="dxa"/>
                <w:left w:w="15" w:type="dxa"/>
                <w:bottom w:w="15" w:type="dxa"/>
                <w:right w:w="15" w:type="dxa"/>
              </w:tblCellMar>
              <w:tblLook w:val="04A0" w:firstRow="1" w:lastRow="0" w:firstColumn="1" w:lastColumn="0" w:noHBand="0" w:noVBand="1"/>
              <w:tblDescription w:val="Standardized Regression Weights: (Group number 1 -  Default model)"/>
            </w:tblPr>
            <w:tblGrid>
              <w:gridCol w:w="616"/>
              <w:gridCol w:w="334"/>
              <w:gridCol w:w="2275"/>
              <w:gridCol w:w="775"/>
            </w:tblGrid>
            <w:tr w:rsidR="004F289D" w:rsidRPr="004F289D" w14:paraId="25EF91F2" w14:textId="77777777" w:rsidTr="00EC0F92">
              <w:tc>
                <w:tcPr>
                  <w:tcW w:w="0" w:type="auto"/>
                  <w:tcMar>
                    <w:top w:w="15" w:type="dxa"/>
                    <w:left w:w="57" w:type="dxa"/>
                    <w:bottom w:w="15" w:type="dxa"/>
                    <w:right w:w="57" w:type="dxa"/>
                  </w:tcMar>
                  <w:vAlign w:val="center"/>
                  <w:hideMark/>
                </w:tcPr>
                <w:p w14:paraId="4DD0F019"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CL11</w:t>
                  </w:r>
                </w:p>
              </w:tc>
              <w:tc>
                <w:tcPr>
                  <w:tcW w:w="0" w:type="auto"/>
                  <w:noWrap/>
                  <w:tcMar>
                    <w:top w:w="15" w:type="dxa"/>
                    <w:left w:w="57" w:type="dxa"/>
                    <w:bottom w:w="15" w:type="dxa"/>
                    <w:right w:w="57" w:type="dxa"/>
                  </w:tcMar>
                  <w:vAlign w:val="center"/>
                  <w:hideMark/>
                </w:tcPr>
                <w:p w14:paraId="6397CC84" w14:textId="3FE594D9"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518DD133"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300" w:type="dxa"/>
                  <w:tcMar>
                    <w:top w:w="15" w:type="dxa"/>
                    <w:left w:w="140" w:type="dxa"/>
                    <w:bottom w:w="15" w:type="dxa"/>
                    <w:right w:w="140" w:type="dxa"/>
                  </w:tcMar>
                  <w:vAlign w:val="bottom"/>
                  <w:hideMark/>
                </w:tcPr>
                <w:p w14:paraId="489F64EC" w14:textId="4D8023F0"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939</w:t>
                  </w:r>
                </w:p>
              </w:tc>
            </w:tr>
            <w:tr w:rsidR="004F289D" w:rsidRPr="004F289D" w14:paraId="7E0B2AEB" w14:textId="77777777" w:rsidTr="00EC0F92">
              <w:tc>
                <w:tcPr>
                  <w:tcW w:w="0" w:type="auto"/>
                  <w:tcMar>
                    <w:top w:w="15" w:type="dxa"/>
                    <w:left w:w="57" w:type="dxa"/>
                    <w:bottom w:w="15" w:type="dxa"/>
                    <w:right w:w="57" w:type="dxa"/>
                  </w:tcMar>
                  <w:vAlign w:val="center"/>
                  <w:hideMark/>
                </w:tcPr>
                <w:p w14:paraId="72BEAD14"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CL12</w:t>
                  </w:r>
                </w:p>
              </w:tc>
              <w:tc>
                <w:tcPr>
                  <w:tcW w:w="0" w:type="auto"/>
                  <w:noWrap/>
                  <w:tcMar>
                    <w:top w:w="15" w:type="dxa"/>
                    <w:left w:w="57" w:type="dxa"/>
                    <w:bottom w:w="15" w:type="dxa"/>
                    <w:right w:w="57" w:type="dxa"/>
                  </w:tcMar>
                  <w:vAlign w:val="center"/>
                  <w:hideMark/>
                </w:tcPr>
                <w:p w14:paraId="1802D300" w14:textId="4D686327"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3F656ED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300" w:type="dxa"/>
                  <w:tcMar>
                    <w:top w:w="15" w:type="dxa"/>
                    <w:left w:w="140" w:type="dxa"/>
                    <w:bottom w:w="15" w:type="dxa"/>
                    <w:right w:w="140" w:type="dxa"/>
                  </w:tcMar>
                  <w:vAlign w:val="bottom"/>
                  <w:hideMark/>
                </w:tcPr>
                <w:p w14:paraId="315AA8D1" w14:textId="19C13013"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955</w:t>
                  </w:r>
                </w:p>
              </w:tc>
            </w:tr>
            <w:tr w:rsidR="004F289D" w:rsidRPr="004F289D" w14:paraId="5BD3FA7F" w14:textId="77777777" w:rsidTr="00EC0F92">
              <w:tc>
                <w:tcPr>
                  <w:tcW w:w="0" w:type="auto"/>
                  <w:tcMar>
                    <w:top w:w="15" w:type="dxa"/>
                    <w:left w:w="57" w:type="dxa"/>
                    <w:bottom w:w="15" w:type="dxa"/>
                    <w:right w:w="57" w:type="dxa"/>
                  </w:tcMar>
                  <w:vAlign w:val="center"/>
                  <w:hideMark/>
                </w:tcPr>
                <w:p w14:paraId="0D7A8724"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CL13</w:t>
                  </w:r>
                </w:p>
              </w:tc>
              <w:tc>
                <w:tcPr>
                  <w:tcW w:w="0" w:type="auto"/>
                  <w:noWrap/>
                  <w:tcMar>
                    <w:top w:w="15" w:type="dxa"/>
                    <w:left w:w="57" w:type="dxa"/>
                    <w:bottom w:w="15" w:type="dxa"/>
                    <w:right w:w="57" w:type="dxa"/>
                  </w:tcMar>
                  <w:vAlign w:val="center"/>
                  <w:hideMark/>
                </w:tcPr>
                <w:p w14:paraId="309F16AB" w14:textId="6F58A07A"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62356680"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300" w:type="dxa"/>
                  <w:tcMar>
                    <w:top w:w="15" w:type="dxa"/>
                    <w:left w:w="140" w:type="dxa"/>
                    <w:bottom w:w="15" w:type="dxa"/>
                    <w:right w:w="140" w:type="dxa"/>
                  </w:tcMar>
                  <w:vAlign w:val="bottom"/>
                  <w:hideMark/>
                </w:tcPr>
                <w:p w14:paraId="35AA282C" w14:textId="66C1F141"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926</w:t>
                  </w:r>
                </w:p>
              </w:tc>
            </w:tr>
            <w:tr w:rsidR="004F289D" w:rsidRPr="004F289D" w14:paraId="54A05F48" w14:textId="77777777" w:rsidTr="00EC0F92">
              <w:tc>
                <w:tcPr>
                  <w:tcW w:w="0" w:type="auto"/>
                  <w:tcMar>
                    <w:top w:w="15" w:type="dxa"/>
                    <w:left w:w="57" w:type="dxa"/>
                    <w:bottom w:w="15" w:type="dxa"/>
                    <w:right w:w="57" w:type="dxa"/>
                  </w:tcMar>
                  <w:vAlign w:val="center"/>
                  <w:hideMark/>
                </w:tcPr>
                <w:p w14:paraId="6E3DC428" w14:textId="4EC56E8E"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6E3808"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529B338F" w14:textId="54CCAF76"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2715C6B3"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300" w:type="dxa"/>
                  <w:tcMar>
                    <w:top w:w="15" w:type="dxa"/>
                    <w:left w:w="140" w:type="dxa"/>
                    <w:bottom w:w="15" w:type="dxa"/>
                    <w:right w:w="140" w:type="dxa"/>
                  </w:tcMar>
                  <w:vAlign w:val="bottom"/>
                  <w:hideMark/>
                </w:tcPr>
                <w:p w14:paraId="09747B07" w14:textId="7C48E145"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561</w:t>
                  </w:r>
                </w:p>
              </w:tc>
            </w:tr>
            <w:tr w:rsidR="004F289D" w:rsidRPr="004F289D" w14:paraId="5DED8648" w14:textId="77777777" w:rsidTr="00EC0F92">
              <w:tc>
                <w:tcPr>
                  <w:tcW w:w="0" w:type="auto"/>
                  <w:tcMar>
                    <w:top w:w="15" w:type="dxa"/>
                    <w:left w:w="57" w:type="dxa"/>
                    <w:bottom w:w="15" w:type="dxa"/>
                    <w:right w:w="57" w:type="dxa"/>
                  </w:tcMar>
                  <w:vAlign w:val="center"/>
                  <w:hideMark/>
                </w:tcPr>
                <w:p w14:paraId="27743FA6" w14:textId="3751835D"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6E3808" w:rsidRPr="004F289D">
                    <w:rPr>
                      <w:rFonts w:eastAsia="Times New Roman" w:cs="Times New Roman"/>
                      <w:kern w:val="0"/>
                      <w:lang/>
                      <w14:ligatures w14:val="none"/>
                    </w:rPr>
                    <w:t>2</w:t>
                  </w:r>
                </w:p>
              </w:tc>
              <w:tc>
                <w:tcPr>
                  <w:tcW w:w="0" w:type="auto"/>
                  <w:noWrap/>
                  <w:tcMar>
                    <w:top w:w="15" w:type="dxa"/>
                    <w:left w:w="57" w:type="dxa"/>
                    <w:bottom w:w="15" w:type="dxa"/>
                    <w:right w:w="57" w:type="dxa"/>
                  </w:tcMar>
                  <w:vAlign w:val="center"/>
                  <w:hideMark/>
                </w:tcPr>
                <w:p w14:paraId="31BA8BC3" w14:textId="4082DE7C"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5C90841E"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300" w:type="dxa"/>
                  <w:tcMar>
                    <w:top w:w="15" w:type="dxa"/>
                    <w:left w:w="140" w:type="dxa"/>
                    <w:bottom w:w="15" w:type="dxa"/>
                    <w:right w:w="140" w:type="dxa"/>
                  </w:tcMar>
                  <w:vAlign w:val="bottom"/>
                  <w:hideMark/>
                </w:tcPr>
                <w:p w14:paraId="2F29494B" w14:textId="2BAEEE5E"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850</w:t>
                  </w:r>
                </w:p>
              </w:tc>
            </w:tr>
            <w:tr w:rsidR="004F289D" w:rsidRPr="004F289D" w14:paraId="0E386362" w14:textId="77777777" w:rsidTr="00EC0F92">
              <w:tc>
                <w:tcPr>
                  <w:tcW w:w="0" w:type="auto"/>
                  <w:tcMar>
                    <w:top w:w="15" w:type="dxa"/>
                    <w:left w:w="57" w:type="dxa"/>
                    <w:bottom w:w="15" w:type="dxa"/>
                    <w:right w:w="57" w:type="dxa"/>
                  </w:tcMar>
                  <w:vAlign w:val="center"/>
                  <w:hideMark/>
                </w:tcPr>
                <w:p w14:paraId="7C454F4B" w14:textId="437BB931"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6E3808"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09FFF9F8" w14:textId="08BEE12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3C254D2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300" w:type="dxa"/>
                  <w:tcMar>
                    <w:top w:w="15" w:type="dxa"/>
                    <w:left w:w="140" w:type="dxa"/>
                    <w:bottom w:w="15" w:type="dxa"/>
                    <w:right w:w="140" w:type="dxa"/>
                  </w:tcMar>
                  <w:vAlign w:val="bottom"/>
                  <w:hideMark/>
                </w:tcPr>
                <w:p w14:paraId="7E0E8605" w14:textId="74683067"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822</w:t>
                  </w:r>
                </w:p>
              </w:tc>
            </w:tr>
            <w:tr w:rsidR="004F289D" w:rsidRPr="004F289D" w14:paraId="62B33649" w14:textId="77777777" w:rsidTr="00EC0F92">
              <w:tc>
                <w:tcPr>
                  <w:tcW w:w="0" w:type="auto"/>
                  <w:tcMar>
                    <w:top w:w="15" w:type="dxa"/>
                    <w:left w:w="57" w:type="dxa"/>
                    <w:bottom w:w="15" w:type="dxa"/>
                    <w:right w:w="57" w:type="dxa"/>
                  </w:tcMar>
                  <w:vAlign w:val="center"/>
                  <w:hideMark/>
                </w:tcPr>
                <w:p w14:paraId="244959EE"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CL31</w:t>
                  </w:r>
                </w:p>
              </w:tc>
              <w:tc>
                <w:tcPr>
                  <w:tcW w:w="0" w:type="auto"/>
                  <w:noWrap/>
                  <w:tcMar>
                    <w:top w:w="15" w:type="dxa"/>
                    <w:left w:w="57" w:type="dxa"/>
                    <w:bottom w:w="15" w:type="dxa"/>
                    <w:right w:w="57" w:type="dxa"/>
                  </w:tcMar>
                  <w:vAlign w:val="center"/>
                  <w:hideMark/>
                </w:tcPr>
                <w:p w14:paraId="2D0BC333" w14:textId="0439530B"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374C36CC"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300" w:type="dxa"/>
                  <w:tcMar>
                    <w:top w:w="15" w:type="dxa"/>
                    <w:left w:w="140" w:type="dxa"/>
                    <w:bottom w:w="15" w:type="dxa"/>
                    <w:right w:w="140" w:type="dxa"/>
                  </w:tcMar>
                  <w:vAlign w:val="bottom"/>
                  <w:hideMark/>
                </w:tcPr>
                <w:p w14:paraId="01DEFD97" w14:textId="4CBAF952"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678</w:t>
                  </w:r>
                </w:p>
              </w:tc>
            </w:tr>
            <w:tr w:rsidR="004F289D" w:rsidRPr="004F289D" w14:paraId="0213C5BE" w14:textId="77777777" w:rsidTr="00EC0F92">
              <w:tc>
                <w:tcPr>
                  <w:tcW w:w="0" w:type="auto"/>
                  <w:tcMar>
                    <w:top w:w="15" w:type="dxa"/>
                    <w:left w:w="57" w:type="dxa"/>
                    <w:bottom w:w="15" w:type="dxa"/>
                    <w:right w:w="57" w:type="dxa"/>
                  </w:tcMar>
                  <w:vAlign w:val="center"/>
                  <w:hideMark/>
                </w:tcPr>
                <w:p w14:paraId="103683B7"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CL32</w:t>
                  </w:r>
                </w:p>
              </w:tc>
              <w:tc>
                <w:tcPr>
                  <w:tcW w:w="0" w:type="auto"/>
                  <w:noWrap/>
                  <w:tcMar>
                    <w:top w:w="15" w:type="dxa"/>
                    <w:left w:w="57" w:type="dxa"/>
                    <w:bottom w:w="15" w:type="dxa"/>
                    <w:right w:w="57" w:type="dxa"/>
                  </w:tcMar>
                  <w:vAlign w:val="center"/>
                  <w:hideMark/>
                </w:tcPr>
                <w:p w14:paraId="1667AAE5" w14:textId="1FBAC04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2213DB80"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300" w:type="dxa"/>
                  <w:tcMar>
                    <w:top w:w="15" w:type="dxa"/>
                    <w:left w:w="140" w:type="dxa"/>
                    <w:bottom w:w="15" w:type="dxa"/>
                    <w:right w:w="140" w:type="dxa"/>
                  </w:tcMar>
                  <w:vAlign w:val="bottom"/>
                  <w:hideMark/>
                </w:tcPr>
                <w:p w14:paraId="6ED87BD6" w14:textId="3EE1813D"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878</w:t>
                  </w:r>
                </w:p>
              </w:tc>
            </w:tr>
            <w:tr w:rsidR="004F289D" w:rsidRPr="004F289D" w14:paraId="4075DAEF" w14:textId="77777777" w:rsidTr="00EC0F92">
              <w:tc>
                <w:tcPr>
                  <w:tcW w:w="0" w:type="auto"/>
                  <w:tcMar>
                    <w:top w:w="15" w:type="dxa"/>
                    <w:left w:w="57" w:type="dxa"/>
                    <w:bottom w:w="15" w:type="dxa"/>
                    <w:right w:w="57" w:type="dxa"/>
                  </w:tcMar>
                  <w:vAlign w:val="center"/>
                  <w:hideMark/>
                </w:tcPr>
                <w:p w14:paraId="4B95CD6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CL33</w:t>
                  </w:r>
                </w:p>
              </w:tc>
              <w:tc>
                <w:tcPr>
                  <w:tcW w:w="0" w:type="auto"/>
                  <w:noWrap/>
                  <w:tcMar>
                    <w:top w:w="15" w:type="dxa"/>
                    <w:left w:w="57" w:type="dxa"/>
                    <w:bottom w:w="15" w:type="dxa"/>
                    <w:right w:w="57" w:type="dxa"/>
                  </w:tcMar>
                  <w:vAlign w:val="center"/>
                  <w:hideMark/>
                </w:tcPr>
                <w:p w14:paraId="4CF50DC2" w14:textId="1E11921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701D9E3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300" w:type="dxa"/>
                  <w:tcMar>
                    <w:top w:w="15" w:type="dxa"/>
                    <w:left w:w="140" w:type="dxa"/>
                    <w:bottom w:w="15" w:type="dxa"/>
                    <w:right w:w="140" w:type="dxa"/>
                  </w:tcMar>
                  <w:vAlign w:val="bottom"/>
                  <w:hideMark/>
                </w:tcPr>
                <w:p w14:paraId="3B4AD262" w14:textId="4D999CBC"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740</w:t>
                  </w:r>
                </w:p>
              </w:tc>
            </w:tr>
            <w:tr w:rsidR="004F289D" w:rsidRPr="004F289D" w14:paraId="4177D343" w14:textId="77777777" w:rsidTr="00EC0F92">
              <w:tc>
                <w:tcPr>
                  <w:tcW w:w="0" w:type="auto"/>
                  <w:tcMar>
                    <w:top w:w="15" w:type="dxa"/>
                    <w:left w:w="57" w:type="dxa"/>
                    <w:bottom w:w="15" w:type="dxa"/>
                    <w:right w:w="57" w:type="dxa"/>
                  </w:tcMar>
                  <w:vAlign w:val="center"/>
                  <w:hideMark/>
                </w:tcPr>
                <w:p w14:paraId="045CDACB" w14:textId="49B7278E"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6E3808"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79425AA9" w14:textId="617B2431"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019CF917"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300" w:type="dxa"/>
                  <w:tcMar>
                    <w:top w:w="15" w:type="dxa"/>
                    <w:left w:w="140" w:type="dxa"/>
                    <w:bottom w:w="15" w:type="dxa"/>
                    <w:right w:w="140" w:type="dxa"/>
                  </w:tcMar>
                  <w:vAlign w:val="bottom"/>
                  <w:hideMark/>
                </w:tcPr>
                <w:p w14:paraId="7E0C85D9" w14:textId="4B5F6678"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809</w:t>
                  </w:r>
                </w:p>
              </w:tc>
            </w:tr>
            <w:tr w:rsidR="004F289D" w:rsidRPr="004F289D" w14:paraId="43939AA0" w14:textId="77777777" w:rsidTr="00EC0F92">
              <w:tc>
                <w:tcPr>
                  <w:tcW w:w="0" w:type="auto"/>
                  <w:tcMar>
                    <w:top w:w="15" w:type="dxa"/>
                    <w:left w:w="57" w:type="dxa"/>
                    <w:bottom w:w="15" w:type="dxa"/>
                    <w:right w:w="57" w:type="dxa"/>
                  </w:tcMar>
                  <w:vAlign w:val="center"/>
                  <w:hideMark/>
                </w:tcPr>
                <w:p w14:paraId="2CF09944" w14:textId="382D0CD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6E3808" w:rsidRPr="004F289D">
                    <w:rPr>
                      <w:rFonts w:eastAsia="Times New Roman" w:cs="Times New Roman"/>
                      <w:kern w:val="0"/>
                      <w:lang/>
                      <w14:ligatures w14:val="none"/>
                    </w:rPr>
                    <w:t>2</w:t>
                  </w:r>
                </w:p>
              </w:tc>
              <w:tc>
                <w:tcPr>
                  <w:tcW w:w="0" w:type="auto"/>
                  <w:noWrap/>
                  <w:tcMar>
                    <w:top w:w="15" w:type="dxa"/>
                    <w:left w:w="57" w:type="dxa"/>
                    <w:bottom w:w="15" w:type="dxa"/>
                    <w:right w:w="57" w:type="dxa"/>
                  </w:tcMar>
                  <w:vAlign w:val="center"/>
                  <w:hideMark/>
                </w:tcPr>
                <w:p w14:paraId="25349D12" w14:textId="424EDBD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6E7A8D6F"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300" w:type="dxa"/>
                  <w:tcMar>
                    <w:top w:w="15" w:type="dxa"/>
                    <w:left w:w="140" w:type="dxa"/>
                    <w:bottom w:w="15" w:type="dxa"/>
                    <w:right w:w="140" w:type="dxa"/>
                  </w:tcMar>
                  <w:vAlign w:val="bottom"/>
                  <w:hideMark/>
                </w:tcPr>
                <w:p w14:paraId="6E90C99E" w14:textId="41B34D83"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971</w:t>
                  </w:r>
                </w:p>
              </w:tc>
            </w:tr>
            <w:tr w:rsidR="004F289D" w:rsidRPr="004F289D" w14:paraId="69BA9AE1" w14:textId="77777777" w:rsidTr="00EC0F92">
              <w:tc>
                <w:tcPr>
                  <w:tcW w:w="0" w:type="auto"/>
                  <w:tcMar>
                    <w:top w:w="15" w:type="dxa"/>
                    <w:left w:w="57" w:type="dxa"/>
                    <w:bottom w:w="15" w:type="dxa"/>
                    <w:right w:w="57" w:type="dxa"/>
                  </w:tcMar>
                  <w:vAlign w:val="center"/>
                  <w:hideMark/>
                </w:tcPr>
                <w:p w14:paraId="109FB914" w14:textId="7BF4B2B9"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6E3808"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5A8BFCA5" w14:textId="005AA12C"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4768319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300" w:type="dxa"/>
                  <w:tcMar>
                    <w:top w:w="15" w:type="dxa"/>
                    <w:left w:w="140" w:type="dxa"/>
                    <w:bottom w:w="15" w:type="dxa"/>
                    <w:right w:w="140" w:type="dxa"/>
                  </w:tcMar>
                  <w:vAlign w:val="bottom"/>
                  <w:hideMark/>
                </w:tcPr>
                <w:p w14:paraId="03442E8D" w14:textId="2DE6D300"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875</w:t>
                  </w:r>
                </w:p>
              </w:tc>
            </w:tr>
            <w:tr w:rsidR="004F289D" w:rsidRPr="004F289D" w14:paraId="006072C4" w14:textId="77777777" w:rsidTr="00EC0F92">
              <w:tc>
                <w:tcPr>
                  <w:tcW w:w="0" w:type="auto"/>
                  <w:tcMar>
                    <w:top w:w="15" w:type="dxa"/>
                    <w:left w:w="57" w:type="dxa"/>
                    <w:bottom w:w="15" w:type="dxa"/>
                    <w:right w:w="57" w:type="dxa"/>
                  </w:tcMar>
                  <w:vAlign w:val="center"/>
                  <w:hideMark/>
                </w:tcPr>
                <w:p w14:paraId="36D4AAC5"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CL51</w:t>
                  </w:r>
                </w:p>
              </w:tc>
              <w:tc>
                <w:tcPr>
                  <w:tcW w:w="0" w:type="auto"/>
                  <w:noWrap/>
                  <w:tcMar>
                    <w:top w:w="15" w:type="dxa"/>
                    <w:left w:w="57" w:type="dxa"/>
                    <w:bottom w:w="15" w:type="dxa"/>
                    <w:right w:w="57" w:type="dxa"/>
                  </w:tcMar>
                  <w:vAlign w:val="center"/>
                  <w:hideMark/>
                </w:tcPr>
                <w:p w14:paraId="17A809CE" w14:textId="1CBE2EC0"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248CED3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300" w:type="dxa"/>
                  <w:tcMar>
                    <w:top w:w="15" w:type="dxa"/>
                    <w:left w:w="140" w:type="dxa"/>
                    <w:bottom w:w="15" w:type="dxa"/>
                    <w:right w:w="140" w:type="dxa"/>
                  </w:tcMar>
                  <w:vAlign w:val="bottom"/>
                  <w:hideMark/>
                </w:tcPr>
                <w:p w14:paraId="4D7443F8" w14:textId="365B9D70"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988</w:t>
                  </w:r>
                </w:p>
              </w:tc>
            </w:tr>
            <w:tr w:rsidR="004F289D" w:rsidRPr="004F289D" w14:paraId="7F0F4D03" w14:textId="77777777" w:rsidTr="00EC0F92">
              <w:tc>
                <w:tcPr>
                  <w:tcW w:w="0" w:type="auto"/>
                  <w:tcMar>
                    <w:top w:w="15" w:type="dxa"/>
                    <w:left w:w="57" w:type="dxa"/>
                    <w:bottom w:w="15" w:type="dxa"/>
                    <w:right w:w="57" w:type="dxa"/>
                  </w:tcMar>
                  <w:vAlign w:val="center"/>
                  <w:hideMark/>
                </w:tcPr>
                <w:p w14:paraId="0F1F6B60"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CL52</w:t>
                  </w:r>
                </w:p>
              </w:tc>
              <w:tc>
                <w:tcPr>
                  <w:tcW w:w="0" w:type="auto"/>
                  <w:noWrap/>
                  <w:tcMar>
                    <w:top w:w="15" w:type="dxa"/>
                    <w:left w:w="57" w:type="dxa"/>
                    <w:bottom w:w="15" w:type="dxa"/>
                    <w:right w:w="57" w:type="dxa"/>
                  </w:tcMar>
                  <w:vAlign w:val="center"/>
                  <w:hideMark/>
                </w:tcPr>
                <w:p w14:paraId="4366EEC2" w14:textId="6F613357"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5EE2691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300" w:type="dxa"/>
                  <w:tcMar>
                    <w:top w:w="15" w:type="dxa"/>
                    <w:left w:w="140" w:type="dxa"/>
                    <w:bottom w:w="15" w:type="dxa"/>
                    <w:right w:w="140" w:type="dxa"/>
                  </w:tcMar>
                  <w:vAlign w:val="bottom"/>
                  <w:hideMark/>
                </w:tcPr>
                <w:p w14:paraId="2EE76B62" w14:textId="4ADA18FB"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998</w:t>
                  </w:r>
                </w:p>
              </w:tc>
            </w:tr>
            <w:tr w:rsidR="004F289D" w:rsidRPr="004F289D" w14:paraId="7AF2B999" w14:textId="77777777" w:rsidTr="00EC0F92">
              <w:tc>
                <w:tcPr>
                  <w:tcW w:w="0" w:type="auto"/>
                  <w:tcMar>
                    <w:top w:w="15" w:type="dxa"/>
                    <w:left w:w="57" w:type="dxa"/>
                    <w:bottom w:w="15" w:type="dxa"/>
                    <w:right w:w="57" w:type="dxa"/>
                  </w:tcMar>
                  <w:vAlign w:val="center"/>
                  <w:hideMark/>
                </w:tcPr>
                <w:p w14:paraId="090A780F"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CL53</w:t>
                  </w:r>
                </w:p>
              </w:tc>
              <w:tc>
                <w:tcPr>
                  <w:tcW w:w="0" w:type="auto"/>
                  <w:noWrap/>
                  <w:tcMar>
                    <w:top w:w="15" w:type="dxa"/>
                    <w:left w:w="57" w:type="dxa"/>
                    <w:bottom w:w="15" w:type="dxa"/>
                    <w:right w:w="57" w:type="dxa"/>
                  </w:tcMar>
                  <w:vAlign w:val="center"/>
                  <w:hideMark/>
                </w:tcPr>
                <w:p w14:paraId="71AC969C" w14:textId="1090CDBF"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051AE399"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300" w:type="dxa"/>
                  <w:tcMar>
                    <w:top w:w="15" w:type="dxa"/>
                    <w:left w:w="140" w:type="dxa"/>
                    <w:bottom w:w="15" w:type="dxa"/>
                    <w:right w:w="140" w:type="dxa"/>
                  </w:tcMar>
                  <w:vAlign w:val="bottom"/>
                  <w:hideMark/>
                </w:tcPr>
                <w:p w14:paraId="739A210C" w14:textId="28A06645"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981</w:t>
                  </w:r>
                </w:p>
              </w:tc>
            </w:tr>
            <w:tr w:rsidR="004F289D" w:rsidRPr="004F289D" w14:paraId="5F7EA32F" w14:textId="77777777" w:rsidTr="00EC0F92">
              <w:tc>
                <w:tcPr>
                  <w:tcW w:w="0" w:type="auto"/>
                  <w:tcMar>
                    <w:top w:w="15" w:type="dxa"/>
                    <w:left w:w="57" w:type="dxa"/>
                    <w:bottom w:w="15" w:type="dxa"/>
                    <w:right w:w="57" w:type="dxa"/>
                  </w:tcMar>
                  <w:vAlign w:val="center"/>
                  <w:hideMark/>
                </w:tcPr>
                <w:p w14:paraId="4CC726AE" w14:textId="499A6AEA"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6E3808"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0F23C40B" w14:textId="79B11492"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6A24A3E0"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300" w:type="dxa"/>
                  <w:tcMar>
                    <w:top w:w="15" w:type="dxa"/>
                    <w:left w:w="140" w:type="dxa"/>
                    <w:bottom w:w="15" w:type="dxa"/>
                    <w:right w:w="140" w:type="dxa"/>
                  </w:tcMar>
                  <w:vAlign w:val="bottom"/>
                  <w:hideMark/>
                </w:tcPr>
                <w:p w14:paraId="1AAFA5F7" w14:textId="4D9B6BBB"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699</w:t>
                  </w:r>
                </w:p>
              </w:tc>
            </w:tr>
            <w:tr w:rsidR="004F289D" w:rsidRPr="004F289D" w14:paraId="1F69F736" w14:textId="77777777" w:rsidTr="00EC0F92">
              <w:tc>
                <w:tcPr>
                  <w:tcW w:w="0" w:type="auto"/>
                  <w:tcMar>
                    <w:top w:w="15" w:type="dxa"/>
                    <w:left w:w="57" w:type="dxa"/>
                    <w:bottom w:w="15" w:type="dxa"/>
                    <w:right w:w="57" w:type="dxa"/>
                  </w:tcMar>
                  <w:vAlign w:val="center"/>
                  <w:hideMark/>
                </w:tcPr>
                <w:p w14:paraId="18473398" w14:textId="776662CC"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6E3808" w:rsidRPr="004F289D">
                    <w:rPr>
                      <w:rFonts w:eastAsia="Times New Roman" w:cs="Times New Roman"/>
                      <w:kern w:val="0"/>
                      <w:lang/>
                      <w14:ligatures w14:val="none"/>
                    </w:rPr>
                    <w:t>2</w:t>
                  </w:r>
                </w:p>
              </w:tc>
              <w:tc>
                <w:tcPr>
                  <w:tcW w:w="0" w:type="auto"/>
                  <w:noWrap/>
                  <w:tcMar>
                    <w:top w:w="15" w:type="dxa"/>
                    <w:left w:w="57" w:type="dxa"/>
                    <w:bottom w:w="15" w:type="dxa"/>
                    <w:right w:w="57" w:type="dxa"/>
                  </w:tcMar>
                  <w:vAlign w:val="center"/>
                  <w:hideMark/>
                </w:tcPr>
                <w:p w14:paraId="7E9308CF" w14:textId="5861C85B"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69C5EF0C"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300" w:type="dxa"/>
                  <w:tcMar>
                    <w:top w:w="15" w:type="dxa"/>
                    <w:left w:w="140" w:type="dxa"/>
                    <w:bottom w:w="15" w:type="dxa"/>
                    <w:right w:w="140" w:type="dxa"/>
                  </w:tcMar>
                  <w:vAlign w:val="bottom"/>
                  <w:hideMark/>
                </w:tcPr>
                <w:p w14:paraId="69709751" w14:textId="0CAD7D66"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935</w:t>
                  </w:r>
                </w:p>
              </w:tc>
            </w:tr>
            <w:tr w:rsidR="004F289D" w:rsidRPr="004F289D" w14:paraId="3C5D0C51" w14:textId="77777777" w:rsidTr="00EC0F92">
              <w:tc>
                <w:tcPr>
                  <w:tcW w:w="0" w:type="auto"/>
                  <w:tcMar>
                    <w:top w:w="15" w:type="dxa"/>
                    <w:left w:w="57" w:type="dxa"/>
                    <w:bottom w:w="15" w:type="dxa"/>
                    <w:right w:w="57" w:type="dxa"/>
                  </w:tcMar>
                  <w:vAlign w:val="center"/>
                  <w:hideMark/>
                </w:tcPr>
                <w:p w14:paraId="3F3DA4F7" w14:textId="62986A5D"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6E3808"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3AEE631C" w14:textId="3025B76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2275" w:type="dxa"/>
                  <w:tcMar>
                    <w:top w:w="15" w:type="dxa"/>
                    <w:left w:w="140" w:type="dxa"/>
                    <w:bottom w:w="15" w:type="dxa"/>
                    <w:right w:w="140" w:type="dxa"/>
                  </w:tcMar>
                  <w:vAlign w:val="center"/>
                  <w:hideMark/>
                </w:tcPr>
                <w:p w14:paraId="665CF8A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300" w:type="dxa"/>
                  <w:tcMar>
                    <w:top w:w="15" w:type="dxa"/>
                    <w:left w:w="140" w:type="dxa"/>
                    <w:bottom w:w="15" w:type="dxa"/>
                    <w:right w:w="140" w:type="dxa"/>
                  </w:tcMar>
                  <w:vAlign w:val="bottom"/>
                  <w:hideMark/>
                </w:tcPr>
                <w:p w14:paraId="17BCAD9D" w14:textId="673CAF33"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819</w:t>
                  </w:r>
                </w:p>
              </w:tc>
            </w:tr>
          </w:tbl>
          <w:p w14:paraId="58AE66AD" w14:textId="77777777" w:rsidR="00EC0F92" w:rsidRPr="004F289D" w:rsidRDefault="00EC0F92" w:rsidP="00EC0F92">
            <w:pPr>
              <w:jc w:val="center"/>
              <w:rPr>
                <w:rFonts w:eastAsia="Aptos" w:cs="Times New Roman"/>
              </w:rPr>
            </w:pPr>
          </w:p>
        </w:tc>
        <w:tc>
          <w:tcPr>
            <w:tcW w:w="4401" w:type="dxa"/>
          </w:tcPr>
          <w:tbl>
            <w:tblPr>
              <w:tblW w:w="0" w:type="auto"/>
              <w:tblCellMar>
                <w:top w:w="15" w:type="dxa"/>
                <w:left w:w="15" w:type="dxa"/>
                <w:bottom w:w="15" w:type="dxa"/>
                <w:right w:w="15" w:type="dxa"/>
              </w:tblCellMar>
              <w:tblLook w:val="04A0" w:firstRow="1" w:lastRow="0" w:firstColumn="1" w:lastColumn="0" w:noHBand="0" w:noVBand="1"/>
              <w:tblDescription w:val="Standardized Regression Weights: (Group number 1 -  Default model)"/>
            </w:tblPr>
            <w:tblGrid>
              <w:gridCol w:w="570"/>
              <w:gridCol w:w="314"/>
              <w:gridCol w:w="1542"/>
              <w:gridCol w:w="775"/>
            </w:tblGrid>
            <w:tr w:rsidR="004F289D" w:rsidRPr="004F289D" w14:paraId="100B5137" w14:textId="77777777" w:rsidTr="00EC0F92">
              <w:tc>
                <w:tcPr>
                  <w:tcW w:w="0" w:type="auto"/>
                  <w:tcMar>
                    <w:top w:w="15" w:type="dxa"/>
                    <w:left w:w="57" w:type="dxa"/>
                    <w:bottom w:w="15" w:type="dxa"/>
                    <w:right w:w="57" w:type="dxa"/>
                  </w:tcMar>
                  <w:vAlign w:val="center"/>
                  <w:hideMark/>
                </w:tcPr>
                <w:p w14:paraId="35A5E03A"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CL11</w:t>
                  </w:r>
                </w:p>
              </w:tc>
              <w:tc>
                <w:tcPr>
                  <w:tcW w:w="0" w:type="auto"/>
                  <w:noWrap/>
                  <w:tcMar>
                    <w:top w:w="15" w:type="dxa"/>
                    <w:left w:w="57" w:type="dxa"/>
                    <w:bottom w:w="15" w:type="dxa"/>
                    <w:right w:w="57" w:type="dxa"/>
                  </w:tcMar>
                  <w:vAlign w:val="center"/>
                  <w:hideMark/>
                </w:tcPr>
                <w:p w14:paraId="3797E1B2" w14:textId="5C8DBD37"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58BA2E39"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Identity Theft</w:t>
                  </w:r>
                </w:p>
              </w:tc>
              <w:tc>
                <w:tcPr>
                  <w:tcW w:w="0" w:type="auto"/>
                  <w:tcMar>
                    <w:top w:w="15" w:type="dxa"/>
                    <w:left w:w="140" w:type="dxa"/>
                    <w:bottom w:w="15" w:type="dxa"/>
                    <w:right w:w="140" w:type="dxa"/>
                  </w:tcMar>
                  <w:vAlign w:val="bottom"/>
                  <w:hideMark/>
                </w:tcPr>
                <w:p w14:paraId="798C2243" w14:textId="6A6685D1"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862</w:t>
                  </w:r>
                </w:p>
              </w:tc>
            </w:tr>
            <w:tr w:rsidR="004F289D" w:rsidRPr="004F289D" w14:paraId="46CC6711" w14:textId="77777777" w:rsidTr="00EC0F92">
              <w:tc>
                <w:tcPr>
                  <w:tcW w:w="0" w:type="auto"/>
                  <w:tcMar>
                    <w:top w:w="15" w:type="dxa"/>
                    <w:left w:w="57" w:type="dxa"/>
                    <w:bottom w:w="15" w:type="dxa"/>
                    <w:right w:w="57" w:type="dxa"/>
                  </w:tcMar>
                  <w:vAlign w:val="center"/>
                  <w:hideMark/>
                </w:tcPr>
                <w:p w14:paraId="1D375B9D"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CL12</w:t>
                  </w:r>
                </w:p>
              </w:tc>
              <w:tc>
                <w:tcPr>
                  <w:tcW w:w="0" w:type="auto"/>
                  <w:noWrap/>
                  <w:tcMar>
                    <w:top w:w="15" w:type="dxa"/>
                    <w:left w:w="57" w:type="dxa"/>
                    <w:bottom w:w="15" w:type="dxa"/>
                    <w:right w:w="57" w:type="dxa"/>
                  </w:tcMar>
                  <w:vAlign w:val="center"/>
                  <w:hideMark/>
                </w:tcPr>
                <w:p w14:paraId="6FC24516" w14:textId="68F4C8B9"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0AE15FE5"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Identity Theft</w:t>
                  </w:r>
                </w:p>
              </w:tc>
              <w:tc>
                <w:tcPr>
                  <w:tcW w:w="0" w:type="auto"/>
                  <w:tcMar>
                    <w:top w:w="15" w:type="dxa"/>
                    <w:left w:w="140" w:type="dxa"/>
                    <w:bottom w:w="15" w:type="dxa"/>
                    <w:right w:w="140" w:type="dxa"/>
                  </w:tcMar>
                  <w:vAlign w:val="bottom"/>
                  <w:hideMark/>
                </w:tcPr>
                <w:p w14:paraId="03289442" w14:textId="66846BD1"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894</w:t>
                  </w:r>
                </w:p>
              </w:tc>
            </w:tr>
            <w:tr w:rsidR="004F289D" w:rsidRPr="004F289D" w14:paraId="62FC8024" w14:textId="77777777" w:rsidTr="00EC0F92">
              <w:tc>
                <w:tcPr>
                  <w:tcW w:w="0" w:type="auto"/>
                  <w:tcMar>
                    <w:top w:w="15" w:type="dxa"/>
                    <w:left w:w="57" w:type="dxa"/>
                    <w:bottom w:w="15" w:type="dxa"/>
                    <w:right w:w="57" w:type="dxa"/>
                  </w:tcMar>
                  <w:vAlign w:val="center"/>
                  <w:hideMark/>
                </w:tcPr>
                <w:p w14:paraId="2A9ACEC5"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CL13</w:t>
                  </w:r>
                </w:p>
              </w:tc>
              <w:tc>
                <w:tcPr>
                  <w:tcW w:w="0" w:type="auto"/>
                  <w:noWrap/>
                  <w:tcMar>
                    <w:top w:w="15" w:type="dxa"/>
                    <w:left w:w="57" w:type="dxa"/>
                    <w:bottom w:w="15" w:type="dxa"/>
                    <w:right w:w="57" w:type="dxa"/>
                  </w:tcMar>
                  <w:vAlign w:val="center"/>
                  <w:hideMark/>
                </w:tcPr>
                <w:p w14:paraId="0FFB3303" w14:textId="58A793D0"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32E0AC98"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Identity Theft</w:t>
                  </w:r>
                </w:p>
              </w:tc>
              <w:tc>
                <w:tcPr>
                  <w:tcW w:w="0" w:type="auto"/>
                  <w:tcMar>
                    <w:top w:w="15" w:type="dxa"/>
                    <w:left w:w="140" w:type="dxa"/>
                    <w:bottom w:w="15" w:type="dxa"/>
                    <w:right w:w="140" w:type="dxa"/>
                  </w:tcMar>
                  <w:vAlign w:val="bottom"/>
                  <w:hideMark/>
                </w:tcPr>
                <w:p w14:paraId="704A0707" w14:textId="2282A55B"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882</w:t>
                  </w:r>
                </w:p>
              </w:tc>
            </w:tr>
            <w:tr w:rsidR="004F289D" w:rsidRPr="004F289D" w14:paraId="0DA2614E" w14:textId="77777777" w:rsidTr="00EC0F92">
              <w:tc>
                <w:tcPr>
                  <w:tcW w:w="0" w:type="auto"/>
                  <w:tcMar>
                    <w:top w:w="15" w:type="dxa"/>
                    <w:left w:w="57" w:type="dxa"/>
                    <w:bottom w:w="15" w:type="dxa"/>
                    <w:right w:w="57" w:type="dxa"/>
                  </w:tcMar>
                  <w:vAlign w:val="center"/>
                  <w:hideMark/>
                </w:tcPr>
                <w:p w14:paraId="0BCCD4CD" w14:textId="75D39193"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CL2</w:t>
                  </w:r>
                  <w:r w:rsidR="006E3808" w:rsidRPr="004F289D">
                    <w:rPr>
                      <w:rFonts w:eastAsia="Times New Roman" w:cs="Times New Roman"/>
                      <w:kern w:val="0"/>
                      <w:sz w:val="20"/>
                      <w:szCs w:val="20"/>
                      <w:lang/>
                      <w14:ligatures w14:val="none"/>
                    </w:rPr>
                    <w:t>1</w:t>
                  </w:r>
                </w:p>
              </w:tc>
              <w:tc>
                <w:tcPr>
                  <w:tcW w:w="0" w:type="auto"/>
                  <w:noWrap/>
                  <w:tcMar>
                    <w:top w:w="15" w:type="dxa"/>
                    <w:left w:w="57" w:type="dxa"/>
                    <w:bottom w:w="15" w:type="dxa"/>
                    <w:right w:w="57" w:type="dxa"/>
                  </w:tcMar>
                  <w:vAlign w:val="center"/>
                  <w:hideMark/>
                </w:tcPr>
                <w:p w14:paraId="4C0C6948" w14:textId="032DDA61"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132FBA76"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Legitimacy</w:t>
                  </w:r>
                </w:p>
              </w:tc>
              <w:tc>
                <w:tcPr>
                  <w:tcW w:w="0" w:type="auto"/>
                  <w:tcMar>
                    <w:top w:w="15" w:type="dxa"/>
                    <w:left w:w="140" w:type="dxa"/>
                    <w:bottom w:w="15" w:type="dxa"/>
                    <w:right w:w="140" w:type="dxa"/>
                  </w:tcMar>
                  <w:vAlign w:val="bottom"/>
                  <w:hideMark/>
                </w:tcPr>
                <w:p w14:paraId="29110966" w14:textId="04DDE44F"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520</w:t>
                  </w:r>
                </w:p>
              </w:tc>
            </w:tr>
            <w:tr w:rsidR="004F289D" w:rsidRPr="004F289D" w14:paraId="2081503E" w14:textId="77777777" w:rsidTr="00EC0F92">
              <w:tc>
                <w:tcPr>
                  <w:tcW w:w="0" w:type="auto"/>
                  <w:tcMar>
                    <w:top w:w="15" w:type="dxa"/>
                    <w:left w:w="57" w:type="dxa"/>
                    <w:bottom w:w="15" w:type="dxa"/>
                    <w:right w:w="57" w:type="dxa"/>
                  </w:tcMar>
                  <w:vAlign w:val="center"/>
                  <w:hideMark/>
                </w:tcPr>
                <w:p w14:paraId="297B993F" w14:textId="0E4DCD45"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CL2</w:t>
                  </w:r>
                  <w:r w:rsidR="006E3808" w:rsidRPr="004F289D">
                    <w:rPr>
                      <w:rFonts w:eastAsia="Times New Roman" w:cs="Times New Roman"/>
                      <w:kern w:val="0"/>
                      <w:sz w:val="20"/>
                      <w:szCs w:val="20"/>
                      <w:lang/>
                      <w14:ligatures w14:val="none"/>
                    </w:rPr>
                    <w:t>2</w:t>
                  </w:r>
                </w:p>
              </w:tc>
              <w:tc>
                <w:tcPr>
                  <w:tcW w:w="0" w:type="auto"/>
                  <w:noWrap/>
                  <w:tcMar>
                    <w:top w:w="15" w:type="dxa"/>
                    <w:left w:w="57" w:type="dxa"/>
                    <w:bottom w:w="15" w:type="dxa"/>
                    <w:right w:w="57" w:type="dxa"/>
                  </w:tcMar>
                  <w:vAlign w:val="center"/>
                  <w:hideMark/>
                </w:tcPr>
                <w:p w14:paraId="05B2CA4D" w14:textId="7C5D65DE"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3707993B"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Legitimacy</w:t>
                  </w:r>
                </w:p>
              </w:tc>
              <w:tc>
                <w:tcPr>
                  <w:tcW w:w="0" w:type="auto"/>
                  <w:tcMar>
                    <w:top w:w="15" w:type="dxa"/>
                    <w:left w:w="140" w:type="dxa"/>
                    <w:bottom w:w="15" w:type="dxa"/>
                    <w:right w:w="140" w:type="dxa"/>
                  </w:tcMar>
                  <w:vAlign w:val="bottom"/>
                  <w:hideMark/>
                </w:tcPr>
                <w:p w14:paraId="398E3B2F" w14:textId="554F59BE"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756</w:t>
                  </w:r>
                </w:p>
              </w:tc>
            </w:tr>
            <w:tr w:rsidR="004F289D" w:rsidRPr="004F289D" w14:paraId="062FAE3A" w14:textId="77777777" w:rsidTr="00EC0F92">
              <w:tc>
                <w:tcPr>
                  <w:tcW w:w="0" w:type="auto"/>
                  <w:tcMar>
                    <w:top w:w="15" w:type="dxa"/>
                    <w:left w:w="57" w:type="dxa"/>
                    <w:bottom w:w="15" w:type="dxa"/>
                    <w:right w:w="57" w:type="dxa"/>
                  </w:tcMar>
                  <w:vAlign w:val="center"/>
                  <w:hideMark/>
                </w:tcPr>
                <w:p w14:paraId="1BF03005" w14:textId="7AE16EE2"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CL2</w:t>
                  </w:r>
                  <w:r w:rsidR="006E3808" w:rsidRPr="004F289D">
                    <w:rPr>
                      <w:rFonts w:eastAsia="Times New Roman" w:cs="Times New Roman"/>
                      <w:kern w:val="0"/>
                      <w:sz w:val="20"/>
                      <w:szCs w:val="20"/>
                      <w:lang/>
                      <w14:ligatures w14:val="none"/>
                    </w:rPr>
                    <w:t>3</w:t>
                  </w:r>
                </w:p>
              </w:tc>
              <w:tc>
                <w:tcPr>
                  <w:tcW w:w="0" w:type="auto"/>
                  <w:noWrap/>
                  <w:tcMar>
                    <w:top w:w="15" w:type="dxa"/>
                    <w:left w:w="57" w:type="dxa"/>
                    <w:bottom w:w="15" w:type="dxa"/>
                    <w:right w:w="57" w:type="dxa"/>
                  </w:tcMar>
                  <w:vAlign w:val="center"/>
                  <w:hideMark/>
                </w:tcPr>
                <w:p w14:paraId="686EECF5" w14:textId="4EB9E9C4"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0285553D"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Legitimacy</w:t>
                  </w:r>
                </w:p>
              </w:tc>
              <w:tc>
                <w:tcPr>
                  <w:tcW w:w="0" w:type="auto"/>
                  <w:tcMar>
                    <w:top w:w="15" w:type="dxa"/>
                    <w:left w:w="140" w:type="dxa"/>
                    <w:bottom w:w="15" w:type="dxa"/>
                    <w:right w:w="140" w:type="dxa"/>
                  </w:tcMar>
                  <w:vAlign w:val="bottom"/>
                  <w:hideMark/>
                </w:tcPr>
                <w:p w14:paraId="5023BDA8" w14:textId="119E03A0"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729</w:t>
                  </w:r>
                </w:p>
              </w:tc>
            </w:tr>
            <w:tr w:rsidR="004F289D" w:rsidRPr="004F289D" w14:paraId="5BE0FB94" w14:textId="77777777" w:rsidTr="00EC0F92">
              <w:tc>
                <w:tcPr>
                  <w:tcW w:w="0" w:type="auto"/>
                  <w:tcMar>
                    <w:top w:w="15" w:type="dxa"/>
                    <w:left w:w="57" w:type="dxa"/>
                    <w:bottom w:w="15" w:type="dxa"/>
                    <w:right w:w="57" w:type="dxa"/>
                  </w:tcMar>
                  <w:vAlign w:val="center"/>
                  <w:hideMark/>
                </w:tcPr>
                <w:p w14:paraId="6E3BA987"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CL31</w:t>
                  </w:r>
                </w:p>
              </w:tc>
              <w:tc>
                <w:tcPr>
                  <w:tcW w:w="0" w:type="auto"/>
                  <w:noWrap/>
                  <w:tcMar>
                    <w:top w:w="15" w:type="dxa"/>
                    <w:left w:w="57" w:type="dxa"/>
                    <w:bottom w:w="15" w:type="dxa"/>
                    <w:right w:w="57" w:type="dxa"/>
                  </w:tcMar>
                  <w:vAlign w:val="center"/>
                  <w:hideMark/>
                </w:tcPr>
                <w:p w14:paraId="01E3A4AC" w14:textId="2836A262"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1530FB15"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Report fraud</w:t>
                  </w:r>
                </w:p>
              </w:tc>
              <w:tc>
                <w:tcPr>
                  <w:tcW w:w="0" w:type="auto"/>
                  <w:tcMar>
                    <w:top w:w="15" w:type="dxa"/>
                    <w:left w:w="140" w:type="dxa"/>
                    <w:bottom w:w="15" w:type="dxa"/>
                    <w:right w:w="140" w:type="dxa"/>
                  </w:tcMar>
                  <w:vAlign w:val="bottom"/>
                  <w:hideMark/>
                </w:tcPr>
                <w:p w14:paraId="131D08A2" w14:textId="247D2D55"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561</w:t>
                  </w:r>
                </w:p>
              </w:tc>
            </w:tr>
            <w:tr w:rsidR="004F289D" w:rsidRPr="004F289D" w14:paraId="0A79403F" w14:textId="77777777" w:rsidTr="00EC0F92">
              <w:tc>
                <w:tcPr>
                  <w:tcW w:w="0" w:type="auto"/>
                  <w:tcMar>
                    <w:top w:w="15" w:type="dxa"/>
                    <w:left w:w="57" w:type="dxa"/>
                    <w:bottom w:w="15" w:type="dxa"/>
                    <w:right w:w="57" w:type="dxa"/>
                  </w:tcMar>
                  <w:vAlign w:val="center"/>
                  <w:hideMark/>
                </w:tcPr>
                <w:p w14:paraId="6120369A"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CL32</w:t>
                  </w:r>
                </w:p>
              </w:tc>
              <w:tc>
                <w:tcPr>
                  <w:tcW w:w="0" w:type="auto"/>
                  <w:noWrap/>
                  <w:tcMar>
                    <w:top w:w="15" w:type="dxa"/>
                    <w:left w:w="57" w:type="dxa"/>
                    <w:bottom w:w="15" w:type="dxa"/>
                    <w:right w:w="57" w:type="dxa"/>
                  </w:tcMar>
                  <w:vAlign w:val="center"/>
                  <w:hideMark/>
                </w:tcPr>
                <w:p w14:paraId="2BDBA9FB" w14:textId="4D0E4499"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2514DB93"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Report fraud</w:t>
                  </w:r>
                </w:p>
              </w:tc>
              <w:tc>
                <w:tcPr>
                  <w:tcW w:w="0" w:type="auto"/>
                  <w:tcMar>
                    <w:top w:w="15" w:type="dxa"/>
                    <w:left w:w="140" w:type="dxa"/>
                    <w:bottom w:w="15" w:type="dxa"/>
                    <w:right w:w="140" w:type="dxa"/>
                  </w:tcMar>
                  <w:vAlign w:val="bottom"/>
                  <w:hideMark/>
                </w:tcPr>
                <w:p w14:paraId="2C3864A1" w14:textId="61FD05BD"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808</w:t>
                  </w:r>
                </w:p>
              </w:tc>
            </w:tr>
            <w:tr w:rsidR="004F289D" w:rsidRPr="004F289D" w14:paraId="0B2E065D" w14:textId="77777777" w:rsidTr="00EC0F92">
              <w:tc>
                <w:tcPr>
                  <w:tcW w:w="0" w:type="auto"/>
                  <w:tcMar>
                    <w:top w:w="15" w:type="dxa"/>
                    <w:left w:w="57" w:type="dxa"/>
                    <w:bottom w:w="15" w:type="dxa"/>
                    <w:right w:w="57" w:type="dxa"/>
                  </w:tcMar>
                  <w:vAlign w:val="center"/>
                  <w:hideMark/>
                </w:tcPr>
                <w:p w14:paraId="68A25680"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CL33</w:t>
                  </w:r>
                </w:p>
              </w:tc>
              <w:tc>
                <w:tcPr>
                  <w:tcW w:w="0" w:type="auto"/>
                  <w:noWrap/>
                  <w:tcMar>
                    <w:top w:w="15" w:type="dxa"/>
                    <w:left w:w="57" w:type="dxa"/>
                    <w:bottom w:w="15" w:type="dxa"/>
                    <w:right w:w="57" w:type="dxa"/>
                  </w:tcMar>
                  <w:vAlign w:val="center"/>
                  <w:hideMark/>
                </w:tcPr>
                <w:p w14:paraId="36DD4D62" w14:textId="0C91BE73"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62EE7D1E"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Report fraud</w:t>
                  </w:r>
                </w:p>
              </w:tc>
              <w:tc>
                <w:tcPr>
                  <w:tcW w:w="0" w:type="auto"/>
                  <w:tcMar>
                    <w:top w:w="15" w:type="dxa"/>
                    <w:left w:w="140" w:type="dxa"/>
                    <w:bottom w:w="15" w:type="dxa"/>
                    <w:right w:w="140" w:type="dxa"/>
                  </w:tcMar>
                  <w:vAlign w:val="bottom"/>
                  <w:hideMark/>
                </w:tcPr>
                <w:p w14:paraId="7242E3E7" w14:textId="119733E5"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657</w:t>
                  </w:r>
                </w:p>
              </w:tc>
            </w:tr>
            <w:tr w:rsidR="004F289D" w:rsidRPr="004F289D" w14:paraId="7BB74CA7" w14:textId="77777777" w:rsidTr="00EC0F92">
              <w:tc>
                <w:tcPr>
                  <w:tcW w:w="0" w:type="auto"/>
                  <w:tcMar>
                    <w:top w:w="15" w:type="dxa"/>
                    <w:left w:w="57" w:type="dxa"/>
                    <w:bottom w:w="15" w:type="dxa"/>
                    <w:right w:w="57" w:type="dxa"/>
                  </w:tcMar>
                  <w:vAlign w:val="center"/>
                  <w:hideMark/>
                </w:tcPr>
                <w:p w14:paraId="7FB6D18F" w14:textId="69967989"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CL4</w:t>
                  </w:r>
                  <w:r w:rsidR="006E3808" w:rsidRPr="004F289D">
                    <w:rPr>
                      <w:rFonts w:eastAsia="Times New Roman" w:cs="Times New Roman"/>
                      <w:kern w:val="0"/>
                      <w:sz w:val="20"/>
                      <w:szCs w:val="20"/>
                      <w:lang/>
                      <w14:ligatures w14:val="none"/>
                    </w:rPr>
                    <w:t>1</w:t>
                  </w:r>
                </w:p>
              </w:tc>
              <w:tc>
                <w:tcPr>
                  <w:tcW w:w="0" w:type="auto"/>
                  <w:noWrap/>
                  <w:tcMar>
                    <w:top w:w="15" w:type="dxa"/>
                    <w:left w:w="57" w:type="dxa"/>
                    <w:bottom w:w="15" w:type="dxa"/>
                    <w:right w:w="57" w:type="dxa"/>
                  </w:tcMar>
                  <w:vAlign w:val="center"/>
                  <w:hideMark/>
                </w:tcPr>
                <w:p w14:paraId="2392487F" w14:textId="22F05016"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3DF3F931"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Red flags</w:t>
                  </w:r>
                </w:p>
              </w:tc>
              <w:tc>
                <w:tcPr>
                  <w:tcW w:w="0" w:type="auto"/>
                  <w:tcMar>
                    <w:top w:w="15" w:type="dxa"/>
                    <w:left w:w="140" w:type="dxa"/>
                    <w:bottom w:w="15" w:type="dxa"/>
                    <w:right w:w="140" w:type="dxa"/>
                  </w:tcMar>
                  <w:vAlign w:val="bottom"/>
                  <w:hideMark/>
                </w:tcPr>
                <w:p w14:paraId="53ABAA76" w14:textId="71A442A3"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704</w:t>
                  </w:r>
                </w:p>
              </w:tc>
            </w:tr>
            <w:tr w:rsidR="004F289D" w:rsidRPr="004F289D" w14:paraId="1751D624" w14:textId="77777777" w:rsidTr="00EC0F92">
              <w:tc>
                <w:tcPr>
                  <w:tcW w:w="0" w:type="auto"/>
                  <w:tcMar>
                    <w:top w:w="15" w:type="dxa"/>
                    <w:left w:w="57" w:type="dxa"/>
                    <w:bottom w:w="15" w:type="dxa"/>
                    <w:right w:w="57" w:type="dxa"/>
                  </w:tcMar>
                  <w:vAlign w:val="center"/>
                  <w:hideMark/>
                </w:tcPr>
                <w:p w14:paraId="42049010"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CL42</w:t>
                  </w:r>
                </w:p>
              </w:tc>
              <w:tc>
                <w:tcPr>
                  <w:tcW w:w="0" w:type="auto"/>
                  <w:noWrap/>
                  <w:tcMar>
                    <w:top w:w="15" w:type="dxa"/>
                    <w:left w:w="57" w:type="dxa"/>
                    <w:bottom w:w="15" w:type="dxa"/>
                    <w:right w:w="57" w:type="dxa"/>
                  </w:tcMar>
                  <w:vAlign w:val="center"/>
                  <w:hideMark/>
                </w:tcPr>
                <w:p w14:paraId="44179725" w14:textId="5AE8D05B"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580E3E68"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Red flags</w:t>
                  </w:r>
                </w:p>
              </w:tc>
              <w:tc>
                <w:tcPr>
                  <w:tcW w:w="0" w:type="auto"/>
                  <w:tcMar>
                    <w:top w:w="15" w:type="dxa"/>
                    <w:left w:w="140" w:type="dxa"/>
                    <w:bottom w:w="15" w:type="dxa"/>
                    <w:right w:w="140" w:type="dxa"/>
                  </w:tcMar>
                  <w:vAlign w:val="bottom"/>
                  <w:hideMark/>
                </w:tcPr>
                <w:p w14:paraId="357CFF10" w14:textId="41815209"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851</w:t>
                  </w:r>
                </w:p>
              </w:tc>
            </w:tr>
            <w:tr w:rsidR="004F289D" w:rsidRPr="004F289D" w14:paraId="5069C83C" w14:textId="77777777" w:rsidTr="00EC0F92">
              <w:tc>
                <w:tcPr>
                  <w:tcW w:w="0" w:type="auto"/>
                  <w:tcMar>
                    <w:top w:w="15" w:type="dxa"/>
                    <w:left w:w="57" w:type="dxa"/>
                    <w:bottom w:w="15" w:type="dxa"/>
                    <w:right w:w="57" w:type="dxa"/>
                  </w:tcMar>
                  <w:vAlign w:val="center"/>
                  <w:hideMark/>
                </w:tcPr>
                <w:p w14:paraId="3990E7F0" w14:textId="31580282"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CL4</w:t>
                  </w:r>
                  <w:r w:rsidR="006E3808" w:rsidRPr="004F289D">
                    <w:rPr>
                      <w:rFonts w:eastAsia="Times New Roman" w:cs="Times New Roman"/>
                      <w:kern w:val="0"/>
                      <w:sz w:val="20"/>
                      <w:szCs w:val="20"/>
                      <w:lang/>
                      <w14:ligatures w14:val="none"/>
                    </w:rPr>
                    <w:t>3</w:t>
                  </w:r>
                </w:p>
              </w:tc>
              <w:tc>
                <w:tcPr>
                  <w:tcW w:w="0" w:type="auto"/>
                  <w:noWrap/>
                  <w:tcMar>
                    <w:top w:w="15" w:type="dxa"/>
                    <w:left w:w="57" w:type="dxa"/>
                    <w:bottom w:w="15" w:type="dxa"/>
                    <w:right w:w="57" w:type="dxa"/>
                  </w:tcMar>
                  <w:vAlign w:val="center"/>
                  <w:hideMark/>
                </w:tcPr>
                <w:p w14:paraId="071EB942" w14:textId="5909B1C1"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40B5CF00"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Red flags</w:t>
                  </w:r>
                </w:p>
              </w:tc>
              <w:tc>
                <w:tcPr>
                  <w:tcW w:w="0" w:type="auto"/>
                  <w:tcMar>
                    <w:top w:w="15" w:type="dxa"/>
                    <w:left w:w="140" w:type="dxa"/>
                    <w:bottom w:w="15" w:type="dxa"/>
                    <w:right w:w="140" w:type="dxa"/>
                  </w:tcMar>
                  <w:vAlign w:val="bottom"/>
                  <w:hideMark/>
                </w:tcPr>
                <w:p w14:paraId="19D30B6B" w14:textId="1DE52F1E"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761</w:t>
                  </w:r>
                </w:p>
              </w:tc>
            </w:tr>
            <w:tr w:rsidR="004F289D" w:rsidRPr="004F289D" w14:paraId="0906B650" w14:textId="77777777" w:rsidTr="00EC0F92">
              <w:tc>
                <w:tcPr>
                  <w:tcW w:w="0" w:type="auto"/>
                  <w:tcMar>
                    <w:top w:w="15" w:type="dxa"/>
                    <w:left w:w="57" w:type="dxa"/>
                    <w:bottom w:w="15" w:type="dxa"/>
                    <w:right w:w="57" w:type="dxa"/>
                  </w:tcMar>
                  <w:vAlign w:val="center"/>
                  <w:hideMark/>
                </w:tcPr>
                <w:p w14:paraId="053380C4"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CL51</w:t>
                  </w:r>
                </w:p>
              </w:tc>
              <w:tc>
                <w:tcPr>
                  <w:tcW w:w="0" w:type="auto"/>
                  <w:noWrap/>
                  <w:tcMar>
                    <w:top w:w="15" w:type="dxa"/>
                    <w:left w:w="57" w:type="dxa"/>
                    <w:bottom w:w="15" w:type="dxa"/>
                    <w:right w:w="57" w:type="dxa"/>
                  </w:tcMar>
                  <w:vAlign w:val="center"/>
                  <w:hideMark/>
                </w:tcPr>
                <w:p w14:paraId="23DF7FF3" w14:textId="4D3DDCCB"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503C4F37"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Protection tools</w:t>
                  </w:r>
                </w:p>
              </w:tc>
              <w:tc>
                <w:tcPr>
                  <w:tcW w:w="0" w:type="auto"/>
                  <w:tcMar>
                    <w:top w:w="15" w:type="dxa"/>
                    <w:left w:w="140" w:type="dxa"/>
                    <w:bottom w:w="15" w:type="dxa"/>
                    <w:right w:w="140" w:type="dxa"/>
                  </w:tcMar>
                  <w:vAlign w:val="bottom"/>
                  <w:hideMark/>
                </w:tcPr>
                <w:p w14:paraId="34B7C4D4" w14:textId="3E09076A"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969</w:t>
                  </w:r>
                </w:p>
              </w:tc>
            </w:tr>
            <w:tr w:rsidR="004F289D" w:rsidRPr="004F289D" w14:paraId="67314A57" w14:textId="77777777" w:rsidTr="00EC0F92">
              <w:tc>
                <w:tcPr>
                  <w:tcW w:w="0" w:type="auto"/>
                  <w:tcMar>
                    <w:top w:w="15" w:type="dxa"/>
                    <w:left w:w="57" w:type="dxa"/>
                    <w:bottom w:w="15" w:type="dxa"/>
                    <w:right w:w="57" w:type="dxa"/>
                  </w:tcMar>
                  <w:vAlign w:val="center"/>
                  <w:hideMark/>
                </w:tcPr>
                <w:p w14:paraId="618CBE80"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CL52</w:t>
                  </w:r>
                </w:p>
              </w:tc>
              <w:tc>
                <w:tcPr>
                  <w:tcW w:w="0" w:type="auto"/>
                  <w:noWrap/>
                  <w:tcMar>
                    <w:top w:w="15" w:type="dxa"/>
                    <w:left w:w="57" w:type="dxa"/>
                    <w:bottom w:w="15" w:type="dxa"/>
                    <w:right w:w="57" w:type="dxa"/>
                  </w:tcMar>
                  <w:vAlign w:val="center"/>
                  <w:hideMark/>
                </w:tcPr>
                <w:p w14:paraId="6F75317A" w14:textId="5BA6D2B2"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7DF8149F"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Protection tools</w:t>
                  </w:r>
                </w:p>
              </w:tc>
              <w:tc>
                <w:tcPr>
                  <w:tcW w:w="0" w:type="auto"/>
                  <w:tcMar>
                    <w:top w:w="15" w:type="dxa"/>
                    <w:left w:w="140" w:type="dxa"/>
                    <w:bottom w:w="15" w:type="dxa"/>
                    <w:right w:w="140" w:type="dxa"/>
                  </w:tcMar>
                  <w:vAlign w:val="bottom"/>
                  <w:hideMark/>
                </w:tcPr>
                <w:p w14:paraId="313C08FB" w14:textId="507A7597"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986</w:t>
                  </w:r>
                </w:p>
              </w:tc>
            </w:tr>
            <w:tr w:rsidR="004F289D" w:rsidRPr="004F289D" w14:paraId="35AD3375" w14:textId="77777777" w:rsidTr="00EC0F92">
              <w:tc>
                <w:tcPr>
                  <w:tcW w:w="0" w:type="auto"/>
                  <w:tcMar>
                    <w:top w:w="15" w:type="dxa"/>
                    <w:left w:w="57" w:type="dxa"/>
                    <w:bottom w:w="15" w:type="dxa"/>
                    <w:right w:w="57" w:type="dxa"/>
                  </w:tcMar>
                  <w:vAlign w:val="center"/>
                  <w:hideMark/>
                </w:tcPr>
                <w:p w14:paraId="68FDDE8B"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CL53</w:t>
                  </w:r>
                </w:p>
              </w:tc>
              <w:tc>
                <w:tcPr>
                  <w:tcW w:w="0" w:type="auto"/>
                  <w:noWrap/>
                  <w:tcMar>
                    <w:top w:w="15" w:type="dxa"/>
                    <w:left w:w="57" w:type="dxa"/>
                    <w:bottom w:w="15" w:type="dxa"/>
                    <w:right w:w="57" w:type="dxa"/>
                  </w:tcMar>
                  <w:vAlign w:val="center"/>
                  <w:hideMark/>
                </w:tcPr>
                <w:p w14:paraId="6E4F6CC2" w14:textId="26F10DAC"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780C4EC0"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Protection tools</w:t>
                  </w:r>
                </w:p>
              </w:tc>
              <w:tc>
                <w:tcPr>
                  <w:tcW w:w="0" w:type="auto"/>
                  <w:tcMar>
                    <w:top w:w="15" w:type="dxa"/>
                    <w:left w:w="140" w:type="dxa"/>
                    <w:bottom w:w="15" w:type="dxa"/>
                    <w:right w:w="140" w:type="dxa"/>
                  </w:tcMar>
                  <w:vAlign w:val="bottom"/>
                  <w:hideMark/>
                </w:tcPr>
                <w:p w14:paraId="0B361AC2" w14:textId="1F7CA407"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977</w:t>
                  </w:r>
                </w:p>
              </w:tc>
            </w:tr>
            <w:tr w:rsidR="004F289D" w:rsidRPr="004F289D" w14:paraId="47B04395" w14:textId="77777777" w:rsidTr="00EC0F92">
              <w:tc>
                <w:tcPr>
                  <w:tcW w:w="0" w:type="auto"/>
                  <w:tcMar>
                    <w:top w:w="15" w:type="dxa"/>
                    <w:left w:w="57" w:type="dxa"/>
                    <w:bottom w:w="15" w:type="dxa"/>
                    <w:right w:w="57" w:type="dxa"/>
                  </w:tcMar>
                  <w:vAlign w:val="center"/>
                  <w:hideMark/>
                </w:tcPr>
                <w:p w14:paraId="509BE512" w14:textId="24B9AA91"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CL6</w:t>
                  </w:r>
                  <w:r w:rsidR="006E3808" w:rsidRPr="004F289D">
                    <w:rPr>
                      <w:rFonts w:eastAsia="Times New Roman" w:cs="Times New Roman"/>
                      <w:kern w:val="0"/>
                      <w:sz w:val="20"/>
                      <w:szCs w:val="20"/>
                      <w:lang/>
                      <w14:ligatures w14:val="none"/>
                    </w:rPr>
                    <w:t>1</w:t>
                  </w:r>
                </w:p>
              </w:tc>
              <w:tc>
                <w:tcPr>
                  <w:tcW w:w="0" w:type="auto"/>
                  <w:noWrap/>
                  <w:tcMar>
                    <w:top w:w="15" w:type="dxa"/>
                    <w:left w:w="57" w:type="dxa"/>
                    <w:bottom w:w="15" w:type="dxa"/>
                    <w:right w:w="57" w:type="dxa"/>
                  </w:tcMar>
                  <w:vAlign w:val="center"/>
                  <w:hideMark/>
                </w:tcPr>
                <w:p w14:paraId="07AFCE04" w14:textId="6B3D1631"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7E7F2732"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Read terms</w:t>
                  </w:r>
                </w:p>
              </w:tc>
              <w:tc>
                <w:tcPr>
                  <w:tcW w:w="0" w:type="auto"/>
                  <w:tcMar>
                    <w:top w:w="15" w:type="dxa"/>
                    <w:left w:w="140" w:type="dxa"/>
                    <w:bottom w:w="15" w:type="dxa"/>
                    <w:right w:w="140" w:type="dxa"/>
                  </w:tcMar>
                  <w:vAlign w:val="bottom"/>
                  <w:hideMark/>
                </w:tcPr>
                <w:p w14:paraId="6F0FAEC2" w14:textId="14F2C4AE"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629</w:t>
                  </w:r>
                </w:p>
              </w:tc>
            </w:tr>
            <w:tr w:rsidR="004F289D" w:rsidRPr="004F289D" w14:paraId="10AA17D3" w14:textId="77777777" w:rsidTr="00EC0F92">
              <w:tc>
                <w:tcPr>
                  <w:tcW w:w="0" w:type="auto"/>
                  <w:tcMar>
                    <w:top w:w="15" w:type="dxa"/>
                    <w:left w:w="57" w:type="dxa"/>
                    <w:bottom w:w="15" w:type="dxa"/>
                    <w:right w:w="57" w:type="dxa"/>
                  </w:tcMar>
                  <w:vAlign w:val="center"/>
                  <w:hideMark/>
                </w:tcPr>
                <w:p w14:paraId="501D95C0"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CL62</w:t>
                  </w:r>
                </w:p>
              </w:tc>
              <w:tc>
                <w:tcPr>
                  <w:tcW w:w="0" w:type="auto"/>
                  <w:noWrap/>
                  <w:tcMar>
                    <w:top w:w="15" w:type="dxa"/>
                    <w:left w:w="57" w:type="dxa"/>
                    <w:bottom w:w="15" w:type="dxa"/>
                    <w:right w:w="57" w:type="dxa"/>
                  </w:tcMar>
                  <w:vAlign w:val="center"/>
                  <w:hideMark/>
                </w:tcPr>
                <w:p w14:paraId="1A06D2CD" w14:textId="2A8D4EF1"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12D1B31B"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Read terms</w:t>
                  </w:r>
                </w:p>
              </w:tc>
              <w:tc>
                <w:tcPr>
                  <w:tcW w:w="0" w:type="auto"/>
                  <w:tcMar>
                    <w:top w:w="15" w:type="dxa"/>
                    <w:left w:w="140" w:type="dxa"/>
                    <w:bottom w:w="15" w:type="dxa"/>
                    <w:right w:w="140" w:type="dxa"/>
                  </w:tcMar>
                  <w:vAlign w:val="bottom"/>
                  <w:hideMark/>
                </w:tcPr>
                <w:p w14:paraId="11D0C1DE" w14:textId="2313820F"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850</w:t>
                  </w:r>
                </w:p>
              </w:tc>
            </w:tr>
            <w:tr w:rsidR="004F289D" w:rsidRPr="004F289D" w14:paraId="5C766C43" w14:textId="77777777" w:rsidTr="00EC0F92">
              <w:tc>
                <w:tcPr>
                  <w:tcW w:w="0" w:type="auto"/>
                  <w:tcMar>
                    <w:top w:w="15" w:type="dxa"/>
                    <w:left w:w="57" w:type="dxa"/>
                    <w:bottom w:w="15" w:type="dxa"/>
                    <w:right w:w="57" w:type="dxa"/>
                  </w:tcMar>
                  <w:vAlign w:val="center"/>
                  <w:hideMark/>
                </w:tcPr>
                <w:p w14:paraId="6860B9A4" w14:textId="55A086C1"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CL6</w:t>
                  </w:r>
                  <w:r w:rsidR="006E3808" w:rsidRPr="004F289D">
                    <w:rPr>
                      <w:rFonts w:eastAsia="Times New Roman" w:cs="Times New Roman"/>
                      <w:kern w:val="0"/>
                      <w:sz w:val="20"/>
                      <w:szCs w:val="20"/>
                      <w:lang/>
                      <w14:ligatures w14:val="none"/>
                    </w:rPr>
                    <w:t>3</w:t>
                  </w:r>
                </w:p>
              </w:tc>
              <w:tc>
                <w:tcPr>
                  <w:tcW w:w="0" w:type="auto"/>
                  <w:noWrap/>
                  <w:tcMar>
                    <w:top w:w="15" w:type="dxa"/>
                    <w:left w:w="57" w:type="dxa"/>
                    <w:bottom w:w="15" w:type="dxa"/>
                    <w:right w:w="57" w:type="dxa"/>
                  </w:tcMar>
                  <w:vAlign w:val="center"/>
                  <w:hideMark/>
                </w:tcPr>
                <w:p w14:paraId="61BEA710" w14:textId="2CE9F495" w:rsidR="00EC0F92" w:rsidRPr="004F289D" w:rsidRDefault="00D726D8"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w:t>
                  </w:r>
                </w:p>
              </w:tc>
              <w:tc>
                <w:tcPr>
                  <w:tcW w:w="0" w:type="auto"/>
                  <w:tcMar>
                    <w:top w:w="15" w:type="dxa"/>
                    <w:left w:w="140" w:type="dxa"/>
                    <w:bottom w:w="15" w:type="dxa"/>
                    <w:right w:w="140" w:type="dxa"/>
                  </w:tcMar>
                  <w:vAlign w:val="center"/>
                  <w:hideMark/>
                </w:tcPr>
                <w:p w14:paraId="6A1BEC86" w14:textId="77777777" w:rsidR="00EC0F92" w:rsidRPr="004F289D" w:rsidRDefault="00EC0F92" w:rsidP="00EC0F92">
                  <w:pPr>
                    <w:spacing w:after="0" w:line="240" w:lineRule="auto"/>
                    <w:rPr>
                      <w:rFonts w:eastAsia="Times New Roman" w:cs="Times New Roman"/>
                      <w:kern w:val="0"/>
                      <w:sz w:val="20"/>
                      <w:szCs w:val="20"/>
                      <w:lang/>
                      <w14:ligatures w14:val="none"/>
                    </w:rPr>
                  </w:pPr>
                  <w:r w:rsidRPr="004F289D">
                    <w:rPr>
                      <w:rFonts w:eastAsia="Times New Roman" w:cs="Times New Roman"/>
                      <w:kern w:val="0"/>
                      <w:sz w:val="20"/>
                      <w:szCs w:val="20"/>
                      <w:lang/>
                      <w14:ligatures w14:val="none"/>
                    </w:rPr>
                    <w:t>Read terms</w:t>
                  </w:r>
                </w:p>
              </w:tc>
              <w:tc>
                <w:tcPr>
                  <w:tcW w:w="0" w:type="auto"/>
                  <w:tcMar>
                    <w:top w:w="15" w:type="dxa"/>
                    <w:left w:w="140" w:type="dxa"/>
                    <w:bottom w:w="15" w:type="dxa"/>
                    <w:right w:w="140" w:type="dxa"/>
                  </w:tcMar>
                  <w:vAlign w:val="bottom"/>
                  <w:hideMark/>
                </w:tcPr>
                <w:p w14:paraId="4C4DB71B" w14:textId="1ADA6379" w:rsidR="00EC0F92" w:rsidRPr="004F289D" w:rsidRDefault="00D726D8"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782</w:t>
                  </w:r>
                </w:p>
              </w:tc>
            </w:tr>
          </w:tbl>
          <w:p w14:paraId="46241DEE" w14:textId="77777777" w:rsidR="00EC0F92" w:rsidRPr="004F289D" w:rsidRDefault="00EC0F92" w:rsidP="00EC0F92">
            <w:pPr>
              <w:rPr>
                <w:rFonts w:eastAsia="Aptos" w:cs="Times New Roman"/>
              </w:rPr>
            </w:pPr>
          </w:p>
        </w:tc>
        <w:tc>
          <w:tcPr>
            <w:tcW w:w="1176" w:type="dxa"/>
          </w:tcPr>
          <w:tbl>
            <w:tblPr>
              <w:tblW w:w="960" w:type="dxa"/>
              <w:tblLook w:val="04A0" w:firstRow="1" w:lastRow="0" w:firstColumn="1" w:lastColumn="0" w:noHBand="0" w:noVBand="1"/>
            </w:tblPr>
            <w:tblGrid>
              <w:gridCol w:w="960"/>
            </w:tblGrid>
            <w:tr w:rsidR="004F289D" w:rsidRPr="004F289D" w14:paraId="10055E46" w14:textId="77777777" w:rsidTr="00F75D40">
              <w:trPr>
                <w:trHeight w:val="290"/>
              </w:trPr>
              <w:tc>
                <w:tcPr>
                  <w:tcW w:w="960" w:type="dxa"/>
                  <w:tcBorders>
                    <w:top w:val="nil"/>
                    <w:left w:val="nil"/>
                    <w:bottom w:val="nil"/>
                    <w:right w:val="nil"/>
                  </w:tcBorders>
                  <w:noWrap/>
                  <w:vAlign w:val="bottom"/>
                  <w:hideMark/>
                </w:tcPr>
                <w:p w14:paraId="729D1A43" w14:textId="39F1986D"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077</w:t>
                  </w:r>
                </w:p>
              </w:tc>
            </w:tr>
            <w:tr w:rsidR="004F289D" w:rsidRPr="004F289D" w14:paraId="12AEB90E" w14:textId="77777777" w:rsidTr="00F75D40">
              <w:trPr>
                <w:trHeight w:val="290"/>
              </w:trPr>
              <w:tc>
                <w:tcPr>
                  <w:tcW w:w="960" w:type="dxa"/>
                  <w:tcBorders>
                    <w:top w:val="nil"/>
                    <w:left w:val="nil"/>
                    <w:bottom w:val="nil"/>
                    <w:right w:val="nil"/>
                  </w:tcBorders>
                  <w:noWrap/>
                  <w:vAlign w:val="bottom"/>
                  <w:hideMark/>
                </w:tcPr>
                <w:p w14:paraId="38FE667E" w14:textId="0DE1E221"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061</w:t>
                  </w:r>
                </w:p>
              </w:tc>
            </w:tr>
            <w:tr w:rsidR="004F289D" w:rsidRPr="004F289D" w14:paraId="5643584E" w14:textId="77777777" w:rsidTr="00F75D40">
              <w:trPr>
                <w:trHeight w:val="290"/>
              </w:trPr>
              <w:tc>
                <w:tcPr>
                  <w:tcW w:w="960" w:type="dxa"/>
                  <w:tcBorders>
                    <w:top w:val="nil"/>
                    <w:left w:val="nil"/>
                    <w:bottom w:val="nil"/>
                    <w:right w:val="nil"/>
                  </w:tcBorders>
                  <w:noWrap/>
                  <w:vAlign w:val="bottom"/>
                  <w:hideMark/>
                </w:tcPr>
                <w:p w14:paraId="53FE1A4A" w14:textId="58F795D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044</w:t>
                  </w:r>
                </w:p>
              </w:tc>
            </w:tr>
            <w:tr w:rsidR="004F289D" w:rsidRPr="004F289D" w14:paraId="356B2654" w14:textId="77777777" w:rsidTr="00F75D40">
              <w:trPr>
                <w:trHeight w:val="290"/>
              </w:trPr>
              <w:tc>
                <w:tcPr>
                  <w:tcW w:w="960" w:type="dxa"/>
                  <w:tcBorders>
                    <w:top w:val="nil"/>
                    <w:left w:val="nil"/>
                    <w:bottom w:val="nil"/>
                    <w:right w:val="nil"/>
                  </w:tcBorders>
                  <w:noWrap/>
                  <w:vAlign w:val="bottom"/>
                  <w:hideMark/>
                </w:tcPr>
                <w:p w14:paraId="709F96DA" w14:textId="126B805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041</w:t>
                  </w:r>
                </w:p>
              </w:tc>
            </w:tr>
            <w:tr w:rsidR="004F289D" w:rsidRPr="004F289D" w14:paraId="1C612630" w14:textId="77777777" w:rsidTr="00F75D40">
              <w:trPr>
                <w:trHeight w:val="290"/>
              </w:trPr>
              <w:tc>
                <w:tcPr>
                  <w:tcW w:w="960" w:type="dxa"/>
                  <w:tcBorders>
                    <w:top w:val="nil"/>
                    <w:left w:val="nil"/>
                    <w:bottom w:val="nil"/>
                    <w:right w:val="nil"/>
                  </w:tcBorders>
                  <w:noWrap/>
                  <w:vAlign w:val="bottom"/>
                  <w:hideMark/>
                </w:tcPr>
                <w:p w14:paraId="6AAA252D" w14:textId="32B11CAC"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094</w:t>
                  </w:r>
                </w:p>
              </w:tc>
            </w:tr>
            <w:tr w:rsidR="004F289D" w:rsidRPr="004F289D" w14:paraId="410F4740" w14:textId="77777777" w:rsidTr="00F75D40">
              <w:trPr>
                <w:trHeight w:val="290"/>
              </w:trPr>
              <w:tc>
                <w:tcPr>
                  <w:tcW w:w="960" w:type="dxa"/>
                  <w:tcBorders>
                    <w:top w:val="nil"/>
                    <w:left w:val="nil"/>
                    <w:bottom w:val="nil"/>
                    <w:right w:val="nil"/>
                  </w:tcBorders>
                  <w:noWrap/>
                  <w:vAlign w:val="bottom"/>
                  <w:hideMark/>
                </w:tcPr>
                <w:p w14:paraId="5602B60F" w14:textId="252F4E40"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093</w:t>
                  </w:r>
                </w:p>
              </w:tc>
            </w:tr>
            <w:tr w:rsidR="004F289D" w:rsidRPr="004F289D" w14:paraId="1964B2B0" w14:textId="77777777" w:rsidTr="00F75D40">
              <w:trPr>
                <w:trHeight w:val="290"/>
              </w:trPr>
              <w:tc>
                <w:tcPr>
                  <w:tcW w:w="960" w:type="dxa"/>
                  <w:tcBorders>
                    <w:top w:val="nil"/>
                    <w:left w:val="nil"/>
                    <w:bottom w:val="nil"/>
                    <w:right w:val="nil"/>
                  </w:tcBorders>
                  <w:noWrap/>
                  <w:vAlign w:val="bottom"/>
                  <w:hideMark/>
                </w:tcPr>
                <w:p w14:paraId="022D2803" w14:textId="15984779"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117</w:t>
                  </w:r>
                </w:p>
              </w:tc>
            </w:tr>
            <w:tr w:rsidR="004F289D" w:rsidRPr="004F289D" w14:paraId="5F1280B6" w14:textId="77777777" w:rsidTr="00F75D40">
              <w:trPr>
                <w:trHeight w:val="290"/>
              </w:trPr>
              <w:tc>
                <w:tcPr>
                  <w:tcW w:w="960" w:type="dxa"/>
                  <w:tcBorders>
                    <w:top w:val="nil"/>
                    <w:left w:val="nil"/>
                    <w:bottom w:val="nil"/>
                    <w:right w:val="nil"/>
                  </w:tcBorders>
                  <w:noWrap/>
                  <w:vAlign w:val="bottom"/>
                  <w:hideMark/>
                </w:tcPr>
                <w:p w14:paraId="4727DB3D" w14:textId="6495E0B9"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07</w:t>
                  </w:r>
                </w:p>
              </w:tc>
            </w:tr>
            <w:tr w:rsidR="004F289D" w:rsidRPr="004F289D" w14:paraId="3B626BCE" w14:textId="77777777" w:rsidTr="00F75D40">
              <w:trPr>
                <w:trHeight w:val="290"/>
              </w:trPr>
              <w:tc>
                <w:tcPr>
                  <w:tcW w:w="960" w:type="dxa"/>
                  <w:tcBorders>
                    <w:top w:val="nil"/>
                    <w:left w:val="nil"/>
                    <w:bottom w:val="nil"/>
                    <w:right w:val="nil"/>
                  </w:tcBorders>
                  <w:noWrap/>
                  <w:vAlign w:val="bottom"/>
                  <w:hideMark/>
                </w:tcPr>
                <w:p w14:paraId="63E09FE1" w14:textId="4450C3F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083</w:t>
                  </w:r>
                </w:p>
              </w:tc>
            </w:tr>
            <w:tr w:rsidR="004F289D" w:rsidRPr="004F289D" w14:paraId="162A732F" w14:textId="77777777" w:rsidTr="00F75D40">
              <w:trPr>
                <w:trHeight w:val="290"/>
              </w:trPr>
              <w:tc>
                <w:tcPr>
                  <w:tcW w:w="960" w:type="dxa"/>
                  <w:tcBorders>
                    <w:top w:val="nil"/>
                    <w:left w:val="nil"/>
                    <w:bottom w:val="nil"/>
                    <w:right w:val="nil"/>
                  </w:tcBorders>
                  <w:noWrap/>
                  <w:vAlign w:val="bottom"/>
                  <w:hideMark/>
                </w:tcPr>
                <w:p w14:paraId="49CE9B59" w14:textId="3A2AF0D4"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105</w:t>
                  </w:r>
                </w:p>
              </w:tc>
            </w:tr>
            <w:tr w:rsidR="004F289D" w:rsidRPr="004F289D" w14:paraId="6EE7B3E9" w14:textId="77777777" w:rsidTr="00F75D40">
              <w:trPr>
                <w:trHeight w:val="290"/>
              </w:trPr>
              <w:tc>
                <w:tcPr>
                  <w:tcW w:w="960" w:type="dxa"/>
                  <w:tcBorders>
                    <w:top w:val="nil"/>
                    <w:left w:val="nil"/>
                    <w:bottom w:val="nil"/>
                    <w:right w:val="nil"/>
                  </w:tcBorders>
                  <w:noWrap/>
                  <w:vAlign w:val="bottom"/>
                  <w:hideMark/>
                </w:tcPr>
                <w:p w14:paraId="7591A158" w14:textId="05A13D0F"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12</w:t>
                  </w:r>
                </w:p>
              </w:tc>
            </w:tr>
            <w:tr w:rsidR="004F289D" w:rsidRPr="004F289D" w14:paraId="492D1A87" w14:textId="77777777" w:rsidTr="00F75D40">
              <w:trPr>
                <w:trHeight w:val="290"/>
              </w:trPr>
              <w:tc>
                <w:tcPr>
                  <w:tcW w:w="960" w:type="dxa"/>
                  <w:tcBorders>
                    <w:top w:val="nil"/>
                    <w:left w:val="nil"/>
                    <w:bottom w:val="nil"/>
                    <w:right w:val="nil"/>
                  </w:tcBorders>
                  <w:noWrap/>
                  <w:vAlign w:val="bottom"/>
                  <w:hideMark/>
                </w:tcPr>
                <w:p w14:paraId="49EDF717" w14:textId="1EB395B7"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114</w:t>
                  </w:r>
                </w:p>
              </w:tc>
            </w:tr>
            <w:tr w:rsidR="004F289D" w:rsidRPr="004F289D" w14:paraId="03C3D4ED" w14:textId="77777777" w:rsidTr="00F75D40">
              <w:trPr>
                <w:trHeight w:val="290"/>
              </w:trPr>
              <w:tc>
                <w:tcPr>
                  <w:tcW w:w="960" w:type="dxa"/>
                  <w:tcBorders>
                    <w:top w:val="nil"/>
                    <w:left w:val="nil"/>
                    <w:bottom w:val="nil"/>
                    <w:right w:val="nil"/>
                  </w:tcBorders>
                  <w:noWrap/>
                  <w:vAlign w:val="bottom"/>
                  <w:hideMark/>
                </w:tcPr>
                <w:p w14:paraId="625F7978" w14:textId="48B8E4A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019</w:t>
                  </w:r>
                </w:p>
              </w:tc>
            </w:tr>
            <w:tr w:rsidR="004F289D" w:rsidRPr="004F289D" w14:paraId="595559B8" w14:textId="77777777" w:rsidTr="00F75D40">
              <w:trPr>
                <w:trHeight w:val="290"/>
              </w:trPr>
              <w:tc>
                <w:tcPr>
                  <w:tcW w:w="960" w:type="dxa"/>
                  <w:tcBorders>
                    <w:top w:val="nil"/>
                    <w:left w:val="nil"/>
                    <w:bottom w:val="nil"/>
                    <w:right w:val="nil"/>
                  </w:tcBorders>
                  <w:noWrap/>
                  <w:vAlign w:val="bottom"/>
                  <w:hideMark/>
                </w:tcPr>
                <w:p w14:paraId="0ACC43E5" w14:textId="61A99EA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012</w:t>
                  </w:r>
                </w:p>
              </w:tc>
            </w:tr>
            <w:tr w:rsidR="004F289D" w:rsidRPr="004F289D" w14:paraId="06F503FB" w14:textId="77777777" w:rsidTr="00F75D40">
              <w:trPr>
                <w:trHeight w:val="290"/>
              </w:trPr>
              <w:tc>
                <w:tcPr>
                  <w:tcW w:w="960" w:type="dxa"/>
                  <w:tcBorders>
                    <w:top w:val="nil"/>
                    <w:left w:val="nil"/>
                    <w:bottom w:val="nil"/>
                    <w:right w:val="nil"/>
                  </w:tcBorders>
                  <w:noWrap/>
                  <w:vAlign w:val="bottom"/>
                  <w:hideMark/>
                </w:tcPr>
                <w:p w14:paraId="3A5FC428" w14:textId="7C7DFDCA"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004</w:t>
                  </w:r>
                </w:p>
              </w:tc>
            </w:tr>
            <w:tr w:rsidR="004F289D" w:rsidRPr="004F289D" w14:paraId="0D7012B6" w14:textId="77777777" w:rsidTr="00F75D40">
              <w:trPr>
                <w:trHeight w:val="290"/>
              </w:trPr>
              <w:tc>
                <w:tcPr>
                  <w:tcW w:w="960" w:type="dxa"/>
                  <w:tcBorders>
                    <w:top w:val="nil"/>
                    <w:left w:val="nil"/>
                    <w:bottom w:val="nil"/>
                    <w:right w:val="nil"/>
                  </w:tcBorders>
                  <w:noWrap/>
                  <w:vAlign w:val="bottom"/>
                  <w:hideMark/>
                </w:tcPr>
                <w:p w14:paraId="00A678AC" w14:textId="69725D65"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070</w:t>
                  </w:r>
                </w:p>
              </w:tc>
            </w:tr>
            <w:tr w:rsidR="004F289D" w:rsidRPr="004F289D" w14:paraId="235F736F" w14:textId="77777777" w:rsidTr="00F75D40">
              <w:trPr>
                <w:trHeight w:val="290"/>
              </w:trPr>
              <w:tc>
                <w:tcPr>
                  <w:tcW w:w="960" w:type="dxa"/>
                  <w:tcBorders>
                    <w:top w:val="nil"/>
                    <w:left w:val="nil"/>
                    <w:bottom w:val="nil"/>
                    <w:right w:val="nil"/>
                  </w:tcBorders>
                  <w:noWrap/>
                  <w:vAlign w:val="bottom"/>
                  <w:hideMark/>
                </w:tcPr>
                <w:p w14:paraId="1F8A9AC0" w14:textId="3C57F3D7"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085</w:t>
                  </w:r>
                </w:p>
              </w:tc>
            </w:tr>
            <w:tr w:rsidR="004F289D" w:rsidRPr="004F289D" w14:paraId="5B4DDA70" w14:textId="77777777" w:rsidTr="00F75D40">
              <w:trPr>
                <w:trHeight w:val="290"/>
              </w:trPr>
              <w:tc>
                <w:tcPr>
                  <w:tcW w:w="960" w:type="dxa"/>
                  <w:tcBorders>
                    <w:top w:val="nil"/>
                    <w:left w:val="nil"/>
                    <w:bottom w:val="nil"/>
                    <w:right w:val="nil"/>
                  </w:tcBorders>
                  <w:noWrap/>
                  <w:vAlign w:val="bottom"/>
                  <w:hideMark/>
                </w:tcPr>
                <w:p w14:paraId="1FDC2395" w14:textId="471532E3"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Times New Roman" w:cs="Times New Roman"/>
                      <w:kern w:val="0"/>
                      <w:lang/>
                      <w14:ligatures w14:val="none"/>
                    </w:rPr>
                    <w:t>0</w:t>
                  </w:r>
                  <w:r w:rsidR="00D726D8" w:rsidRPr="004F289D">
                    <w:rPr>
                      <w:rFonts w:eastAsia="Times New Roman" w:cs="Times New Roman"/>
                      <w:kern w:val="0"/>
                      <w:lang/>
                      <w14:ligatures w14:val="none"/>
                    </w:rPr>
                    <w:t>.</w:t>
                  </w:r>
                  <w:r w:rsidRPr="004F289D">
                    <w:rPr>
                      <w:rFonts w:eastAsia="Times New Roman" w:cs="Times New Roman"/>
                      <w:kern w:val="0"/>
                      <w:lang/>
                      <w14:ligatures w14:val="none"/>
                    </w:rPr>
                    <w:t>037</w:t>
                  </w:r>
                </w:p>
              </w:tc>
            </w:tr>
          </w:tbl>
          <w:p w14:paraId="54C1F1EF" w14:textId="77777777" w:rsidR="00EC0F92" w:rsidRPr="004F289D" w:rsidRDefault="00EC0F92" w:rsidP="00EC0F92">
            <w:pPr>
              <w:rPr>
                <w:rFonts w:ascii="Aptos" w:eastAsia="Aptos" w:hAnsi="Aptos" w:cs="Times New Roman"/>
              </w:rPr>
            </w:pPr>
          </w:p>
        </w:tc>
      </w:tr>
    </w:tbl>
    <w:p w14:paraId="42990005" w14:textId="77777777" w:rsidR="00EC0F92" w:rsidRPr="004F289D" w:rsidRDefault="00EC0F92" w:rsidP="00EC0F92">
      <w:pPr>
        <w:spacing w:after="0" w:line="240" w:lineRule="auto"/>
        <w:rPr>
          <w:rFonts w:eastAsia="ScalaOT" w:cs="Times New Roman"/>
          <w:i/>
          <w:iCs/>
          <w:sz w:val="20"/>
          <w:szCs w:val="20"/>
          <w:lang w:val="en-US"/>
        </w:rPr>
      </w:pPr>
      <w:r w:rsidRPr="004F289D">
        <w:rPr>
          <w:rFonts w:eastAsia="ScalaOT" w:cs="Times New Roman"/>
          <w:i/>
          <w:iCs/>
          <w:sz w:val="20"/>
          <w:szCs w:val="20"/>
          <w:lang w:val="en-US"/>
        </w:rPr>
        <w:t xml:space="preserve">Differences &lt; 0.1— CMV </w:t>
      </w:r>
      <w:proofErr w:type="gramStart"/>
      <w:r w:rsidRPr="004F289D">
        <w:rPr>
          <w:rFonts w:eastAsia="ScalaOT" w:cs="Times New Roman"/>
          <w:i/>
          <w:iCs/>
          <w:sz w:val="20"/>
          <w:szCs w:val="20"/>
          <w:lang w:val="en-US"/>
        </w:rPr>
        <w:t>is  negligible</w:t>
      </w:r>
      <w:proofErr w:type="gramEnd"/>
      <w:r w:rsidRPr="004F289D">
        <w:rPr>
          <w:rFonts w:eastAsia="ScalaOT" w:cs="Times New Roman"/>
          <w:i/>
          <w:iCs/>
          <w:sz w:val="20"/>
          <w:szCs w:val="20"/>
          <w:lang w:val="en-US"/>
        </w:rPr>
        <w:t xml:space="preserve">; Differences between 0.1 and 0.2— CMV is low;  </w:t>
      </w:r>
    </w:p>
    <w:p w14:paraId="02A29CE2" w14:textId="57268680" w:rsidR="00EC0F92" w:rsidRPr="004F289D" w:rsidRDefault="00EC0F92" w:rsidP="00EC0F92">
      <w:pPr>
        <w:spacing w:after="0" w:line="240" w:lineRule="auto"/>
        <w:rPr>
          <w:rFonts w:eastAsia="ScalaOT" w:cs="Times New Roman"/>
          <w:i/>
          <w:iCs/>
          <w:sz w:val="20"/>
          <w:szCs w:val="20"/>
          <w:lang w:val="en-US"/>
        </w:rPr>
      </w:pPr>
      <w:r w:rsidRPr="004F289D">
        <w:rPr>
          <w:rFonts w:eastAsia="ScalaOT" w:cs="Times New Roman"/>
          <w:i/>
          <w:iCs/>
          <w:sz w:val="20"/>
          <w:szCs w:val="20"/>
          <w:lang w:val="en-US"/>
        </w:rPr>
        <w:t xml:space="preserve">Differences &gt; 0.2— CMV may be problematic </w:t>
      </w:r>
      <w:r w:rsidR="00BE55F6" w:rsidRPr="004F289D">
        <w:rPr>
          <w:rFonts w:eastAsia="Times New Roman" w:cs="Times New Roman"/>
          <w:i/>
          <w:iCs/>
          <w:kern w:val="0"/>
          <w:sz w:val="20"/>
          <w:szCs w:val="20"/>
          <w:lang w:val="en-US" w:eastAsia="sv-SE"/>
          <w14:ligatures w14:val="none"/>
        </w:rPr>
        <w:t>(</w:t>
      </w:r>
      <w:r w:rsidRPr="004F289D">
        <w:rPr>
          <w:rFonts w:eastAsia="Times New Roman" w:cs="Times New Roman"/>
          <w:i/>
          <w:iCs/>
          <w:kern w:val="0"/>
          <w:sz w:val="20"/>
          <w:szCs w:val="20"/>
          <w:lang w:val="en-US" w:eastAsia="sv-SE"/>
          <w14:ligatures w14:val="none"/>
        </w:rPr>
        <w:t>Differences in our case: lower than 0.2 in all cases</w:t>
      </w:r>
      <w:r w:rsidR="00BE55F6" w:rsidRPr="004F289D">
        <w:rPr>
          <w:rFonts w:eastAsia="Times New Roman" w:cs="Times New Roman"/>
          <w:i/>
          <w:iCs/>
          <w:kern w:val="0"/>
          <w:sz w:val="20"/>
          <w:szCs w:val="20"/>
          <w:lang w:val="en-US" w:eastAsia="sv-SE"/>
          <w14:ligatures w14:val="none"/>
        </w:rPr>
        <w:t>)</w:t>
      </w:r>
    </w:p>
    <w:p w14:paraId="5C2DA395" w14:textId="77777777" w:rsidR="00F34CE2" w:rsidRPr="004F289D" w:rsidRDefault="00F34CE2" w:rsidP="00F34CE2">
      <w:pPr>
        <w:spacing w:line="256" w:lineRule="auto"/>
        <w:rPr>
          <w:rFonts w:eastAsia="Aptos" w:cs="Times New Roman"/>
        </w:rPr>
      </w:pPr>
    </w:p>
    <w:p w14:paraId="79310726" w14:textId="26D533B6" w:rsidR="00F34CE2" w:rsidRPr="004F289D" w:rsidRDefault="00F34CE2" w:rsidP="00F34CE2">
      <w:pPr>
        <w:spacing w:line="256" w:lineRule="auto"/>
        <w:rPr>
          <w:rFonts w:eastAsia="ScalaOT" w:cs="Times New Roman"/>
          <w:lang w:val="en-US"/>
        </w:rPr>
      </w:pPr>
      <w:r w:rsidRPr="004F289D">
        <w:rPr>
          <w:rFonts w:eastAsia="Aptos" w:cs="Times New Roman"/>
          <w:lang w:val="en-US"/>
        </w:rPr>
        <w:t>Source: Author’s own work</w:t>
      </w:r>
    </w:p>
    <w:p w14:paraId="7EAF0B9A" w14:textId="0E646153" w:rsidR="00EC0F92" w:rsidRPr="004F289D" w:rsidRDefault="00EC0F92" w:rsidP="00EC0F92">
      <w:pPr>
        <w:spacing w:line="278" w:lineRule="auto"/>
        <w:rPr>
          <w:rFonts w:eastAsia="Aptos" w:cs="Times New Roman"/>
          <w:sz w:val="24"/>
          <w:szCs w:val="24"/>
          <w:lang w:val="en-US"/>
        </w:rPr>
      </w:pPr>
      <w:r w:rsidRPr="004F289D">
        <w:rPr>
          <w:rFonts w:eastAsia="Aptos" w:cs="Times New Roman"/>
          <w:b/>
          <w:bCs/>
          <w:sz w:val="24"/>
          <w:szCs w:val="24"/>
          <w:lang w:val="en-US"/>
        </w:rPr>
        <w:lastRenderedPageBreak/>
        <w:t>Table A1</w:t>
      </w:r>
      <w:r w:rsidR="00FC73A9" w:rsidRPr="004F289D">
        <w:rPr>
          <w:rFonts w:eastAsia="Aptos" w:cs="Times New Roman"/>
          <w:b/>
          <w:bCs/>
          <w:sz w:val="24"/>
          <w:szCs w:val="24"/>
          <w:lang w:val="en-US"/>
        </w:rPr>
        <w:t>1</w:t>
      </w:r>
      <w:r w:rsidRPr="004F289D">
        <w:rPr>
          <w:rFonts w:eastAsia="Aptos" w:cs="Times New Roman"/>
          <w:b/>
          <w:bCs/>
          <w:sz w:val="24"/>
          <w:szCs w:val="24"/>
          <w:lang w:val="en-US"/>
        </w:rPr>
        <w:t xml:space="preserve">. </w:t>
      </w:r>
      <w:r w:rsidRPr="004F289D">
        <w:rPr>
          <w:rFonts w:eastAsia="Aptos" w:cs="Times New Roman"/>
          <w:sz w:val="24"/>
          <w:szCs w:val="24"/>
          <w:lang w:val="en-US"/>
        </w:rPr>
        <w:t>Harman’s one-factor test (Study 1B - Sweden)</w:t>
      </w:r>
    </w:p>
    <w:p w14:paraId="1C5CFE05"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bl>
      <w:tblPr>
        <w:tblW w:w="9408" w:type="dxa"/>
        <w:tblLayout w:type="fixed"/>
        <w:tblCellMar>
          <w:left w:w="0" w:type="dxa"/>
          <w:right w:w="0" w:type="dxa"/>
        </w:tblCellMar>
        <w:tblLook w:val="0000" w:firstRow="0" w:lastRow="0" w:firstColumn="0" w:lastColumn="0" w:noHBand="0" w:noVBand="0"/>
      </w:tblPr>
      <w:tblGrid>
        <w:gridCol w:w="1284"/>
        <w:gridCol w:w="1105"/>
        <w:gridCol w:w="1447"/>
        <w:gridCol w:w="1462"/>
        <w:gridCol w:w="1202"/>
        <w:gridCol w:w="1446"/>
        <w:gridCol w:w="1462"/>
      </w:tblGrid>
      <w:tr w:rsidR="004F289D" w:rsidRPr="004F289D" w14:paraId="5FD7DE69" w14:textId="77777777" w:rsidTr="00F75D40">
        <w:trPr>
          <w:cantSplit/>
        </w:trPr>
        <w:tc>
          <w:tcPr>
            <w:tcW w:w="9405" w:type="dxa"/>
            <w:gridSpan w:val="7"/>
            <w:tcBorders>
              <w:top w:val="nil"/>
              <w:left w:val="nil"/>
              <w:bottom w:val="nil"/>
              <w:right w:val="nil"/>
            </w:tcBorders>
            <w:shd w:val="clear" w:color="auto" w:fill="FFFFFF"/>
            <w:vAlign w:val="center"/>
          </w:tcPr>
          <w:p w14:paraId="3689CF06"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b/>
                <w:bCs/>
                <w:kern w:val="0"/>
                <w:sz w:val="24"/>
                <w:szCs w:val="24"/>
                <w:lang/>
              </w:rPr>
              <w:t>Total Variance Explained</w:t>
            </w:r>
          </w:p>
        </w:tc>
      </w:tr>
      <w:tr w:rsidR="004F289D" w:rsidRPr="004F289D" w14:paraId="7EC71E1E" w14:textId="77777777" w:rsidTr="00F75D40">
        <w:trPr>
          <w:cantSplit/>
        </w:trPr>
        <w:tc>
          <w:tcPr>
            <w:tcW w:w="1283" w:type="dxa"/>
            <w:vMerge w:val="restart"/>
            <w:tcBorders>
              <w:top w:val="nil"/>
              <w:left w:val="nil"/>
              <w:bottom w:val="nil"/>
              <w:right w:val="nil"/>
            </w:tcBorders>
            <w:shd w:val="clear" w:color="auto" w:fill="FFFFFF"/>
            <w:vAlign w:val="bottom"/>
          </w:tcPr>
          <w:p w14:paraId="777C5C0D"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Component</w:t>
            </w:r>
          </w:p>
        </w:tc>
        <w:tc>
          <w:tcPr>
            <w:tcW w:w="4012" w:type="dxa"/>
            <w:gridSpan w:val="3"/>
            <w:tcBorders>
              <w:top w:val="nil"/>
              <w:left w:val="nil"/>
              <w:bottom w:val="nil"/>
              <w:right w:val="nil"/>
            </w:tcBorders>
            <w:shd w:val="clear" w:color="auto" w:fill="FFFFFF"/>
            <w:vAlign w:val="bottom"/>
          </w:tcPr>
          <w:p w14:paraId="78E44CDD"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Initial Eigenvalues</w:t>
            </w:r>
          </w:p>
        </w:tc>
        <w:tc>
          <w:tcPr>
            <w:tcW w:w="4110" w:type="dxa"/>
            <w:gridSpan w:val="3"/>
            <w:tcBorders>
              <w:top w:val="nil"/>
              <w:left w:val="single" w:sz="8" w:space="0" w:color="E0E0E0"/>
              <w:bottom w:val="nil"/>
              <w:right w:val="nil"/>
            </w:tcBorders>
            <w:shd w:val="clear" w:color="auto" w:fill="FFFFFF"/>
            <w:vAlign w:val="bottom"/>
          </w:tcPr>
          <w:p w14:paraId="6965BB16"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Extraction Sums of Squared Loadings</w:t>
            </w:r>
          </w:p>
        </w:tc>
      </w:tr>
      <w:tr w:rsidR="004F289D" w:rsidRPr="004F289D" w14:paraId="7C4A145B" w14:textId="77777777" w:rsidTr="00F75D40">
        <w:trPr>
          <w:cantSplit/>
        </w:trPr>
        <w:tc>
          <w:tcPr>
            <w:tcW w:w="1283" w:type="dxa"/>
            <w:vMerge/>
            <w:tcBorders>
              <w:top w:val="nil"/>
              <w:left w:val="nil"/>
              <w:bottom w:val="nil"/>
              <w:right w:val="nil"/>
            </w:tcBorders>
            <w:shd w:val="clear" w:color="auto" w:fill="FFFFFF"/>
            <w:vAlign w:val="bottom"/>
          </w:tcPr>
          <w:p w14:paraId="37DB7104"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104" w:type="dxa"/>
            <w:tcBorders>
              <w:top w:val="nil"/>
              <w:left w:val="nil"/>
              <w:bottom w:val="single" w:sz="8" w:space="0" w:color="152935"/>
              <w:right w:val="single" w:sz="8" w:space="0" w:color="E0E0E0"/>
            </w:tcBorders>
            <w:shd w:val="clear" w:color="auto" w:fill="FFFFFF"/>
            <w:vAlign w:val="bottom"/>
          </w:tcPr>
          <w:p w14:paraId="788B73B3"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Total</w:t>
            </w:r>
          </w:p>
        </w:tc>
        <w:tc>
          <w:tcPr>
            <w:tcW w:w="1446" w:type="dxa"/>
            <w:tcBorders>
              <w:top w:val="nil"/>
              <w:left w:val="single" w:sz="8" w:space="0" w:color="E0E0E0"/>
              <w:bottom w:val="single" w:sz="8" w:space="0" w:color="152935"/>
              <w:right w:val="single" w:sz="8" w:space="0" w:color="E0E0E0"/>
            </w:tcBorders>
            <w:shd w:val="clear" w:color="auto" w:fill="FFFFFF"/>
            <w:vAlign w:val="bottom"/>
          </w:tcPr>
          <w:p w14:paraId="18E2A4A6"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 of Variance</w:t>
            </w:r>
          </w:p>
        </w:tc>
        <w:tc>
          <w:tcPr>
            <w:tcW w:w="1462" w:type="dxa"/>
            <w:tcBorders>
              <w:top w:val="nil"/>
              <w:left w:val="single" w:sz="8" w:space="0" w:color="E0E0E0"/>
              <w:bottom w:val="single" w:sz="8" w:space="0" w:color="152935"/>
              <w:right w:val="nil"/>
            </w:tcBorders>
            <w:shd w:val="clear" w:color="auto" w:fill="FFFFFF"/>
            <w:vAlign w:val="bottom"/>
          </w:tcPr>
          <w:p w14:paraId="49D32947"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Cumulative %</w:t>
            </w:r>
          </w:p>
        </w:tc>
        <w:tc>
          <w:tcPr>
            <w:tcW w:w="1202" w:type="dxa"/>
            <w:tcBorders>
              <w:top w:val="nil"/>
              <w:left w:val="single" w:sz="8" w:space="0" w:color="E0E0E0"/>
              <w:bottom w:val="single" w:sz="8" w:space="0" w:color="152935"/>
              <w:right w:val="single" w:sz="8" w:space="0" w:color="E0E0E0"/>
            </w:tcBorders>
            <w:shd w:val="clear" w:color="auto" w:fill="FFFFFF"/>
            <w:vAlign w:val="bottom"/>
          </w:tcPr>
          <w:p w14:paraId="44E372BE"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Total</w:t>
            </w:r>
          </w:p>
        </w:tc>
        <w:tc>
          <w:tcPr>
            <w:tcW w:w="1446" w:type="dxa"/>
            <w:tcBorders>
              <w:top w:val="nil"/>
              <w:left w:val="single" w:sz="8" w:space="0" w:color="E0E0E0"/>
              <w:bottom w:val="single" w:sz="8" w:space="0" w:color="152935"/>
              <w:right w:val="single" w:sz="8" w:space="0" w:color="E0E0E0"/>
            </w:tcBorders>
            <w:shd w:val="clear" w:color="auto" w:fill="FFFFFF"/>
            <w:vAlign w:val="bottom"/>
          </w:tcPr>
          <w:p w14:paraId="64B5B6B7"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 of Variance</w:t>
            </w:r>
          </w:p>
        </w:tc>
        <w:tc>
          <w:tcPr>
            <w:tcW w:w="1462" w:type="dxa"/>
            <w:tcBorders>
              <w:top w:val="nil"/>
              <w:left w:val="single" w:sz="8" w:space="0" w:color="E0E0E0"/>
              <w:bottom w:val="single" w:sz="8" w:space="0" w:color="152935"/>
              <w:right w:val="nil"/>
            </w:tcBorders>
            <w:shd w:val="clear" w:color="auto" w:fill="FFFFFF"/>
            <w:vAlign w:val="bottom"/>
          </w:tcPr>
          <w:p w14:paraId="2A2F8690" w14:textId="77777777" w:rsidR="00EC0F92" w:rsidRPr="004F289D" w:rsidRDefault="00EC0F92" w:rsidP="00EC0F92">
            <w:pPr>
              <w:autoSpaceDE w:val="0"/>
              <w:autoSpaceDN w:val="0"/>
              <w:adjustRightInd w:val="0"/>
              <w:spacing w:after="0" w:line="320" w:lineRule="atLeast"/>
              <w:ind w:left="60" w:right="60"/>
              <w:jc w:val="center"/>
              <w:rPr>
                <w:rFonts w:eastAsia="Aptos" w:cs="Times New Roman"/>
                <w:kern w:val="0"/>
                <w:sz w:val="24"/>
                <w:szCs w:val="24"/>
                <w:lang/>
              </w:rPr>
            </w:pPr>
            <w:r w:rsidRPr="004F289D">
              <w:rPr>
                <w:rFonts w:eastAsia="Aptos" w:cs="Times New Roman"/>
                <w:kern w:val="0"/>
                <w:sz w:val="24"/>
                <w:szCs w:val="24"/>
                <w:lang/>
              </w:rPr>
              <w:t>Cumulative %</w:t>
            </w:r>
          </w:p>
        </w:tc>
      </w:tr>
      <w:tr w:rsidR="004F289D" w:rsidRPr="004F289D" w14:paraId="336291C0" w14:textId="77777777" w:rsidTr="00F75D40">
        <w:trPr>
          <w:cantSplit/>
        </w:trPr>
        <w:tc>
          <w:tcPr>
            <w:tcW w:w="1283" w:type="dxa"/>
            <w:tcBorders>
              <w:top w:val="single" w:sz="8" w:space="0" w:color="152935"/>
              <w:left w:val="nil"/>
              <w:bottom w:val="single" w:sz="8" w:space="0" w:color="AEAEAE"/>
              <w:right w:val="nil"/>
            </w:tcBorders>
            <w:shd w:val="clear" w:color="auto" w:fill="E0E0E0"/>
          </w:tcPr>
          <w:p w14:paraId="40FBE34A"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w:t>
            </w:r>
          </w:p>
        </w:tc>
        <w:tc>
          <w:tcPr>
            <w:tcW w:w="1104" w:type="dxa"/>
            <w:tcBorders>
              <w:top w:val="single" w:sz="8" w:space="0" w:color="152935"/>
              <w:left w:val="nil"/>
              <w:bottom w:val="single" w:sz="8" w:space="0" w:color="AEAEAE"/>
              <w:right w:val="single" w:sz="8" w:space="0" w:color="E0E0E0"/>
            </w:tcBorders>
            <w:shd w:val="clear" w:color="auto" w:fill="F9F9FB"/>
          </w:tcPr>
          <w:p w14:paraId="1A4B6E05" w14:textId="35E33004"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3</w:t>
            </w:r>
            <w:r w:rsidR="00D726D8" w:rsidRPr="004F289D">
              <w:rPr>
                <w:rFonts w:eastAsia="Aptos" w:cs="Times New Roman"/>
                <w:kern w:val="0"/>
                <w:sz w:val="24"/>
                <w:szCs w:val="24"/>
                <w:lang/>
              </w:rPr>
              <w:t>.</w:t>
            </w:r>
            <w:r w:rsidRPr="004F289D">
              <w:rPr>
                <w:rFonts w:eastAsia="Aptos" w:cs="Times New Roman"/>
                <w:kern w:val="0"/>
                <w:sz w:val="24"/>
                <w:szCs w:val="24"/>
                <w:lang/>
              </w:rPr>
              <w:t>883</w:t>
            </w:r>
          </w:p>
        </w:tc>
        <w:tc>
          <w:tcPr>
            <w:tcW w:w="1446" w:type="dxa"/>
            <w:tcBorders>
              <w:top w:val="single" w:sz="8" w:space="0" w:color="152935"/>
              <w:left w:val="single" w:sz="8" w:space="0" w:color="E0E0E0"/>
              <w:bottom w:val="single" w:sz="8" w:space="0" w:color="AEAEAE"/>
              <w:right w:val="single" w:sz="8" w:space="0" w:color="E0E0E0"/>
            </w:tcBorders>
            <w:shd w:val="clear" w:color="auto" w:fill="F9F9FB"/>
          </w:tcPr>
          <w:p w14:paraId="5AC86B04" w14:textId="44654DE1"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21</w:t>
            </w:r>
            <w:r w:rsidR="00D726D8" w:rsidRPr="004F289D">
              <w:rPr>
                <w:rFonts w:eastAsia="Aptos" w:cs="Times New Roman"/>
                <w:kern w:val="0"/>
                <w:sz w:val="24"/>
                <w:szCs w:val="24"/>
                <w:lang/>
              </w:rPr>
              <w:t>.</w:t>
            </w:r>
            <w:r w:rsidRPr="004F289D">
              <w:rPr>
                <w:rFonts w:eastAsia="Aptos" w:cs="Times New Roman"/>
                <w:kern w:val="0"/>
                <w:sz w:val="24"/>
                <w:szCs w:val="24"/>
                <w:lang/>
              </w:rPr>
              <w:t>570</w:t>
            </w:r>
          </w:p>
        </w:tc>
        <w:tc>
          <w:tcPr>
            <w:tcW w:w="1462" w:type="dxa"/>
            <w:tcBorders>
              <w:top w:val="single" w:sz="8" w:space="0" w:color="152935"/>
              <w:left w:val="single" w:sz="8" w:space="0" w:color="E0E0E0"/>
              <w:bottom w:val="single" w:sz="8" w:space="0" w:color="AEAEAE"/>
              <w:right w:val="nil"/>
            </w:tcBorders>
            <w:shd w:val="clear" w:color="auto" w:fill="F9F9FB"/>
          </w:tcPr>
          <w:p w14:paraId="55BE50F1" w14:textId="56017569"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21</w:t>
            </w:r>
            <w:r w:rsidR="00D726D8" w:rsidRPr="004F289D">
              <w:rPr>
                <w:rFonts w:eastAsia="Aptos" w:cs="Times New Roman"/>
                <w:kern w:val="0"/>
                <w:sz w:val="24"/>
                <w:szCs w:val="24"/>
                <w:lang/>
              </w:rPr>
              <w:t>.</w:t>
            </w:r>
            <w:r w:rsidRPr="004F289D">
              <w:rPr>
                <w:rFonts w:eastAsia="Aptos" w:cs="Times New Roman"/>
                <w:kern w:val="0"/>
                <w:sz w:val="24"/>
                <w:szCs w:val="24"/>
                <w:lang/>
              </w:rPr>
              <w:t>570</w:t>
            </w:r>
          </w:p>
        </w:tc>
        <w:tc>
          <w:tcPr>
            <w:tcW w:w="1202" w:type="dxa"/>
            <w:tcBorders>
              <w:top w:val="single" w:sz="8" w:space="0" w:color="152935"/>
              <w:left w:val="single" w:sz="8" w:space="0" w:color="E0E0E0"/>
              <w:bottom w:val="single" w:sz="8" w:space="0" w:color="AEAEAE"/>
              <w:right w:val="single" w:sz="8" w:space="0" w:color="E0E0E0"/>
            </w:tcBorders>
            <w:shd w:val="clear" w:color="auto" w:fill="F9F9FB"/>
          </w:tcPr>
          <w:p w14:paraId="01341B40" w14:textId="18389339"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3</w:t>
            </w:r>
            <w:r w:rsidR="00D726D8" w:rsidRPr="004F289D">
              <w:rPr>
                <w:rFonts w:eastAsia="Aptos" w:cs="Times New Roman"/>
                <w:kern w:val="0"/>
                <w:sz w:val="24"/>
                <w:szCs w:val="24"/>
                <w:lang/>
              </w:rPr>
              <w:t>.</w:t>
            </w:r>
            <w:r w:rsidRPr="004F289D">
              <w:rPr>
                <w:rFonts w:eastAsia="Aptos" w:cs="Times New Roman"/>
                <w:kern w:val="0"/>
                <w:sz w:val="24"/>
                <w:szCs w:val="24"/>
                <w:lang/>
              </w:rPr>
              <w:t>883</w:t>
            </w:r>
          </w:p>
        </w:tc>
        <w:tc>
          <w:tcPr>
            <w:tcW w:w="1446" w:type="dxa"/>
            <w:tcBorders>
              <w:top w:val="single" w:sz="8" w:space="0" w:color="152935"/>
              <w:left w:val="single" w:sz="8" w:space="0" w:color="E0E0E0"/>
              <w:bottom w:val="single" w:sz="8" w:space="0" w:color="AEAEAE"/>
              <w:right w:val="single" w:sz="8" w:space="0" w:color="E0E0E0"/>
            </w:tcBorders>
            <w:shd w:val="clear" w:color="auto" w:fill="F9F9FB"/>
          </w:tcPr>
          <w:p w14:paraId="470616BA" w14:textId="0EE08E86"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21</w:t>
            </w:r>
            <w:r w:rsidR="00D726D8" w:rsidRPr="004F289D">
              <w:rPr>
                <w:rFonts w:eastAsia="Aptos" w:cs="Times New Roman"/>
                <w:kern w:val="0"/>
                <w:sz w:val="24"/>
                <w:szCs w:val="24"/>
                <w:lang/>
              </w:rPr>
              <w:t>.</w:t>
            </w:r>
            <w:r w:rsidRPr="004F289D">
              <w:rPr>
                <w:rFonts w:eastAsia="Aptos" w:cs="Times New Roman"/>
                <w:kern w:val="0"/>
                <w:sz w:val="24"/>
                <w:szCs w:val="24"/>
                <w:lang/>
              </w:rPr>
              <w:t>570</w:t>
            </w:r>
          </w:p>
        </w:tc>
        <w:tc>
          <w:tcPr>
            <w:tcW w:w="1462" w:type="dxa"/>
            <w:tcBorders>
              <w:top w:val="single" w:sz="8" w:space="0" w:color="152935"/>
              <w:left w:val="single" w:sz="8" w:space="0" w:color="E0E0E0"/>
              <w:bottom w:val="single" w:sz="8" w:space="0" w:color="AEAEAE"/>
              <w:right w:val="nil"/>
            </w:tcBorders>
            <w:shd w:val="clear" w:color="auto" w:fill="F9F9FB"/>
          </w:tcPr>
          <w:p w14:paraId="4FA2CB6A" w14:textId="40744C4D"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21</w:t>
            </w:r>
            <w:r w:rsidR="00D726D8" w:rsidRPr="004F289D">
              <w:rPr>
                <w:rFonts w:eastAsia="Aptos" w:cs="Times New Roman"/>
                <w:kern w:val="0"/>
                <w:sz w:val="24"/>
                <w:szCs w:val="24"/>
                <w:lang/>
              </w:rPr>
              <w:t>.</w:t>
            </w:r>
            <w:r w:rsidRPr="004F289D">
              <w:rPr>
                <w:rFonts w:eastAsia="Aptos" w:cs="Times New Roman"/>
                <w:kern w:val="0"/>
                <w:sz w:val="24"/>
                <w:szCs w:val="24"/>
                <w:lang/>
              </w:rPr>
              <w:t>570</w:t>
            </w:r>
          </w:p>
        </w:tc>
      </w:tr>
      <w:tr w:rsidR="004F289D" w:rsidRPr="004F289D" w14:paraId="7E6BFC84"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77E5055"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2</w:t>
            </w:r>
          </w:p>
        </w:tc>
        <w:tc>
          <w:tcPr>
            <w:tcW w:w="1104" w:type="dxa"/>
            <w:tcBorders>
              <w:top w:val="single" w:sz="8" w:space="0" w:color="AEAEAE"/>
              <w:left w:val="nil"/>
              <w:bottom w:val="single" w:sz="8" w:space="0" w:color="AEAEAE"/>
              <w:right w:val="single" w:sz="8" w:space="0" w:color="E0E0E0"/>
            </w:tcBorders>
            <w:shd w:val="clear" w:color="auto" w:fill="F9F9FB"/>
          </w:tcPr>
          <w:p w14:paraId="73DCC80F" w14:textId="3E33D414"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w:t>
            </w:r>
            <w:r w:rsidR="00D726D8" w:rsidRPr="004F289D">
              <w:rPr>
                <w:rFonts w:eastAsia="Aptos" w:cs="Times New Roman"/>
                <w:kern w:val="0"/>
                <w:sz w:val="24"/>
                <w:szCs w:val="24"/>
                <w:lang/>
              </w:rPr>
              <w:t>.</w:t>
            </w:r>
            <w:r w:rsidRPr="004F289D">
              <w:rPr>
                <w:rFonts w:eastAsia="Aptos" w:cs="Times New Roman"/>
                <w:kern w:val="0"/>
                <w:sz w:val="24"/>
                <w:szCs w:val="24"/>
                <w:lang/>
              </w:rPr>
              <w:t>960</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77F3D8F6" w14:textId="0F9D2DBA"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16</w:t>
            </w:r>
            <w:r w:rsidR="00D726D8" w:rsidRPr="004F289D">
              <w:rPr>
                <w:rFonts w:eastAsia="Aptos" w:cs="Times New Roman"/>
                <w:kern w:val="0"/>
                <w:sz w:val="24"/>
                <w:szCs w:val="24"/>
                <w:lang/>
              </w:rPr>
              <w:t>.</w:t>
            </w:r>
            <w:r w:rsidRPr="004F289D">
              <w:rPr>
                <w:rFonts w:eastAsia="Aptos" w:cs="Times New Roman"/>
                <w:kern w:val="0"/>
                <w:sz w:val="24"/>
                <w:szCs w:val="24"/>
                <w:lang/>
              </w:rPr>
              <w:t>447</w:t>
            </w:r>
          </w:p>
        </w:tc>
        <w:tc>
          <w:tcPr>
            <w:tcW w:w="1462" w:type="dxa"/>
            <w:tcBorders>
              <w:top w:val="single" w:sz="8" w:space="0" w:color="AEAEAE"/>
              <w:left w:val="single" w:sz="8" w:space="0" w:color="E0E0E0"/>
              <w:bottom w:val="single" w:sz="8" w:space="0" w:color="AEAEAE"/>
              <w:right w:val="nil"/>
            </w:tcBorders>
            <w:shd w:val="clear" w:color="auto" w:fill="F9F9FB"/>
          </w:tcPr>
          <w:p w14:paraId="60D75CC3" w14:textId="5E4519C5"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38</w:t>
            </w:r>
            <w:r w:rsidR="00D726D8" w:rsidRPr="004F289D">
              <w:rPr>
                <w:rFonts w:eastAsia="Aptos" w:cs="Times New Roman"/>
                <w:kern w:val="0"/>
                <w:sz w:val="24"/>
                <w:szCs w:val="24"/>
                <w:lang/>
              </w:rPr>
              <w:t>.</w:t>
            </w:r>
            <w:r w:rsidRPr="004F289D">
              <w:rPr>
                <w:rFonts w:eastAsia="Aptos" w:cs="Times New Roman"/>
                <w:kern w:val="0"/>
                <w:sz w:val="24"/>
                <w:szCs w:val="24"/>
                <w:lang/>
              </w:rPr>
              <w:t>017</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10E875F"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56C1BE1"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7F7674CE"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0A85C576"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0FC3538F"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3</w:t>
            </w:r>
          </w:p>
        </w:tc>
        <w:tc>
          <w:tcPr>
            <w:tcW w:w="1104" w:type="dxa"/>
            <w:tcBorders>
              <w:top w:val="single" w:sz="8" w:space="0" w:color="AEAEAE"/>
              <w:left w:val="nil"/>
              <w:bottom w:val="single" w:sz="8" w:space="0" w:color="AEAEAE"/>
              <w:right w:val="single" w:sz="8" w:space="0" w:color="E0E0E0"/>
            </w:tcBorders>
            <w:shd w:val="clear" w:color="auto" w:fill="F9F9FB"/>
          </w:tcPr>
          <w:p w14:paraId="53695550" w14:textId="76C2D83D"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w:t>
            </w:r>
            <w:r w:rsidR="00D726D8" w:rsidRPr="004F289D">
              <w:rPr>
                <w:rFonts w:eastAsia="Aptos" w:cs="Times New Roman"/>
                <w:kern w:val="0"/>
                <w:sz w:val="24"/>
                <w:szCs w:val="24"/>
                <w:lang/>
              </w:rPr>
              <w:t>.</w:t>
            </w:r>
            <w:r w:rsidRPr="004F289D">
              <w:rPr>
                <w:rFonts w:eastAsia="Aptos" w:cs="Times New Roman"/>
                <w:kern w:val="0"/>
                <w:sz w:val="24"/>
                <w:szCs w:val="24"/>
                <w:lang/>
              </w:rPr>
              <w:t>526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0AFAB907" w14:textId="78C6D200"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14</w:t>
            </w:r>
            <w:r w:rsidR="00D726D8" w:rsidRPr="004F289D">
              <w:rPr>
                <w:rFonts w:eastAsia="Aptos" w:cs="Times New Roman"/>
                <w:kern w:val="0"/>
                <w:sz w:val="24"/>
                <w:szCs w:val="24"/>
                <w:lang/>
              </w:rPr>
              <w:t>.</w:t>
            </w:r>
            <w:r w:rsidRPr="004F289D">
              <w:rPr>
                <w:rFonts w:eastAsia="Aptos" w:cs="Times New Roman"/>
                <w:kern w:val="0"/>
                <w:sz w:val="24"/>
                <w:szCs w:val="24"/>
                <w:lang/>
              </w:rPr>
              <w:t>035</w:t>
            </w:r>
          </w:p>
        </w:tc>
        <w:tc>
          <w:tcPr>
            <w:tcW w:w="1462" w:type="dxa"/>
            <w:tcBorders>
              <w:top w:val="single" w:sz="8" w:space="0" w:color="AEAEAE"/>
              <w:left w:val="single" w:sz="8" w:space="0" w:color="E0E0E0"/>
              <w:bottom w:val="single" w:sz="8" w:space="0" w:color="AEAEAE"/>
              <w:right w:val="nil"/>
            </w:tcBorders>
            <w:shd w:val="clear" w:color="auto" w:fill="F9F9FB"/>
          </w:tcPr>
          <w:p w14:paraId="4F9908A6" w14:textId="24DC0221"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52</w:t>
            </w:r>
            <w:r w:rsidR="00D726D8" w:rsidRPr="004F289D">
              <w:rPr>
                <w:rFonts w:eastAsia="Aptos" w:cs="Times New Roman"/>
                <w:kern w:val="0"/>
                <w:sz w:val="24"/>
                <w:szCs w:val="24"/>
                <w:lang/>
              </w:rPr>
              <w:t>.</w:t>
            </w:r>
            <w:r w:rsidRPr="004F289D">
              <w:rPr>
                <w:rFonts w:eastAsia="Aptos" w:cs="Times New Roman"/>
                <w:kern w:val="0"/>
                <w:sz w:val="24"/>
                <w:szCs w:val="24"/>
                <w:lang/>
              </w:rPr>
              <w:t>051</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CEDB09B"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59CFE28"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72CF01D2"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6731A418"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48F4F032"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4</w:t>
            </w:r>
          </w:p>
        </w:tc>
        <w:tc>
          <w:tcPr>
            <w:tcW w:w="1104" w:type="dxa"/>
            <w:tcBorders>
              <w:top w:val="single" w:sz="8" w:space="0" w:color="AEAEAE"/>
              <w:left w:val="nil"/>
              <w:bottom w:val="single" w:sz="8" w:space="0" w:color="AEAEAE"/>
              <w:right w:val="single" w:sz="8" w:space="0" w:color="E0E0E0"/>
            </w:tcBorders>
            <w:shd w:val="clear" w:color="auto" w:fill="F9F9FB"/>
          </w:tcPr>
          <w:p w14:paraId="77AF8E12" w14:textId="6E4B06B9"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w:t>
            </w:r>
            <w:r w:rsidR="00D726D8" w:rsidRPr="004F289D">
              <w:rPr>
                <w:rFonts w:eastAsia="Aptos" w:cs="Times New Roman"/>
                <w:kern w:val="0"/>
                <w:sz w:val="24"/>
                <w:szCs w:val="24"/>
                <w:lang/>
              </w:rPr>
              <w:t>.</w:t>
            </w:r>
            <w:r w:rsidRPr="004F289D">
              <w:rPr>
                <w:rFonts w:eastAsia="Aptos" w:cs="Times New Roman"/>
                <w:kern w:val="0"/>
                <w:sz w:val="24"/>
                <w:szCs w:val="24"/>
                <w:lang/>
              </w:rPr>
              <w:t>415</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24EA3590" w14:textId="79604826"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13</w:t>
            </w:r>
            <w:r w:rsidR="00D726D8" w:rsidRPr="004F289D">
              <w:rPr>
                <w:rFonts w:eastAsia="Aptos" w:cs="Times New Roman"/>
                <w:kern w:val="0"/>
                <w:sz w:val="24"/>
                <w:szCs w:val="24"/>
                <w:lang/>
              </w:rPr>
              <w:t>.</w:t>
            </w:r>
            <w:r w:rsidRPr="004F289D">
              <w:rPr>
                <w:rFonts w:eastAsia="Aptos" w:cs="Times New Roman"/>
                <w:kern w:val="0"/>
                <w:sz w:val="24"/>
                <w:szCs w:val="24"/>
                <w:lang/>
              </w:rPr>
              <w:t>414</w:t>
            </w:r>
          </w:p>
        </w:tc>
        <w:tc>
          <w:tcPr>
            <w:tcW w:w="1462" w:type="dxa"/>
            <w:tcBorders>
              <w:top w:val="single" w:sz="8" w:space="0" w:color="AEAEAE"/>
              <w:left w:val="single" w:sz="8" w:space="0" w:color="E0E0E0"/>
              <w:bottom w:val="single" w:sz="8" w:space="0" w:color="AEAEAE"/>
              <w:right w:val="nil"/>
            </w:tcBorders>
            <w:shd w:val="clear" w:color="auto" w:fill="F9F9FB"/>
          </w:tcPr>
          <w:p w14:paraId="481593E1" w14:textId="50213A9D"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65</w:t>
            </w:r>
            <w:r w:rsidR="00D726D8" w:rsidRPr="004F289D">
              <w:rPr>
                <w:rFonts w:eastAsia="Aptos" w:cs="Times New Roman"/>
                <w:kern w:val="0"/>
                <w:sz w:val="24"/>
                <w:szCs w:val="24"/>
                <w:lang/>
              </w:rPr>
              <w:t>.</w:t>
            </w:r>
            <w:r w:rsidRPr="004F289D">
              <w:rPr>
                <w:rFonts w:eastAsia="Aptos" w:cs="Times New Roman"/>
                <w:kern w:val="0"/>
                <w:sz w:val="24"/>
                <w:szCs w:val="24"/>
                <w:lang/>
              </w:rPr>
              <w:t>465</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ED6EBE9"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6254D4C"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301315A2"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0EC1E07D"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7671080E"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5</w:t>
            </w:r>
          </w:p>
        </w:tc>
        <w:tc>
          <w:tcPr>
            <w:tcW w:w="1104" w:type="dxa"/>
            <w:tcBorders>
              <w:top w:val="single" w:sz="8" w:space="0" w:color="AEAEAE"/>
              <w:left w:val="nil"/>
              <w:bottom w:val="single" w:sz="8" w:space="0" w:color="AEAEAE"/>
              <w:right w:val="single" w:sz="8" w:space="0" w:color="E0E0E0"/>
            </w:tcBorders>
            <w:shd w:val="clear" w:color="auto" w:fill="F9F9FB"/>
          </w:tcPr>
          <w:p w14:paraId="694EEB08" w14:textId="184B2D7E"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w:t>
            </w:r>
            <w:r w:rsidR="00D726D8" w:rsidRPr="004F289D">
              <w:rPr>
                <w:rFonts w:eastAsia="Aptos" w:cs="Times New Roman"/>
                <w:kern w:val="0"/>
                <w:sz w:val="24"/>
                <w:szCs w:val="24"/>
                <w:lang/>
              </w:rPr>
              <w:t>.</w:t>
            </w:r>
            <w:r w:rsidRPr="004F289D">
              <w:rPr>
                <w:rFonts w:eastAsia="Aptos" w:cs="Times New Roman"/>
                <w:kern w:val="0"/>
                <w:sz w:val="24"/>
                <w:szCs w:val="24"/>
                <w:lang/>
              </w:rPr>
              <w:t>626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39B8C1E" w14:textId="5064EB73"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w:t>
            </w:r>
            <w:r w:rsidR="00D726D8" w:rsidRPr="004F289D">
              <w:rPr>
                <w:rFonts w:eastAsia="Aptos" w:cs="Times New Roman"/>
                <w:kern w:val="0"/>
                <w:sz w:val="24"/>
                <w:szCs w:val="24"/>
                <w:lang/>
              </w:rPr>
              <w:t>.</w:t>
            </w:r>
            <w:r w:rsidRPr="004F289D">
              <w:rPr>
                <w:rFonts w:eastAsia="Aptos" w:cs="Times New Roman"/>
                <w:kern w:val="0"/>
                <w:sz w:val="24"/>
                <w:szCs w:val="24"/>
                <w:lang/>
              </w:rPr>
              <w:t>033</w:t>
            </w:r>
          </w:p>
        </w:tc>
        <w:tc>
          <w:tcPr>
            <w:tcW w:w="1462" w:type="dxa"/>
            <w:tcBorders>
              <w:top w:val="single" w:sz="8" w:space="0" w:color="AEAEAE"/>
              <w:left w:val="single" w:sz="8" w:space="0" w:color="E0E0E0"/>
              <w:bottom w:val="single" w:sz="8" w:space="0" w:color="AEAEAE"/>
              <w:right w:val="nil"/>
            </w:tcBorders>
            <w:shd w:val="clear" w:color="auto" w:fill="F9F9FB"/>
          </w:tcPr>
          <w:p w14:paraId="515B1830" w14:textId="6344938D"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74</w:t>
            </w:r>
            <w:r w:rsidR="00D726D8" w:rsidRPr="004F289D">
              <w:rPr>
                <w:rFonts w:eastAsia="Aptos" w:cs="Times New Roman"/>
                <w:kern w:val="0"/>
                <w:sz w:val="24"/>
                <w:szCs w:val="24"/>
                <w:lang/>
              </w:rPr>
              <w:t>.</w:t>
            </w:r>
            <w:r w:rsidRPr="004F289D">
              <w:rPr>
                <w:rFonts w:eastAsia="Aptos" w:cs="Times New Roman"/>
                <w:kern w:val="0"/>
                <w:sz w:val="24"/>
                <w:szCs w:val="24"/>
                <w:lang/>
              </w:rPr>
              <w:t>498</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EBBD99B"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797E5EC"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195C8E0A"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378DEFF5"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3ECDE07F"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6</w:t>
            </w:r>
          </w:p>
        </w:tc>
        <w:tc>
          <w:tcPr>
            <w:tcW w:w="1104" w:type="dxa"/>
            <w:tcBorders>
              <w:top w:val="single" w:sz="8" w:space="0" w:color="AEAEAE"/>
              <w:left w:val="nil"/>
              <w:bottom w:val="single" w:sz="8" w:space="0" w:color="AEAEAE"/>
              <w:right w:val="single" w:sz="8" w:space="0" w:color="E0E0E0"/>
            </w:tcBorders>
            <w:shd w:val="clear" w:color="auto" w:fill="F9F9FB"/>
          </w:tcPr>
          <w:p w14:paraId="7B2A2DBE" w14:textId="40978B05"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w:t>
            </w:r>
            <w:r w:rsidR="00D726D8" w:rsidRPr="004F289D">
              <w:rPr>
                <w:rFonts w:eastAsia="Aptos" w:cs="Times New Roman"/>
                <w:kern w:val="0"/>
                <w:sz w:val="24"/>
                <w:szCs w:val="24"/>
                <w:lang/>
              </w:rPr>
              <w:t>.</w:t>
            </w:r>
            <w:r w:rsidRPr="004F289D">
              <w:rPr>
                <w:rFonts w:eastAsia="Aptos" w:cs="Times New Roman"/>
                <w:kern w:val="0"/>
                <w:sz w:val="24"/>
                <w:szCs w:val="24"/>
                <w:lang/>
              </w:rPr>
              <w:t>205</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C29C86A" w14:textId="3F34500D"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6</w:t>
            </w:r>
            <w:r w:rsidR="00D726D8" w:rsidRPr="004F289D">
              <w:rPr>
                <w:rFonts w:eastAsia="Aptos" w:cs="Times New Roman"/>
                <w:kern w:val="0"/>
                <w:sz w:val="24"/>
                <w:szCs w:val="24"/>
                <w:lang/>
              </w:rPr>
              <w:t>.</w:t>
            </w:r>
            <w:r w:rsidRPr="004F289D">
              <w:rPr>
                <w:rFonts w:eastAsia="Aptos" w:cs="Times New Roman"/>
                <w:kern w:val="0"/>
                <w:sz w:val="24"/>
                <w:szCs w:val="24"/>
                <w:lang/>
              </w:rPr>
              <w:t>697</w:t>
            </w:r>
          </w:p>
        </w:tc>
        <w:tc>
          <w:tcPr>
            <w:tcW w:w="1462" w:type="dxa"/>
            <w:tcBorders>
              <w:top w:val="single" w:sz="8" w:space="0" w:color="AEAEAE"/>
              <w:left w:val="single" w:sz="8" w:space="0" w:color="E0E0E0"/>
              <w:bottom w:val="single" w:sz="8" w:space="0" w:color="AEAEAE"/>
              <w:right w:val="nil"/>
            </w:tcBorders>
            <w:shd w:val="clear" w:color="auto" w:fill="F9F9FB"/>
          </w:tcPr>
          <w:p w14:paraId="09FA3DB0" w14:textId="112C8F24"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81</w:t>
            </w:r>
            <w:r w:rsidR="00D726D8" w:rsidRPr="004F289D">
              <w:rPr>
                <w:rFonts w:eastAsia="Aptos" w:cs="Times New Roman"/>
                <w:kern w:val="0"/>
                <w:sz w:val="24"/>
                <w:szCs w:val="24"/>
                <w:lang/>
              </w:rPr>
              <w:t>.</w:t>
            </w:r>
            <w:r w:rsidRPr="004F289D">
              <w:rPr>
                <w:rFonts w:eastAsia="Aptos" w:cs="Times New Roman"/>
                <w:kern w:val="0"/>
                <w:sz w:val="24"/>
                <w:szCs w:val="24"/>
                <w:lang/>
              </w:rPr>
              <w:t>195</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01D3EBC"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CFC9C2B"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620010B6"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37F26582"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5B3B5BAD"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7</w:t>
            </w:r>
          </w:p>
        </w:tc>
        <w:tc>
          <w:tcPr>
            <w:tcW w:w="1104" w:type="dxa"/>
            <w:tcBorders>
              <w:top w:val="single" w:sz="8" w:space="0" w:color="AEAEAE"/>
              <w:left w:val="nil"/>
              <w:bottom w:val="single" w:sz="8" w:space="0" w:color="AEAEAE"/>
              <w:right w:val="single" w:sz="8" w:space="0" w:color="E0E0E0"/>
            </w:tcBorders>
            <w:shd w:val="clear" w:color="auto" w:fill="F9F9FB"/>
          </w:tcPr>
          <w:p w14:paraId="0F38D53E" w14:textId="14ABE4DA"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701</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2595363" w14:textId="58146600"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3</w:t>
            </w:r>
            <w:r w:rsidR="00D726D8" w:rsidRPr="004F289D">
              <w:rPr>
                <w:rFonts w:eastAsia="Aptos" w:cs="Times New Roman"/>
                <w:kern w:val="0"/>
                <w:sz w:val="24"/>
                <w:szCs w:val="24"/>
                <w:lang/>
              </w:rPr>
              <w:t>.</w:t>
            </w:r>
            <w:r w:rsidRPr="004F289D">
              <w:rPr>
                <w:rFonts w:eastAsia="Aptos" w:cs="Times New Roman"/>
                <w:kern w:val="0"/>
                <w:sz w:val="24"/>
                <w:szCs w:val="24"/>
                <w:lang/>
              </w:rPr>
              <w:t>893</w:t>
            </w:r>
          </w:p>
        </w:tc>
        <w:tc>
          <w:tcPr>
            <w:tcW w:w="1462" w:type="dxa"/>
            <w:tcBorders>
              <w:top w:val="single" w:sz="8" w:space="0" w:color="AEAEAE"/>
              <w:left w:val="single" w:sz="8" w:space="0" w:color="E0E0E0"/>
              <w:bottom w:val="single" w:sz="8" w:space="0" w:color="AEAEAE"/>
              <w:right w:val="nil"/>
            </w:tcBorders>
            <w:shd w:val="clear" w:color="auto" w:fill="F9F9FB"/>
          </w:tcPr>
          <w:p w14:paraId="07E0C8B9" w14:textId="289F31EF"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85</w:t>
            </w:r>
            <w:r w:rsidR="00D726D8" w:rsidRPr="004F289D">
              <w:rPr>
                <w:rFonts w:eastAsia="Aptos" w:cs="Times New Roman"/>
                <w:kern w:val="0"/>
                <w:sz w:val="24"/>
                <w:szCs w:val="24"/>
                <w:lang/>
              </w:rPr>
              <w:t>.</w:t>
            </w:r>
            <w:r w:rsidRPr="004F289D">
              <w:rPr>
                <w:rFonts w:eastAsia="Aptos" w:cs="Times New Roman"/>
                <w:kern w:val="0"/>
                <w:sz w:val="24"/>
                <w:szCs w:val="24"/>
                <w:lang/>
              </w:rPr>
              <w:t>087</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58106D2"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1EF872C"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6D217780"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2FA43E1D"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92CF761"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8</w:t>
            </w:r>
          </w:p>
        </w:tc>
        <w:tc>
          <w:tcPr>
            <w:tcW w:w="1104" w:type="dxa"/>
            <w:tcBorders>
              <w:top w:val="single" w:sz="8" w:space="0" w:color="AEAEAE"/>
              <w:left w:val="nil"/>
              <w:bottom w:val="single" w:sz="8" w:space="0" w:color="AEAEAE"/>
              <w:right w:val="single" w:sz="8" w:space="0" w:color="E0E0E0"/>
            </w:tcBorders>
            <w:shd w:val="clear" w:color="auto" w:fill="F9F9FB"/>
          </w:tcPr>
          <w:p w14:paraId="7D1B2531" w14:textId="2177372B"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526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56ECAA8" w14:textId="630AFABB"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w:t>
            </w:r>
            <w:r w:rsidR="00D726D8" w:rsidRPr="004F289D">
              <w:rPr>
                <w:rFonts w:eastAsia="Aptos" w:cs="Times New Roman"/>
                <w:kern w:val="0"/>
                <w:sz w:val="24"/>
                <w:szCs w:val="24"/>
                <w:lang/>
              </w:rPr>
              <w:t>.</w:t>
            </w:r>
            <w:r w:rsidRPr="004F289D">
              <w:rPr>
                <w:rFonts w:eastAsia="Aptos" w:cs="Times New Roman"/>
                <w:kern w:val="0"/>
                <w:sz w:val="24"/>
                <w:szCs w:val="24"/>
                <w:lang/>
              </w:rPr>
              <w:t>923</w:t>
            </w:r>
          </w:p>
        </w:tc>
        <w:tc>
          <w:tcPr>
            <w:tcW w:w="1462" w:type="dxa"/>
            <w:tcBorders>
              <w:top w:val="single" w:sz="8" w:space="0" w:color="AEAEAE"/>
              <w:left w:val="single" w:sz="8" w:space="0" w:color="E0E0E0"/>
              <w:bottom w:val="single" w:sz="8" w:space="0" w:color="AEAEAE"/>
              <w:right w:val="nil"/>
            </w:tcBorders>
            <w:shd w:val="clear" w:color="auto" w:fill="F9F9FB"/>
          </w:tcPr>
          <w:p w14:paraId="56613A44" w14:textId="6E8D07C1"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88</w:t>
            </w:r>
            <w:r w:rsidR="00D726D8" w:rsidRPr="004F289D">
              <w:rPr>
                <w:rFonts w:eastAsia="Aptos" w:cs="Times New Roman"/>
                <w:kern w:val="0"/>
                <w:sz w:val="24"/>
                <w:szCs w:val="24"/>
                <w:lang/>
              </w:rPr>
              <w:t>.</w:t>
            </w:r>
            <w:r w:rsidRPr="004F289D">
              <w:rPr>
                <w:rFonts w:eastAsia="Aptos" w:cs="Times New Roman"/>
                <w:kern w:val="0"/>
                <w:sz w:val="24"/>
                <w:szCs w:val="24"/>
                <w:lang/>
              </w:rPr>
              <w:t>010</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B05151F"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D083EF9"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0064A1EA"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4AF04C3D"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4AEFA98A"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9</w:t>
            </w:r>
          </w:p>
        </w:tc>
        <w:tc>
          <w:tcPr>
            <w:tcW w:w="1104" w:type="dxa"/>
            <w:tcBorders>
              <w:top w:val="single" w:sz="8" w:space="0" w:color="AEAEAE"/>
              <w:left w:val="nil"/>
              <w:bottom w:val="single" w:sz="8" w:space="0" w:color="AEAEAE"/>
              <w:right w:val="single" w:sz="8" w:space="0" w:color="E0E0E0"/>
            </w:tcBorders>
            <w:shd w:val="clear" w:color="auto" w:fill="F9F9FB"/>
          </w:tcPr>
          <w:p w14:paraId="6747F48A" w14:textId="758C3A65"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485</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4E7D3111" w14:textId="055F1B25"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2</w:t>
            </w:r>
            <w:r w:rsidR="00D726D8" w:rsidRPr="004F289D">
              <w:rPr>
                <w:rFonts w:eastAsia="Aptos" w:cs="Times New Roman"/>
                <w:kern w:val="0"/>
                <w:sz w:val="24"/>
                <w:szCs w:val="24"/>
                <w:lang/>
              </w:rPr>
              <w:t>.</w:t>
            </w:r>
            <w:r w:rsidRPr="004F289D">
              <w:rPr>
                <w:rFonts w:eastAsia="Aptos" w:cs="Times New Roman"/>
                <w:kern w:val="0"/>
                <w:sz w:val="24"/>
                <w:szCs w:val="24"/>
                <w:lang/>
              </w:rPr>
              <w:t>692</w:t>
            </w:r>
          </w:p>
        </w:tc>
        <w:tc>
          <w:tcPr>
            <w:tcW w:w="1462" w:type="dxa"/>
            <w:tcBorders>
              <w:top w:val="single" w:sz="8" w:space="0" w:color="AEAEAE"/>
              <w:left w:val="single" w:sz="8" w:space="0" w:color="E0E0E0"/>
              <w:bottom w:val="single" w:sz="8" w:space="0" w:color="AEAEAE"/>
              <w:right w:val="nil"/>
            </w:tcBorders>
            <w:shd w:val="clear" w:color="auto" w:fill="F9F9FB"/>
          </w:tcPr>
          <w:p w14:paraId="33D03856" w14:textId="3B299053"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90</w:t>
            </w:r>
            <w:r w:rsidR="00D726D8" w:rsidRPr="004F289D">
              <w:rPr>
                <w:rFonts w:eastAsia="Aptos" w:cs="Times New Roman"/>
                <w:kern w:val="0"/>
                <w:sz w:val="24"/>
                <w:szCs w:val="24"/>
                <w:lang/>
              </w:rPr>
              <w:t>.</w:t>
            </w:r>
            <w:r w:rsidRPr="004F289D">
              <w:rPr>
                <w:rFonts w:eastAsia="Aptos" w:cs="Times New Roman"/>
                <w:kern w:val="0"/>
                <w:sz w:val="24"/>
                <w:szCs w:val="24"/>
                <w:lang/>
              </w:rPr>
              <w:t>702</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60E08F1"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379ED40"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278F9914"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3CEA51B1"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7FA98DEF"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10</w:t>
            </w:r>
          </w:p>
        </w:tc>
        <w:tc>
          <w:tcPr>
            <w:tcW w:w="1104" w:type="dxa"/>
            <w:tcBorders>
              <w:top w:val="single" w:sz="8" w:space="0" w:color="AEAEAE"/>
              <w:left w:val="nil"/>
              <w:bottom w:val="single" w:sz="8" w:space="0" w:color="AEAEAE"/>
              <w:right w:val="single" w:sz="8" w:space="0" w:color="E0E0E0"/>
            </w:tcBorders>
            <w:shd w:val="clear" w:color="auto" w:fill="F9F9FB"/>
          </w:tcPr>
          <w:p w14:paraId="26B6F87F" w14:textId="1FA9235D"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317</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5467DE8D" w14:textId="542239BF"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w:t>
            </w:r>
            <w:r w:rsidR="00D726D8" w:rsidRPr="004F289D">
              <w:rPr>
                <w:rFonts w:eastAsia="Aptos" w:cs="Times New Roman"/>
                <w:kern w:val="0"/>
                <w:sz w:val="24"/>
                <w:szCs w:val="24"/>
                <w:lang/>
              </w:rPr>
              <w:t>.</w:t>
            </w:r>
            <w:r w:rsidRPr="004F289D">
              <w:rPr>
                <w:rFonts w:eastAsia="Aptos" w:cs="Times New Roman"/>
                <w:kern w:val="0"/>
                <w:sz w:val="24"/>
                <w:szCs w:val="24"/>
                <w:lang/>
              </w:rPr>
              <w:t>763</w:t>
            </w:r>
          </w:p>
        </w:tc>
        <w:tc>
          <w:tcPr>
            <w:tcW w:w="1462" w:type="dxa"/>
            <w:tcBorders>
              <w:top w:val="single" w:sz="8" w:space="0" w:color="AEAEAE"/>
              <w:left w:val="single" w:sz="8" w:space="0" w:color="E0E0E0"/>
              <w:bottom w:val="single" w:sz="8" w:space="0" w:color="AEAEAE"/>
              <w:right w:val="nil"/>
            </w:tcBorders>
            <w:shd w:val="clear" w:color="auto" w:fill="F9F9FB"/>
          </w:tcPr>
          <w:p w14:paraId="2FD1ACD4" w14:textId="7A556125"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92</w:t>
            </w:r>
            <w:r w:rsidR="00D726D8" w:rsidRPr="004F289D">
              <w:rPr>
                <w:rFonts w:eastAsia="Aptos" w:cs="Times New Roman"/>
                <w:kern w:val="0"/>
                <w:sz w:val="24"/>
                <w:szCs w:val="24"/>
                <w:lang/>
              </w:rPr>
              <w:t>.</w:t>
            </w:r>
            <w:r w:rsidRPr="004F289D">
              <w:rPr>
                <w:rFonts w:eastAsia="Aptos" w:cs="Times New Roman"/>
                <w:kern w:val="0"/>
                <w:sz w:val="24"/>
                <w:szCs w:val="24"/>
                <w:lang/>
              </w:rPr>
              <w:t>465</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9E0002F"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173C345"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111710C0"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2757310F"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044CD922"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11</w:t>
            </w:r>
          </w:p>
        </w:tc>
        <w:tc>
          <w:tcPr>
            <w:tcW w:w="1104" w:type="dxa"/>
            <w:tcBorders>
              <w:top w:val="single" w:sz="8" w:space="0" w:color="AEAEAE"/>
              <w:left w:val="nil"/>
              <w:bottom w:val="single" w:sz="8" w:space="0" w:color="AEAEAE"/>
              <w:right w:val="single" w:sz="8" w:space="0" w:color="E0E0E0"/>
            </w:tcBorders>
            <w:shd w:val="clear" w:color="auto" w:fill="F9F9FB"/>
          </w:tcPr>
          <w:p w14:paraId="13329B10" w14:textId="36BE6534"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268</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77360A6" w14:textId="57E45BC8"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w:t>
            </w:r>
            <w:r w:rsidR="00D726D8" w:rsidRPr="004F289D">
              <w:rPr>
                <w:rFonts w:eastAsia="Aptos" w:cs="Times New Roman"/>
                <w:kern w:val="0"/>
                <w:sz w:val="24"/>
                <w:szCs w:val="24"/>
                <w:lang/>
              </w:rPr>
              <w:t>.</w:t>
            </w:r>
            <w:r w:rsidRPr="004F289D">
              <w:rPr>
                <w:rFonts w:eastAsia="Aptos" w:cs="Times New Roman"/>
                <w:kern w:val="0"/>
                <w:sz w:val="24"/>
                <w:szCs w:val="24"/>
                <w:lang/>
              </w:rPr>
              <w:t>490</w:t>
            </w:r>
          </w:p>
        </w:tc>
        <w:tc>
          <w:tcPr>
            <w:tcW w:w="1462" w:type="dxa"/>
            <w:tcBorders>
              <w:top w:val="single" w:sz="8" w:space="0" w:color="AEAEAE"/>
              <w:left w:val="single" w:sz="8" w:space="0" w:color="E0E0E0"/>
              <w:bottom w:val="single" w:sz="8" w:space="0" w:color="AEAEAE"/>
              <w:right w:val="nil"/>
            </w:tcBorders>
            <w:shd w:val="clear" w:color="auto" w:fill="F9F9FB"/>
          </w:tcPr>
          <w:p w14:paraId="404F7DBF" w14:textId="5362F629"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93</w:t>
            </w:r>
            <w:r w:rsidR="00D726D8" w:rsidRPr="004F289D">
              <w:rPr>
                <w:rFonts w:eastAsia="Aptos" w:cs="Times New Roman"/>
                <w:kern w:val="0"/>
                <w:sz w:val="24"/>
                <w:szCs w:val="24"/>
                <w:lang/>
              </w:rPr>
              <w:t>.</w:t>
            </w:r>
            <w:r w:rsidRPr="004F289D">
              <w:rPr>
                <w:rFonts w:eastAsia="Aptos" w:cs="Times New Roman"/>
                <w:kern w:val="0"/>
                <w:sz w:val="24"/>
                <w:szCs w:val="24"/>
                <w:lang/>
              </w:rPr>
              <w:t>956</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497E021"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17E205E"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2EAC697A"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77CE2637"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5701C7B7"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12</w:t>
            </w:r>
          </w:p>
        </w:tc>
        <w:tc>
          <w:tcPr>
            <w:tcW w:w="1104" w:type="dxa"/>
            <w:tcBorders>
              <w:top w:val="single" w:sz="8" w:space="0" w:color="AEAEAE"/>
              <w:left w:val="nil"/>
              <w:bottom w:val="single" w:sz="8" w:space="0" w:color="AEAEAE"/>
              <w:right w:val="single" w:sz="8" w:space="0" w:color="E0E0E0"/>
            </w:tcBorders>
            <w:shd w:val="clear" w:color="auto" w:fill="F9F9FB"/>
          </w:tcPr>
          <w:p w14:paraId="7A57AB51" w14:textId="413D3B21"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231</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10543B97" w14:textId="1B709A51"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w:t>
            </w:r>
            <w:r w:rsidR="00D726D8" w:rsidRPr="004F289D">
              <w:rPr>
                <w:rFonts w:eastAsia="Aptos" w:cs="Times New Roman"/>
                <w:kern w:val="0"/>
                <w:sz w:val="24"/>
                <w:szCs w:val="24"/>
                <w:lang/>
              </w:rPr>
              <w:t>.</w:t>
            </w:r>
            <w:r w:rsidRPr="004F289D">
              <w:rPr>
                <w:rFonts w:eastAsia="Aptos" w:cs="Times New Roman"/>
                <w:kern w:val="0"/>
                <w:sz w:val="24"/>
                <w:szCs w:val="24"/>
                <w:lang/>
              </w:rPr>
              <w:t>282</w:t>
            </w:r>
          </w:p>
        </w:tc>
        <w:tc>
          <w:tcPr>
            <w:tcW w:w="1462" w:type="dxa"/>
            <w:tcBorders>
              <w:top w:val="single" w:sz="8" w:space="0" w:color="AEAEAE"/>
              <w:left w:val="single" w:sz="8" w:space="0" w:color="E0E0E0"/>
              <w:bottom w:val="single" w:sz="8" w:space="0" w:color="AEAEAE"/>
              <w:right w:val="nil"/>
            </w:tcBorders>
            <w:shd w:val="clear" w:color="auto" w:fill="F9F9FB"/>
          </w:tcPr>
          <w:p w14:paraId="0A7EB865" w14:textId="38028159"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95</w:t>
            </w:r>
            <w:r w:rsidR="00D726D8" w:rsidRPr="004F289D">
              <w:rPr>
                <w:rFonts w:eastAsia="Aptos" w:cs="Times New Roman"/>
                <w:kern w:val="0"/>
                <w:sz w:val="24"/>
                <w:szCs w:val="24"/>
                <w:lang/>
              </w:rPr>
              <w:t>.</w:t>
            </w:r>
            <w:r w:rsidRPr="004F289D">
              <w:rPr>
                <w:rFonts w:eastAsia="Aptos" w:cs="Times New Roman"/>
                <w:kern w:val="0"/>
                <w:sz w:val="24"/>
                <w:szCs w:val="24"/>
                <w:lang/>
              </w:rPr>
              <w:t>237</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A74B86F"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AD44794"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2CCAB6A8"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3EDE24E7"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3A9D0E5B"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13</w:t>
            </w:r>
          </w:p>
        </w:tc>
        <w:tc>
          <w:tcPr>
            <w:tcW w:w="1104" w:type="dxa"/>
            <w:tcBorders>
              <w:top w:val="single" w:sz="8" w:space="0" w:color="AEAEAE"/>
              <w:left w:val="nil"/>
              <w:bottom w:val="single" w:sz="8" w:space="0" w:color="AEAEAE"/>
              <w:right w:val="single" w:sz="8" w:space="0" w:color="E0E0E0"/>
            </w:tcBorders>
            <w:shd w:val="clear" w:color="auto" w:fill="F9F9FB"/>
          </w:tcPr>
          <w:p w14:paraId="363C94FF" w14:textId="65124684"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217</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4D2CCF9B" w14:textId="3B028AC5"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w:t>
            </w:r>
            <w:r w:rsidR="00D726D8" w:rsidRPr="004F289D">
              <w:rPr>
                <w:rFonts w:eastAsia="Aptos" w:cs="Times New Roman"/>
                <w:kern w:val="0"/>
                <w:sz w:val="24"/>
                <w:szCs w:val="24"/>
                <w:lang/>
              </w:rPr>
              <w:t>.</w:t>
            </w:r>
            <w:r w:rsidRPr="004F289D">
              <w:rPr>
                <w:rFonts w:eastAsia="Aptos" w:cs="Times New Roman"/>
                <w:kern w:val="0"/>
                <w:sz w:val="24"/>
                <w:szCs w:val="24"/>
                <w:lang/>
              </w:rPr>
              <w:t>205</w:t>
            </w:r>
          </w:p>
        </w:tc>
        <w:tc>
          <w:tcPr>
            <w:tcW w:w="1462" w:type="dxa"/>
            <w:tcBorders>
              <w:top w:val="single" w:sz="8" w:space="0" w:color="AEAEAE"/>
              <w:left w:val="single" w:sz="8" w:space="0" w:color="E0E0E0"/>
              <w:bottom w:val="single" w:sz="8" w:space="0" w:color="AEAEAE"/>
              <w:right w:val="nil"/>
            </w:tcBorders>
            <w:shd w:val="clear" w:color="auto" w:fill="F9F9FB"/>
          </w:tcPr>
          <w:p w14:paraId="4B254666" w14:textId="6C19DFDE"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96</w:t>
            </w:r>
            <w:r w:rsidR="00D726D8" w:rsidRPr="004F289D">
              <w:rPr>
                <w:rFonts w:eastAsia="Aptos" w:cs="Times New Roman"/>
                <w:kern w:val="0"/>
                <w:sz w:val="24"/>
                <w:szCs w:val="24"/>
                <w:lang/>
              </w:rPr>
              <w:t>.</w:t>
            </w:r>
            <w:r w:rsidRPr="004F289D">
              <w:rPr>
                <w:rFonts w:eastAsia="Aptos" w:cs="Times New Roman"/>
                <w:kern w:val="0"/>
                <w:sz w:val="24"/>
                <w:szCs w:val="24"/>
                <w:lang/>
              </w:rPr>
              <w:t>442</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00A8FC4"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03A54CD"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38D42D64"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00CEBC2B"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B3A8802"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14</w:t>
            </w:r>
          </w:p>
        </w:tc>
        <w:tc>
          <w:tcPr>
            <w:tcW w:w="1104" w:type="dxa"/>
            <w:tcBorders>
              <w:top w:val="single" w:sz="8" w:space="0" w:color="AEAEAE"/>
              <w:left w:val="nil"/>
              <w:bottom w:val="single" w:sz="8" w:space="0" w:color="AEAEAE"/>
              <w:right w:val="single" w:sz="8" w:space="0" w:color="E0E0E0"/>
            </w:tcBorders>
            <w:shd w:val="clear" w:color="auto" w:fill="F9F9FB"/>
          </w:tcPr>
          <w:p w14:paraId="3F80A99D" w14:textId="09281484"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176</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45F7D3A9" w14:textId="5B32FEEA"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977</w:t>
            </w:r>
          </w:p>
        </w:tc>
        <w:tc>
          <w:tcPr>
            <w:tcW w:w="1462" w:type="dxa"/>
            <w:tcBorders>
              <w:top w:val="single" w:sz="8" w:space="0" w:color="AEAEAE"/>
              <w:left w:val="single" w:sz="8" w:space="0" w:color="E0E0E0"/>
              <w:bottom w:val="single" w:sz="8" w:space="0" w:color="AEAEAE"/>
              <w:right w:val="nil"/>
            </w:tcBorders>
            <w:shd w:val="clear" w:color="auto" w:fill="F9F9FB"/>
          </w:tcPr>
          <w:p w14:paraId="4F7FDC40" w14:textId="2D560C6C"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97</w:t>
            </w:r>
            <w:r w:rsidR="00D726D8" w:rsidRPr="004F289D">
              <w:rPr>
                <w:rFonts w:eastAsia="Aptos" w:cs="Times New Roman"/>
                <w:kern w:val="0"/>
                <w:sz w:val="24"/>
                <w:szCs w:val="24"/>
                <w:lang/>
              </w:rPr>
              <w:t>.</w:t>
            </w:r>
            <w:r w:rsidRPr="004F289D">
              <w:rPr>
                <w:rFonts w:eastAsia="Aptos" w:cs="Times New Roman"/>
                <w:kern w:val="0"/>
                <w:sz w:val="24"/>
                <w:szCs w:val="24"/>
                <w:lang/>
              </w:rPr>
              <w:t>420</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73165A1"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D14BE49"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FD4C677"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7F976D12"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1615778B"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15</w:t>
            </w:r>
          </w:p>
        </w:tc>
        <w:tc>
          <w:tcPr>
            <w:tcW w:w="1104" w:type="dxa"/>
            <w:tcBorders>
              <w:top w:val="single" w:sz="8" w:space="0" w:color="AEAEAE"/>
              <w:left w:val="nil"/>
              <w:bottom w:val="single" w:sz="8" w:space="0" w:color="AEAEAE"/>
              <w:right w:val="single" w:sz="8" w:space="0" w:color="E0E0E0"/>
            </w:tcBorders>
            <w:shd w:val="clear" w:color="auto" w:fill="F9F9FB"/>
          </w:tcPr>
          <w:p w14:paraId="5097D2A2" w14:textId="61A7C845"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168</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6B786C99" w14:textId="4E6A36B1"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936</w:t>
            </w:r>
          </w:p>
        </w:tc>
        <w:tc>
          <w:tcPr>
            <w:tcW w:w="1462" w:type="dxa"/>
            <w:tcBorders>
              <w:top w:val="single" w:sz="8" w:space="0" w:color="AEAEAE"/>
              <w:left w:val="single" w:sz="8" w:space="0" w:color="E0E0E0"/>
              <w:bottom w:val="single" w:sz="8" w:space="0" w:color="AEAEAE"/>
              <w:right w:val="nil"/>
            </w:tcBorders>
            <w:shd w:val="clear" w:color="auto" w:fill="F9F9FB"/>
          </w:tcPr>
          <w:p w14:paraId="05EB26B7" w14:textId="4FD441B3"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98</w:t>
            </w:r>
            <w:r w:rsidR="00D726D8" w:rsidRPr="004F289D">
              <w:rPr>
                <w:rFonts w:eastAsia="Aptos" w:cs="Times New Roman"/>
                <w:kern w:val="0"/>
                <w:sz w:val="24"/>
                <w:szCs w:val="24"/>
                <w:lang/>
              </w:rPr>
              <w:t>.</w:t>
            </w:r>
            <w:r w:rsidRPr="004F289D">
              <w:rPr>
                <w:rFonts w:eastAsia="Aptos" w:cs="Times New Roman"/>
                <w:kern w:val="0"/>
                <w:sz w:val="24"/>
                <w:szCs w:val="24"/>
                <w:lang/>
              </w:rPr>
              <w:t>355</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938FB25"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A078AEB"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E690FFE"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544661CF"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6F4037A8"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16</w:t>
            </w:r>
          </w:p>
        </w:tc>
        <w:tc>
          <w:tcPr>
            <w:tcW w:w="1104" w:type="dxa"/>
            <w:tcBorders>
              <w:top w:val="single" w:sz="8" w:space="0" w:color="AEAEAE"/>
              <w:left w:val="nil"/>
              <w:bottom w:val="single" w:sz="8" w:space="0" w:color="AEAEAE"/>
              <w:right w:val="single" w:sz="8" w:space="0" w:color="E0E0E0"/>
            </w:tcBorders>
            <w:shd w:val="clear" w:color="auto" w:fill="F9F9FB"/>
          </w:tcPr>
          <w:p w14:paraId="0DA42C6F" w14:textId="7CBAE15E"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120</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6E49504D" w14:textId="5BC0FC6A"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666</w:t>
            </w:r>
          </w:p>
        </w:tc>
        <w:tc>
          <w:tcPr>
            <w:tcW w:w="1462" w:type="dxa"/>
            <w:tcBorders>
              <w:top w:val="single" w:sz="8" w:space="0" w:color="AEAEAE"/>
              <w:left w:val="single" w:sz="8" w:space="0" w:color="E0E0E0"/>
              <w:bottom w:val="single" w:sz="8" w:space="0" w:color="AEAEAE"/>
              <w:right w:val="nil"/>
            </w:tcBorders>
            <w:shd w:val="clear" w:color="auto" w:fill="F9F9FB"/>
          </w:tcPr>
          <w:p w14:paraId="0D9A79BC" w14:textId="14E4DFA6"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99</w:t>
            </w:r>
            <w:r w:rsidR="00D726D8" w:rsidRPr="004F289D">
              <w:rPr>
                <w:rFonts w:eastAsia="Aptos" w:cs="Times New Roman"/>
                <w:kern w:val="0"/>
                <w:sz w:val="24"/>
                <w:szCs w:val="24"/>
                <w:lang/>
              </w:rPr>
              <w:t>.</w:t>
            </w:r>
            <w:r w:rsidRPr="004F289D">
              <w:rPr>
                <w:rFonts w:eastAsia="Aptos" w:cs="Times New Roman"/>
                <w:kern w:val="0"/>
                <w:sz w:val="24"/>
                <w:szCs w:val="24"/>
                <w:lang/>
              </w:rPr>
              <w:t>021</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A3CDA2A"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B8A784B"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A35929C"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7FA608E9" w14:textId="77777777" w:rsidTr="00F75D40">
        <w:trPr>
          <w:cantSplit/>
        </w:trPr>
        <w:tc>
          <w:tcPr>
            <w:tcW w:w="1283" w:type="dxa"/>
            <w:tcBorders>
              <w:top w:val="single" w:sz="8" w:space="0" w:color="AEAEAE"/>
              <w:left w:val="nil"/>
              <w:bottom w:val="single" w:sz="8" w:space="0" w:color="AEAEAE"/>
              <w:right w:val="nil"/>
            </w:tcBorders>
            <w:shd w:val="clear" w:color="auto" w:fill="E0E0E0"/>
          </w:tcPr>
          <w:p w14:paraId="2B2314B2"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17</w:t>
            </w:r>
          </w:p>
        </w:tc>
        <w:tc>
          <w:tcPr>
            <w:tcW w:w="1104" w:type="dxa"/>
            <w:tcBorders>
              <w:top w:val="single" w:sz="8" w:space="0" w:color="AEAEAE"/>
              <w:left w:val="nil"/>
              <w:bottom w:val="single" w:sz="8" w:space="0" w:color="AEAEAE"/>
              <w:right w:val="single" w:sz="8" w:space="0" w:color="E0E0E0"/>
            </w:tcBorders>
            <w:shd w:val="clear" w:color="auto" w:fill="F9F9FB"/>
          </w:tcPr>
          <w:p w14:paraId="7BDDC9FA" w14:textId="2864DF57"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100</w:t>
            </w:r>
          </w:p>
        </w:tc>
        <w:tc>
          <w:tcPr>
            <w:tcW w:w="1446" w:type="dxa"/>
            <w:tcBorders>
              <w:top w:val="single" w:sz="8" w:space="0" w:color="AEAEAE"/>
              <w:left w:val="single" w:sz="8" w:space="0" w:color="E0E0E0"/>
              <w:bottom w:val="single" w:sz="8" w:space="0" w:color="AEAEAE"/>
              <w:right w:val="single" w:sz="8" w:space="0" w:color="E0E0E0"/>
            </w:tcBorders>
            <w:shd w:val="clear" w:color="auto" w:fill="F9F9FB"/>
          </w:tcPr>
          <w:p w14:paraId="069A6972" w14:textId="15A05FBA"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556</w:t>
            </w:r>
          </w:p>
        </w:tc>
        <w:tc>
          <w:tcPr>
            <w:tcW w:w="1462" w:type="dxa"/>
            <w:tcBorders>
              <w:top w:val="single" w:sz="8" w:space="0" w:color="AEAEAE"/>
              <w:left w:val="single" w:sz="8" w:space="0" w:color="E0E0E0"/>
              <w:bottom w:val="single" w:sz="8" w:space="0" w:color="AEAEAE"/>
              <w:right w:val="nil"/>
            </w:tcBorders>
            <w:shd w:val="clear" w:color="auto" w:fill="F9F9FB"/>
          </w:tcPr>
          <w:p w14:paraId="6CCBE3FF" w14:textId="5423A64A"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99</w:t>
            </w:r>
            <w:r w:rsidR="00D726D8" w:rsidRPr="004F289D">
              <w:rPr>
                <w:rFonts w:eastAsia="Aptos" w:cs="Times New Roman"/>
                <w:kern w:val="0"/>
                <w:sz w:val="24"/>
                <w:szCs w:val="24"/>
                <w:lang/>
              </w:rPr>
              <w:t>.</w:t>
            </w:r>
            <w:r w:rsidRPr="004F289D">
              <w:rPr>
                <w:rFonts w:eastAsia="Aptos" w:cs="Times New Roman"/>
                <w:kern w:val="0"/>
                <w:sz w:val="24"/>
                <w:szCs w:val="24"/>
                <w:lang/>
              </w:rPr>
              <w:t>577</w:t>
            </w:r>
          </w:p>
        </w:tc>
        <w:tc>
          <w:tcPr>
            <w:tcW w:w="12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4F6A692"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5610F78"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AEAEAE"/>
              <w:right w:val="nil"/>
            </w:tcBorders>
            <w:shd w:val="clear" w:color="auto" w:fill="F9F9FB"/>
            <w:vAlign w:val="center"/>
          </w:tcPr>
          <w:p w14:paraId="579B6607"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231C1AAA" w14:textId="77777777" w:rsidTr="00F75D40">
        <w:trPr>
          <w:cantSplit/>
        </w:trPr>
        <w:tc>
          <w:tcPr>
            <w:tcW w:w="1283" w:type="dxa"/>
            <w:tcBorders>
              <w:top w:val="single" w:sz="8" w:space="0" w:color="AEAEAE"/>
              <w:left w:val="nil"/>
              <w:bottom w:val="single" w:sz="8" w:space="0" w:color="152935"/>
              <w:right w:val="nil"/>
            </w:tcBorders>
            <w:shd w:val="clear" w:color="auto" w:fill="E0E0E0"/>
          </w:tcPr>
          <w:p w14:paraId="1FB0C1D7" w14:textId="77777777"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18</w:t>
            </w:r>
          </w:p>
        </w:tc>
        <w:tc>
          <w:tcPr>
            <w:tcW w:w="1104" w:type="dxa"/>
            <w:tcBorders>
              <w:top w:val="single" w:sz="8" w:space="0" w:color="AEAEAE"/>
              <w:left w:val="nil"/>
              <w:bottom w:val="single" w:sz="8" w:space="0" w:color="152935"/>
              <w:right w:val="single" w:sz="8" w:space="0" w:color="E0E0E0"/>
            </w:tcBorders>
            <w:shd w:val="clear" w:color="auto" w:fill="F9F9FB"/>
          </w:tcPr>
          <w:p w14:paraId="5B091DDC" w14:textId="40D8E0C0"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076</w:t>
            </w:r>
          </w:p>
        </w:tc>
        <w:tc>
          <w:tcPr>
            <w:tcW w:w="1446" w:type="dxa"/>
            <w:tcBorders>
              <w:top w:val="single" w:sz="8" w:space="0" w:color="AEAEAE"/>
              <w:left w:val="single" w:sz="8" w:space="0" w:color="E0E0E0"/>
              <w:bottom w:val="single" w:sz="8" w:space="0" w:color="152935"/>
              <w:right w:val="single" w:sz="8" w:space="0" w:color="E0E0E0"/>
            </w:tcBorders>
            <w:shd w:val="clear" w:color="auto" w:fill="F9F9FB"/>
          </w:tcPr>
          <w:p w14:paraId="07CB6913" w14:textId="448527A7" w:rsidR="00EC0F92" w:rsidRPr="004F289D" w:rsidRDefault="00D726D8"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0.</w:t>
            </w:r>
            <w:r w:rsidR="00EC0F92" w:rsidRPr="004F289D">
              <w:rPr>
                <w:rFonts w:eastAsia="Aptos" w:cs="Times New Roman"/>
                <w:kern w:val="0"/>
                <w:sz w:val="24"/>
                <w:szCs w:val="24"/>
                <w:lang/>
              </w:rPr>
              <w:t>423</w:t>
            </w:r>
          </w:p>
        </w:tc>
        <w:tc>
          <w:tcPr>
            <w:tcW w:w="1462" w:type="dxa"/>
            <w:tcBorders>
              <w:top w:val="single" w:sz="8" w:space="0" w:color="AEAEAE"/>
              <w:left w:val="single" w:sz="8" w:space="0" w:color="E0E0E0"/>
              <w:bottom w:val="single" w:sz="8" w:space="0" w:color="152935"/>
              <w:right w:val="nil"/>
            </w:tcBorders>
            <w:shd w:val="clear" w:color="auto" w:fill="F9F9FB"/>
          </w:tcPr>
          <w:p w14:paraId="218AC3D0" w14:textId="3B2850AE" w:rsidR="00EC0F92" w:rsidRPr="004F289D" w:rsidRDefault="00EC0F92" w:rsidP="00EC0F92">
            <w:pPr>
              <w:autoSpaceDE w:val="0"/>
              <w:autoSpaceDN w:val="0"/>
              <w:adjustRightInd w:val="0"/>
              <w:spacing w:after="0" w:line="320" w:lineRule="atLeast"/>
              <w:ind w:left="60" w:right="60"/>
              <w:jc w:val="right"/>
              <w:rPr>
                <w:rFonts w:eastAsia="Aptos" w:cs="Times New Roman"/>
                <w:kern w:val="0"/>
                <w:sz w:val="24"/>
                <w:szCs w:val="24"/>
                <w:lang/>
              </w:rPr>
            </w:pPr>
            <w:r w:rsidRPr="004F289D">
              <w:rPr>
                <w:rFonts w:eastAsia="Aptos" w:cs="Times New Roman"/>
                <w:kern w:val="0"/>
                <w:sz w:val="24"/>
                <w:szCs w:val="24"/>
                <w:lang/>
              </w:rPr>
              <w:t>100</w:t>
            </w:r>
            <w:r w:rsidR="00D726D8" w:rsidRPr="004F289D">
              <w:rPr>
                <w:rFonts w:eastAsia="Aptos" w:cs="Times New Roman"/>
                <w:kern w:val="0"/>
                <w:sz w:val="24"/>
                <w:szCs w:val="24"/>
                <w:lang/>
              </w:rPr>
              <w:t>.</w:t>
            </w:r>
            <w:r w:rsidRPr="004F289D">
              <w:rPr>
                <w:rFonts w:eastAsia="Aptos" w:cs="Times New Roman"/>
                <w:kern w:val="0"/>
                <w:sz w:val="24"/>
                <w:szCs w:val="24"/>
                <w:lang/>
              </w:rPr>
              <w:t>000</w:t>
            </w:r>
          </w:p>
        </w:tc>
        <w:tc>
          <w:tcPr>
            <w:tcW w:w="120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386C818"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46"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4B73023"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c>
          <w:tcPr>
            <w:tcW w:w="1462" w:type="dxa"/>
            <w:tcBorders>
              <w:top w:val="single" w:sz="8" w:space="0" w:color="AEAEAE"/>
              <w:left w:val="single" w:sz="8" w:space="0" w:color="E0E0E0"/>
              <w:bottom w:val="single" w:sz="8" w:space="0" w:color="152935"/>
              <w:right w:val="nil"/>
            </w:tcBorders>
            <w:shd w:val="clear" w:color="auto" w:fill="F9F9FB"/>
            <w:vAlign w:val="center"/>
          </w:tcPr>
          <w:p w14:paraId="42BE8C60" w14:textId="77777777" w:rsidR="00EC0F92" w:rsidRPr="004F289D" w:rsidRDefault="00EC0F92" w:rsidP="00EC0F92">
            <w:pPr>
              <w:autoSpaceDE w:val="0"/>
              <w:autoSpaceDN w:val="0"/>
              <w:adjustRightInd w:val="0"/>
              <w:spacing w:after="0" w:line="240" w:lineRule="auto"/>
              <w:rPr>
                <w:rFonts w:eastAsia="Aptos" w:cs="Times New Roman"/>
                <w:kern w:val="0"/>
                <w:sz w:val="24"/>
                <w:szCs w:val="24"/>
                <w:lang/>
              </w:rPr>
            </w:pPr>
          </w:p>
        </w:tc>
      </w:tr>
      <w:tr w:rsidR="004F289D" w:rsidRPr="004F289D" w14:paraId="5BD2D0B7" w14:textId="77777777" w:rsidTr="00F75D40">
        <w:trPr>
          <w:cantSplit/>
        </w:trPr>
        <w:tc>
          <w:tcPr>
            <w:tcW w:w="9405" w:type="dxa"/>
            <w:gridSpan w:val="7"/>
            <w:tcBorders>
              <w:top w:val="nil"/>
              <w:left w:val="nil"/>
              <w:bottom w:val="nil"/>
              <w:right w:val="nil"/>
            </w:tcBorders>
            <w:shd w:val="clear" w:color="auto" w:fill="FFFFFF"/>
          </w:tcPr>
          <w:p w14:paraId="0837B2CB" w14:textId="020CEA04" w:rsidR="00EC0F92" w:rsidRPr="004F289D" w:rsidRDefault="00EC0F92" w:rsidP="00EC0F92">
            <w:pPr>
              <w:autoSpaceDE w:val="0"/>
              <w:autoSpaceDN w:val="0"/>
              <w:adjustRightInd w:val="0"/>
              <w:spacing w:after="0" w:line="320" w:lineRule="atLeast"/>
              <w:ind w:left="60" w:right="60"/>
              <w:rPr>
                <w:rFonts w:eastAsia="Aptos" w:cs="Times New Roman"/>
                <w:kern w:val="0"/>
                <w:sz w:val="24"/>
                <w:szCs w:val="24"/>
                <w:lang/>
              </w:rPr>
            </w:pPr>
            <w:r w:rsidRPr="004F289D">
              <w:rPr>
                <w:rFonts w:eastAsia="Aptos" w:cs="Times New Roman"/>
                <w:kern w:val="0"/>
                <w:sz w:val="24"/>
                <w:szCs w:val="24"/>
                <w:lang/>
              </w:rPr>
              <w:t>Extraction Method: Principal Component Analysis</w:t>
            </w:r>
          </w:p>
        </w:tc>
      </w:tr>
    </w:tbl>
    <w:p w14:paraId="419DD472" w14:textId="77777777" w:rsidR="00EC0F92" w:rsidRPr="004F289D" w:rsidRDefault="00EC0F92" w:rsidP="00EC0F92">
      <w:pPr>
        <w:autoSpaceDE w:val="0"/>
        <w:autoSpaceDN w:val="0"/>
        <w:adjustRightInd w:val="0"/>
        <w:spacing w:after="0" w:line="400" w:lineRule="atLeast"/>
        <w:rPr>
          <w:rFonts w:eastAsia="Aptos" w:cs="Times New Roman"/>
          <w:kern w:val="0"/>
          <w:sz w:val="24"/>
          <w:szCs w:val="24"/>
          <w:lang/>
        </w:rPr>
      </w:pPr>
    </w:p>
    <w:p w14:paraId="5EEBFCB1" w14:textId="77777777" w:rsidR="00EC0F92" w:rsidRPr="004F289D" w:rsidRDefault="00EC0F92" w:rsidP="00EC0F92">
      <w:pPr>
        <w:spacing w:line="278" w:lineRule="auto"/>
        <w:rPr>
          <w:rFonts w:ascii="Aptos" w:eastAsia="Aptos" w:hAnsi="Aptos" w:cs="Times New Roman"/>
          <w:sz w:val="24"/>
          <w:szCs w:val="24"/>
          <w:lang/>
        </w:rPr>
      </w:pPr>
    </w:p>
    <w:p w14:paraId="1E4A05FE" w14:textId="77777777" w:rsidR="00EC0F92" w:rsidRPr="004F289D" w:rsidRDefault="00EC0F92" w:rsidP="00EC0F92">
      <w:pPr>
        <w:spacing w:line="278" w:lineRule="auto"/>
        <w:rPr>
          <w:rFonts w:ascii="Aptos" w:eastAsia="Aptos" w:hAnsi="Aptos" w:cs="Times New Roman"/>
          <w:sz w:val="24"/>
          <w:szCs w:val="24"/>
          <w:lang/>
        </w:rPr>
      </w:pPr>
      <w:r w:rsidRPr="004F289D">
        <w:rPr>
          <w:rFonts w:ascii="Aptos" w:eastAsia="Aptos" w:hAnsi="Aptos" w:cs="Times New Roman"/>
          <w:sz w:val="24"/>
          <w:szCs w:val="24"/>
          <w:lang/>
        </w:rPr>
        <w:br w:type="page"/>
      </w:r>
    </w:p>
    <w:p w14:paraId="18D4A623" w14:textId="1E4BBAEC" w:rsidR="00EC0F92" w:rsidRPr="004F289D" w:rsidRDefault="00EC0F92" w:rsidP="00EC0F92">
      <w:pPr>
        <w:spacing w:line="278" w:lineRule="auto"/>
        <w:rPr>
          <w:rFonts w:eastAsia="Aptos" w:cs="Times New Roman"/>
          <w:sz w:val="24"/>
          <w:szCs w:val="24"/>
          <w:lang/>
        </w:rPr>
      </w:pPr>
      <w:r w:rsidRPr="004F289D">
        <w:rPr>
          <w:rFonts w:eastAsia="Aptos" w:cs="Times New Roman"/>
          <w:b/>
          <w:bCs/>
          <w:sz w:val="24"/>
          <w:szCs w:val="24"/>
          <w:lang/>
        </w:rPr>
        <w:lastRenderedPageBreak/>
        <w:t>Table A1</w:t>
      </w:r>
      <w:r w:rsidR="00FC73A9" w:rsidRPr="004F289D">
        <w:rPr>
          <w:rFonts w:eastAsia="Aptos" w:cs="Times New Roman"/>
          <w:b/>
          <w:bCs/>
          <w:sz w:val="24"/>
          <w:szCs w:val="24"/>
          <w:lang/>
        </w:rPr>
        <w:t>2</w:t>
      </w:r>
      <w:r w:rsidRPr="004F289D">
        <w:rPr>
          <w:rFonts w:eastAsia="Aptos" w:cs="Times New Roman"/>
          <w:b/>
          <w:bCs/>
          <w:sz w:val="24"/>
          <w:szCs w:val="24"/>
          <w:lang/>
        </w:rPr>
        <w:t>.</w:t>
      </w:r>
      <w:r w:rsidRPr="004F289D">
        <w:rPr>
          <w:rFonts w:eastAsia="Aptos" w:cs="Times New Roman"/>
          <w:sz w:val="24"/>
          <w:szCs w:val="24"/>
          <w:lang/>
        </w:rPr>
        <w:t xml:space="preserve"> </w:t>
      </w:r>
      <w:bookmarkStart w:id="19" w:name="_Hlk218769269"/>
      <w:r w:rsidRPr="004F289D">
        <w:rPr>
          <w:rFonts w:eastAsia="Aptos" w:cs="Times New Roman"/>
          <w:sz w:val="24"/>
          <w:szCs w:val="24"/>
          <w:lang/>
        </w:rPr>
        <w:t xml:space="preserve">Unmeasured Latent Factor Approach </w:t>
      </w:r>
      <w:r w:rsidRPr="004F289D">
        <w:rPr>
          <w:rFonts w:eastAsia="Aptos" w:cs="Times New Roman"/>
          <w:sz w:val="24"/>
          <w:szCs w:val="24"/>
          <w:lang w:val="en-US"/>
        </w:rPr>
        <w:t>(Study 1B - Sweden)</w:t>
      </w:r>
    </w:p>
    <w:tbl>
      <w:tblPr>
        <w:tblStyle w:val="TableGrid5"/>
        <w:tblW w:w="9395" w:type="dxa"/>
        <w:tblInd w:w="-1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Description w:val="Standardized Regression Weights: (Group number 1 -  Default model)"/>
      </w:tblPr>
      <w:tblGrid>
        <w:gridCol w:w="3764"/>
        <w:gridCol w:w="4392"/>
        <w:gridCol w:w="1239"/>
      </w:tblGrid>
      <w:tr w:rsidR="004F289D" w:rsidRPr="004F289D" w14:paraId="677E2D0E" w14:textId="77777777" w:rsidTr="00EC0F92">
        <w:tc>
          <w:tcPr>
            <w:tcW w:w="3827" w:type="dxa"/>
          </w:tcPr>
          <w:p w14:paraId="30F63D6B" w14:textId="77777777" w:rsidR="00EC0F92" w:rsidRPr="004F289D" w:rsidRDefault="00EC0F92" w:rsidP="00EC0F92">
            <w:pPr>
              <w:rPr>
                <w:rFonts w:eastAsia="Aptos" w:cs="Times New Roman"/>
                <w:b/>
                <w:bCs/>
              </w:rPr>
            </w:pPr>
            <w:r w:rsidRPr="004F289D">
              <w:rPr>
                <w:rFonts w:eastAsia="Aptos" w:cs="Times New Roman"/>
                <w:b/>
                <w:bCs/>
              </w:rPr>
              <w:t>Base Model</w:t>
            </w:r>
          </w:p>
        </w:tc>
        <w:tc>
          <w:tcPr>
            <w:tcW w:w="4392" w:type="dxa"/>
          </w:tcPr>
          <w:p w14:paraId="719F0E41" w14:textId="77777777" w:rsidR="00EC0F92" w:rsidRPr="004F289D" w:rsidRDefault="00EC0F92" w:rsidP="00EC0F92">
            <w:pPr>
              <w:rPr>
                <w:rFonts w:eastAsia="Aptos" w:cs="Times New Roman"/>
                <w:b/>
                <w:bCs/>
              </w:rPr>
            </w:pPr>
            <w:r w:rsidRPr="004F289D">
              <w:rPr>
                <w:rFonts w:eastAsia="Aptos" w:cs="Times New Roman"/>
                <w:b/>
                <w:bCs/>
              </w:rPr>
              <w:t>Common Method Model</w:t>
            </w:r>
          </w:p>
        </w:tc>
        <w:tc>
          <w:tcPr>
            <w:tcW w:w="1176" w:type="dxa"/>
          </w:tcPr>
          <w:p w14:paraId="7DF2D263" w14:textId="77777777" w:rsidR="00EC0F92" w:rsidRPr="004F289D" w:rsidRDefault="00EC0F92" w:rsidP="00EC0F92">
            <w:pPr>
              <w:rPr>
                <w:rFonts w:ascii="Aptos" w:eastAsia="Aptos" w:hAnsi="Aptos" w:cs="Times New Roman"/>
              </w:rPr>
            </w:pPr>
          </w:p>
        </w:tc>
      </w:tr>
      <w:tr w:rsidR="004F289D" w:rsidRPr="004F289D" w14:paraId="7780A236" w14:textId="77777777" w:rsidTr="00EC0F92">
        <w:tc>
          <w:tcPr>
            <w:tcW w:w="3827" w:type="dxa"/>
          </w:tcPr>
          <w:p w14:paraId="6E934D1F" w14:textId="77777777" w:rsidR="00EC0F92" w:rsidRPr="004F289D" w:rsidRDefault="00EC0F92" w:rsidP="00EC0F92">
            <w:pPr>
              <w:rPr>
                <w:rFonts w:ascii="Aptos" w:eastAsia="Aptos" w:hAnsi="Aptos" w:cs="Times New Roman"/>
              </w:rPr>
            </w:pPr>
            <w:r w:rsidRPr="004F289D">
              <w:rPr>
                <w:rFonts w:ascii="Aptos" w:eastAsia="Aptos" w:hAnsi="Aptos" w:cs="Times New Roman"/>
                <w:noProof/>
                <w:lang w:val="en-IN" w:eastAsia="en-IN"/>
              </w:rPr>
              <w:drawing>
                <wp:inline distT="0" distB="0" distL="0" distR="0" wp14:anchorId="2F95F714" wp14:editId="2734989A">
                  <wp:extent cx="1962068" cy="3619500"/>
                  <wp:effectExtent l="0" t="0" r="635" b="0"/>
                  <wp:docPr id="1832776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92282" name=""/>
                          <pic:cNvPicPr/>
                        </pic:nvPicPr>
                        <pic:blipFill>
                          <a:blip r:embed="rId8"/>
                          <a:stretch>
                            <a:fillRect/>
                          </a:stretch>
                        </pic:blipFill>
                        <pic:spPr>
                          <a:xfrm>
                            <a:off x="0" y="0"/>
                            <a:ext cx="1966397" cy="3627486"/>
                          </a:xfrm>
                          <a:prstGeom prst="rect">
                            <a:avLst/>
                          </a:prstGeom>
                        </pic:spPr>
                      </pic:pic>
                    </a:graphicData>
                  </a:graphic>
                </wp:inline>
              </w:drawing>
            </w:r>
          </w:p>
        </w:tc>
        <w:tc>
          <w:tcPr>
            <w:tcW w:w="4392" w:type="dxa"/>
          </w:tcPr>
          <w:p w14:paraId="240292B4" w14:textId="77777777" w:rsidR="00EC0F92" w:rsidRPr="004F289D" w:rsidRDefault="00EC0F92" w:rsidP="00EC0F92">
            <w:pPr>
              <w:rPr>
                <w:rFonts w:ascii="Aptos" w:eastAsia="Aptos" w:hAnsi="Aptos" w:cs="Times New Roman"/>
              </w:rPr>
            </w:pPr>
            <w:r w:rsidRPr="004F289D">
              <w:rPr>
                <w:rFonts w:ascii="Aptos" w:eastAsia="Aptos" w:hAnsi="Aptos" w:cs="Times New Roman"/>
                <w:noProof/>
                <w:lang w:val="en-IN" w:eastAsia="en-IN"/>
              </w:rPr>
              <w:drawing>
                <wp:inline distT="0" distB="0" distL="0" distR="0" wp14:anchorId="27CF19B9" wp14:editId="4F1A9683">
                  <wp:extent cx="2652292" cy="3649345"/>
                  <wp:effectExtent l="0" t="0" r="0" b="8255"/>
                  <wp:docPr id="33111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1927" cy="3662602"/>
                          </a:xfrm>
                          <a:prstGeom prst="rect">
                            <a:avLst/>
                          </a:prstGeom>
                          <a:noFill/>
                        </pic:spPr>
                      </pic:pic>
                    </a:graphicData>
                  </a:graphic>
                </wp:inline>
              </w:drawing>
            </w:r>
          </w:p>
        </w:tc>
        <w:tc>
          <w:tcPr>
            <w:tcW w:w="1176" w:type="dxa"/>
          </w:tcPr>
          <w:p w14:paraId="11C2C15C" w14:textId="77777777" w:rsidR="00EC0F92" w:rsidRPr="004F289D" w:rsidRDefault="00EC0F92" w:rsidP="00EC0F92">
            <w:pPr>
              <w:rPr>
                <w:rFonts w:ascii="Aptos" w:eastAsia="Aptos" w:hAnsi="Aptos" w:cs="Times New Roman"/>
              </w:rPr>
            </w:pPr>
          </w:p>
        </w:tc>
      </w:tr>
      <w:tr w:rsidR="004F289D" w:rsidRPr="004F289D" w14:paraId="7C014951" w14:textId="77777777" w:rsidTr="00EC0F92">
        <w:tc>
          <w:tcPr>
            <w:tcW w:w="3827" w:type="dxa"/>
          </w:tcPr>
          <w:p w14:paraId="2C153F54" w14:textId="77777777" w:rsidR="00EC0F92" w:rsidRPr="004F289D" w:rsidRDefault="00EC0F92" w:rsidP="00EC0F92">
            <w:pPr>
              <w:rPr>
                <w:rFonts w:eastAsia="Aptos" w:cs="Times New Roman"/>
                <w:sz w:val="22"/>
                <w:szCs w:val="22"/>
              </w:rPr>
            </w:pPr>
          </w:p>
          <w:p w14:paraId="1CDBEFE0" w14:textId="4556C01F" w:rsidR="00EC0F92" w:rsidRPr="004F289D" w:rsidRDefault="00EC0F92" w:rsidP="00EC0F92">
            <w:pPr>
              <w:rPr>
                <w:rFonts w:eastAsia="Aptos" w:cs="Times New Roman"/>
                <w:sz w:val="22"/>
                <w:szCs w:val="22"/>
              </w:rPr>
            </w:pPr>
            <w:r w:rsidRPr="004F289D">
              <w:rPr>
                <w:rFonts w:eastAsia="Aptos" w:cs="Times New Roman"/>
                <w:sz w:val="22"/>
                <w:szCs w:val="22"/>
              </w:rPr>
              <w:t>Standardized factor loadings</w:t>
            </w:r>
          </w:p>
        </w:tc>
        <w:tc>
          <w:tcPr>
            <w:tcW w:w="4392" w:type="dxa"/>
          </w:tcPr>
          <w:p w14:paraId="035287F7" w14:textId="77777777" w:rsidR="00EC0F92" w:rsidRPr="004F289D" w:rsidRDefault="00EC0F92" w:rsidP="00EC0F92">
            <w:pPr>
              <w:rPr>
                <w:rFonts w:eastAsia="Aptos" w:cs="Times New Roman"/>
                <w:sz w:val="22"/>
                <w:szCs w:val="22"/>
              </w:rPr>
            </w:pPr>
          </w:p>
          <w:p w14:paraId="3C8E1A66" w14:textId="462B39BB" w:rsidR="00EC0F92" w:rsidRPr="004F289D" w:rsidRDefault="00EC0F92" w:rsidP="00EC0F92">
            <w:pPr>
              <w:rPr>
                <w:rFonts w:eastAsia="Aptos" w:cs="Times New Roman"/>
                <w:sz w:val="22"/>
                <w:szCs w:val="22"/>
              </w:rPr>
            </w:pPr>
            <w:r w:rsidRPr="004F289D">
              <w:rPr>
                <w:rFonts w:eastAsia="Aptos" w:cs="Times New Roman"/>
                <w:sz w:val="22"/>
                <w:szCs w:val="22"/>
              </w:rPr>
              <w:t>Standardized factor loadings</w:t>
            </w:r>
          </w:p>
        </w:tc>
        <w:tc>
          <w:tcPr>
            <w:tcW w:w="1176" w:type="dxa"/>
          </w:tcPr>
          <w:p w14:paraId="63F584E2" w14:textId="77777777" w:rsidR="00EC0F92" w:rsidRPr="004F289D" w:rsidRDefault="00EC0F92" w:rsidP="00EC0F92">
            <w:pPr>
              <w:rPr>
                <w:rFonts w:eastAsia="Aptos" w:cs="Times New Roman"/>
                <w:sz w:val="22"/>
                <w:szCs w:val="22"/>
              </w:rPr>
            </w:pPr>
          </w:p>
          <w:p w14:paraId="32979379" w14:textId="4C54956E" w:rsidR="00EC0F92" w:rsidRPr="004F289D" w:rsidRDefault="00EC0F92" w:rsidP="00EC0F92">
            <w:pPr>
              <w:rPr>
                <w:rFonts w:eastAsia="Aptos" w:cs="Times New Roman"/>
                <w:sz w:val="22"/>
                <w:szCs w:val="22"/>
              </w:rPr>
            </w:pPr>
            <w:r w:rsidRPr="004F289D">
              <w:rPr>
                <w:rFonts w:eastAsia="Aptos" w:cs="Times New Roman"/>
                <w:sz w:val="22"/>
                <w:szCs w:val="22"/>
              </w:rPr>
              <w:t>Differences</w:t>
            </w:r>
          </w:p>
        </w:tc>
      </w:tr>
      <w:tr w:rsidR="004F289D" w:rsidRPr="004F289D" w14:paraId="5AA4D5B7" w14:textId="77777777" w:rsidTr="00EC0F92">
        <w:tc>
          <w:tcPr>
            <w:tcW w:w="3827" w:type="dxa"/>
          </w:tcPr>
          <w:p w14:paraId="5866A9C0" w14:textId="77777777" w:rsidR="00EC0F92" w:rsidRPr="004F289D" w:rsidRDefault="00EC0F92" w:rsidP="00EC0F92">
            <w:pPr>
              <w:rPr>
                <w:rFonts w:ascii="Aptos" w:eastAsia="Aptos" w:hAnsi="Aptos" w:cs="Times New Roman"/>
              </w:rPr>
            </w:pPr>
          </w:p>
        </w:tc>
        <w:tc>
          <w:tcPr>
            <w:tcW w:w="4392" w:type="dxa"/>
          </w:tcPr>
          <w:p w14:paraId="758B185E" w14:textId="77777777" w:rsidR="00EC0F92" w:rsidRPr="004F289D" w:rsidRDefault="00EC0F92" w:rsidP="00EC0F92">
            <w:pPr>
              <w:rPr>
                <w:rFonts w:ascii="Aptos" w:eastAsia="Aptos" w:hAnsi="Aptos" w:cs="Times New Roman"/>
              </w:rPr>
            </w:pPr>
          </w:p>
        </w:tc>
        <w:tc>
          <w:tcPr>
            <w:tcW w:w="1176" w:type="dxa"/>
          </w:tcPr>
          <w:p w14:paraId="7432C462" w14:textId="77777777" w:rsidR="00EC0F92" w:rsidRPr="004F289D" w:rsidRDefault="00EC0F92" w:rsidP="00EC0F92">
            <w:pPr>
              <w:rPr>
                <w:rFonts w:ascii="Aptos" w:eastAsia="Aptos" w:hAnsi="Aptos" w:cs="Times New Roman"/>
              </w:rPr>
            </w:pPr>
          </w:p>
        </w:tc>
      </w:tr>
      <w:tr w:rsidR="004F289D" w:rsidRPr="004F289D" w14:paraId="7A53637B" w14:textId="77777777" w:rsidTr="00EC0F92">
        <w:tc>
          <w:tcPr>
            <w:tcW w:w="3827" w:type="dxa"/>
          </w:tcPr>
          <w:tbl>
            <w:tblPr>
              <w:tblW w:w="0" w:type="auto"/>
              <w:tblCellMar>
                <w:top w:w="15" w:type="dxa"/>
                <w:left w:w="15" w:type="dxa"/>
                <w:bottom w:w="15" w:type="dxa"/>
                <w:right w:w="15" w:type="dxa"/>
              </w:tblCellMar>
              <w:tblLook w:val="04A0" w:firstRow="1" w:lastRow="0" w:firstColumn="1" w:lastColumn="0" w:noHBand="0" w:noVBand="1"/>
              <w:tblDescription w:val="Standardized Regression Weights: (Group number 1 -  Default model)"/>
            </w:tblPr>
            <w:tblGrid>
              <w:gridCol w:w="616"/>
              <w:gridCol w:w="334"/>
              <w:gridCol w:w="1668"/>
              <w:gridCol w:w="730"/>
            </w:tblGrid>
            <w:tr w:rsidR="004F289D" w:rsidRPr="004F289D" w14:paraId="6091A3E3" w14:textId="77777777" w:rsidTr="00EC0F92">
              <w:tc>
                <w:tcPr>
                  <w:tcW w:w="0" w:type="auto"/>
                  <w:tcMar>
                    <w:top w:w="15" w:type="dxa"/>
                    <w:left w:w="57" w:type="dxa"/>
                    <w:bottom w:w="15" w:type="dxa"/>
                    <w:right w:w="57" w:type="dxa"/>
                  </w:tcMar>
                  <w:vAlign w:val="center"/>
                  <w:hideMark/>
                </w:tcPr>
                <w:p w14:paraId="00A7BFE6" w14:textId="77777777" w:rsidR="00EC0F92" w:rsidRPr="004F289D" w:rsidRDefault="00EC0F92" w:rsidP="00EC0F92">
                  <w:pPr>
                    <w:spacing w:after="0" w:line="240" w:lineRule="auto"/>
                    <w:rPr>
                      <w:rFonts w:eastAsia="Times New Roman" w:cs="Times New Roman"/>
                      <w:kern w:val="0"/>
                      <w:lang/>
                      <w14:ligatures w14:val="none"/>
                    </w:rPr>
                  </w:pPr>
                  <w:bookmarkStart w:id="20" w:name="_Hlk218769201"/>
                  <w:r w:rsidRPr="004F289D">
                    <w:rPr>
                      <w:rFonts w:eastAsia="Times New Roman" w:cs="Times New Roman"/>
                      <w:kern w:val="0"/>
                      <w:lang/>
                      <w14:ligatures w14:val="none"/>
                    </w:rPr>
                    <w:t>CL11</w:t>
                  </w:r>
                </w:p>
              </w:tc>
              <w:tc>
                <w:tcPr>
                  <w:tcW w:w="0" w:type="auto"/>
                  <w:noWrap/>
                  <w:tcMar>
                    <w:top w:w="15" w:type="dxa"/>
                    <w:left w:w="57" w:type="dxa"/>
                    <w:bottom w:w="15" w:type="dxa"/>
                    <w:right w:w="57" w:type="dxa"/>
                  </w:tcMar>
                  <w:vAlign w:val="center"/>
                  <w:hideMark/>
                </w:tcPr>
                <w:p w14:paraId="3E799C0B" w14:textId="3445F944"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A642265"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0" w:type="auto"/>
                  <w:tcMar>
                    <w:top w:w="15" w:type="dxa"/>
                    <w:left w:w="140" w:type="dxa"/>
                    <w:bottom w:w="15" w:type="dxa"/>
                    <w:right w:w="140" w:type="dxa"/>
                  </w:tcMar>
                  <w:hideMark/>
                </w:tcPr>
                <w:p w14:paraId="4E885E2C" w14:textId="07FA3DB9"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921</w:t>
                  </w:r>
                </w:p>
              </w:tc>
            </w:tr>
            <w:tr w:rsidR="004F289D" w:rsidRPr="004F289D" w14:paraId="7C5E8B47" w14:textId="77777777" w:rsidTr="00EC0F92">
              <w:tc>
                <w:tcPr>
                  <w:tcW w:w="0" w:type="auto"/>
                  <w:tcMar>
                    <w:top w:w="15" w:type="dxa"/>
                    <w:left w:w="57" w:type="dxa"/>
                    <w:bottom w:w="15" w:type="dxa"/>
                    <w:right w:w="57" w:type="dxa"/>
                  </w:tcMar>
                  <w:vAlign w:val="center"/>
                  <w:hideMark/>
                </w:tcPr>
                <w:p w14:paraId="4E49168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CL12</w:t>
                  </w:r>
                </w:p>
              </w:tc>
              <w:tc>
                <w:tcPr>
                  <w:tcW w:w="0" w:type="auto"/>
                  <w:noWrap/>
                  <w:tcMar>
                    <w:top w:w="15" w:type="dxa"/>
                    <w:left w:w="57" w:type="dxa"/>
                    <w:bottom w:w="15" w:type="dxa"/>
                    <w:right w:w="57" w:type="dxa"/>
                  </w:tcMar>
                  <w:vAlign w:val="center"/>
                  <w:hideMark/>
                </w:tcPr>
                <w:p w14:paraId="64F120F0" w14:textId="5491996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11897B5F"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0" w:type="auto"/>
                  <w:tcMar>
                    <w:top w:w="15" w:type="dxa"/>
                    <w:left w:w="140" w:type="dxa"/>
                    <w:bottom w:w="15" w:type="dxa"/>
                    <w:right w:w="140" w:type="dxa"/>
                  </w:tcMar>
                  <w:hideMark/>
                </w:tcPr>
                <w:p w14:paraId="624E995E" w14:textId="17C1834A"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917</w:t>
                  </w:r>
                </w:p>
              </w:tc>
            </w:tr>
            <w:tr w:rsidR="004F289D" w:rsidRPr="004F289D" w14:paraId="53A373C6" w14:textId="77777777" w:rsidTr="00EC0F92">
              <w:tc>
                <w:tcPr>
                  <w:tcW w:w="0" w:type="auto"/>
                  <w:tcMar>
                    <w:top w:w="15" w:type="dxa"/>
                    <w:left w:w="57" w:type="dxa"/>
                    <w:bottom w:w="15" w:type="dxa"/>
                    <w:right w:w="57" w:type="dxa"/>
                  </w:tcMar>
                  <w:vAlign w:val="center"/>
                  <w:hideMark/>
                </w:tcPr>
                <w:p w14:paraId="521224B8"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CL13</w:t>
                  </w:r>
                </w:p>
              </w:tc>
              <w:tc>
                <w:tcPr>
                  <w:tcW w:w="0" w:type="auto"/>
                  <w:noWrap/>
                  <w:tcMar>
                    <w:top w:w="15" w:type="dxa"/>
                    <w:left w:w="57" w:type="dxa"/>
                    <w:bottom w:w="15" w:type="dxa"/>
                    <w:right w:w="57" w:type="dxa"/>
                  </w:tcMar>
                  <w:vAlign w:val="center"/>
                  <w:hideMark/>
                </w:tcPr>
                <w:p w14:paraId="1D177F7D" w14:textId="388F558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29828D5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0" w:type="auto"/>
                  <w:tcMar>
                    <w:top w:w="15" w:type="dxa"/>
                    <w:left w:w="140" w:type="dxa"/>
                    <w:bottom w:w="15" w:type="dxa"/>
                    <w:right w:w="140" w:type="dxa"/>
                  </w:tcMar>
                  <w:hideMark/>
                </w:tcPr>
                <w:p w14:paraId="10742B07" w14:textId="3C59387B"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908</w:t>
                  </w:r>
                </w:p>
              </w:tc>
            </w:tr>
            <w:tr w:rsidR="004F289D" w:rsidRPr="004F289D" w14:paraId="7671DD96" w14:textId="77777777" w:rsidTr="00EC0F92">
              <w:tc>
                <w:tcPr>
                  <w:tcW w:w="0" w:type="auto"/>
                  <w:tcMar>
                    <w:top w:w="15" w:type="dxa"/>
                    <w:left w:w="57" w:type="dxa"/>
                    <w:bottom w:w="15" w:type="dxa"/>
                    <w:right w:w="57" w:type="dxa"/>
                  </w:tcMar>
                  <w:vAlign w:val="center"/>
                  <w:hideMark/>
                </w:tcPr>
                <w:p w14:paraId="409D50AA" w14:textId="02C714ED"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2035FD"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6E2C6C83" w14:textId="2B5AF0CA"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394BC6D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0" w:type="auto"/>
                  <w:tcMar>
                    <w:top w:w="15" w:type="dxa"/>
                    <w:left w:w="140" w:type="dxa"/>
                    <w:bottom w:w="15" w:type="dxa"/>
                    <w:right w:w="140" w:type="dxa"/>
                  </w:tcMar>
                  <w:hideMark/>
                </w:tcPr>
                <w:p w14:paraId="2B18EE11" w14:textId="245EF1A9"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548</w:t>
                  </w:r>
                </w:p>
              </w:tc>
            </w:tr>
            <w:tr w:rsidR="004F289D" w:rsidRPr="004F289D" w14:paraId="24BF61F3" w14:textId="77777777" w:rsidTr="00EC0F92">
              <w:tc>
                <w:tcPr>
                  <w:tcW w:w="0" w:type="auto"/>
                  <w:tcMar>
                    <w:top w:w="15" w:type="dxa"/>
                    <w:left w:w="57" w:type="dxa"/>
                    <w:bottom w:w="15" w:type="dxa"/>
                    <w:right w:w="57" w:type="dxa"/>
                  </w:tcMar>
                  <w:vAlign w:val="center"/>
                  <w:hideMark/>
                </w:tcPr>
                <w:p w14:paraId="094EB46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CL22</w:t>
                  </w:r>
                </w:p>
              </w:tc>
              <w:tc>
                <w:tcPr>
                  <w:tcW w:w="0" w:type="auto"/>
                  <w:noWrap/>
                  <w:tcMar>
                    <w:top w:w="15" w:type="dxa"/>
                    <w:left w:w="57" w:type="dxa"/>
                    <w:bottom w:w="15" w:type="dxa"/>
                    <w:right w:w="57" w:type="dxa"/>
                  </w:tcMar>
                  <w:vAlign w:val="center"/>
                  <w:hideMark/>
                </w:tcPr>
                <w:p w14:paraId="2B6BEFCB" w14:textId="1D439724"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66DB1BCE"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0" w:type="auto"/>
                  <w:tcMar>
                    <w:top w:w="15" w:type="dxa"/>
                    <w:left w:w="140" w:type="dxa"/>
                    <w:bottom w:w="15" w:type="dxa"/>
                    <w:right w:w="140" w:type="dxa"/>
                  </w:tcMar>
                  <w:hideMark/>
                </w:tcPr>
                <w:p w14:paraId="7EC69E99" w14:textId="16F52EAA"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842</w:t>
                  </w:r>
                </w:p>
              </w:tc>
            </w:tr>
            <w:tr w:rsidR="004F289D" w:rsidRPr="004F289D" w14:paraId="53218767" w14:textId="77777777" w:rsidTr="00EC0F92">
              <w:tc>
                <w:tcPr>
                  <w:tcW w:w="0" w:type="auto"/>
                  <w:tcMar>
                    <w:top w:w="15" w:type="dxa"/>
                    <w:left w:w="57" w:type="dxa"/>
                    <w:bottom w:w="15" w:type="dxa"/>
                    <w:right w:w="57" w:type="dxa"/>
                  </w:tcMar>
                  <w:vAlign w:val="center"/>
                  <w:hideMark/>
                </w:tcPr>
                <w:p w14:paraId="5D1D5F3F" w14:textId="35D29FE0"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2035FD"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4ADBE806" w14:textId="2C4F838D"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71611CD9"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0" w:type="auto"/>
                  <w:tcMar>
                    <w:top w:w="15" w:type="dxa"/>
                    <w:left w:w="140" w:type="dxa"/>
                    <w:bottom w:w="15" w:type="dxa"/>
                    <w:right w:w="140" w:type="dxa"/>
                  </w:tcMar>
                  <w:hideMark/>
                </w:tcPr>
                <w:p w14:paraId="359C9589" w14:textId="7DC8CA16"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816</w:t>
                  </w:r>
                </w:p>
              </w:tc>
            </w:tr>
            <w:tr w:rsidR="004F289D" w:rsidRPr="004F289D" w14:paraId="6AE52983" w14:textId="77777777" w:rsidTr="00EC0F92">
              <w:tc>
                <w:tcPr>
                  <w:tcW w:w="0" w:type="auto"/>
                  <w:tcMar>
                    <w:top w:w="15" w:type="dxa"/>
                    <w:left w:w="57" w:type="dxa"/>
                    <w:bottom w:w="15" w:type="dxa"/>
                    <w:right w:w="57" w:type="dxa"/>
                  </w:tcMar>
                  <w:vAlign w:val="center"/>
                  <w:hideMark/>
                </w:tcPr>
                <w:p w14:paraId="4854641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CL31</w:t>
                  </w:r>
                </w:p>
              </w:tc>
              <w:tc>
                <w:tcPr>
                  <w:tcW w:w="0" w:type="auto"/>
                  <w:noWrap/>
                  <w:tcMar>
                    <w:top w:w="15" w:type="dxa"/>
                    <w:left w:w="57" w:type="dxa"/>
                    <w:bottom w:w="15" w:type="dxa"/>
                    <w:right w:w="57" w:type="dxa"/>
                  </w:tcMar>
                  <w:vAlign w:val="center"/>
                  <w:hideMark/>
                </w:tcPr>
                <w:p w14:paraId="688FBE5C" w14:textId="37DD7A63"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6D86B59F"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0" w:type="auto"/>
                  <w:tcMar>
                    <w:top w:w="15" w:type="dxa"/>
                    <w:left w:w="140" w:type="dxa"/>
                    <w:bottom w:w="15" w:type="dxa"/>
                    <w:right w:w="140" w:type="dxa"/>
                  </w:tcMar>
                  <w:hideMark/>
                </w:tcPr>
                <w:p w14:paraId="63F28BAC" w14:textId="110AC62C"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665</w:t>
                  </w:r>
                </w:p>
              </w:tc>
            </w:tr>
            <w:tr w:rsidR="004F289D" w:rsidRPr="004F289D" w14:paraId="5F1A5E49" w14:textId="77777777" w:rsidTr="00EC0F92">
              <w:tc>
                <w:tcPr>
                  <w:tcW w:w="0" w:type="auto"/>
                  <w:tcMar>
                    <w:top w:w="15" w:type="dxa"/>
                    <w:left w:w="57" w:type="dxa"/>
                    <w:bottom w:w="15" w:type="dxa"/>
                    <w:right w:w="57" w:type="dxa"/>
                  </w:tcMar>
                  <w:vAlign w:val="center"/>
                  <w:hideMark/>
                </w:tcPr>
                <w:p w14:paraId="7476733C"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CL32</w:t>
                  </w:r>
                </w:p>
              </w:tc>
              <w:tc>
                <w:tcPr>
                  <w:tcW w:w="0" w:type="auto"/>
                  <w:noWrap/>
                  <w:tcMar>
                    <w:top w:w="15" w:type="dxa"/>
                    <w:left w:w="57" w:type="dxa"/>
                    <w:bottom w:w="15" w:type="dxa"/>
                    <w:right w:w="57" w:type="dxa"/>
                  </w:tcMar>
                  <w:vAlign w:val="center"/>
                  <w:hideMark/>
                </w:tcPr>
                <w:p w14:paraId="7F2FAD51" w14:textId="77A0C82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63190B9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0" w:type="auto"/>
                  <w:tcMar>
                    <w:top w:w="15" w:type="dxa"/>
                    <w:left w:w="140" w:type="dxa"/>
                    <w:bottom w:w="15" w:type="dxa"/>
                    <w:right w:w="140" w:type="dxa"/>
                  </w:tcMar>
                  <w:hideMark/>
                </w:tcPr>
                <w:p w14:paraId="52DF645E" w14:textId="601C7C0F"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869</w:t>
                  </w:r>
                </w:p>
              </w:tc>
            </w:tr>
            <w:tr w:rsidR="004F289D" w:rsidRPr="004F289D" w14:paraId="69C66E63" w14:textId="77777777" w:rsidTr="00EC0F92">
              <w:tc>
                <w:tcPr>
                  <w:tcW w:w="0" w:type="auto"/>
                  <w:tcMar>
                    <w:top w:w="15" w:type="dxa"/>
                    <w:left w:w="57" w:type="dxa"/>
                    <w:bottom w:w="15" w:type="dxa"/>
                    <w:right w:w="57" w:type="dxa"/>
                  </w:tcMar>
                  <w:vAlign w:val="center"/>
                  <w:hideMark/>
                </w:tcPr>
                <w:p w14:paraId="11A0053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CL33</w:t>
                  </w:r>
                </w:p>
              </w:tc>
              <w:tc>
                <w:tcPr>
                  <w:tcW w:w="0" w:type="auto"/>
                  <w:noWrap/>
                  <w:tcMar>
                    <w:top w:w="15" w:type="dxa"/>
                    <w:left w:w="57" w:type="dxa"/>
                    <w:bottom w:w="15" w:type="dxa"/>
                    <w:right w:w="57" w:type="dxa"/>
                  </w:tcMar>
                  <w:vAlign w:val="center"/>
                  <w:hideMark/>
                </w:tcPr>
                <w:p w14:paraId="42F3E724" w14:textId="1A973842"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21F72EB7"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0" w:type="auto"/>
                  <w:tcMar>
                    <w:top w:w="15" w:type="dxa"/>
                    <w:left w:w="140" w:type="dxa"/>
                    <w:bottom w:w="15" w:type="dxa"/>
                    <w:right w:w="140" w:type="dxa"/>
                  </w:tcMar>
                  <w:hideMark/>
                </w:tcPr>
                <w:p w14:paraId="22C7E5C5" w14:textId="33F342DA"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731</w:t>
                  </w:r>
                </w:p>
              </w:tc>
            </w:tr>
            <w:tr w:rsidR="004F289D" w:rsidRPr="004F289D" w14:paraId="33D7C7A7" w14:textId="77777777" w:rsidTr="00EC0F92">
              <w:tc>
                <w:tcPr>
                  <w:tcW w:w="0" w:type="auto"/>
                  <w:tcMar>
                    <w:top w:w="15" w:type="dxa"/>
                    <w:left w:w="57" w:type="dxa"/>
                    <w:bottom w:w="15" w:type="dxa"/>
                    <w:right w:w="57" w:type="dxa"/>
                  </w:tcMar>
                  <w:vAlign w:val="center"/>
                  <w:hideMark/>
                </w:tcPr>
                <w:p w14:paraId="7C85B22A" w14:textId="3DDE5076"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2035FD"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3010EC2C" w14:textId="1AEF79E2"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144111A7"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0" w:type="auto"/>
                  <w:tcMar>
                    <w:top w:w="15" w:type="dxa"/>
                    <w:left w:w="140" w:type="dxa"/>
                    <w:bottom w:w="15" w:type="dxa"/>
                    <w:right w:w="140" w:type="dxa"/>
                  </w:tcMar>
                  <w:hideMark/>
                </w:tcPr>
                <w:p w14:paraId="1F4EF9F4" w14:textId="59764BD0"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798</w:t>
                  </w:r>
                </w:p>
              </w:tc>
            </w:tr>
            <w:tr w:rsidR="004F289D" w:rsidRPr="004F289D" w14:paraId="042D7B86" w14:textId="77777777" w:rsidTr="00EC0F92">
              <w:tc>
                <w:tcPr>
                  <w:tcW w:w="0" w:type="auto"/>
                  <w:tcMar>
                    <w:top w:w="15" w:type="dxa"/>
                    <w:left w:w="57" w:type="dxa"/>
                    <w:bottom w:w="15" w:type="dxa"/>
                    <w:right w:w="57" w:type="dxa"/>
                  </w:tcMar>
                  <w:vAlign w:val="center"/>
                  <w:hideMark/>
                </w:tcPr>
                <w:p w14:paraId="78132C7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CL42</w:t>
                  </w:r>
                </w:p>
              </w:tc>
              <w:tc>
                <w:tcPr>
                  <w:tcW w:w="0" w:type="auto"/>
                  <w:noWrap/>
                  <w:tcMar>
                    <w:top w:w="15" w:type="dxa"/>
                    <w:left w:w="57" w:type="dxa"/>
                    <w:bottom w:w="15" w:type="dxa"/>
                    <w:right w:w="57" w:type="dxa"/>
                  </w:tcMar>
                  <w:vAlign w:val="center"/>
                  <w:hideMark/>
                </w:tcPr>
                <w:p w14:paraId="129E4A38" w14:textId="1F58DD25"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D921099"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0" w:type="auto"/>
                  <w:tcMar>
                    <w:top w:w="15" w:type="dxa"/>
                    <w:left w:w="140" w:type="dxa"/>
                    <w:bottom w:w="15" w:type="dxa"/>
                    <w:right w:w="140" w:type="dxa"/>
                  </w:tcMar>
                  <w:hideMark/>
                </w:tcPr>
                <w:p w14:paraId="479397A5" w14:textId="0FB55FF1"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963</w:t>
                  </w:r>
                </w:p>
              </w:tc>
            </w:tr>
            <w:tr w:rsidR="004F289D" w:rsidRPr="004F289D" w14:paraId="40A491FF" w14:textId="77777777" w:rsidTr="00EC0F92">
              <w:tc>
                <w:tcPr>
                  <w:tcW w:w="0" w:type="auto"/>
                  <w:tcMar>
                    <w:top w:w="15" w:type="dxa"/>
                    <w:left w:w="57" w:type="dxa"/>
                    <w:bottom w:w="15" w:type="dxa"/>
                    <w:right w:w="57" w:type="dxa"/>
                  </w:tcMar>
                  <w:vAlign w:val="center"/>
                  <w:hideMark/>
                </w:tcPr>
                <w:p w14:paraId="5FE86A57" w14:textId="5F71476E"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2035FD"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72448151" w14:textId="438DF60A"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4921E7F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0" w:type="auto"/>
                  <w:tcMar>
                    <w:top w:w="15" w:type="dxa"/>
                    <w:left w:w="140" w:type="dxa"/>
                    <w:bottom w:w="15" w:type="dxa"/>
                    <w:right w:w="140" w:type="dxa"/>
                  </w:tcMar>
                  <w:hideMark/>
                </w:tcPr>
                <w:p w14:paraId="34CD3CDC" w14:textId="576BCCF3"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867</w:t>
                  </w:r>
                </w:p>
              </w:tc>
            </w:tr>
            <w:tr w:rsidR="004F289D" w:rsidRPr="004F289D" w14:paraId="70704539" w14:textId="77777777" w:rsidTr="00EC0F92">
              <w:tc>
                <w:tcPr>
                  <w:tcW w:w="0" w:type="auto"/>
                  <w:tcMar>
                    <w:top w:w="15" w:type="dxa"/>
                    <w:left w:w="57" w:type="dxa"/>
                    <w:bottom w:w="15" w:type="dxa"/>
                    <w:right w:w="57" w:type="dxa"/>
                  </w:tcMar>
                  <w:vAlign w:val="center"/>
                  <w:hideMark/>
                </w:tcPr>
                <w:p w14:paraId="0481C7D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CL51</w:t>
                  </w:r>
                </w:p>
              </w:tc>
              <w:tc>
                <w:tcPr>
                  <w:tcW w:w="0" w:type="auto"/>
                  <w:noWrap/>
                  <w:tcMar>
                    <w:top w:w="15" w:type="dxa"/>
                    <w:left w:w="57" w:type="dxa"/>
                    <w:bottom w:w="15" w:type="dxa"/>
                    <w:right w:w="57" w:type="dxa"/>
                  </w:tcMar>
                  <w:vAlign w:val="center"/>
                  <w:hideMark/>
                </w:tcPr>
                <w:p w14:paraId="01DB7126" w14:textId="74012A3B"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A907893"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0" w:type="auto"/>
                  <w:tcMar>
                    <w:top w:w="15" w:type="dxa"/>
                    <w:left w:w="140" w:type="dxa"/>
                    <w:bottom w:w="15" w:type="dxa"/>
                    <w:right w:w="140" w:type="dxa"/>
                  </w:tcMar>
                  <w:hideMark/>
                </w:tcPr>
                <w:p w14:paraId="736E7AF7" w14:textId="38C156E8"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982</w:t>
                  </w:r>
                </w:p>
              </w:tc>
            </w:tr>
            <w:tr w:rsidR="004F289D" w:rsidRPr="004F289D" w14:paraId="7E210F67" w14:textId="77777777" w:rsidTr="00EC0F92">
              <w:tc>
                <w:tcPr>
                  <w:tcW w:w="0" w:type="auto"/>
                  <w:tcMar>
                    <w:top w:w="15" w:type="dxa"/>
                    <w:left w:w="57" w:type="dxa"/>
                    <w:bottom w:w="15" w:type="dxa"/>
                    <w:right w:w="57" w:type="dxa"/>
                  </w:tcMar>
                  <w:vAlign w:val="center"/>
                  <w:hideMark/>
                </w:tcPr>
                <w:p w14:paraId="1E1C8057"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CL52</w:t>
                  </w:r>
                </w:p>
              </w:tc>
              <w:tc>
                <w:tcPr>
                  <w:tcW w:w="0" w:type="auto"/>
                  <w:noWrap/>
                  <w:tcMar>
                    <w:top w:w="15" w:type="dxa"/>
                    <w:left w:w="57" w:type="dxa"/>
                    <w:bottom w:w="15" w:type="dxa"/>
                    <w:right w:w="57" w:type="dxa"/>
                  </w:tcMar>
                  <w:vAlign w:val="center"/>
                  <w:hideMark/>
                </w:tcPr>
                <w:p w14:paraId="46743AFC" w14:textId="7318FFE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7407A3E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0" w:type="auto"/>
                  <w:tcMar>
                    <w:top w:w="15" w:type="dxa"/>
                    <w:left w:w="140" w:type="dxa"/>
                    <w:bottom w:w="15" w:type="dxa"/>
                    <w:right w:w="140" w:type="dxa"/>
                  </w:tcMar>
                  <w:hideMark/>
                </w:tcPr>
                <w:p w14:paraId="64286E6C" w14:textId="048F3241"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993</w:t>
                  </w:r>
                </w:p>
              </w:tc>
            </w:tr>
            <w:tr w:rsidR="004F289D" w:rsidRPr="004F289D" w14:paraId="36390733" w14:textId="77777777" w:rsidTr="00EC0F92">
              <w:tc>
                <w:tcPr>
                  <w:tcW w:w="0" w:type="auto"/>
                  <w:tcMar>
                    <w:top w:w="15" w:type="dxa"/>
                    <w:left w:w="57" w:type="dxa"/>
                    <w:bottom w:w="15" w:type="dxa"/>
                    <w:right w:w="57" w:type="dxa"/>
                  </w:tcMar>
                  <w:vAlign w:val="center"/>
                  <w:hideMark/>
                </w:tcPr>
                <w:p w14:paraId="5558F16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CL53</w:t>
                  </w:r>
                </w:p>
              </w:tc>
              <w:tc>
                <w:tcPr>
                  <w:tcW w:w="0" w:type="auto"/>
                  <w:noWrap/>
                  <w:tcMar>
                    <w:top w:w="15" w:type="dxa"/>
                    <w:left w:w="57" w:type="dxa"/>
                    <w:bottom w:w="15" w:type="dxa"/>
                    <w:right w:w="57" w:type="dxa"/>
                  </w:tcMar>
                  <w:vAlign w:val="center"/>
                  <w:hideMark/>
                </w:tcPr>
                <w:p w14:paraId="503105F5" w14:textId="4732D8A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03BE5B2E"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0" w:type="auto"/>
                  <w:tcMar>
                    <w:top w:w="15" w:type="dxa"/>
                    <w:left w:w="140" w:type="dxa"/>
                    <w:bottom w:w="15" w:type="dxa"/>
                    <w:right w:w="140" w:type="dxa"/>
                  </w:tcMar>
                  <w:hideMark/>
                </w:tcPr>
                <w:p w14:paraId="38BC98A7" w14:textId="62190A3B"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975</w:t>
                  </w:r>
                </w:p>
              </w:tc>
            </w:tr>
            <w:tr w:rsidR="004F289D" w:rsidRPr="004F289D" w14:paraId="544CBDF8" w14:textId="77777777" w:rsidTr="00EC0F92">
              <w:tc>
                <w:tcPr>
                  <w:tcW w:w="0" w:type="auto"/>
                  <w:tcMar>
                    <w:top w:w="15" w:type="dxa"/>
                    <w:left w:w="57" w:type="dxa"/>
                    <w:bottom w:w="15" w:type="dxa"/>
                    <w:right w:w="57" w:type="dxa"/>
                  </w:tcMar>
                  <w:vAlign w:val="center"/>
                  <w:hideMark/>
                </w:tcPr>
                <w:p w14:paraId="44D602C6" w14:textId="5948F018"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2035FD"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61353833" w14:textId="575A1A2E"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1B9E74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0" w:type="auto"/>
                  <w:tcMar>
                    <w:top w:w="15" w:type="dxa"/>
                    <w:left w:w="140" w:type="dxa"/>
                    <w:bottom w:w="15" w:type="dxa"/>
                    <w:right w:w="140" w:type="dxa"/>
                  </w:tcMar>
                  <w:hideMark/>
                </w:tcPr>
                <w:p w14:paraId="63EB4897" w14:textId="263788D7"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691</w:t>
                  </w:r>
                </w:p>
              </w:tc>
            </w:tr>
            <w:tr w:rsidR="004F289D" w:rsidRPr="004F289D" w14:paraId="682C6DD0" w14:textId="77777777" w:rsidTr="00EC0F92">
              <w:tc>
                <w:tcPr>
                  <w:tcW w:w="0" w:type="auto"/>
                  <w:tcMar>
                    <w:top w:w="15" w:type="dxa"/>
                    <w:left w:w="57" w:type="dxa"/>
                    <w:bottom w:w="15" w:type="dxa"/>
                    <w:right w:w="57" w:type="dxa"/>
                  </w:tcMar>
                  <w:vAlign w:val="center"/>
                  <w:hideMark/>
                </w:tcPr>
                <w:p w14:paraId="1F20A943"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CL62</w:t>
                  </w:r>
                </w:p>
              </w:tc>
              <w:tc>
                <w:tcPr>
                  <w:tcW w:w="0" w:type="auto"/>
                  <w:noWrap/>
                  <w:tcMar>
                    <w:top w:w="15" w:type="dxa"/>
                    <w:left w:w="57" w:type="dxa"/>
                    <w:bottom w:w="15" w:type="dxa"/>
                    <w:right w:w="57" w:type="dxa"/>
                  </w:tcMar>
                  <w:vAlign w:val="center"/>
                  <w:hideMark/>
                </w:tcPr>
                <w:p w14:paraId="430A44D5" w14:textId="603BC55A"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7BFF82E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0" w:type="auto"/>
                  <w:tcMar>
                    <w:top w:w="15" w:type="dxa"/>
                    <w:left w:w="140" w:type="dxa"/>
                    <w:bottom w:w="15" w:type="dxa"/>
                    <w:right w:w="140" w:type="dxa"/>
                  </w:tcMar>
                  <w:hideMark/>
                </w:tcPr>
                <w:p w14:paraId="144CFA56" w14:textId="209732F0"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927</w:t>
                  </w:r>
                </w:p>
              </w:tc>
            </w:tr>
            <w:tr w:rsidR="004F289D" w:rsidRPr="004F289D" w14:paraId="0B99CCFD" w14:textId="77777777" w:rsidTr="00EC0F92">
              <w:tc>
                <w:tcPr>
                  <w:tcW w:w="0" w:type="auto"/>
                  <w:tcMar>
                    <w:top w:w="15" w:type="dxa"/>
                    <w:left w:w="57" w:type="dxa"/>
                    <w:bottom w:w="15" w:type="dxa"/>
                    <w:right w:w="57" w:type="dxa"/>
                  </w:tcMar>
                  <w:vAlign w:val="center"/>
                  <w:hideMark/>
                </w:tcPr>
                <w:p w14:paraId="0B7DA3BA" w14:textId="64149E46"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2035FD"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6DFEBDE8" w14:textId="07006281"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60C854F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0" w:type="auto"/>
                  <w:tcMar>
                    <w:top w:w="15" w:type="dxa"/>
                    <w:left w:w="140" w:type="dxa"/>
                    <w:bottom w:w="15" w:type="dxa"/>
                    <w:right w:w="140" w:type="dxa"/>
                  </w:tcMar>
                  <w:hideMark/>
                </w:tcPr>
                <w:p w14:paraId="00710A03" w14:textId="3C95EE10" w:rsidR="00EC0F92" w:rsidRPr="004F289D" w:rsidRDefault="00F9529B" w:rsidP="00EC0F92">
                  <w:pPr>
                    <w:spacing w:after="0" w:line="240" w:lineRule="auto"/>
                    <w:jc w:val="right"/>
                    <w:rPr>
                      <w:rFonts w:eastAsia="Times New Roman" w:cs="Times New Roman"/>
                      <w:kern w:val="0"/>
                      <w:sz w:val="20"/>
                      <w:szCs w:val="20"/>
                      <w:lang/>
                      <w14:ligatures w14:val="none"/>
                    </w:rPr>
                  </w:pPr>
                  <w:r w:rsidRPr="004F289D">
                    <w:rPr>
                      <w:rFonts w:eastAsia="Aptos" w:cs="Times New Roman"/>
                      <w:sz w:val="20"/>
                      <w:szCs w:val="20"/>
                      <w:lang/>
                    </w:rPr>
                    <w:t>0.</w:t>
                  </w:r>
                  <w:r w:rsidR="00EC0F92" w:rsidRPr="004F289D">
                    <w:rPr>
                      <w:rFonts w:eastAsia="Aptos" w:cs="Times New Roman"/>
                      <w:sz w:val="20"/>
                      <w:szCs w:val="20"/>
                      <w:lang/>
                    </w:rPr>
                    <w:t>812</w:t>
                  </w:r>
                </w:p>
              </w:tc>
            </w:tr>
          </w:tbl>
          <w:p w14:paraId="2659CCB8" w14:textId="77777777" w:rsidR="00EC0F92" w:rsidRPr="004F289D" w:rsidRDefault="00EC0F92" w:rsidP="00EC0F92">
            <w:pPr>
              <w:jc w:val="center"/>
              <w:rPr>
                <w:rFonts w:eastAsia="Aptos" w:cs="Times New Roman"/>
              </w:rPr>
            </w:pPr>
          </w:p>
        </w:tc>
        <w:tc>
          <w:tcPr>
            <w:tcW w:w="4392" w:type="dxa"/>
          </w:tcPr>
          <w:tbl>
            <w:tblPr>
              <w:tblW w:w="0" w:type="auto"/>
              <w:tblCellMar>
                <w:top w:w="15" w:type="dxa"/>
                <w:left w:w="15" w:type="dxa"/>
                <w:bottom w:w="15" w:type="dxa"/>
                <w:right w:w="15" w:type="dxa"/>
              </w:tblCellMar>
              <w:tblLook w:val="04A0" w:firstRow="1" w:lastRow="0" w:firstColumn="1" w:lastColumn="0" w:noHBand="0" w:noVBand="1"/>
              <w:tblDescription w:val="Standardized Regression Weights: (Group number 1 -  Default model)"/>
            </w:tblPr>
            <w:tblGrid>
              <w:gridCol w:w="616"/>
              <w:gridCol w:w="334"/>
              <w:gridCol w:w="1668"/>
              <w:gridCol w:w="775"/>
            </w:tblGrid>
            <w:tr w:rsidR="004F289D" w:rsidRPr="004F289D" w14:paraId="0E7F0F9C" w14:textId="77777777" w:rsidTr="00EC0F92">
              <w:tc>
                <w:tcPr>
                  <w:tcW w:w="0" w:type="auto"/>
                  <w:tcMar>
                    <w:top w:w="15" w:type="dxa"/>
                    <w:left w:w="57" w:type="dxa"/>
                    <w:bottom w:w="15" w:type="dxa"/>
                    <w:right w:w="57" w:type="dxa"/>
                  </w:tcMar>
                  <w:vAlign w:val="center"/>
                  <w:hideMark/>
                </w:tcPr>
                <w:p w14:paraId="5E0F86C5"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CL11</w:t>
                  </w:r>
                </w:p>
              </w:tc>
              <w:tc>
                <w:tcPr>
                  <w:tcW w:w="0" w:type="auto"/>
                  <w:noWrap/>
                  <w:tcMar>
                    <w:top w:w="15" w:type="dxa"/>
                    <w:left w:w="57" w:type="dxa"/>
                    <w:bottom w:w="15" w:type="dxa"/>
                    <w:right w:w="57" w:type="dxa"/>
                  </w:tcMar>
                  <w:vAlign w:val="center"/>
                  <w:hideMark/>
                </w:tcPr>
                <w:p w14:paraId="14B2268C" w14:textId="1EC15C31"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117D851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0" w:type="auto"/>
                  <w:tcMar>
                    <w:top w:w="15" w:type="dxa"/>
                    <w:left w:w="140" w:type="dxa"/>
                    <w:bottom w:w="15" w:type="dxa"/>
                    <w:right w:w="140" w:type="dxa"/>
                  </w:tcMar>
                  <w:hideMark/>
                </w:tcPr>
                <w:p w14:paraId="176811C9" w14:textId="090A073D"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881</w:t>
                  </w:r>
                </w:p>
              </w:tc>
            </w:tr>
            <w:tr w:rsidR="004F289D" w:rsidRPr="004F289D" w14:paraId="41C3F277" w14:textId="77777777" w:rsidTr="00EC0F92">
              <w:tc>
                <w:tcPr>
                  <w:tcW w:w="0" w:type="auto"/>
                  <w:tcMar>
                    <w:top w:w="15" w:type="dxa"/>
                    <w:left w:w="57" w:type="dxa"/>
                    <w:bottom w:w="15" w:type="dxa"/>
                    <w:right w:w="57" w:type="dxa"/>
                  </w:tcMar>
                  <w:vAlign w:val="center"/>
                  <w:hideMark/>
                </w:tcPr>
                <w:p w14:paraId="3B868101"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CL12</w:t>
                  </w:r>
                </w:p>
              </w:tc>
              <w:tc>
                <w:tcPr>
                  <w:tcW w:w="0" w:type="auto"/>
                  <w:noWrap/>
                  <w:tcMar>
                    <w:top w:w="15" w:type="dxa"/>
                    <w:left w:w="57" w:type="dxa"/>
                    <w:bottom w:w="15" w:type="dxa"/>
                    <w:right w:w="57" w:type="dxa"/>
                  </w:tcMar>
                  <w:vAlign w:val="center"/>
                  <w:hideMark/>
                </w:tcPr>
                <w:p w14:paraId="320FD915" w14:textId="769926A2"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2507CCA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0" w:type="auto"/>
                  <w:tcMar>
                    <w:top w:w="15" w:type="dxa"/>
                    <w:left w:w="140" w:type="dxa"/>
                    <w:bottom w:w="15" w:type="dxa"/>
                    <w:right w:w="140" w:type="dxa"/>
                  </w:tcMar>
                  <w:hideMark/>
                </w:tcPr>
                <w:p w14:paraId="3743DEB7" w14:textId="007D4EBC"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849</w:t>
                  </w:r>
                </w:p>
              </w:tc>
            </w:tr>
            <w:tr w:rsidR="004F289D" w:rsidRPr="004F289D" w14:paraId="43C7633F" w14:textId="77777777" w:rsidTr="00EC0F92">
              <w:tc>
                <w:tcPr>
                  <w:tcW w:w="0" w:type="auto"/>
                  <w:tcMar>
                    <w:top w:w="15" w:type="dxa"/>
                    <w:left w:w="57" w:type="dxa"/>
                    <w:bottom w:w="15" w:type="dxa"/>
                    <w:right w:w="57" w:type="dxa"/>
                  </w:tcMar>
                  <w:vAlign w:val="center"/>
                  <w:hideMark/>
                </w:tcPr>
                <w:p w14:paraId="15398CDC"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CL13</w:t>
                  </w:r>
                </w:p>
              </w:tc>
              <w:tc>
                <w:tcPr>
                  <w:tcW w:w="0" w:type="auto"/>
                  <w:noWrap/>
                  <w:tcMar>
                    <w:top w:w="15" w:type="dxa"/>
                    <w:left w:w="57" w:type="dxa"/>
                    <w:bottom w:w="15" w:type="dxa"/>
                    <w:right w:w="57" w:type="dxa"/>
                  </w:tcMar>
                  <w:vAlign w:val="center"/>
                  <w:hideMark/>
                </w:tcPr>
                <w:p w14:paraId="5BDD8E4A" w14:textId="0873973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DA899D4"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Identity Theft</w:t>
                  </w:r>
                </w:p>
              </w:tc>
              <w:tc>
                <w:tcPr>
                  <w:tcW w:w="0" w:type="auto"/>
                  <w:tcMar>
                    <w:top w:w="15" w:type="dxa"/>
                    <w:left w:w="140" w:type="dxa"/>
                    <w:bottom w:w="15" w:type="dxa"/>
                    <w:right w:w="140" w:type="dxa"/>
                  </w:tcMar>
                  <w:hideMark/>
                </w:tcPr>
                <w:p w14:paraId="282237E7" w14:textId="2018C9FC"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865</w:t>
                  </w:r>
                </w:p>
              </w:tc>
            </w:tr>
            <w:tr w:rsidR="004F289D" w:rsidRPr="004F289D" w14:paraId="4C7390F9" w14:textId="77777777" w:rsidTr="00EC0F92">
              <w:tc>
                <w:tcPr>
                  <w:tcW w:w="0" w:type="auto"/>
                  <w:tcMar>
                    <w:top w:w="15" w:type="dxa"/>
                    <w:left w:w="57" w:type="dxa"/>
                    <w:bottom w:w="15" w:type="dxa"/>
                    <w:right w:w="57" w:type="dxa"/>
                  </w:tcMar>
                  <w:vAlign w:val="center"/>
                  <w:hideMark/>
                </w:tcPr>
                <w:p w14:paraId="533748EB" w14:textId="1D3CD919"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2035FD"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0AF541D5" w14:textId="33544CCB"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7DEB2F6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0" w:type="auto"/>
                  <w:tcMar>
                    <w:top w:w="15" w:type="dxa"/>
                    <w:left w:w="140" w:type="dxa"/>
                    <w:bottom w:w="15" w:type="dxa"/>
                    <w:right w:w="140" w:type="dxa"/>
                  </w:tcMar>
                  <w:hideMark/>
                </w:tcPr>
                <w:p w14:paraId="4286E7B3" w14:textId="752932D6"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512</w:t>
                  </w:r>
                </w:p>
              </w:tc>
            </w:tr>
            <w:tr w:rsidR="004F289D" w:rsidRPr="004F289D" w14:paraId="1A0A8A23" w14:textId="77777777" w:rsidTr="00EC0F92">
              <w:tc>
                <w:tcPr>
                  <w:tcW w:w="0" w:type="auto"/>
                  <w:tcMar>
                    <w:top w:w="15" w:type="dxa"/>
                    <w:left w:w="57" w:type="dxa"/>
                    <w:bottom w:w="15" w:type="dxa"/>
                    <w:right w:w="57" w:type="dxa"/>
                  </w:tcMar>
                  <w:vAlign w:val="center"/>
                  <w:hideMark/>
                </w:tcPr>
                <w:p w14:paraId="088D7D39"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CL22</w:t>
                  </w:r>
                </w:p>
              </w:tc>
              <w:tc>
                <w:tcPr>
                  <w:tcW w:w="0" w:type="auto"/>
                  <w:noWrap/>
                  <w:tcMar>
                    <w:top w:w="15" w:type="dxa"/>
                    <w:left w:w="57" w:type="dxa"/>
                    <w:bottom w:w="15" w:type="dxa"/>
                    <w:right w:w="57" w:type="dxa"/>
                  </w:tcMar>
                  <w:vAlign w:val="center"/>
                  <w:hideMark/>
                </w:tcPr>
                <w:p w14:paraId="3709A23D" w14:textId="212BE2C6"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07A1D049"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0" w:type="auto"/>
                  <w:tcMar>
                    <w:top w:w="15" w:type="dxa"/>
                    <w:left w:w="140" w:type="dxa"/>
                    <w:bottom w:w="15" w:type="dxa"/>
                    <w:right w:w="140" w:type="dxa"/>
                  </w:tcMar>
                  <w:hideMark/>
                </w:tcPr>
                <w:p w14:paraId="65C036FE" w14:textId="5C30F483"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752</w:t>
                  </w:r>
                </w:p>
              </w:tc>
            </w:tr>
            <w:tr w:rsidR="004F289D" w:rsidRPr="004F289D" w14:paraId="3890527A" w14:textId="77777777" w:rsidTr="00EC0F92">
              <w:tc>
                <w:tcPr>
                  <w:tcW w:w="0" w:type="auto"/>
                  <w:tcMar>
                    <w:top w:w="15" w:type="dxa"/>
                    <w:left w:w="57" w:type="dxa"/>
                    <w:bottom w:w="15" w:type="dxa"/>
                    <w:right w:w="57" w:type="dxa"/>
                  </w:tcMar>
                  <w:vAlign w:val="center"/>
                  <w:hideMark/>
                </w:tcPr>
                <w:p w14:paraId="21622EB8" w14:textId="28A70EC3"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CL2</w:t>
                  </w:r>
                  <w:r w:rsidR="002035FD"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4EA6FFB1" w14:textId="5464CB62"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77AC01A3"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Legitimacy</w:t>
                  </w:r>
                </w:p>
              </w:tc>
              <w:tc>
                <w:tcPr>
                  <w:tcW w:w="0" w:type="auto"/>
                  <w:tcMar>
                    <w:top w:w="15" w:type="dxa"/>
                    <w:left w:w="140" w:type="dxa"/>
                    <w:bottom w:w="15" w:type="dxa"/>
                    <w:right w:w="140" w:type="dxa"/>
                  </w:tcMar>
                  <w:hideMark/>
                </w:tcPr>
                <w:p w14:paraId="1CC7D057" w14:textId="5A43F631"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728</w:t>
                  </w:r>
                </w:p>
              </w:tc>
            </w:tr>
            <w:tr w:rsidR="004F289D" w:rsidRPr="004F289D" w14:paraId="49978EB6" w14:textId="77777777" w:rsidTr="00EC0F92">
              <w:tc>
                <w:tcPr>
                  <w:tcW w:w="0" w:type="auto"/>
                  <w:tcMar>
                    <w:top w:w="15" w:type="dxa"/>
                    <w:left w:w="57" w:type="dxa"/>
                    <w:bottom w:w="15" w:type="dxa"/>
                    <w:right w:w="57" w:type="dxa"/>
                  </w:tcMar>
                  <w:vAlign w:val="center"/>
                  <w:hideMark/>
                </w:tcPr>
                <w:p w14:paraId="13B8E6FE"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CL31</w:t>
                  </w:r>
                </w:p>
              </w:tc>
              <w:tc>
                <w:tcPr>
                  <w:tcW w:w="0" w:type="auto"/>
                  <w:noWrap/>
                  <w:tcMar>
                    <w:top w:w="15" w:type="dxa"/>
                    <w:left w:w="57" w:type="dxa"/>
                    <w:bottom w:w="15" w:type="dxa"/>
                    <w:right w:w="57" w:type="dxa"/>
                  </w:tcMar>
                  <w:vAlign w:val="center"/>
                  <w:hideMark/>
                </w:tcPr>
                <w:p w14:paraId="37825B7E" w14:textId="2B5D3566"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1EFCB39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0" w:type="auto"/>
                  <w:tcMar>
                    <w:top w:w="15" w:type="dxa"/>
                    <w:left w:w="140" w:type="dxa"/>
                    <w:bottom w:w="15" w:type="dxa"/>
                    <w:right w:w="140" w:type="dxa"/>
                  </w:tcMar>
                  <w:hideMark/>
                </w:tcPr>
                <w:p w14:paraId="5F834269" w14:textId="0A395009"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556</w:t>
                  </w:r>
                </w:p>
              </w:tc>
            </w:tr>
            <w:tr w:rsidR="004F289D" w:rsidRPr="004F289D" w14:paraId="56E6E00A" w14:textId="77777777" w:rsidTr="00EC0F92">
              <w:tc>
                <w:tcPr>
                  <w:tcW w:w="0" w:type="auto"/>
                  <w:tcMar>
                    <w:top w:w="15" w:type="dxa"/>
                    <w:left w:w="57" w:type="dxa"/>
                    <w:bottom w:w="15" w:type="dxa"/>
                    <w:right w:w="57" w:type="dxa"/>
                  </w:tcMar>
                  <w:vAlign w:val="center"/>
                  <w:hideMark/>
                </w:tcPr>
                <w:p w14:paraId="564AAA6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CL32</w:t>
                  </w:r>
                </w:p>
              </w:tc>
              <w:tc>
                <w:tcPr>
                  <w:tcW w:w="0" w:type="auto"/>
                  <w:noWrap/>
                  <w:tcMar>
                    <w:top w:w="15" w:type="dxa"/>
                    <w:left w:w="57" w:type="dxa"/>
                    <w:bottom w:w="15" w:type="dxa"/>
                    <w:right w:w="57" w:type="dxa"/>
                  </w:tcMar>
                  <w:vAlign w:val="center"/>
                  <w:hideMark/>
                </w:tcPr>
                <w:p w14:paraId="09789D98" w14:textId="05FA39F1"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7342981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0" w:type="auto"/>
                  <w:tcMar>
                    <w:top w:w="15" w:type="dxa"/>
                    <w:left w:w="140" w:type="dxa"/>
                    <w:bottom w:w="15" w:type="dxa"/>
                    <w:right w:w="140" w:type="dxa"/>
                  </w:tcMar>
                  <w:hideMark/>
                </w:tcPr>
                <w:p w14:paraId="5CD0F228" w14:textId="09B478BD"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801</w:t>
                  </w:r>
                </w:p>
              </w:tc>
            </w:tr>
            <w:tr w:rsidR="004F289D" w:rsidRPr="004F289D" w14:paraId="6FC393CB" w14:textId="77777777" w:rsidTr="00EC0F92">
              <w:tc>
                <w:tcPr>
                  <w:tcW w:w="0" w:type="auto"/>
                  <w:tcMar>
                    <w:top w:w="15" w:type="dxa"/>
                    <w:left w:w="57" w:type="dxa"/>
                    <w:bottom w:w="15" w:type="dxa"/>
                    <w:right w:w="57" w:type="dxa"/>
                  </w:tcMar>
                  <w:vAlign w:val="center"/>
                  <w:hideMark/>
                </w:tcPr>
                <w:p w14:paraId="722DD4F8"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CL33</w:t>
                  </w:r>
                </w:p>
              </w:tc>
              <w:tc>
                <w:tcPr>
                  <w:tcW w:w="0" w:type="auto"/>
                  <w:noWrap/>
                  <w:tcMar>
                    <w:top w:w="15" w:type="dxa"/>
                    <w:left w:w="57" w:type="dxa"/>
                    <w:bottom w:w="15" w:type="dxa"/>
                    <w:right w:w="57" w:type="dxa"/>
                  </w:tcMar>
                  <w:vAlign w:val="center"/>
                  <w:hideMark/>
                </w:tcPr>
                <w:p w14:paraId="6350192A" w14:textId="2D3964CA"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12E24FD4"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Report fraud</w:t>
                  </w:r>
                </w:p>
              </w:tc>
              <w:tc>
                <w:tcPr>
                  <w:tcW w:w="0" w:type="auto"/>
                  <w:tcMar>
                    <w:top w:w="15" w:type="dxa"/>
                    <w:left w:w="140" w:type="dxa"/>
                    <w:bottom w:w="15" w:type="dxa"/>
                    <w:right w:w="140" w:type="dxa"/>
                  </w:tcMar>
                  <w:hideMark/>
                </w:tcPr>
                <w:p w14:paraId="0F1D3D41" w14:textId="7304F7F0"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648</w:t>
                  </w:r>
                </w:p>
              </w:tc>
            </w:tr>
            <w:tr w:rsidR="004F289D" w:rsidRPr="004F289D" w14:paraId="52472C90" w14:textId="77777777" w:rsidTr="00EC0F92">
              <w:tc>
                <w:tcPr>
                  <w:tcW w:w="0" w:type="auto"/>
                  <w:tcMar>
                    <w:top w:w="15" w:type="dxa"/>
                    <w:left w:w="57" w:type="dxa"/>
                    <w:bottom w:w="15" w:type="dxa"/>
                    <w:right w:w="57" w:type="dxa"/>
                  </w:tcMar>
                  <w:vAlign w:val="center"/>
                  <w:hideMark/>
                </w:tcPr>
                <w:p w14:paraId="3D09C0E4" w14:textId="674E52E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2035FD"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3A39C544" w14:textId="59C7CB36"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551A4C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0" w:type="auto"/>
                  <w:tcMar>
                    <w:top w:w="15" w:type="dxa"/>
                    <w:left w:w="140" w:type="dxa"/>
                    <w:bottom w:w="15" w:type="dxa"/>
                    <w:right w:w="140" w:type="dxa"/>
                  </w:tcMar>
                  <w:hideMark/>
                </w:tcPr>
                <w:p w14:paraId="382A8543" w14:textId="7EAEA7AA"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702</w:t>
                  </w:r>
                </w:p>
              </w:tc>
            </w:tr>
            <w:tr w:rsidR="004F289D" w:rsidRPr="004F289D" w14:paraId="21A9EA5A" w14:textId="77777777" w:rsidTr="00EC0F92">
              <w:tc>
                <w:tcPr>
                  <w:tcW w:w="0" w:type="auto"/>
                  <w:tcMar>
                    <w:top w:w="15" w:type="dxa"/>
                    <w:left w:w="57" w:type="dxa"/>
                    <w:bottom w:w="15" w:type="dxa"/>
                    <w:right w:w="57" w:type="dxa"/>
                  </w:tcMar>
                  <w:vAlign w:val="center"/>
                  <w:hideMark/>
                </w:tcPr>
                <w:p w14:paraId="0F856642" w14:textId="2761DB63"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CL42</w:t>
                  </w:r>
                </w:p>
              </w:tc>
              <w:tc>
                <w:tcPr>
                  <w:tcW w:w="0" w:type="auto"/>
                  <w:noWrap/>
                  <w:tcMar>
                    <w:top w:w="15" w:type="dxa"/>
                    <w:left w:w="57" w:type="dxa"/>
                    <w:bottom w:w="15" w:type="dxa"/>
                    <w:right w:w="57" w:type="dxa"/>
                  </w:tcMar>
                  <w:vAlign w:val="center"/>
                  <w:hideMark/>
                </w:tcPr>
                <w:p w14:paraId="0BB0B291" w14:textId="01AA8544"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14BF2E2F"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0" w:type="auto"/>
                  <w:tcMar>
                    <w:top w:w="15" w:type="dxa"/>
                    <w:left w:w="140" w:type="dxa"/>
                    <w:bottom w:w="15" w:type="dxa"/>
                    <w:right w:w="140" w:type="dxa"/>
                  </w:tcMar>
                  <w:hideMark/>
                </w:tcPr>
                <w:p w14:paraId="055B7BD2" w14:textId="2DD5F6FA"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847</w:t>
                  </w:r>
                </w:p>
              </w:tc>
            </w:tr>
            <w:tr w:rsidR="004F289D" w:rsidRPr="004F289D" w14:paraId="0C91C900" w14:textId="77777777" w:rsidTr="00EC0F92">
              <w:tc>
                <w:tcPr>
                  <w:tcW w:w="0" w:type="auto"/>
                  <w:tcMar>
                    <w:top w:w="15" w:type="dxa"/>
                    <w:left w:w="57" w:type="dxa"/>
                    <w:bottom w:w="15" w:type="dxa"/>
                    <w:right w:w="57" w:type="dxa"/>
                  </w:tcMar>
                  <w:vAlign w:val="center"/>
                  <w:hideMark/>
                </w:tcPr>
                <w:p w14:paraId="0E9047FB" w14:textId="1D8A8F99"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CL4</w:t>
                  </w:r>
                  <w:r w:rsidR="002035FD"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50260E06" w14:textId="45C5FD9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EF4CB9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Red flags</w:t>
                  </w:r>
                </w:p>
              </w:tc>
              <w:tc>
                <w:tcPr>
                  <w:tcW w:w="0" w:type="auto"/>
                  <w:tcMar>
                    <w:top w:w="15" w:type="dxa"/>
                    <w:left w:w="140" w:type="dxa"/>
                    <w:bottom w:w="15" w:type="dxa"/>
                    <w:right w:w="140" w:type="dxa"/>
                  </w:tcMar>
                  <w:hideMark/>
                </w:tcPr>
                <w:p w14:paraId="7033C176" w14:textId="70B00929"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758</w:t>
                  </w:r>
                </w:p>
              </w:tc>
            </w:tr>
            <w:tr w:rsidR="004F289D" w:rsidRPr="004F289D" w14:paraId="4D50113E" w14:textId="77777777" w:rsidTr="00EC0F92">
              <w:tc>
                <w:tcPr>
                  <w:tcW w:w="0" w:type="auto"/>
                  <w:tcMar>
                    <w:top w:w="15" w:type="dxa"/>
                    <w:left w:w="57" w:type="dxa"/>
                    <w:bottom w:w="15" w:type="dxa"/>
                    <w:right w:w="57" w:type="dxa"/>
                  </w:tcMar>
                  <w:vAlign w:val="center"/>
                  <w:hideMark/>
                </w:tcPr>
                <w:p w14:paraId="4FD8C5A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CL51</w:t>
                  </w:r>
                </w:p>
              </w:tc>
              <w:tc>
                <w:tcPr>
                  <w:tcW w:w="0" w:type="auto"/>
                  <w:noWrap/>
                  <w:tcMar>
                    <w:top w:w="15" w:type="dxa"/>
                    <w:left w:w="57" w:type="dxa"/>
                    <w:bottom w:w="15" w:type="dxa"/>
                    <w:right w:w="57" w:type="dxa"/>
                  </w:tcMar>
                  <w:vAlign w:val="center"/>
                  <w:hideMark/>
                </w:tcPr>
                <w:p w14:paraId="4A23DB3B" w14:textId="76AA480C"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C9E436B"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0" w:type="auto"/>
                  <w:tcMar>
                    <w:top w:w="15" w:type="dxa"/>
                    <w:left w:w="140" w:type="dxa"/>
                    <w:bottom w:w="15" w:type="dxa"/>
                    <w:right w:w="140" w:type="dxa"/>
                  </w:tcMar>
                  <w:hideMark/>
                </w:tcPr>
                <w:p w14:paraId="3E8D49AC" w14:textId="6EA186CC"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965</w:t>
                  </w:r>
                </w:p>
              </w:tc>
            </w:tr>
            <w:tr w:rsidR="004F289D" w:rsidRPr="004F289D" w14:paraId="72536BEA" w14:textId="77777777" w:rsidTr="00EC0F92">
              <w:tc>
                <w:tcPr>
                  <w:tcW w:w="0" w:type="auto"/>
                  <w:tcMar>
                    <w:top w:w="15" w:type="dxa"/>
                    <w:left w:w="57" w:type="dxa"/>
                    <w:bottom w:w="15" w:type="dxa"/>
                    <w:right w:w="57" w:type="dxa"/>
                  </w:tcMar>
                  <w:vAlign w:val="center"/>
                  <w:hideMark/>
                </w:tcPr>
                <w:p w14:paraId="13B2557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CL52</w:t>
                  </w:r>
                </w:p>
              </w:tc>
              <w:tc>
                <w:tcPr>
                  <w:tcW w:w="0" w:type="auto"/>
                  <w:noWrap/>
                  <w:tcMar>
                    <w:top w:w="15" w:type="dxa"/>
                    <w:left w:w="57" w:type="dxa"/>
                    <w:bottom w:w="15" w:type="dxa"/>
                    <w:right w:w="57" w:type="dxa"/>
                  </w:tcMar>
                  <w:vAlign w:val="center"/>
                  <w:hideMark/>
                </w:tcPr>
                <w:p w14:paraId="3B864758" w14:textId="3CADA9BF"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296BD7E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0" w:type="auto"/>
                  <w:tcMar>
                    <w:top w:w="15" w:type="dxa"/>
                    <w:left w:w="140" w:type="dxa"/>
                    <w:bottom w:w="15" w:type="dxa"/>
                    <w:right w:w="140" w:type="dxa"/>
                  </w:tcMar>
                  <w:hideMark/>
                </w:tcPr>
                <w:p w14:paraId="2945B592" w14:textId="064546D0"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984</w:t>
                  </w:r>
                </w:p>
              </w:tc>
            </w:tr>
            <w:tr w:rsidR="004F289D" w:rsidRPr="004F289D" w14:paraId="1DC38570" w14:textId="77777777" w:rsidTr="00EC0F92">
              <w:tc>
                <w:tcPr>
                  <w:tcW w:w="0" w:type="auto"/>
                  <w:tcMar>
                    <w:top w:w="15" w:type="dxa"/>
                    <w:left w:w="57" w:type="dxa"/>
                    <w:bottom w:w="15" w:type="dxa"/>
                    <w:right w:w="57" w:type="dxa"/>
                  </w:tcMar>
                  <w:vAlign w:val="center"/>
                  <w:hideMark/>
                </w:tcPr>
                <w:p w14:paraId="055FF3F6"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CL53</w:t>
                  </w:r>
                </w:p>
              </w:tc>
              <w:tc>
                <w:tcPr>
                  <w:tcW w:w="0" w:type="auto"/>
                  <w:noWrap/>
                  <w:tcMar>
                    <w:top w:w="15" w:type="dxa"/>
                    <w:left w:w="57" w:type="dxa"/>
                    <w:bottom w:w="15" w:type="dxa"/>
                    <w:right w:w="57" w:type="dxa"/>
                  </w:tcMar>
                  <w:vAlign w:val="center"/>
                  <w:hideMark/>
                </w:tcPr>
                <w:p w14:paraId="4D1ED2E6" w14:textId="126926AD"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328D93AD"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Protection tools</w:t>
                  </w:r>
                </w:p>
              </w:tc>
              <w:tc>
                <w:tcPr>
                  <w:tcW w:w="0" w:type="auto"/>
                  <w:tcMar>
                    <w:top w:w="15" w:type="dxa"/>
                    <w:left w:w="140" w:type="dxa"/>
                    <w:bottom w:w="15" w:type="dxa"/>
                    <w:right w:w="140" w:type="dxa"/>
                  </w:tcMar>
                  <w:hideMark/>
                </w:tcPr>
                <w:p w14:paraId="7C6730AE" w14:textId="4974DB6F"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971</w:t>
                  </w:r>
                </w:p>
              </w:tc>
            </w:tr>
            <w:tr w:rsidR="004F289D" w:rsidRPr="004F289D" w14:paraId="48820721" w14:textId="77777777" w:rsidTr="00EC0F92">
              <w:tc>
                <w:tcPr>
                  <w:tcW w:w="0" w:type="auto"/>
                  <w:tcMar>
                    <w:top w:w="15" w:type="dxa"/>
                    <w:left w:w="57" w:type="dxa"/>
                    <w:bottom w:w="15" w:type="dxa"/>
                    <w:right w:w="57" w:type="dxa"/>
                  </w:tcMar>
                  <w:vAlign w:val="center"/>
                  <w:hideMark/>
                </w:tcPr>
                <w:p w14:paraId="70E2E7D6" w14:textId="74069E49"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2035FD" w:rsidRPr="004F289D">
                    <w:rPr>
                      <w:rFonts w:eastAsia="Times New Roman" w:cs="Times New Roman"/>
                      <w:kern w:val="0"/>
                      <w:lang/>
                      <w14:ligatures w14:val="none"/>
                    </w:rPr>
                    <w:t>1</w:t>
                  </w:r>
                </w:p>
              </w:tc>
              <w:tc>
                <w:tcPr>
                  <w:tcW w:w="0" w:type="auto"/>
                  <w:noWrap/>
                  <w:tcMar>
                    <w:top w:w="15" w:type="dxa"/>
                    <w:left w:w="57" w:type="dxa"/>
                    <w:bottom w:w="15" w:type="dxa"/>
                    <w:right w:w="57" w:type="dxa"/>
                  </w:tcMar>
                  <w:vAlign w:val="center"/>
                  <w:hideMark/>
                </w:tcPr>
                <w:p w14:paraId="4BE4E7E4" w14:textId="2510A5B8"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27A0E614"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0" w:type="auto"/>
                  <w:tcMar>
                    <w:top w:w="15" w:type="dxa"/>
                    <w:left w:w="140" w:type="dxa"/>
                    <w:bottom w:w="15" w:type="dxa"/>
                    <w:right w:w="140" w:type="dxa"/>
                  </w:tcMar>
                  <w:hideMark/>
                </w:tcPr>
                <w:p w14:paraId="62A75558" w14:textId="2A86941D"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624</w:t>
                  </w:r>
                </w:p>
              </w:tc>
            </w:tr>
            <w:tr w:rsidR="004F289D" w:rsidRPr="004F289D" w14:paraId="74C32546" w14:textId="77777777" w:rsidTr="00EC0F92">
              <w:tc>
                <w:tcPr>
                  <w:tcW w:w="0" w:type="auto"/>
                  <w:tcMar>
                    <w:top w:w="15" w:type="dxa"/>
                    <w:left w:w="57" w:type="dxa"/>
                    <w:bottom w:w="15" w:type="dxa"/>
                    <w:right w:w="57" w:type="dxa"/>
                  </w:tcMar>
                  <w:vAlign w:val="center"/>
                  <w:hideMark/>
                </w:tcPr>
                <w:p w14:paraId="3F5867FC"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CL62</w:t>
                  </w:r>
                </w:p>
              </w:tc>
              <w:tc>
                <w:tcPr>
                  <w:tcW w:w="0" w:type="auto"/>
                  <w:noWrap/>
                  <w:tcMar>
                    <w:top w:w="15" w:type="dxa"/>
                    <w:left w:w="57" w:type="dxa"/>
                    <w:bottom w:w="15" w:type="dxa"/>
                    <w:right w:w="57" w:type="dxa"/>
                  </w:tcMar>
                  <w:vAlign w:val="center"/>
                  <w:hideMark/>
                </w:tcPr>
                <w:p w14:paraId="3D9A1713" w14:textId="7776179B"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B73F64A"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0" w:type="auto"/>
                  <w:tcMar>
                    <w:top w:w="15" w:type="dxa"/>
                    <w:left w:w="140" w:type="dxa"/>
                    <w:bottom w:w="15" w:type="dxa"/>
                    <w:right w:w="140" w:type="dxa"/>
                  </w:tcMar>
                  <w:hideMark/>
                </w:tcPr>
                <w:p w14:paraId="0ABC4C2E" w14:textId="2924AD81"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846</w:t>
                  </w:r>
                </w:p>
              </w:tc>
            </w:tr>
            <w:tr w:rsidR="004F289D" w:rsidRPr="004F289D" w14:paraId="231B3D28" w14:textId="77777777" w:rsidTr="00EC0F92">
              <w:tc>
                <w:tcPr>
                  <w:tcW w:w="0" w:type="auto"/>
                  <w:tcMar>
                    <w:top w:w="15" w:type="dxa"/>
                    <w:left w:w="57" w:type="dxa"/>
                    <w:bottom w:w="15" w:type="dxa"/>
                    <w:right w:w="57" w:type="dxa"/>
                  </w:tcMar>
                  <w:vAlign w:val="center"/>
                  <w:hideMark/>
                </w:tcPr>
                <w:p w14:paraId="7D79E0D7" w14:textId="5B1CADF1"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CL6</w:t>
                  </w:r>
                  <w:r w:rsidR="002035FD" w:rsidRPr="004F289D">
                    <w:rPr>
                      <w:rFonts w:eastAsia="Times New Roman" w:cs="Times New Roman"/>
                      <w:kern w:val="0"/>
                      <w:lang/>
                      <w14:ligatures w14:val="none"/>
                    </w:rPr>
                    <w:t>3</w:t>
                  </w:r>
                </w:p>
              </w:tc>
              <w:tc>
                <w:tcPr>
                  <w:tcW w:w="0" w:type="auto"/>
                  <w:noWrap/>
                  <w:tcMar>
                    <w:top w:w="15" w:type="dxa"/>
                    <w:left w:w="57" w:type="dxa"/>
                    <w:bottom w:w="15" w:type="dxa"/>
                    <w:right w:w="57" w:type="dxa"/>
                  </w:tcMar>
                  <w:vAlign w:val="center"/>
                  <w:hideMark/>
                </w:tcPr>
                <w:p w14:paraId="47B3A665" w14:textId="7A56A2D1" w:rsidR="00EC0F92" w:rsidRPr="004F289D" w:rsidRDefault="00D726D8"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w:t>
                  </w:r>
                </w:p>
              </w:tc>
              <w:tc>
                <w:tcPr>
                  <w:tcW w:w="0" w:type="auto"/>
                  <w:tcMar>
                    <w:top w:w="15" w:type="dxa"/>
                    <w:left w:w="140" w:type="dxa"/>
                    <w:bottom w:w="15" w:type="dxa"/>
                    <w:right w:w="140" w:type="dxa"/>
                  </w:tcMar>
                  <w:vAlign w:val="center"/>
                  <w:hideMark/>
                </w:tcPr>
                <w:p w14:paraId="52034822" w14:textId="77777777" w:rsidR="00EC0F92" w:rsidRPr="004F289D" w:rsidRDefault="00EC0F92" w:rsidP="00EC0F92">
                  <w:pPr>
                    <w:spacing w:after="0" w:line="240" w:lineRule="auto"/>
                    <w:rPr>
                      <w:rFonts w:eastAsia="Times New Roman" w:cs="Times New Roman"/>
                      <w:kern w:val="0"/>
                      <w:lang/>
                      <w14:ligatures w14:val="none"/>
                    </w:rPr>
                  </w:pPr>
                  <w:r w:rsidRPr="004F289D">
                    <w:rPr>
                      <w:rFonts w:eastAsia="Times New Roman" w:cs="Times New Roman"/>
                      <w:kern w:val="0"/>
                      <w:lang/>
                      <w14:ligatures w14:val="none"/>
                    </w:rPr>
                    <w:t>Read terms</w:t>
                  </w:r>
                </w:p>
              </w:tc>
              <w:tc>
                <w:tcPr>
                  <w:tcW w:w="0" w:type="auto"/>
                  <w:tcMar>
                    <w:top w:w="15" w:type="dxa"/>
                    <w:left w:w="140" w:type="dxa"/>
                    <w:bottom w:w="15" w:type="dxa"/>
                    <w:right w:w="140" w:type="dxa"/>
                  </w:tcMar>
                  <w:hideMark/>
                </w:tcPr>
                <w:p w14:paraId="62F31937" w14:textId="30094362" w:rsidR="00EC0F92" w:rsidRPr="004F289D" w:rsidRDefault="00F9529B"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EC0F92" w:rsidRPr="004F289D">
                    <w:rPr>
                      <w:rFonts w:eastAsia="Aptos" w:cs="Times New Roman"/>
                      <w:lang/>
                    </w:rPr>
                    <w:t>781</w:t>
                  </w:r>
                </w:p>
              </w:tc>
            </w:tr>
          </w:tbl>
          <w:p w14:paraId="6705E9C4" w14:textId="77777777" w:rsidR="00EC0F92" w:rsidRPr="004F289D" w:rsidRDefault="00EC0F92" w:rsidP="00EC0F92">
            <w:pPr>
              <w:rPr>
                <w:rFonts w:eastAsia="Aptos" w:cs="Times New Roman"/>
              </w:rPr>
            </w:pPr>
          </w:p>
        </w:tc>
        <w:tc>
          <w:tcPr>
            <w:tcW w:w="1176" w:type="dxa"/>
          </w:tcPr>
          <w:tbl>
            <w:tblPr>
              <w:tblW w:w="960" w:type="dxa"/>
              <w:tblLook w:val="04A0" w:firstRow="1" w:lastRow="0" w:firstColumn="1" w:lastColumn="0" w:noHBand="0" w:noVBand="1"/>
            </w:tblPr>
            <w:tblGrid>
              <w:gridCol w:w="960"/>
            </w:tblGrid>
            <w:tr w:rsidR="004F289D" w:rsidRPr="004F289D" w14:paraId="58CB77E7" w14:textId="77777777" w:rsidTr="00F75D40">
              <w:trPr>
                <w:trHeight w:val="290"/>
              </w:trPr>
              <w:tc>
                <w:tcPr>
                  <w:tcW w:w="960" w:type="dxa"/>
                  <w:noWrap/>
                  <w:hideMark/>
                </w:tcPr>
                <w:p w14:paraId="68E5F3EB" w14:textId="15819D1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070</w:t>
                  </w:r>
                </w:p>
              </w:tc>
            </w:tr>
            <w:tr w:rsidR="004F289D" w:rsidRPr="004F289D" w14:paraId="423FA506" w14:textId="77777777" w:rsidTr="00F75D40">
              <w:trPr>
                <w:trHeight w:val="290"/>
              </w:trPr>
              <w:tc>
                <w:tcPr>
                  <w:tcW w:w="960" w:type="dxa"/>
                  <w:noWrap/>
                  <w:hideMark/>
                </w:tcPr>
                <w:p w14:paraId="10C3CA96" w14:textId="231D6B3A"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058</w:t>
                  </w:r>
                </w:p>
              </w:tc>
            </w:tr>
            <w:tr w:rsidR="004F289D" w:rsidRPr="004F289D" w14:paraId="1458E9DF" w14:textId="77777777" w:rsidTr="00F75D40">
              <w:trPr>
                <w:trHeight w:val="290"/>
              </w:trPr>
              <w:tc>
                <w:tcPr>
                  <w:tcW w:w="960" w:type="dxa"/>
                  <w:noWrap/>
                  <w:hideMark/>
                </w:tcPr>
                <w:p w14:paraId="1EAAAA6D" w14:textId="42B6AB67"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043</w:t>
                  </w:r>
                </w:p>
              </w:tc>
            </w:tr>
            <w:tr w:rsidR="004F289D" w:rsidRPr="004F289D" w14:paraId="4AB206DB" w14:textId="77777777" w:rsidTr="00F75D40">
              <w:trPr>
                <w:trHeight w:val="290"/>
              </w:trPr>
              <w:tc>
                <w:tcPr>
                  <w:tcW w:w="960" w:type="dxa"/>
                  <w:noWrap/>
                  <w:hideMark/>
                </w:tcPr>
                <w:p w14:paraId="3210D46C" w14:textId="7BFAE555"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036</w:t>
                  </w:r>
                </w:p>
              </w:tc>
            </w:tr>
            <w:tr w:rsidR="004F289D" w:rsidRPr="004F289D" w14:paraId="4EA082DE" w14:textId="77777777" w:rsidTr="00F75D40">
              <w:trPr>
                <w:trHeight w:val="290"/>
              </w:trPr>
              <w:tc>
                <w:tcPr>
                  <w:tcW w:w="960" w:type="dxa"/>
                  <w:noWrap/>
                  <w:hideMark/>
                </w:tcPr>
                <w:p w14:paraId="2ABDCE4F" w14:textId="325B7AD4"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09</w:t>
                  </w:r>
                </w:p>
              </w:tc>
            </w:tr>
            <w:tr w:rsidR="004F289D" w:rsidRPr="004F289D" w14:paraId="0CADCC96" w14:textId="77777777" w:rsidTr="00F75D40">
              <w:trPr>
                <w:trHeight w:val="290"/>
              </w:trPr>
              <w:tc>
                <w:tcPr>
                  <w:tcW w:w="960" w:type="dxa"/>
                  <w:noWrap/>
                  <w:hideMark/>
                </w:tcPr>
                <w:p w14:paraId="7EC95423" w14:textId="2EF31ED1"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088</w:t>
                  </w:r>
                </w:p>
              </w:tc>
            </w:tr>
            <w:tr w:rsidR="004F289D" w:rsidRPr="004F289D" w14:paraId="28FA7248" w14:textId="77777777" w:rsidTr="00F75D40">
              <w:trPr>
                <w:trHeight w:val="290"/>
              </w:trPr>
              <w:tc>
                <w:tcPr>
                  <w:tcW w:w="960" w:type="dxa"/>
                  <w:noWrap/>
                  <w:hideMark/>
                </w:tcPr>
                <w:p w14:paraId="028E525D" w14:textId="3FFA536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109</w:t>
                  </w:r>
                </w:p>
              </w:tc>
            </w:tr>
            <w:tr w:rsidR="004F289D" w:rsidRPr="004F289D" w14:paraId="15899B29" w14:textId="77777777" w:rsidTr="00F75D40">
              <w:trPr>
                <w:trHeight w:val="290"/>
              </w:trPr>
              <w:tc>
                <w:tcPr>
                  <w:tcW w:w="960" w:type="dxa"/>
                  <w:noWrap/>
                  <w:hideMark/>
                </w:tcPr>
                <w:p w14:paraId="2AFF0C5A" w14:textId="32EB007C"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068</w:t>
                  </w:r>
                </w:p>
              </w:tc>
            </w:tr>
            <w:tr w:rsidR="004F289D" w:rsidRPr="004F289D" w14:paraId="6326D18D" w14:textId="77777777" w:rsidTr="00F75D40">
              <w:trPr>
                <w:trHeight w:val="290"/>
              </w:trPr>
              <w:tc>
                <w:tcPr>
                  <w:tcW w:w="960" w:type="dxa"/>
                  <w:noWrap/>
                  <w:hideMark/>
                </w:tcPr>
                <w:p w14:paraId="5B122BCA" w14:textId="175A2FB2"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083</w:t>
                  </w:r>
                </w:p>
              </w:tc>
            </w:tr>
            <w:tr w:rsidR="004F289D" w:rsidRPr="004F289D" w14:paraId="762DB46A" w14:textId="77777777" w:rsidTr="00F75D40">
              <w:trPr>
                <w:trHeight w:val="290"/>
              </w:trPr>
              <w:tc>
                <w:tcPr>
                  <w:tcW w:w="960" w:type="dxa"/>
                  <w:noWrap/>
                  <w:hideMark/>
                </w:tcPr>
                <w:p w14:paraId="63420103" w14:textId="4E276679"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096</w:t>
                  </w:r>
                </w:p>
              </w:tc>
            </w:tr>
            <w:tr w:rsidR="004F289D" w:rsidRPr="004F289D" w14:paraId="13379796" w14:textId="77777777" w:rsidTr="00F75D40">
              <w:trPr>
                <w:trHeight w:val="290"/>
              </w:trPr>
              <w:tc>
                <w:tcPr>
                  <w:tcW w:w="960" w:type="dxa"/>
                  <w:noWrap/>
                  <w:hideMark/>
                </w:tcPr>
                <w:p w14:paraId="526F4F07" w14:textId="19F1BF8C"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116</w:t>
                  </w:r>
                </w:p>
              </w:tc>
            </w:tr>
            <w:tr w:rsidR="004F289D" w:rsidRPr="004F289D" w14:paraId="7C3D6771" w14:textId="77777777" w:rsidTr="00F75D40">
              <w:trPr>
                <w:trHeight w:val="290"/>
              </w:trPr>
              <w:tc>
                <w:tcPr>
                  <w:tcW w:w="960" w:type="dxa"/>
                  <w:noWrap/>
                  <w:hideMark/>
                </w:tcPr>
                <w:p w14:paraId="56BF1960" w14:textId="4F60A8E6"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109</w:t>
                  </w:r>
                </w:p>
              </w:tc>
            </w:tr>
            <w:tr w:rsidR="004F289D" w:rsidRPr="004F289D" w14:paraId="1D9AC4DA" w14:textId="77777777" w:rsidTr="00F75D40">
              <w:trPr>
                <w:trHeight w:val="290"/>
              </w:trPr>
              <w:tc>
                <w:tcPr>
                  <w:tcW w:w="960" w:type="dxa"/>
                  <w:noWrap/>
                  <w:hideMark/>
                </w:tcPr>
                <w:p w14:paraId="5AB645A6" w14:textId="0707D756"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017</w:t>
                  </w:r>
                </w:p>
              </w:tc>
            </w:tr>
            <w:tr w:rsidR="004F289D" w:rsidRPr="004F289D" w14:paraId="76D89F1B" w14:textId="77777777" w:rsidTr="00F75D40">
              <w:trPr>
                <w:trHeight w:val="290"/>
              </w:trPr>
              <w:tc>
                <w:tcPr>
                  <w:tcW w:w="960" w:type="dxa"/>
                  <w:noWrap/>
                  <w:hideMark/>
                </w:tcPr>
                <w:p w14:paraId="557EA6FA" w14:textId="753F0CAC"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009</w:t>
                  </w:r>
                </w:p>
              </w:tc>
            </w:tr>
            <w:tr w:rsidR="004F289D" w:rsidRPr="004F289D" w14:paraId="55C95FE9" w14:textId="77777777" w:rsidTr="00F75D40">
              <w:trPr>
                <w:trHeight w:val="290"/>
              </w:trPr>
              <w:tc>
                <w:tcPr>
                  <w:tcW w:w="960" w:type="dxa"/>
                  <w:noWrap/>
                  <w:hideMark/>
                </w:tcPr>
                <w:p w14:paraId="6F5CCA4A" w14:textId="4562A9B0"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004</w:t>
                  </w:r>
                </w:p>
              </w:tc>
            </w:tr>
            <w:tr w:rsidR="004F289D" w:rsidRPr="004F289D" w14:paraId="786BC1C1" w14:textId="77777777" w:rsidTr="00F75D40">
              <w:trPr>
                <w:trHeight w:val="290"/>
              </w:trPr>
              <w:tc>
                <w:tcPr>
                  <w:tcW w:w="960" w:type="dxa"/>
                  <w:noWrap/>
                  <w:hideMark/>
                </w:tcPr>
                <w:p w14:paraId="29713E32" w14:textId="33A323E3"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067</w:t>
                  </w:r>
                </w:p>
              </w:tc>
            </w:tr>
            <w:tr w:rsidR="004F289D" w:rsidRPr="004F289D" w14:paraId="4779A7F4" w14:textId="77777777" w:rsidTr="00F75D40">
              <w:trPr>
                <w:trHeight w:val="290"/>
              </w:trPr>
              <w:tc>
                <w:tcPr>
                  <w:tcW w:w="960" w:type="dxa"/>
                  <w:noWrap/>
                  <w:hideMark/>
                </w:tcPr>
                <w:p w14:paraId="58F4EECA" w14:textId="08AA66E4"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081</w:t>
                  </w:r>
                </w:p>
              </w:tc>
            </w:tr>
            <w:tr w:rsidR="004F289D" w:rsidRPr="004F289D" w14:paraId="5AC0344B" w14:textId="77777777" w:rsidTr="00F75D40">
              <w:trPr>
                <w:trHeight w:val="290"/>
              </w:trPr>
              <w:tc>
                <w:tcPr>
                  <w:tcW w:w="960" w:type="dxa"/>
                  <w:noWrap/>
                  <w:hideMark/>
                </w:tcPr>
                <w:p w14:paraId="212D1D0D" w14:textId="2661B00B" w:rsidR="00EC0F92" w:rsidRPr="004F289D" w:rsidRDefault="00EC0F92" w:rsidP="00EC0F92">
                  <w:pPr>
                    <w:spacing w:after="0" w:line="240" w:lineRule="auto"/>
                    <w:jc w:val="right"/>
                    <w:rPr>
                      <w:rFonts w:eastAsia="Times New Roman" w:cs="Times New Roman"/>
                      <w:kern w:val="0"/>
                      <w:lang/>
                      <w14:ligatures w14:val="none"/>
                    </w:rPr>
                  </w:pPr>
                  <w:r w:rsidRPr="004F289D">
                    <w:rPr>
                      <w:rFonts w:eastAsia="Aptos" w:cs="Times New Roman"/>
                      <w:lang/>
                    </w:rPr>
                    <w:t>0</w:t>
                  </w:r>
                  <w:r w:rsidR="00F9529B" w:rsidRPr="004F289D">
                    <w:rPr>
                      <w:rFonts w:eastAsia="Aptos" w:cs="Times New Roman"/>
                      <w:lang/>
                    </w:rPr>
                    <w:t>.</w:t>
                  </w:r>
                  <w:r w:rsidRPr="004F289D">
                    <w:rPr>
                      <w:rFonts w:eastAsia="Aptos" w:cs="Times New Roman"/>
                      <w:lang/>
                    </w:rPr>
                    <w:t>031</w:t>
                  </w:r>
                </w:p>
              </w:tc>
            </w:tr>
          </w:tbl>
          <w:p w14:paraId="1AA30068" w14:textId="77777777" w:rsidR="00EC0F92" w:rsidRPr="004F289D" w:rsidRDefault="00EC0F92" w:rsidP="00EC0F92">
            <w:pPr>
              <w:rPr>
                <w:rFonts w:ascii="Aptos" w:eastAsia="Aptos" w:hAnsi="Aptos" w:cs="Times New Roman"/>
              </w:rPr>
            </w:pPr>
          </w:p>
        </w:tc>
      </w:tr>
    </w:tbl>
    <w:bookmarkEnd w:id="19"/>
    <w:bookmarkEnd w:id="20"/>
    <w:p w14:paraId="6C1C4D62" w14:textId="77777777" w:rsidR="00EC0F92" w:rsidRPr="004F289D" w:rsidRDefault="00EC0F92" w:rsidP="00EC0F92">
      <w:pPr>
        <w:spacing w:after="0" w:line="240" w:lineRule="auto"/>
        <w:rPr>
          <w:rFonts w:eastAsia="ScalaOT" w:cs="Times New Roman"/>
          <w:i/>
          <w:iCs/>
          <w:sz w:val="20"/>
          <w:szCs w:val="20"/>
          <w:lang w:val="en-US"/>
        </w:rPr>
      </w:pPr>
      <w:r w:rsidRPr="004F289D">
        <w:rPr>
          <w:rFonts w:eastAsia="ScalaOT" w:cs="Times New Roman"/>
          <w:i/>
          <w:iCs/>
          <w:sz w:val="20"/>
          <w:szCs w:val="20"/>
          <w:lang w:val="en-US"/>
        </w:rPr>
        <w:t xml:space="preserve">Differences &lt; 0.1— CMV </w:t>
      </w:r>
      <w:proofErr w:type="gramStart"/>
      <w:r w:rsidRPr="004F289D">
        <w:rPr>
          <w:rFonts w:eastAsia="ScalaOT" w:cs="Times New Roman"/>
          <w:i/>
          <w:iCs/>
          <w:sz w:val="20"/>
          <w:szCs w:val="20"/>
          <w:lang w:val="en-US"/>
        </w:rPr>
        <w:t>is  negligible</w:t>
      </w:r>
      <w:proofErr w:type="gramEnd"/>
      <w:r w:rsidRPr="004F289D">
        <w:rPr>
          <w:rFonts w:eastAsia="ScalaOT" w:cs="Times New Roman"/>
          <w:i/>
          <w:iCs/>
          <w:sz w:val="20"/>
          <w:szCs w:val="20"/>
          <w:lang w:val="en-US"/>
        </w:rPr>
        <w:t xml:space="preserve">; Differences between 0.1 and 0.2— CMV is low;  </w:t>
      </w:r>
    </w:p>
    <w:p w14:paraId="14D1916E" w14:textId="7B2D0F6D" w:rsidR="00EC0F92" w:rsidRPr="004F289D" w:rsidRDefault="00EC0F92" w:rsidP="00EC0F92">
      <w:pPr>
        <w:spacing w:after="0" w:line="240" w:lineRule="auto"/>
        <w:rPr>
          <w:rFonts w:ascii="Aptos" w:eastAsia="Aptos" w:hAnsi="Aptos" w:cs="Times New Roman"/>
          <w:sz w:val="24"/>
          <w:szCs w:val="24"/>
          <w:lang/>
        </w:rPr>
      </w:pPr>
      <w:r w:rsidRPr="004F289D">
        <w:rPr>
          <w:rFonts w:eastAsia="ScalaOT" w:cs="Times New Roman"/>
          <w:i/>
          <w:iCs/>
          <w:sz w:val="20"/>
          <w:szCs w:val="20"/>
          <w:lang w:val="en-US"/>
        </w:rPr>
        <w:t xml:space="preserve">Differences &gt; 0.2— CMV may be problematic </w:t>
      </w:r>
      <w:r w:rsidR="00BE55F6" w:rsidRPr="004F289D">
        <w:rPr>
          <w:rFonts w:eastAsia="Times New Roman" w:cs="Times New Roman"/>
          <w:i/>
          <w:iCs/>
          <w:kern w:val="0"/>
          <w:sz w:val="20"/>
          <w:szCs w:val="20"/>
          <w:lang w:val="en-US" w:eastAsia="sv-SE"/>
          <w14:ligatures w14:val="none"/>
        </w:rPr>
        <w:t>(</w:t>
      </w:r>
      <w:r w:rsidRPr="004F289D">
        <w:rPr>
          <w:rFonts w:eastAsia="Times New Roman" w:cs="Times New Roman"/>
          <w:i/>
          <w:iCs/>
          <w:kern w:val="0"/>
          <w:sz w:val="20"/>
          <w:szCs w:val="20"/>
          <w:lang w:val="en-US" w:eastAsia="sv-SE"/>
          <w14:ligatures w14:val="none"/>
        </w:rPr>
        <w:t>Differences in our case: lower than 0.2 in all cases</w:t>
      </w:r>
      <w:r w:rsidR="00BE55F6" w:rsidRPr="004F289D">
        <w:rPr>
          <w:rFonts w:eastAsia="Times New Roman" w:cs="Times New Roman"/>
          <w:i/>
          <w:iCs/>
          <w:kern w:val="0"/>
          <w:sz w:val="20"/>
          <w:szCs w:val="20"/>
          <w:lang w:val="en-US" w:eastAsia="sv-SE"/>
          <w14:ligatures w14:val="none"/>
        </w:rPr>
        <w:t>)</w:t>
      </w:r>
    </w:p>
    <w:p w14:paraId="46C4E0EF" w14:textId="77777777" w:rsidR="00EC0F92" w:rsidRPr="004F289D" w:rsidRDefault="00EC0F92" w:rsidP="00EC0F92">
      <w:pPr>
        <w:spacing w:line="278" w:lineRule="auto"/>
        <w:rPr>
          <w:rFonts w:ascii="Aptos" w:eastAsia="Aptos" w:hAnsi="Aptos" w:cs="Times New Roman"/>
          <w:sz w:val="24"/>
          <w:szCs w:val="24"/>
          <w:lang/>
        </w:rPr>
      </w:pPr>
    </w:p>
    <w:p w14:paraId="24143A56" w14:textId="3454D835" w:rsidR="009A75C7" w:rsidRPr="004F289D" w:rsidRDefault="00F34CE2" w:rsidP="00F34CE2">
      <w:pPr>
        <w:spacing w:line="256" w:lineRule="auto"/>
        <w:rPr>
          <w:b/>
          <w:bCs/>
          <w:lang/>
        </w:rPr>
      </w:pPr>
      <w:r w:rsidRPr="004F289D">
        <w:rPr>
          <w:rFonts w:eastAsia="Aptos" w:cs="Times New Roman"/>
        </w:rPr>
        <w:t>Source: Author’s own work</w:t>
      </w:r>
      <w:bookmarkStart w:id="21" w:name="_GoBack"/>
      <w:bookmarkEnd w:id="21"/>
    </w:p>
    <w:sectPr w:rsidR="009A75C7" w:rsidRPr="004F289D" w:rsidSect="00A10A79">
      <w:pgSz w:w="11906" w:h="16838"/>
      <w:pgMar w:top="1440" w:right="1416" w:bottom="1440" w:left="187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E3DC0" w14:textId="77777777" w:rsidR="006810F3" w:rsidRDefault="006810F3" w:rsidP="005905CE">
      <w:pPr>
        <w:spacing w:after="0" w:line="240" w:lineRule="auto"/>
      </w:pPr>
      <w:r>
        <w:separator/>
      </w:r>
    </w:p>
  </w:endnote>
  <w:endnote w:type="continuationSeparator" w:id="0">
    <w:p w14:paraId="3EDCC374" w14:textId="77777777" w:rsidR="006810F3" w:rsidRDefault="006810F3" w:rsidP="00590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alaOT">
    <w:panose1 w:val="00000000000000000000"/>
    <w:charset w:val="00"/>
    <w:family w:val="modern"/>
    <w:notTrueType/>
    <w:pitch w:val="variable"/>
    <w:sig w:usb0="8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ntonSans Medium">
    <w:panose1 w:val="00000000000000000000"/>
    <w:charset w:val="00"/>
    <w:family w:val="modern"/>
    <w:notTrueType/>
    <w:pitch w:val="variable"/>
    <w:sig w:usb0="800000AF" w:usb1="5000204A" w:usb2="00000000" w:usb3="00000000" w:csb0="00000001"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4F51" w14:textId="77777777" w:rsidR="00945E0F" w:rsidRPr="00A63524" w:rsidRDefault="00945E0F" w:rsidP="008E2ECC">
    <w:pPr>
      <w:tabs>
        <w:tab w:val="left" w:pos="-284"/>
        <w:tab w:val="left" w:pos="6521"/>
      </w:tabs>
      <w:spacing w:after="120" w:line="240" w:lineRule="exact"/>
      <w:ind w:right="-341"/>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CB57B" w14:textId="77777777" w:rsidR="006810F3" w:rsidRDefault="006810F3" w:rsidP="005905CE">
      <w:pPr>
        <w:spacing w:after="0" w:line="240" w:lineRule="auto"/>
      </w:pPr>
      <w:r>
        <w:separator/>
      </w:r>
    </w:p>
  </w:footnote>
  <w:footnote w:type="continuationSeparator" w:id="0">
    <w:p w14:paraId="6F149F97" w14:textId="77777777" w:rsidR="006810F3" w:rsidRDefault="006810F3" w:rsidP="00590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139"/>
    <w:multiLevelType w:val="hybridMultilevel"/>
    <w:tmpl w:val="241A7AEA"/>
    <w:lvl w:ilvl="0" w:tplc="041D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67B58B4"/>
    <w:multiLevelType w:val="hybridMultilevel"/>
    <w:tmpl w:val="4E7A04E2"/>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C43454"/>
    <w:multiLevelType w:val="hybridMultilevel"/>
    <w:tmpl w:val="87E4DD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DA85DB6"/>
    <w:multiLevelType w:val="hybridMultilevel"/>
    <w:tmpl w:val="953E0BDE"/>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2CEB752A"/>
    <w:multiLevelType w:val="hybridMultilevel"/>
    <w:tmpl w:val="41D4B2E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2E651872"/>
    <w:multiLevelType w:val="hybridMultilevel"/>
    <w:tmpl w:val="055CF2C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8DF0AC9"/>
    <w:multiLevelType w:val="hybridMultilevel"/>
    <w:tmpl w:val="EC30B50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39B04180"/>
    <w:multiLevelType w:val="hybridMultilevel"/>
    <w:tmpl w:val="F8488BAC"/>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3D4672A1"/>
    <w:multiLevelType w:val="hybridMultilevel"/>
    <w:tmpl w:val="D174E4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4152033"/>
    <w:multiLevelType w:val="hybridMultilevel"/>
    <w:tmpl w:val="E726217E"/>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5D37CF8"/>
    <w:multiLevelType w:val="hybridMultilevel"/>
    <w:tmpl w:val="266EB2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8FC412C"/>
    <w:multiLevelType w:val="hybridMultilevel"/>
    <w:tmpl w:val="FAAAD07E"/>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4CA52959"/>
    <w:multiLevelType w:val="hybridMultilevel"/>
    <w:tmpl w:val="E31410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7AF7DBF"/>
    <w:multiLevelType w:val="hybridMultilevel"/>
    <w:tmpl w:val="A5CC2A4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8FF4B91"/>
    <w:multiLevelType w:val="hybridMultilevel"/>
    <w:tmpl w:val="682A939C"/>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6BF56ED2"/>
    <w:multiLevelType w:val="hybridMultilevel"/>
    <w:tmpl w:val="5D46C9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0007025"/>
    <w:multiLevelType w:val="hybridMultilevel"/>
    <w:tmpl w:val="B3EAB48A"/>
    <w:lvl w:ilvl="0" w:tplc="C068CFC4">
      <w:start w:val="1"/>
      <w:numFmt w:val="decimal"/>
      <w:pStyle w:val="ListParagraph"/>
      <w:lvlText w:val="%1."/>
      <w:lvlJc w:val="left"/>
      <w:pPr>
        <w:ind w:left="2231" w:hanging="360"/>
      </w:pPr>
      <w:rPr>
        <w:rFonts w:hint="default"/>
      </w:rPr>
    </w:lvl>
    <w:lvl w:ilvl="1" w:tplc="041D0019" w:tentative="1">
      <w:start w:val="1"/>
      <w:numFmt w:val="lowerLetter"/>
      <w:lvlText w:val="%2."/>
      <w:lvlJc w:val="left"/>
      <w:pPr>
        <w:ind w:left="2951" w:hanging="360"/>
      </w:pPr>
    </w:lvl>
    <w:lvl w:ilvl="2" w:tplc="041D001B" w:tentative="1">
      <w:start w:val="1"/>
      <w:numFmt w:val="lowerRoman"/>
      <w:lvlText w:val="%3."/>
      <w:lvlJc w:val="right"/>
      <w:pPr>
        <w:ind w:left="3671" w:hanging="180"/>
      </w:pPr>
    </w:lvl>
    <w:lvl w:ilvl="3" w:tplc="041D000F" w:tentative="1">
      <w:start w:val="1"/>
      <w:numFmt w:val="decimal"/>
      <w:lvlText w:val="%4."/>
      <w:lvlJc w:val="left"/>
      <w:pPr>
        <w:ind w:left="4391" w:hanging="360"/>
      </w:pPr>
    </w:lvl>
    <w:lvl w:ilvl="4" w:tplc="041D0019" w:tentative="1">
      <w:start w:val="1"/>
      <w:numFmt w:val="lowerLetter"/>
      <w:lvlText w:val="%5."/>
      <w:lvlJc w:val="left"/>
      <w:pPr>
        <w:ind w:left="5111" w:hanging="360"/>
      </w:pPr>
    </w:lvl>
    <w:lvl w:ilvl="5" w:tplc="041D001B" w:tentative="1">
      <w:start w:val="1"/>
      <w:numFmt w:val="lowerRoman"/>
      <w:lvlText w:val="%6."/>
      <w:lvlJc w:val="right"/>
      <w:pPr>
        <w:ind w:left="5831" w:hanging="180"/>
      </w:pPr>
    </w:lvl>
    <w:lvl w:ilvl="6" w:tplc="041D000F" w:tentative="1">
      <w:start w:val="1"/>
      <w:numFmt w:val="decimal"/>
      <w:lvlText w:val="%7."/>
      <w:lvlJc w:val="left"/>
      <w:pPr>
        <w:ind w:left="6551" w:hanging="360"/>
      </w:pPr>
    </w:lvl>
    <w:lvl w:ilvl="7" w:tplc="041D0019" w:tentative="1">
      <w:start w:val="1"/>
      <w:numFmt w:val="lowerLetter"/>
      <w:lvlText w:val="%8."/>
      <w:lvlJc w:val="left"/>
      <w:pPr>
        <w:ind w:left="7271" w:hanging="360"/>
      </w:pPr>
    </w:lvl>
    <w:lvl w:ilvl="8" w:tplc="041D001B" w:tentative="1">
      <w:start w:val="1"/>
      <w:numFmt w:val="lowerRoman"/>
      <w:lvlText w:val="%9."/>
      <w:lvlJc w:val="right"/>
      <w:pPr>
        <w:ind w:left="7991" w:hanging="180"/>
      </w:pPr>
    </w:lvl>
  </w:abstractNum>
  <w:abstractNum w:abstractNumId="17" w15:restartNumberingAfterBreak="0">
    <w:nsid w:val="77AA7D0E"/>
    <w:multiLevelType w:val="hybridMultilevel"/>
    <w:tmpl w:val="B212DCA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79AC7BCF"/>
    <w:multiLevelType w:val="hybridMultilevel"/>
    <w:tmpl w:val="A462B05C"/>
    <w:lvl w:ilvl="0" w:tplc="0D00F67C">
      <w:start w:val="1"/>
      <w:numFmt w:val="decimal"/>
      <w:suff w:val="nothing"/>
      <w:lvlText w:val="%1."/>
      <w:lvlJc w:val="left"/>
      <w:pPr>
        <w:ind w:left="0" w:firstLine="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7C7D29F4"/>
    <w:multiLevelType w:val="hybridMultilevel"/>
    <w:tmpl w:val="941EC6FA"/>
    <w:lvl w:ilvl="0" w:tplc="041D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12"/>
  </w:num>
  <w:num w:numId="2">
    <w:abstractNumId w:val="18"/>
  </w:num>
  <w:num w:numId="3">
    <w:abstractNumId w:val="16"/>
  </w:num>
  <w:num w:numId="4">
    <w:abstractNumId w:val="19"/>
  </w:num>
  <w:num w:numId="5">
    <w:abstractNumId w:val="17"/>
  </w:num>
  <w:num w:numId="6">
    <w:abstractNumId w:val="2"/>
  </w:num>
  <w:num w:numId="7">
    <w:abstractNumId w:val="15"/>
  </w:num>
  <w:num w:numId="8">
    <w:abstractNumId w:val="8"/>
  </w:num>
  <w:num w:numId="9">
    <w:abstractNumId w:val="13"/>
  </w:num>
  <w:num w:numId="10">
    <w:abstractNumId w:val="6"/>
  </w:num>
  <w:num w:numId="11">
    <w:abstractNumId w:val="5"/>
  </w:num>
  <w:num w:numId="12">
    <w:abstractNumId w:val="4"/>
  </w:num>
  <w:num w:numId="13">
    <w:abstractNumId w:val="0"/>
  </w:num>
  <w:num w:numId="14">
    <w:abstractNumId w:val="10"/>
  </w:num>
  <w:num w:numId="15">
    <w:abstractNumId w:val="1"/>
  </w:num>
  <w:num w:numId="16">
    <w:abstractNumId w:val="14"/>
  </w:num>
  <w:num w:numId="17">
    <w:abstractNumId w:val="9"/>
  </w:num>
  <w:num w:numId="18">
    <w:abstractNumId w:val="11"/>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BA"/>
    <w:rsid w:val="00002021"/>
    <w:rsid w:val="00005F54"/>
    <w:rsid w:val="0001109B"/>
    <w:rsid w:val="000116FE"/>
    <w:rsid w:val="0001254E"/>
    <w:rsid w:val="000206CB"/>
    <w:rsid w:val="00044CB4"/>
    <w:rsid w:val="000479A1"/>
    <w:rsid w:val="000645E6"/>
    <w:rsid w:val="000B085A"/>
    <w:rsid w:val="000B1F4D"/>
    <w:rsid w:val="000C0B6A"/>
    <w:rsid w:val="000C1335"/>
    <w:rsid w:val="000C2518"/>
    <w:rsid w:val="000D13C4"/>
    <w:rsid w:val="000E137A"/>
    <w:rsid w:val="00105D54"/>
    <w:rsid w:val="001079A2"/>
    <w:rsid w:val="00112FD7"/>
    <w:rsid w:val="001157D8"/>
    <w:rsid w:val="0012198A"/>
    <w:rsid w:val="00122FE9"/>
    <w:rsid w:val="001260DA"/>
    <w:rsid w:val="00142C62"/>
    <w:rsid w:val="00145A37"/>
    <w:rsid w:val="00172301"/>
    <w:rsid w:val="001C00B0"/>
    <w:rsid w:val="001C61B5"/>
    <w:rsid w:val="001D01F9"/>
    <w:rsid w:val="001D2A70"/>
    <w:rsid w:val="001E5C5C"/>
    <w:rsid w:val="001E6D84"/>
    <w:rsid w:val="001F10D3"/>
    <w:rsid w:val="001F3D08"/>
    <w:rsid w:val="002035FD"/>
    <w:rsid w:val="002045BF"/>
    <w:rsid w:val="00207436"/>
    <w:rsid w:val="00217CAF"/>
    <w:rsid w:val="00217E56"/>
    <w:rsid w:val="00253D5D"/>
    <w:rsid w:val="00267367"/>
    <w:rsid w:val="002922B1"/>
    <w:rsid w:val="0029575A"/>
    <w:rsid w:val="002B432A"/>
    <w:rsid w:val="002C218D"/>
    <w:rsid w:val="002E36BA"/>
    <w:rsid w:val="002E3C2B"/>
    <w:rsid w:val="002F6718"/>
    <w:rsid w:val="003039F7"/>
    <w:rsid w:val="00337ECC"/>
    <w:rsid w:val="00341148"/>
    <w:rsid w:val="00345104"/>
    <w:rsid w:val="0036252B"/>
    <w:rsid w:val="00363C40"/>
    <w:rsid w:val="00363C8E"/>
    <w:rsid w:val="003A03A8"/>
    <w:rsid w:val="003B2055"/>
    <w:rsid w:val="003B22A0"/>
    <w:rsid w:val="003C066F"/>
    <w:rsid w:val="003C1C76"/>
    <w:rsid w:val="003D3FD6"/>
    <w:rsid w:val="003D5087"/>
    <w:rsid w:val="003E231D"/>
    <w:rsid w:val="003E3E1B"/>
    <w:rsid w:val="003E4AE7"/>
    <w:rsid w:val="003E584C"/>
    <w:rsid w:val="00401C79"/>
    <w:rsid w:val="0041090C"/>
    <w:rsid w:val="00411DB9"/>
    <w:rsid w:val="00420A63"/>
    <w:rsid w:val="0044149D"/>
    <w:rsid w:val="00442FA1"/>
    <w:rsid w:val="00447094"/>
    <w:rsid w:val="00447876"/>
    <w:rsid w:val="00450B48"/>
    <w:rsid w:val="0046777C"/>
    <w:rsid w:val="00467D92"/>
    <w:rsid w:val="00470217"/>
    <w:rsid w:val="004727D2"/>
    <w:rsid w:val="00472DF2"/>
    <w:rsid w:val="0047503F"/>
    <w:rsid w:val="00475976"/>
    <w:rsid w:val="00477C1E"/>
    <w:rsid w:val="00485D56"/>
    <w:rsid w:val="00490235"/>
    <w:rsid w:val="00491B2F"/>
    <w:rsid w:val="004946F8"/>
    <w:rsid w:val="004A5D5C"/>
    <w:rsid w:val="004A78BB"/>
    <w:rsid w:val="004B1691"/>
    <w:rsid w:val="004C08AA"/>
    <w:rsid w:val="004C4FBB"/>
    <w:rsid w:val="004C5C81"/>
    <w:rsid w:val="004D1B0F"/>
    <w:rsid w:val="004D51E6"/>
    <w:rsid w:val="004D6B5A"/>
    <w:rsid w:val="004E0947"/>
    <w:rsid w:val="004E12EA"/>
    <w:rsid w:val="004E265D"/>
    <w:rsid w:val="004F289D"/>
    <w:rsid w:val="00502AEE"/>
    <w:rsid w:val="00503ED7"/>
    <w:rsid w:val="0051118C"/>
    <w:rsid w:val="00531589"/>
    <w:rsid w:val="005322A4"/>
    <w:rsid w:val="00540492"/>
    <w:rsid w:val="00542D98"/>
    <w:rsid w:val="0055172E"/>
    <w:rsid w:val="00575499"/>
    <w:rsid w:val="00580537"/>
    <w:rsid w:val="00581544"/>
    <w:rsid w:val="005905CE"/>
    <w:rsid w:val="00594AF5"/>
    <w:rsid w:val="005B799D"/>
    <w:rsid w:val="005C228B"/>
    <w:rsid w:val="005E0A7B"/>
    <w:rsid w:val="005E1905"/>
    <w:rsid w:val="005F6335"/>
    <w:rsid w:val="00602AB1"/>
    <w:rsid w:val="00604E25"/>
    <w:rsid w:val="00606037"/>
    <w:rsid w:val="006078EB"/>
    <w:rsid w:val="0061021D"/>
    <w:rsid w:val="00616FC7"/>
    <w:rsid w:val="00641F7E"/>
    <w:rsid w:val="00663746"/>
    <w:rsid w:val="006810F3"/>
    <w:rsid w:val="00693250"/>
    <w:rsid w:val="006A2AD7"/>
    <w:rsid w:val="006B33E7"/>
    <w:rsid w:val="006B7935"/>
    <w:rsid w:val="006C1F85"/>
    <w:rsid w:val="006D57E1"/>
    <w:rsid w:val="006D6057"/>
    <w:rsid w:val="006E3808"/>
    <w:rsid w:val="006E45EC"/>
    <w:rsid w:val="006F2DAF"/>
    <w:rsid w:val="007007C8"/>
    <w:rsid w:val="00707254"/>
    <w:rsid w:val="00710711"/>
    <w:rsid w:val="00711E3B"/>
    <w:rsid w:val="00723939"/>
    <w:rsid w:val="007367D1"/>
    <w:rsid w:val="00737E58"/>
    <w:rsid w:val="00771026"/>
    <w:rsid w:val="00781EC1"/>
    <w:rsid w:val="0079626B"/>
    <w:rsid w:val="007A4017"/>
    <w:rsid w:val="007A5EDD"/>
    <w:rsid w:val="007B055F"/>
    <w:rsid w:val="007B3AE7"/>
    <w:rsid w:val="007B7757"/>
    <w:rsid w:val="007C5D85"/>
    <w:rsid w:val="007C7649"/>
    <w:rsid w:val="007D245D"/>
    <w:rsid w:val="007D72B8"/>
    <w:rsid w:val="007F7A95"/>
    <w:rsid w:val="00821FDE"/>
    <w:rsid w:val="00825170"/>
    <w:rsid w:val="008304F9"/>
    <w:rsid w:val="00837C01"/>
    <w:rsid w:val="00844023"/>
    <w:rsid w:val="00856A9C"/>
    <w:rsid w:val="00860701"/>
    <w:rsid w:val="0086428C"/>
    <w:rsid w:val="008707B9"/>
    <w:rsid w:val="008A11E3"/>
    <w:rsid w:val="008A5966"/>
    <w:rsid w:val="008D4CDF"/>
    <w:rsid w:val="008E2ECC"/>
    <w:rsid w:val="008E4A8C"/>
    <w:rsid w:val="008E6378"/>
    <w:rsid w:val="008F20E7"/>
    <w:rsid w:val="008F255E"/>
    <w:rsid w:val="008F46D7"/>
    <w:rsid w:val="00900CD4"/>
    <w:rsid w:val="009025CE"/>
    <w:rsid w:val="009200C4"/>
    <w:rsid w:val="00926D53"/>
    <w:rsid w:val="00927C25"/>
    <w:rsid w:val="009302DE"/>
    <w:rsid w:val="00945E0F"/>
    <w:rsid w:val="00970A3B"/>
    <w:rsid w:val="00972012"/>
    <w:rsid w:val="009764C5"/>
    <w:rsid w:val="00977594"/>
    <w:rsid w:val="009A3129"/>
    <w:rsid w:val="009A52E8"/>
    <w:rsid w:val="009A75C7"/>
    <w:rsid w:val="009B03DF"/>
    <w:rsid w:val="009D5E24"/>
    <w:rsid w:val="009E5CB9"/>
    <w:rsid w:val="009F10A8"/>
    <w:rsid w:val="009F37E8"/>
    <w:rsid w:val="009F6562"/>
    <w:rsid w:val="009F74BD"/>
    <w:rsid w:val="00A024C5"/>
    <w:rsid w:val="00A037DB"/>
    <w:rsid w:val="00A04241"/>
    <w:rsid w:val="00A10A79"/>
    <w:rsid w:val="00A204E1"/>
    <w:rsid w:val="00A4043F"/>
    <w:rsid w:val="00A46C9C"/>
    <w:rsid w:val="00A50FA7"/>
    <w:rsid w:val="00A514A7"/>
    <w:rsid w:val="00A563FC"/>
    <w:rsid w:val="00A57355"/>
    <w:rsid w:val="00A5777E"/>
    <w:rsid w:val="00A63524"/>
    <w:rsid w:val="00A70295"/>
    <w:rsid w:val="00A719FD"/>
    <w:rsid w:val="00A73B64"/>
    <w:rsid w:val="00A82B1B"/>
    <w:rsid w:val="00A9125F"/>
    <w:rsid w:val="00A94CE1"/>
    <w:rsid w:val="00A95457"/>
    <w:rsid w:val="00AA3E04"/>
    <w:rsid w:val="00AB057F"/>
    <w:rsid w:val="00AB32ED"/>
    <w:rsid w:val="00AC28B9"/>
    <w:rsid w:val="00AE1E56"/>
    <w:rsid w:val="00AE2E11"/>
    <w:rsid w:val="00AE501E"/>
    <w:rsid w:val="00AF3677"/>
    <w:rsid w:val="00B00BB1"/>
    <w:rsid w:val="00B1378A"/>
    <w:rsid w:val="00B23DED"/>
    <w:rsid w:val="00B325B6"/>
    <w:rsid w:val="00B36BAB"/>
    <w:rsid w:val="00B437D1"/>
    <w:rsid w:val="00B6222D"/>
    <w:rsid w:val="00B67AF2"/>
    <w:rsid w:val="00B70300"/>
    <w:rsid w:val="00B83D9E"/>
    <w:rsid w:val="00B859B0"/>
    <w:rsid w:val="00B90372"/>
    <w:rsid w:val="00B9720D"/>
    <w:rsid w:val="00BA0513"/>
    <w:rsid w:val="00BC3F2C"/>
    <w:rsid w:val="00BC6908"/>
    <w:rsid w:val="00BC7031"/>
    <w:rsid w:val="00BD079C"/>
    <w:rsid w:val="00BD57AD"/>
    <w:rsid w:val="00BD7DAA"/>
    <w:rsid w:val="00BE07EC"/>
    <w:rsid w:val="00BE55F6"/>
    <w:rsid w:val="00BF3A9B"/>
    <w:rsid w:val="00BF573A"/>
    <w:rsid w:val="00C0169D"/>
    <w:rsid w:val="00C025E0"/>
    <w:rsid w:val="00C17699"/>
    <w:rsid w:val="00C228BA"/>
    <w:rsid w:val="00C22E2B"/>
    <w:rsid w:val="00C2742F"/>
    <w:rsid w:val="00C34F5F"/>
    <w:rsid w:val="00C36C45"/>
    <w:rsid w:val="00C400F3"/>
    <w:rsid w:val="00C4552B"/>
    <w:rsid w:val="00C57B4B"/>
    <w:rsid w:val="00C57B5F"/>
    <w:rsid w:val="00C64748"/>
    <w:rsid w:val="00C803B0"/>
    <w:rsid w:val="00C81594"/>
    <w:rsid w:val="00C8521F"/>
    <w:rsid w:val="00CC77DC"/>
    <w:rsid w:val="00CD4E18"/>
    <w:rsid w:val="00CF7430"/>
    <w:rsid w:val="00D04826"/>
    <w:rsid w:val="00D24DAC"/>
    <w:rsid w:val="00D255E4"/>
    <w:rsid w:val="00D31509"/>
    <w:rsid w:val="00D4470D"/>
    <w:rsid w:val="00D559F4"/>
    <w:rsid w:val="00D64330"/>
    <w:rsid w:val="00D726D8"/>
    <w:rsid w:val="00D816EC"/>
    <w:rsid w:val="00D97797"/>
    <w:rsid w:val="00D97E7A"/>
    <w:rsid w:val="00DA7F69"/>
    <w:rsid w:val="00DB132D"/>
    <w:rsid w:val="00DB7BAE"/>
    <w:rsid w:val="00DC2A94"/>
    <w:rsid w:val="00DC456D"/>
    <w:rsid w:val="00DD5A37"/>
    <w:rsid w:val="00DD66A3"/>
    <w:rsid w:val="00DE4B09"/>
    <w:rsid w:val="00E26D28"/>
    <w:rsid w:val="00E32CE9"/>
    <w:rsid w:val="00E47A50"/>
    <w:rsid w:val="00E52D4C"/>
    <w:rsid w:val="00E77531"/>
    <w:rsid w:val="00E8278A"/>
    <w:rsid w:val="00E91A21"/>
    <w:rsid w:val="00E92C82"/>
    <w:rsid w:val="00E97654"/>
    <w:rsid w:val="00EA0637"/>
    <w:rsid w:val="00EA4C0E"/>
    <w:rsid w:val="00EA4E67"/>
    <w:rsid w:val="00EB27FB"/>
    <w:rsid w:val="00EC0F92"/>
    <w:rsid w:val="00EC3C41"/>
    <w:rsid w:val="00ED496C"/>
    <w:rsid w:val="00EE4604"/>
    <w:rsid w:val="00EF2445"/>
    <w:rsid w:val="00F013F2"/>
    <w:rsid w:val="00F2068E"/>
    <w:rsid w:val="00F27057"/>
    <w:rsid w:val="00F34232"/>
    <w:rsid w:val="00F34CE2"/>
    <w:rsid w:val="00F37D85"/>
    <w:rsid w:val="00F44E8D"/>
    <w:rsid w:val="00F47CCD"/>
    <w:rsid w:val="00F54A4E"/>
    <w:rsid w:val="00F65BB8"/>
    <w:rsid w:val="00F77C54"/>
    <w:rsid w:val="00F81BED"/>
    <w:rsid w:val="00F86E0B"/>
    <w:rsid w:val="00F9529B"/>
    <w:rsid w:val="00F96F7C"/>
    <w:rsid w:val="00FA0BEA"/>
    <w:rsid w:val="00FA172E"/>
    <w:rsid w:val="00FA56EF"/>
    <w:rsid w:val="00FA5788"/>
    <w:rsid w:val="00FA5818"/>
    <w:rsid w:val="00FA6E49"/>
    <w:rsid w:val="00FC1943"/>
    <w:rsid w:val="00FC24AD"/>
    <w:rsid w:val="00FC7205"/>
    <w:rsid w:val="00FC73A9"/>
    <w:rsid w:val="00FD38FE"/>
    <w:rsid w:val="00FE572A"/>
    <w:rsid w:val="00FF451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E0D46"/>
  <w15:chartTrackingRefBased/>
  <w15:docId w15:val="{623C5A8C-13C6-48EA-927F-92A18031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E6"/>
    <w:rPr>
      <w:rFonts w:ascii="Times New Roman" w:hAnsi="Times New Roman"/>
    </w:rPr>
  </w:style>
  <w:style w:type="paragraph" w:styleId="Heading1">
    <w:name w:val="heading 1"/>
    <w:basedOn w:val="Normal"/>
    <w:next w:val="BodyText"/>
    <w:link w:val="Heading1Char"/>
    <w:uiPriority w:val="9"/>
    <w:qFormat/>
    <w:rsid w:val="000645E6"/>
    <w:pPr>
      <w:spacing w:before="100" w:beforeAutospacing="1" w:after="100" w:afterAutospacing="1" w:line="240" w:lineRule="auto"/>
      <w:ind w:right="1871"/>
      <w:outlineLvl w:val="0"/>
    </w:pPr>
    <w:rPr>
      <w:rFonts w:ascii="Arial" w:hAnsi="Arial"/>
      <w:b/>
    </w:rPr>
  </w:style>
  <w:style w:type="paragraph" w:styleId="Heading2">
    <w:name w:val="heading 2"/>
    <w:basedOn w:val="Normal"/>
    <w:next w:val="BodyText"/>
    <w:link w:val="Heading2Char"/>
    <w:uiPriority w:val="9"/>
    <w:unhideWhenUsed/>
    <w:qFormat/>
    <w:rsid w:val="000645E6"/>
    <w:pPr>
      <w:spacing w:before="100" w:beforeAutospacing="1" w:after="100" w:afterAutospacing="1" w:line="260" w:lineRule="exact"/>
      <w:ind w:right="1871"/>
      <w:outlineLvl w:val="1"/>
    </w:pPr>
    <w:rPr>
      <w:rFonts w:ascii="Arial" w:hAnsi="Arial"/>
      <w:b/>
      <w:sz w:val="20"/>
      <w:szCs w:val="20"/>
    </w:rPr>
  </w:style>
  <w:style w:type="paragraph" w:styleId="Heading3">
    <w:name w:val="heading 3"/>
    <w:basedOn w:val="Normal"/>
    <w:next w:val="Normal"/>
    <w:link w:val="Heading3Char"/>
    <w:uiPriority w:val="9"/>
    <w:semiHidden/>
    <w:unhideWhenUsed/>
    <w:rsid w:val="000645E6"/>
    <w:pPr>
      <w:keepNext/>
      <w:keepLines/>
      <w:spacing w:before="200" w:after="0"/>
      <w:outlineLvl w:val="2"/>
    </w:pPr>
    <w:rPr>
      <w:rFonts w:ascii="Arial" w:eastAsiaTheme="majorEastAsia" w:hAnsi="Arial" w:cstheme="majorBidi"/>
      <w:bCs/>
      <w:sz w:val="20"/>
    </w:rPr>
  </w:style>
  <w:style w:type="paragraph" w:styleId="Heading4">
    <w:name w:val="heading 4"/>
    <w:basedOn w:val="Normal"/>
    <w:next w:val="Normal"/>
    <w:link w:val="Heading4Char"/>
    <w:uiPriority w:val="9"/>
    <w:semiHidden/>
    <w:unhideWhenUsed/>
    <w:qFormat/>
    <w:rsid w:val="00C228BA"/>
    <w:pPr>
      <w:keepNext/>
      <w:keepLines/>
      <w:spacing w:before="80" w:after="40"/>
      <w:outlineLvl w:val="3"/>
    </w:pPr>
    <w:rPr>
      <w:rFonts w:asciiTheme="minorHAnsi" w:eastAsiaTheme="majorEastAsia" w:hAnsiTheme="minorHAnsi" w:cstheme="majorBidi"/>
      <w:i/>
      <w:iCs/>
      <w:color w:val="B38F0E" w:themeColor="accent1" w:themeShade="BF"/>
    </w:rPr>
  </w:style>
  <w:style w:type="paragraph" w:styleId="Heading5">
    <w:name w:val="heading 5"/>
    <w:basedOn w:val="Normal"/>
    <w:next w:val="Normal"/>
    <w:link w:val="Heading5Char"/>
    <w:uiPriority w:val="9"/>
    <w:semiHidden/>
    <w:unhideWhenUsed/>
    <w:qFormat/>
    <w:rsid w:val="00C228BA"/>
    <w:pPr>
      <w:keepNext/>
      <w:keepLines/>
      <w:spacing w:before="80" w:after="40"/>
      <w:outlineLvl w:val="4"/>
    </w:pPr>
    <w:rPr>
      <w:rFonts w:asciiTheme="minorHAnsi" w:eastAsiaTheme="majorEastAsia" w:hAnsiTheme="minorHAnsi" w:cstheme="majorBidi"/>
      <w:color w:val="B38F0E" w:themeColor="accent1" w:themeShade="BF"/>
    </w:rPr>
  </w:style>
  <w:style w:type="paragraph" w:styleId="Heading6">
    <w:name w:val="heading 6"/>
    <w:basedOn w:val="Normal"/>
    <w:next w:val="Normal"/>
    <w:link w:val="Heading6Char"/>
    <w:uiPriority w:val="9"/>
    <w:semiHidden/>
    <w:unhideWhenUsed/>
    <w:qFormat/>
    <w:rsid w:val="00C228B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28B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28B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28B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5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05CE"/>
  </w:style>
  <w:style w:type="paragraph" w:styleId="Footer">
    <w:name w:val="footer"/>
    <w:basedOn w:val="Normal"/>
    <w:link w:val="FooterChar"/>
    <w:uiPriority w:val="99"/>
    <w:unhideWhenUsed/>
    <w:rsid w:val="005905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05CE"/>
  </w:style>
  <w:style w:type="paragraph" w:styleId="ListParagraph">
    <w:name w:val="List Paragraph"/>
    <w:basedOn w:val="Normal"/>
    <w:uiPriority w:val="34"/>
    <w:qFormat/>
    <w:rsid w:val="000645E6"/>
    <w:pPr>
      <w:numPr>
        <w:numId w:val="3"/>
      </w:numPr>
      <w:spacing w:before="100" w:beforeAutospacing="1" w:after="100" w:afterAutospacing="1" w:line="260" w:lineRule="exact"/>
      <w:ind w:left="360"/>
      <w:contextualSpacing/>
    </w:pPr>
    <w:rPr>
      <w:szCs w:val="20"/>
    </w:rPr>
  </w:style>
  <w:style w:type="character" w:styleId="Hyperlink">
    <w:name w:val="Hyperlink"/>
    <w:basedOn w:val="DefaultParagraphFont"/>
    <w:uiPriority w:val="99"/>
    <w:unhideWhenUsed/>
    <w:rsid w:val="000645E6"/>
    <w:rPr>
      <w:rFonts w:ascii="Times New Roman" w:hAnsi="Times New Roman"/>
      <w:color w:val="0563C1" w:themeColor="hyperlink"/>
      <w:sz w:val="22"/>
      <w:u w:val="single"/>
    </w:rPr>
  </w:style>
  <w:style w:type="paragraph" w:styleId="BalloonText">
    <w:name w:val="Balloon Text"/>
    <w:basedOn w:val="Normal"/>
    <w:link w:val="BalloonTextChar"/>
    <w:uiPriority w:val="99"/>
    <w:semiHidden/>
    <w:unhideWhenUsed/>
    <w:rsid w:val="000B08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85A"/>
    <w:rPr>
      <w:rFonts w:ascii="Segoe UI" w:hAnsi="Segoe UI" w:cs="Segoe UI"/>
      <w:sz w:val="18"/>
      <w:szCs w:val="18"/>
    </w:rPr>
  </w:style>
  <w:style w:type="character" w:customStyle="1" w:styleId="Heading1Char">
    <w:name w:val="Heading 1 Char"/>
    <w:basedOn w:val="DefaultParagraphFont"/>
    <w:link w:val="Heading1"/>
    <w:uiPriority w:val="9"/>
    <w:rsid w:val="000645E6"/>
    <w:rPr>
      <w:rFonts w:ascii="Arial" w:hAnsi="Arial"/>
      <w:b/>
    </w:rPr>
  </w:style>
  <w:style w:type="character" w:customStyle="1" w:styleId="Heading2Char">
    <w:name w:val="Heading 2 Char"/>
    <w:basedOn w:val="DefaultParagraphFont"/>
    <w:link w:val="Heading2"/>
    <w:uiPriority w:val="9"/>
    <w:rsid w:val="000645E6"/>
    <w:rPr>
      <w:rFonts w:ascii="Arial" w:hAnsi="Arial"/>
      <w:b/>
      <w:sz w:val="20"/>
      <w:szCs w:val="20"/>
    </w:rPr>
  </w:style>
  <w:style w:type="character" w:customStyle="1" w:styleId="Heading3Char">
    <w:name w:val="Heading 3 Char"/>
    <w:basedOn w:val="DefaultParagraphFont"/>
    <w:link w:val="Heading3"/>
    <w:uiPriority w:val="9"/>
    <w:semiHidden/>
    <w:rsid w:val="000645E6"/>
    <w:rPr>
      <w:rFonts w:ascii="Arial" w:eastAsiaTheme="majorEastAsia" w:hAnsi="Arial" w:cstheme="majorBidi"/>
      <w:bCs/>
      <w:sz w:val="20"/>
    </w:rPr>
  </w:style>
  <w:style w:type="paragraph" w:styleId="NoSpacing">
    <w:name w:val="No Spacing"/>
    <w:basedOn w:val="Normal"/>
    <w:uiPriority w:val="1"/>
    <w:qFormat/>
    <w:rsid w:val="000645E6"/>
  </w:style>
  <w:style w:type="paragraph" w:styleId="BodyText">
    <w:name w:val="Body Text"/>
    <w:basedOn w:val="Normal"/>
    <w:link w:val="BodyTextChar"/>
    <w:uiPriority w:val="99"/>
    <w:unhideWhenUsed/>
    <w:qFormat/>
    <w:rsid w:val="000645E6"/>
    <w:pPr>
      <w:spacing w:before="100" w:beforeAutospacing="1" w:after="100" w:afterAutospacing="1" w:line="260" w:lineRule="exact"/>
    </w:pPr>
  </w:style>
  <w:style w:type="character" w:customStyle="1" w:styleId="BodyTextChar">
    <w:name w:val="Body Text Char"/>
    <w:basedOn w:val="DefaultParagraphFont"/>
    <w:link w:val="BodyText"/>
    <w:uiPriority w:val="99"/>
    <w:rsid w:val="000645E6"/>
    <w:rPr>
      <w:rFonts w:ascii="Times New Roman" w:hAnsi="Times New Roman"/>
    </w:rPr>
  </w:style>
  <w:style w:type="character" w:customStyle="1" w:styleId="Heading4Char">
    <w:name w:val="Heading 4 Char"/>
    <w:basedOn w:val="DefaultParagraphFont"/>
    <w:link w:val="Heading4"/>
    <w:uiPriority w:val="9"/>
    <w:semiHidden/>
    <w:rsid w:val="00C228BA"/>
    <w:rPr>
      <w:rFonts w:eastAsiaTheme="majorEastAsia" w:cstheme="majorBidi"/>
      <w:i/>
      <w:iCs/>
      <w:color w:val="B38F0E" w:themeColor="accent1" w:themeShade="BF"/>
    </w:rPr>
  </w:style>
  <w:style w:type="character" w:customStyle="1" w:styleId="Heading5Char">
    <w:name w:val="Heading 5 Char"/>
    <w:basedOn w:val="DefaultParagraphFont"/>
    <w:link w:val="Heading5"/>
    <w:uiPriority w:val="9"/>
    <w:semiHidden/>
    <w:rsid w:val="00C228BA"/>
    <w:rPr>
      <w:rFonts w:eastAsiaTheme="majorEastAsia" w:cstheme="majorBidi"/>
      <w:color w:val="B38F0E" w:themeColor="accent1" w:themeShade="BF"/>
    </w:rPr>
  </w:style>
  <w:style w:type="character" w:customStyle="1" w:styleId="Heading6Char">
    <w:name w:val="Heading 6 Char"/>
    <w:basedOn w:val="DefaultParagraphFont"/>
    <w:link w:val="Heading6"/>
    <w:uiPriority w:val="9"/>
    <w:semiHidden/>
    <w:rsid w:val="00C228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8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8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8BA"/>
    <w:rPr>
      <w:rFonts w:eastAsiaTheme="majorEastAsia" w:cstheme="majorBidi"/>
      <w:color w:val="272727" w:themeColor="text1" w:themeTint="D8"/>
    </w:rPr>
  </w:style>
  <w:style w:type="paragraph" w:styleId="Title">
    <w:name w:val="Title"/>
    <w:basedOn w:val="Normal"/>
    <w:next w:val="Normal"/>
    <w:link w:val="TitleChar"/>
    <w:uiPriority w:val="10"/>
    <w:rsid w:val="00C22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C228B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8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C228BA"/>
    <w:pPr>
      <w:spacing w:before="160"/>
      <w:jc w:val="center"/>
    </w:pPr>
    <w:rPr>
      <w:i/>
      <w:iCs/>
      <w:color w:val="404040" w:themeColor="text1" w:themeTint="BF"/>
    </w:rPr>
  </w:style>
  <w:style w:type="character" w:customStyle="1" w:styleId="QuoteChar">
    <w:name w:val="Quote Char"/>
    <w:basedOn w:val="DefaultParagraphFont"/>
    <w:link w:val="Quote"/>
    <w:uiPriority w:val="29"/>
    <w:rsid w:val="00C228BA"/>
    <w:rPr>
      <w:rFonts w:ascii="Times New Roman" w:hAnsi="Times New Roman"/>
      <w:i/>
      <w:iCs/>
      <w:color w:val="404040" w:themeColor="text1" w:themeTint="BF"/>
    </w:rPr>
  </w:style>
  <w:style w:type="character" w:styleId="IntenseEmphasis">
    <w:name w:val="Intense Emphasis"/>
    <w:basedOn w:val="DefaultParagraphFont"/>
    <w:uiPriority w:val="21"/>
    <w:rsid w:val="00C228BA"/>
    <w:rPr>
      <w:i/>
      <w:iCs/>
      <w:color w:val="B38F0E" w:themeColor="accent1" w:themeShade="BF"/>
    </w:rPr>
  </w:style>
  <w:style w:type="paragraph" w:styleId="IntenseQuote">
    <w:name w:val="Intense Quote"/>
    <w:basedOn w:val="Normal"/>
    <w:next w:val="Normal"/>
    <w:link w:val="IntenseQuoteChar"/>
    <w:uiPriority w:val="30"/>
    <w:rsid w:val="00C228BA"/>
    <w:pPr>
      <w:pBdr>
        <w:top w:val="single" w:sz="4" w:space="10" w:color="B38F0E" w:themeColor="accent1" w:themeShade="BF"/>
        <w:bottom w:val="single" w:sz="4" w:space="10" w:color="B38F0E" w:themeColor="accent1" w:themeShade="BF"/>
      </w:pBdr>
      <w:spacing w:before="360" w:after="360"/>
      <w:ind w:left="864" w:right="864"/>
      <w:jc w:val="center"/>
    </w:pPr>
    <w:rPr>
      <w:i/>
      <w:iCs/>
      <w:color w:val="B38F0E" w:themeColor="accent1" w:themeShade="BF"/>
    </w:rPr>
  </w:style>
  <w:style w:type="character" w:customStyle="1" w:styleId="IntenseQuoteChar">
    <w:name w:val="Intense Quote Char"/>
    <w:basedOn w:val="DefaultParagraphFont"/>
    <w:link w:val="IntenseQuote"/>
    <w:uiPriority w:val="30"/>
    <w:rsid w:val="00C228BA"/>
    <w:rPr>
      <w:rFonts w:ascii="Times New Roman" w:hAnsi="Times New Roman"/>
      <w:i/>
      <w:iCs/>
      <w:color w:val="B38F0E" w:themeColor="accent1" w:themeShade="BF"/>
    </w:rPr>
  </w:style>
  <w:style w:type="character" w:styleId="IntenseReference">
    <w:name w:val="Intense Reference"/>
    <w:basedOn w:val="DefaultParagraphFont"/>
    <w:uiPriority w:val="32"/>
    <w:rsid w:val="00C228BA"/>
    <w:rPr>
      <w:b/>
      <w:bCs/>
      <w:smallCaps/>
      <w:color w:val="B38F0E" w:themeColor="accent1" w:themeShade="BF"/>
      <w:spacing w:val="5"/>
    </w:rPr>
  </w:style>
  <w:style w:type="table" w:styleId="TableGrid">
    <w:name w:val="Table Grid"/>
    <w:basedOn w:val="TableNormal"/>
    <w:uiPriority w:val="39"/>
    <w:rsid w:val="00C2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265D"/>
    <w:pPr>
      <w:spacing w:after="0" w:line="240" w:lineRule="auto"/>
    </w:pPr>
    <w:rPr>
      <w:sz w:val="24"/>
      <w:szCs w:val="24"/>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265D"/>
    <w:pPr>
      <w:spacing w:after="0" w:line="240" w:lineRule="auto"/>
    </w:pPr>
    <w:rPr>
      <w:sz w:val="24"/>
      <w:szCs w:val="24"/>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B132D"/>
    <w:pPr>
      <w:spacing w:after="0" w:line="240" w:lineRule="auto"/>
    </w:pPr>
    <w:rPr>
      <w:sz w:val="24"/>
      <w:szCs w:val="24"/>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F573A"/>
    <w:pPr>
      <w:spacing w:after="0" w:line="240" w:lineRule="auto"/>
    </w:pPr>
    <w:rPr>
      <w:sz w:val="24"/>
      <w:szCs w:val="24"/>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C0F92"/>
    <w:pPr>
      <w:spacing w:after="0" w:line="240" w:lineRule="auto"/>
    </w:pPr>
    <w:rPr>
      <w:sz w:val="24"/>
      <w:szCs w:val="24"/>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67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ju">
      <a:dk1>
        <a:sysClr val="windowText" lastClr="000000"/>
      </a:dk1>
      <a:lt1>
        <a:sysClr val="window" lastClr="FFFFFF"/>
      </a:lt1>
      <a:dk2>
        <a:srgbClr val="787878"/>
      </a:dk2>
      <a:lt2>
        <a:srgbClr val="E7E6E6"/>
      </a:lt2>
      <a:accent1>
        <a:srgbClr val="EDBE16"/>
      </a:accent1>
      <a:accent2>
        <a:srgbClr val="81217E"/>
      </a:accent2>
      <a:accent3>
        <a:srgbClr val="004367"/>
      </a:accent3>
      <a:accent4>
        <a:srgbClr val="EBEBDF"/>
      </a:accent4>
      <a:accent5>
        <a:srgbClr val="009CDE"/>
      </a:accent5>
      <a:accent6>
        <a:srgbClr val="007A33"/>
      </a:accent6>
      <a:hlink>
        <a:srgbClr val="0563C1"/>
      </a:hlink>
      <a:folHlink>
        <a:srgbClr val="954F72"/>
      </a:folHlink>
    </a:clrScheme>
    <a:fontScheme name="JU">
      <a:majorFont>
        <a:latin typeface="BentonSans Medium"/>
        <a:ea typeface=""/>
        <a:cs typeface=""/>
      </a:majorFont>
      <a:minorFont>
        <a:latin typeface="ScalaO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38</Pages>
  <Words>12853</Words>
  <Characters>73265</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Jönköping University</Company>
  <LinksUpToDate>false</LinksUpToDate>
  <CharactersWithSpaces>85947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Luna Cortes</dc:creator>
  <cp:keywords/>
  <dc:description/>
  <cp:lastModifiedBy>Nismitha Amin</cp:lastModifiedBy>
  <cp:revision>193</cp:revision>
  <dcterms:created xsi:type="dcterms:W3CDTF">2024-10-24T12:59:00Z</dcterms:created>
  <dcterms:modified xsi:type="dcterms:W3CDTF">2026-09-16T03:30:00Z</dcterms:modified>
</cp:coreProperties>
</file>