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2757D" w14:textId="724F2B25" w:rsidR="008F59F0" w:rsidRPr="00711DF5" w:rsidRDefault="008F59F0" w:rsidP="008F59F0">
      <w:pPr>
        <w:rPr>
          <w:rFonts w:ascii="Times New Roman" w:hAnsi="Times New Roman" w:cs="Times New Roman"/>
          <w:b/>
          <w:sz w:val="24"/>
          <w:szCs w:val="24"/>
        </w:rPr>
      </w:pPr>
      <w:r w:rsidRPr="00711DF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305977" w:rsidRPr="00711DF5">
        <w:rPr>
          <w:rFonts w:ascii="Times New Roman" w:hAnsi="Times New Roman" w:cs="Times New Roman"/>
          <w:b/>
          <w:sz w:val="24"/>
          <w:szCs w:val="24"/>
        </w:rPr>
        <w:t>A</w:t>
      </w:r>
      <w:r w:rsidRPr="00711DF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11DF5">
        <w:rPr>
          <w:rFonts w:ascii="Times New Roman" w:hAnsi="Times New Roman" w:cs="Times New Roman"/>
          <w:sz w:val="24"/>
          <w:szCs w:val="24"/>
        </w:rPr>
        <w:t>Details of the Independent Variables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89"/>
        <w:gridCol w:w="1757"/>
        <w:gridCol w:w="5580"/>
      </w:tblGrid>
      <w:tr w:rsidR="008F59F0" w:rsidRPr="00711DF5" w14:paraId="673B591B" w14:textId="77777777" w:rsidTr="00773FA6">
        <w:trPr>
          <w:trHeight w:val="300"/>
        </w:trPr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223BC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/>
              </w:rPr>
              <w:t>Category</w:t>
            </w:r>
          </w:p>
        </w:tc>
        <w:tc>
          <w:tcPr>
            <w:tcW w:w="1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1CFB8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/>
              </w:rPr>
              <w:t>Variables</w:t>
            </w:r>
          </w:p>
        </w:tc>
        <w:tc>
          <w:tcPr>
            <w:tcW w:w="2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A9964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/>
              </w:rPr>
              <w:t>Calculation</w:t>
            </w:r>
          </w:p>
        </w:tc>
      </w:tr>
      <w:tr w:rsidR="008F59F0" w:rsidRPr="00711DF5" w14:paraId="156A59E1" w14:textId="77777777" w:rsidTr="00773FA6">
        <w:trPr>
          <w:trHeight w:val="300"/>
        </w:trPr>
        <w:tc>
          <w:tcPr>
            <w:tcW w:w="100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6175" w14:textId="77777777" w:rsidR="008F59F0" w:rsidRPr="00711DF5" w:rsidRDefault="008F59F0" w:rsidP="00773F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b/>
                <w:color w:val="000000"/>
                <w:lang w:val="en-IN"/>
              </w:rPr>
              <w:t>Bond specific variables</w:t>
            </w:r>
          </w:p>
        </w:tc>
        <w:tc>
          <w:tcPr>
            <w:tcW w:w="1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C0FC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Duration</w:t>
            </w:r>
          </w:p>
        </w:tc>
        <w:tc>
          <w:tcPr>
            <w:tcW w:w="2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6A94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Modified duration extracted from DataStream</w:t>
            </w:r>
          </w:p>
        </w:tc>
      </w:tr>
      <w:tr w:rsidR="008F59F0" w:rsidRPr="00711DF5" w14:paraId="29F0B240" w14:textId="77777777" w:rsidTr="00773FA6">
        <w:trPr>
          <w:trHeight w:val="300"/>
        </w:trPr>
        <w:tc>
          <w:tcPr>
            <w:tcW w:w="10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6C35D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</w:tc>
        <w:tc>
          <w:tcPr>
            <w:tcW w:w="1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8A39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  <w:p w14:paraId="76A07276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Residual maturity</w:t>
            </w:r>
          </w:p>
        </w:tc>
        <w:tc>
          <w:tcPr>
            <w:tcW w:w="2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1D32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The difference between trading date and redemption date</w:t>
            </w:r>
          </w:p>
        </w:tc>
      </w:tr>
      <w:tr w:rsidR="008F59F0" w:rsidRPr="00711DF5" w14:paraId="4D03E950" w14:textId="77777777" w:rsidTr="00773FA6">
        <w:trPr>
          <w:trHeight w:val="300"/>
        </w:trPr>
        <w:tc>
          <w:tcPr>
            <w:tcW w:w="10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305BD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</w:tc>
        <w:tc>
          <w:tcPr>
            <w:tcW w:w="1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D7E3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Trading volume</w:t>
            </w:r>
          </w:p>
        </w:tc>
        <w:tc>
          <w:tcPr>
            <w:tcW w:w="2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EA18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  <w:p w14:paraId="59167142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Change in trading volume</w:t>
            </w:r>
          </w:p>
        </w:tc>
      </w:tr>
      <w:tr w:rsidR="008F59F0" w:rsidRPr="00711DF5" w14:paraId="6B5D6181" w14:textId="77777777" w:rsidTr="00773FA6">
        <w:trPr>
          <w:trHeight w:val="300"/>
        </w:trPr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A70F7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</w:tc>
        <w:tc>
          <w:tcPr>
            <w:tcW w:w="1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C7178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  <w:lang w:val="en-IN"/>
              </w:rPr>
            </w:pPr>
          </w:p>
        </w:tc>
        <w:tc>
          <w:tcPr>
            <w:tcW w:w="2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9FC36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  <w:lang w:val="en-IN"/>
              </w:rPr>
            </w:pPr>
          </w:p>
        </w:tc>
      </w:tr>
      <w:tr w:rsidR="008F59F0" w:rsidRPr="00711DF5" w14:paraId="5C5BDDE3" w14:textId="77777777" w:rsidTr="00773FA6">
        <w:trPr>
          <w:trHeight w:val="300"/>
        </w:trPr>
        <w:tc>
          <w:tcPr>
            <w:tcW w:w="100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936A" w14:textId="77777777" w:rsidR="008F59F0" w:rsidRPr="00711DF5" w:rsidRDefault="008F59F0" w:rsidP="00773F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b/>
                <w:color w:val="000000"/>
                <w:lang w:val="en-IN"/>
              </w:rPr>
              <w:t>Market volatility variables</w:t>
            </w:r>
          </w:p>
        </w:tc>
        <w:tc>
          <w:tcPr>
            <w:tcW w:w="1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3C85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Stock market volatility</w:t>
            </w:r>
          </w:p>
        </w:tc>
        <w:tc>
          <w:tcPr>
            <w:tcW w:w="2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B3A1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Historical volatility</w:t>
            </w:r>
          </w:p>
        </w:tc>
      </w:tr>
      <w:tr w:rsidR="008F59F0" w:rsidRPr="00711DF5" w14:paraId="65A9412C" w14:textId="77777777" w:rsidTr="00773FA6">
        <w:trPr>
          <w:trHeight w:val="300"/>
        </w:trPr>
        <w:tc>
          <w:tcPr>
            <w:tcW w:w="10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C225C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</w:tc>
        <w:tc>
          <w:tcPr>
            <w:tcW w:w="1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F58C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Exchange market volatility</w:t>
            </w:r>
          </w:p>
        </w:tc>
        <w:tc>
          <w:tcPr>
            <w:tcW w:w="2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B254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  <w:p w14:paraId="014C42BF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Historical volatility</w:t>
            </w:r>
          </w:p>
        </w:tc>
      </w:tr>
      <w:tr w:rsidR="008F59F0" w:rsidRPr="00711DF5" w14:paraId="050B933A" w14:textId="77777777" w:rsidTr="00773FA6">
        <w:trPr>
          <w:trHeight w:val="300"/>
        </w:trPr>
        <w:tc>
          <w:tcPr>
            <w:tcW w:w="10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62022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</w:tc>
        <w:tc>
          <w:tcPr>
            <w:tcW w:w="1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93EB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  <w:p w14:paraId="4BE6507F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Treasury bond yield volatility</w:t>
            </w:r>
          </w:p>
        </w:tc>
        <w:tc>
          <w:tcPr>
            <w:tcW w:w="2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05D5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Historical volatility</w:t>
            </w:r>
          </w:p>
        </w:tc>
      </w:tr>
      <w:tr w:rsidR="008F59F0" w:rsidRPr="00711DF5" w14:paraId="0218D3A9" w14:textId="77777777" w:rsidTr="00773FA6">
        <w:trPr>
          <w:trHeight w:val="300"/>
        </w:trPr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BB931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</w:tc>
        <w:tc>
          <w:tcPr>
            <w:tcW w:w="1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C4B37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  <w:lang w:val="en-IN"/>
              </w:rPr>
            </w:pPr>
          </w:p>
        </w:tc>
        <w:tc>
          <w:tcPr>
            <w:tcW w:w="2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E6295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  <w:lang w:val="en-IN"/>
              </w:rPr>
            </w:pPr>
          </w:p>
        </w:tc>
      </w:tr>
      <w:tr w:rsidR="008F59F0" w:rsidRPr="00711DF5" w14:paraId="4078F770" w14:textId="77777777" w:rsidTr="00773FA6">
        <w:trPr>
          <w:trHeight w:val="300"/>
        </w:trPr>
        <w:tc>
          <w:tcPr>
            <w:tcW w:w="100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B298" w14:textId="77777777" w:rsidR="008F59F0" w:rsidRPr="00711DF5" w:rsidRDefault="008F59F0" w:rsidP="00773F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b/>
                <w:color w:val="000000"/>
                <w:lang w:val="en-IN"/>
              </w:rPr>
              <w:t>Macro-economic variables</w:t>
            </w:r>
          </w:p>
        </w:tc>
        <w:tc>
          <w:tcPr>
            <w:tcW w:w="1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2D8B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Industrial production</w:t>
            </w:r>
          </w:p>
        </w:tc>
        <w:tc>
          <w:tcPr>
            <w:tcW w:w="2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DA14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Growth rate of Industrial production index</w:t>
            </w:r>
          </w:p>
          <w:p w14:paraId="177A0E08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</w:tc>
      </w:tr>
      <w:tr w:rsidR="008F59F0" w:rsidRPr="00711DF5" w14:paraId="173ABDCD" w14:textId="77777777" w:rsidTr="00773FA6">
        <w:trPr>
          <w:trHeight w:val="300"/>
        </w:trPr>
        <w:tc>
          <w:tcPr>
            <w:tcW w:w="10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955CE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</w:tc>
        <w:tc>
          <w:tcPr>
            <w:tcW w:w="1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C30A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Inflation</w:t>
            </w:r>
          </w:p>
        </w:tc>
        <w:tc>
          <w:tcPr>
            <w:tcW w:w="2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0C34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  <w:p w14:paraId="28712239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Growth rate of consumer price index</w:t>
            </w:r>
          </w:p>
        </w:tc>
      </w:tr>
      <w:tr w:rsidR="008F59F0" w:rsidRPr="00711DF5" w14:paraId="3DD68F8D" w14:textId="77777777" w:rsidTr="00773FA6">
        <w:trPr>
          <w:trHeight w:val="300"/>
        </w:trPr>
        <w:tc>
          <w:tcPr>
            <w:tcW w:w="10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013D3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</w:tc>
        <w:tc>
          <w:tcPr>
            <w:tcW w:w="1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61E5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Money supply</w:t>
            </w:r>
          </w:p>
        </w:tc>
        <w:tc>
          <w:tcPr>
            <w:tcW w:w="2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324F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  <w:p w14:paraId="2F2BC94E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Change in M3</w:t>
            </w:r>
          </w:p>
        </w:tc>
      </w:tr>
      <w:tr w:rsidR="008F59F0" w:rsidRPr="00711DF5" w14:paraId="45644206" w14:textId="77777777" w:rsidTr="00773FA6">
        <w:trPr>
          <w:trHeight w:val="300"/>
        </w:trPr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DE25F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</w:tc>
        <w:tc>
          <w:tcPr>
            <w:tcW w:w="1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241A9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  <w:lang w:val="en-IN"/>
              </w:rPr>
            </w:pPr>
          </w:p>
        </w:tc>
        <w:tc>
          <w:tcPr>
            <w:tcW w:w="2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DC0A4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  <w:lang w:val="en-IN"/>
              </w:rPr>
            </w:pPr>
          </w:p>
        </w:tc>
      </w:tr>
      <w:tr w:rsidR="008F59F0" w:rsidRPr="00711DF5" w14:paraId="7C08747B" w14:textId="77777777" w:rsidTr="00773FA6">
        <w:trPr>
          <w:trHeight w:val="300"/>
        </w:trPr>
        <w:tc>
          <w:tcPr>
            <w:tcW w:w="100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AFFB" w14:textId="77777777" w:rsidR="008F59F0" w:rsidRPr="00711DF5" w:rsidRDefault="008F59F0" w:rsidP="00773F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b/>
                <w:color w:val="000000"/>
                <w:lang w:val="en-IN"/>
              </w:rPr>
              <w:t>Global variables</w:t>
            </w:r>
          </w:p>
        </w:tc>
        <w:tc>
          <w:tcPr>
            <w:tcW w:w="1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F4D2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Volatility index</w:t>
            </w:r>
          </w:p>
        </w:tc>
        <w:tc>
          <w:tcPr>
            <w:tcW w:w="2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DE73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Historical volatility of VIX obtained from Chicago board of exchange</w:t>
            </w:r>
          </w:p>
          <w:p w14:paraId="1F0ACA88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</w:tc>
      </w:tr>
      <w:tr w:rsidR="008F59F0" w:rsidRPr="00711DF5" w14:paraId="0032A987" w14:textId="77777777" w:rsidTr="00773FA6">
        <w:trPr>
          <w:trHeight w:val="300"/>
        </w:trPr>
        <w:tc>
          <w:tcPr>
            <w:tcW w:w="10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991E9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</w:tc>
        <w:tc>
          <w:tcPr>
            <w:tcW w:w="1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81F8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Ted spread</w:t>
            </w:r>
          </w:p>
        </w:tc>
        <w:tc>
          <w:tcPr>
            <w:tcW w:w="2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D758" w14:textId="337DB2A3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lang w:val="en-IN"/>
              </w:rPr>
              <w:t xml:space="preserve">Eurodollar-Treasury spread </w:t>
            </w:r>
            <w:r w:rsidR="004A21D9" w:rsidRPr="00711DF5">
              <w:rPr>
                <w:rFonts w:ascii="Times New Roman" w:eastAsia="Times New Roman" w:hAnsi="Times New Roman" w:cs="Times New Roman"/>
                <w:lang w:val="en-IN"/>
              </w:rPr>
              <w:t>from</w:t>
            </w:r>
            <w:r w:rsidRPr="00711DF5">
              <w:rPr>
                <w:rFonts w:ascii="Times New Roman" w:eastAsia="Times New Roman" w:hAnsi="Times New Roman" w:cs="Times New Roman"/>
                <w:lang w:val="en-IN"/>
              </w:rPr>
              <w:t xml:space="preserve"> Federal Reserve Bank of St. Louis website</w:t>
            </w:r>
          </w:p>
          <w:p w14:paraId="50C7130D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/>
              </w:rPr>
            </w:pPr>
          </w:p>
        </w:tc>
      </w:tr>
      <w:tr w:rsidR="008F59F0" w:rsidRPr="00711DF5" w14:paraId="73EF0322" w14:textId="77777777" w:rsidTr="00773FA6">
        <w:trPr>
          <w:trHeight w:val="300"/>
        </w:trPr>
        <w:tc>
          <w:tcPr>
            <w:tcW w:w="100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9E3E51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</w:p>
        </w:tc>
        <w:tc>
          <w:tcPr>
            <w:tcW w:w="1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96B96" w14:textId="77777777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color w:val="000000"/>
                <w:lang w:val="en-IN"/>
              </w:rPr>
              <w:t>WTIC</w:t>
            </w:r>
          </w:p>
        </w:tc>
        <w:tc>
          <w:tcPr>
            <w:tcW w:w="2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150A0" w14:textId="5C59FD72" w:rsidR="008F59F0" w:rsidRPr="00711DF5" w:rsidRDefault="008F59F0" w:rsidP="00773FA6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West Texas Intermediate crude oil price index </w:t>
            </w:r>
            <w:r w:rsidR="004A21D9" w:rsidRPr="00711DF5">
              <w:rPr>
                <w:rFonts w:ascii="Times New Roman" w:eastAsia="Times New Roman" w:hAnsi="Times New Roman" w:cs="Times New Roman"/>
                <w:sz w:val="24"/>
                <w:szCs w:val="24"/>
              </w:rPr>
              <w:t>from</w:t>
            </w:r>
            <w:r w:rsidRPr="00711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Federal Reserve Bank of St. Louis website</w:t>
            </w:r>
          </w:p>
        </w:tc>
      </w:tr>
    </w:tbl>
    <w:p w14:paraId="0A6A018C" w14:textId="335816AE" w:rsidR="007B2B02" w:rsidRPr="00711DF5" w:rsidRDefault="008F59F0">
      <w:pPr>
        <w:rPr>
          <w:rFonts w:ascii="Times New Roman" w:eastAsia="Times New Roman" w:hAnsi="Times New Roman" w:cs="Times New Roman"/>
          <w:sz w:val="24"/>
          <w:szCs w:val="24"/>
        </w:rPr>
      </w:pPr>
      <w:r w:rsidRPr="00711DF5">
        <w:rPr>
          <w:rFonts w:ascii="Times New Roman" w:eastAsia="Times New Roman" w:hAnsi="Times New Roman" w:cs="Times New Roman"/>
          <w:sz w:val="24"/>
          <w:szCs w:val="24"/>
        </w:rPr>
        <w:t>Note: The table shows the category of independent variables, the sub-variables included under each category and their computation.</w:t>
      </w:r>
    </w:p>
    <w:p w14:paraId="78674299" w14:textId="3E320341" w:rsidR="00785416" w:rsidRPr="00711DF5" w:rsidRDefault="00785416">
      <w:pPr>
        <w:rPr>
          <w:rFonts w:ascii="Times New Roman" w:eastAsia="Times New Roman" w:hAnsi="Times New Roman" w:cs="Times New Roman"/>
          <w:sz w:val="24"/>
          <w:szCs w:val="24"/>
        </w:rPr>
      </w:pPr>
      <w:r w:rsidRPr="00711DF5">
        <w:rPr>
          <w:rFonts w:ascii="Times New Roman" w:eastAsia="Times New Roman" w:hAnsi="Times New Roman" w:cs="Times New Roman"/>
          <w:sz w:val="24"/>
          <w:szCs w:val="24"/>
        </w:rPr>
        <w:t>Source: Authors' own creation</w:t>
      </w:r>
    </w:p>
    <w:p w14:paraId="3A552B48" w14:textId="62372180" w:rsidR="008F59F0" w:rsidRPr="00711DF5" w:rsidRDefault="008F59F0" w:rsidP="008F59F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1DF5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 w:rsidR="00305977" w:rsidRPr="00711DF5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711DF5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711DF5">
        <w:rPr>
          <w:rFonts w:ascii="Times New Roman" w:eastAsia="Times New Roman" w:hAnsi="Times New Roman" w:cs="Times New Roman"/>
          <w:sz w:val="24"/>
          <w:szCs w:val="24"/>
        </w:rPr>
        <w:t>Credit spread determinants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33"/>
        <w:gridCol w:w="1283"/>
        <w:gridCol w:w="1282"/>
        <w:gridCol w:w="1282"/>
        <w:gridCol w:w="1282"/>
        <w:gridCol w:w="1282"/>
        <w:gridCol w:w="1282"/>
      </w:tblGrid>
      <w:tr w:rsidR="008F59F0" w:rsidRPr="00711DF5" w14:paraId="7B889BEA" w14:textId="77777777" w:rsidTr="00773FA6">
        <w:trPr>
          <w:trHeight w:val="262"/>
          <w:jc w:val="center"/>
        </w:trPr>
        <w:tc>
          <w:tcPr>
            <w:tcW w:w="738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6A34AE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73FB03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71690C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2D7CBB9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AF544B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41A427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433D04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9F0" w:rsidRPr="00711DF5" w14:paraId="2BBB4E69" w14:textId="77777777" w:rsidTr="00773FA6">
        <w:trPr>
          <w:trHeight w:val="277"/>
          <w:jc w:val="center"/>
        </w:trPr>
        <w:tc>
          <w:tcPr>
            <w:tcW w:w="73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D25B91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7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0F9162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1 Year</w:t>
            </w:r>
          </w:p>
        </w:tc>
        <w:tc>
          <w:tcPr>
            <w:tcW w:w="71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492FEC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2 Years</w:t>
            </w:r>
          </w:p>
        </w:tc>
        <w:tc>
          <w:tcPr>
            <w:tcW w:w="71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C049F9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5 Years</w:t>
            </w:r>
          </w:p>
        </w:tc>
        <w:tc>
          <w:tcPr>
            <w:tcW w:w="71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E2BC1B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10 Years</w:t>
            </w:r>
          </w:p>
        </w:tc>
        <w:tc>
          <w:tcPr>
            <w:tcW w:w="71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575251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15 Years</w:t>
            </w:r>
          </w:p>
        </w:tc>
        <w:tc>
          <w:tcPr>
            <w:tcW w:w="71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FDC6AB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20 Years</w:t>
            </w:r>
          </w:p>
        </w:tc>
      </w:tr>
      <w:tr w:rsidR="008F59F0" w:rsidRPr="00711DF5" w14:paraId="6F7D856A" w14:textId="77777777" w:rsidTr="00773FA6">
        <w:trPr>
          <w:trHeight w:val="262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4BBBE624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14:paraId="0278BE4F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6D299E42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70A947B5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2930D3BB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513772D7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573D8E00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9F0" w:rsidRPr="00711DF5" w14:paraId="1D4942D2" w14:textId="77777777" w:rsidTr="00773FA6">
        <w:trPr>
          <w:trHeight w:val="277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3D743788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Bond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14:paraId="2E833858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-0.161***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7B155CEF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0.0810***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7D9B3C46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-0.449***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47644895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0.0241*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6D415F68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0.0191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7FF60C78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0.0293</w:t>
            </w:r>
          </w:p>
        </w:tc>
      </w:tr>
      <w:tr w:rsidR="008F59F0" w:rsidRPr="00711DF5" w14:paraId="1A9F7154" w14:textId="77777777" w:rsidTr="00773FA6">
        <w:trPr>
          <w:trHeight w:val="262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1E952312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14:paraId="5A6F2688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(0.0245)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752603B3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(0.0212)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4E68D121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(0.0183)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262BB66E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(0.0124)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760272D3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(0.0296)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56FBF2D3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(0.106)</w:t>
            </w:r>
          </w:p>
        </w:tc>
      </w:tr>
      <w:tr w:rsidR="008F59F0" w:rsidRPr="00711DF5" w14:paraId="05E3E0DA" w14:textId="77777777" w:rsidTr="00773FA6">
        <w:trPr>
          <w:trHeight w:val="262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71CB73D6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14:paraId="2527CE28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031CA04A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7C3DDC7E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6C40D505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0E390C58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3D9B3242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9F0" w:rsidRPr="00711DF5" w14:paraId="7AE16BAA" w14:textId="77777777" w:rsidTr="00773FA6">
        <w:trPr>
          <w:trHeight w:val="262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1235BAA1" w14:textId="1766FD4B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Market</w:t>
            </w:r>
            <w:r w:rsidR="004A21D9" w:rsidRPr="00711D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Vol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14:paraId="32456524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0.195***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2B45E7D4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0.495***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33DB6A03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0.149***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037EBF33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0.0762***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3079AD4B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0.160***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46F9DEB4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0.269***</w:t>
            </w:r>
          </w:p>
        </w:tc>
      </w:tr>
      <w:tr w:rsidR="008F59F0" w:rsidRPr="00711DF5" w14:paraId="000B1148" w14:textId="77777777" w:rsidTr="00773FA6">
        <w:trPr>
          <w:trHeight w:val="277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34EC5584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14:paraId="69996D10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(0.0202)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3DF9DCEC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(0.0162)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359D28F8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(0.00732)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693986C3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(0.0107)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5EF3CA6B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(0.0270)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49A95412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(0.0949)</w:t>
            </w:r>
          </w:p>
        </w:tc>
      </w:tr>
      <w:tr w:rsidR="008F59F0" w:rsidRPr="00711DF5" w14:paraId="58993FF9" w14:textId="77777777" w:rsidTr="00773FA6">
        <w:trPr>
          <w:trHeight w:val="262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43A2A95C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14:paraId="5247FCB9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2EB72591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4328F5C8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1569C5C9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15D5787A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397BAC99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9F0" w:rsidRPr="00711DF5" w14:paraId="1B2C00A6" w14:textId="77777777" w:rsidTr="00773FA6">
        <w:trPr>
          <w:trHeight w:val="262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0A381DDC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Macro-Eco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14:paraId="25DE31B4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-0.291***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58258362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-0.234***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322E1AE6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-0.0471***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2DCAAA4B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-0.0593***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52F3D6B0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-0.0707***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6F7FF6CD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0.0670</w:t>
            </w:r>
          </w:p>
        </w:tc>
      </w:tr>
      <w:tr w:rsidR="008F59F0" w:rsidRPr="00711DF5" w14:paraId="504E0A04" w14:textId="77777777" w:rsidTr="00773FA6">
        <w:trPr>
          <w:trHeight w:val="277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0221A29F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14:paraId="5F6857B8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(0.0129)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40FA2342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(0.0111)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57277DA8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(0.0109)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210C7857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(0.0122)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76716111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(0.0273)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76A5C39B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(0.131)</w:t>
            </w:r>
          </w:p>
        </w:tc>
      </w:tr>
      <w:tr w:rsidR="008F59F0" w:rsidRPr="00711DF5" w14:paraId="0840F8B2" w14:textId="77777777" w:rsidTr="00773FA6">
        <w:trPr>
          <w:trHeight w:val="262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5CE32D45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14:paraId="124C8689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1CD200C6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3F747EF3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73371401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23076180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6D343E25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9F0" w:rsidRPr="00711DF5" w14:paraId="76C5EE67" w14:textId="77777777" w:rsidTr="00773FA6">
        <w:trPr>
          <w:trHeight w:val="262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3F9183D4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Global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14:paraId="4C7B3A93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0.0290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2E82FC16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0.0159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720D93EF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0.117***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0DF11DA8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0.0365***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760B63CF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0.0850***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2E00FBBB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0.0439</w:t>
            </w:r>
          </w:p>
        </w:tc>
      </w:tr>
      <w:tr w:rsidR="008F59F0" w:rsidRPr="00711DF5" w14:paraId="334FB678" w14:textId="77777777" w:rsidTr="00773FA6">
        <w:trPr>
          <w:trHeight w:val="262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2257CB79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14:paraId="1D25A3B8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(0.0178)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48069D9D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(0.0137)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40D96CB9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(0.0100)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702CC321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(0.0113)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0046C599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(0.0276)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361734C2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(0.0979)</w:t>
            </w:r>
          </w:p>
        </w:tc>
      </w:tr>
      <w:tr w:rsidR="008F59F0" w:rsidRPr="00711DF5" w14:paraId="34EDB1D0" w14:textId="77777777" w:rsidTr="00773FA6">
        <w:trPr>
          <w:trHeight w:val="277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1417E01B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14:paraId="72FD1C5C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7335EA3B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7667E087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0A1D8811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29F9B2BE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6B4AF032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9F0" w:rsidRPr="00711DF5" w14:paraId="5D5A1F0E" w14:textId="77777777" w:rsidTr="00773FA6">
        <w:trPr>
          <w:trHeight w:val="262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1DCB57F3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14:paraId="1CF9C186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21,054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3481E6A8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47,539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767A7E9D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38,292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54584718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6,808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59AC3983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1,119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</w:tcPr>
          <w:p w14:paraId="3F272F9B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</w:tc>
      </w:tr>
      <w:tr w:rsidR="008F59F0" w:rsidRPr="00711DF5" w14:paraId="23CA8129" w14:textId="77777777" w:rsidTr="00773FA6">
        <w:tblPrEx>
          <w:tblBorders>
            <w:bottom w:val="single" w:sz="6" w:space="0" w:color="auto"/>
          </w:tblBorders>
        </w:tblPrEx>
        <w:trPr>
          <w:trHeight w:val="262"/>
          <w:jc w:val="center"/>
        </w:trPr>
        <w:tc>
          <w:tcPr>
            <w:tcW w:w="73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663C71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R-squared</w:t>
            </w:r>
          </w:p>
        </w:tc>
        <w:tc>
          <w:tcPr>
            <w:tcW w:w="71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29AB85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71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A5D972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93B2DE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41E14A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71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6CAA47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CD29D4" w14:textId="77777777" w:rsidR="008F59F0" w:rsidRPr="00711DF5" w:rsidRDefault="008F59F0" w:rsidP="00773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DF5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</w:tr>
    </w:tbl>
    <w:p w14:paraId="2AC9BEE3" w14:textId="3F364DBC" w:rsidR="008F59F0" w:rsidRPr="00711DF5" w:rsidRDefault="008F59F0" w:rsidP="008F59F0">
      <w:pPr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711DF5">
        <w:rPr>
          <w:rFonts w:ascii="Times New Roman" w:eastAsia="Times New Roman" w:hAnsi="Times New Roman" w:cs="Times New Roman"/>
          <w:szCs w:val="24"/>
        </w:rPr>
        <w:t xml:space="preserve">Note: The table presents the regression analysis for all the six time maturity series of corporate bonds. </w:t>
      </w:r>
      <w:r w:rsidR="00D32AA9" w:rsidRPr="00711DF5">
        <w:rPr>
          <w:rFonts w:ascii="Times New Roman" w:eastAsia="Times New Roman" w:hAnsi="Times New Roman" w:cs="Times New Roman"/>
          <w:szCs w:val="24"/>
        </w:rPr>
        <w:t xml:space="preserve">Credit spread is </w:t>
      </w:r>
      <w:r w:rsidR="005A12CD" w:rsidRPr="00711DF5">
        <w:rPr>
          <w:rFonts w:ascii="Times New Roman" w:eastAsia="Times New Roman" w:hAnsi="Times New Roman" w:cs="Times New Roman"/>
          <w:szCs w:val="24"/>
        </w:rPr>
        <w:t xml:space="preserve">the </w:t>
      </w:r>
      <w:r w:rsidR="00D32AA9" w:rsidRPr="00711DF5">
        <w:rPr>
          <w:rFonts w:ascii="Times New Roman" w:eastAsia="Times New Roman" w:hAnsi="Times New Roman" w:cs="Times New Roman"/>
          <w:szCs w:val="24"/>
        </w:rPr>
        <w:t xml:space="preserve">dependent variable. </w:t>
      </w:r>
      <w:r w:rsidRPr="00711DF5">
        <w:rPr>
          <w:rFonts w:ascii="Times New Roman" w:eastAsia="Times New Roman" w:hAnsi="Times New Roman" w:cs="Times New Roman"/>
          <w:szCs w:val="24"/>
        </w:rPr>
        <w:t>The independent variables present the first component obtained from principle component analysis on each category</w:t>
      </w:r>
      <w:r w:rsidR="00D32AA9" w:rsidRPr="00711DF5">
        <w:rPr>
          <w:rFonts w:ascii="Times New Roman" w:eastAsia="Times New Roman" w:hAnsi="Times New Roman" w:cs="Times New Roman"/>
          <w:szCs w:val="24"/>
        </w:rPr>
        <w:t>.</w:t>
      </w:r>
      <w:r w:rsidRPr="00711DF5">
        <w:rPr>
          <w:rFonts w:ascii="Times New Roman" w:eastAsia="Times New Roman" w:hAnsi="Times New Roman" w:cs="Times New Roman"/>
          <w:szCs w:val="24"/>
        </w:rPr>
        <w:t xml:space="preserve"> </w:t>
      </w:r>
      <w:r w:rsidRPr="00711DF5">
        <w:rPr>
          <w:rFonts w:ascii="Times New Roman" w:eastAsia="Times New Roman" w:hAnsi="Times New Roman" w:cs="Times New Roman"/>
          <w:color w:val="000000"/>
          <w:szCs w:val="24"/>
        </w:rPr>
        <w:t>The monthly data is collected over a sample period from January 2010 to June 2022.</w:t>
      </w:r>
    </w:p>
    <w:p w14:paraId="350FDDB5" w14:textId="77777777" w:rsidR="00785416" w:rsidRPr="00711DF5" w:rsidRDefault="00785416" w:rsidP="00785416">
      <w:pPr>
        <w:rPr>
          <w:rFonts w:ascii="Times New Roman" w:eastAsia="Times New Roman" w:hAnsi="Times New Roman" w:cs="Times New Roman"/>
          <w:sz w:val="24"/>
          <w:szCs w:val="24"/>
        </w:rPr>
      </w:pPr>
      <w:r w:rsidRPr="00711DF5">
        <w:rPr>
          <w:rFonts w:ascii="Times New Roman" w:eastAsia="Times New Roman" w:hAnsi="Times New Roman" w:cs="Times New Roman"/>
          <w:sz w:val="24"/>
          <w:szCs w:val="24"/>
        </w:rPr>
        <w:t>Source: Authors' own creation</w:t>
      </w:r>
    </w:p>
    <w:p w14:paraId="3BE6B25C" w14:textId="780D1D76" w:rsidR="008F59F0" w:rsidRPr="00711DF5" w:rsidRDefault="008F59F0" w:rsidP="008F59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DF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305977" w:rsidRPr="00711DF5">
        <w:rPr>
          <w:rFonts w:ascii="Times New Roman" w:hAnsi="Times New Roman" w:cs="Times New Roman"/>
          <w:b/>
          <w:sz w:val="24"/>
          <w:szCs w:val="24"/>
        </w:rPr>
        <w:t>A</w:t>
      </w:r>
      <w:r w:rsidRPr="00711DF5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711DF5">
        <w:rPr>
          <w:rFonts w:ascii="Times New Roman" w:hAnsi="Times New Roman" w:cs="Times New Roman"/>
          <w:sz w:val="24"/>
          <w:szCs w:val="24"/>
        </w:rPr>
        <w:t>Credit spread connectedness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66"/>
        <w:gridCol w:w="1290"/>
        <w:gridCol w:w="1289"/>
        <w:gridCol w:w="1289"/>
        <w:gridCol w:w="1565"/>
        <w:gridCol w:w="2027"/>
      </w:tblGrid>
      <w:tr w:rsidR="008F59F0" w:rsidRPr="00711DF5" w14:paraId="2D642873" w14:textId="77777777" w:rsidTr="00773FA6">
        <w:trPr>
          <w:trHeight w:val="300"/>
        </w:trPr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54000" w14:textId="77777777" w:rsidR="008F59F0" w:rsidRPr="00711DF5" w:rsidRDefault="008F59F0" w:rsidP="00773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IN"/>
              </w:rPr>
            </w:pPr>
            <w:r w:rsidRPr="0071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IN"/>
              </w:rPr>
              <w:t>Country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50BE8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IN"/>
              </w:rPr>
            </w:pPr>
            <w:r w:rsidRPr="00711DF5">
              <w:rPr>
                <w:rFonts w:eastAsia="Times New Roman"/>
                <w:b/>
                <w:color w:val="000000"/>
                <w:lang w:val="en-IN"/>
              </w:rPr>
              <w:t>China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676D5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IN"/>
              </w:rPr>
            </w:pPr>
            <w:r w:rsidRPr="00711DF5">
              <w:rPr>
                <w:rFonts w:eastAsia="Times New Roman"/>
                <w:b/>
                <w:color w:val="000000"/>
                <w:lang w:val="en-IN"/>
              </w:rPr>
              <w:t>Korea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9A206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IN"/>
              </w:rPr>
            </w:pPr>
            <w:r w:rsidRPr="00711DF5">
              <w:rPr>
                <w:rFonts w:eastAsia="Times New Roman"/>
                <w:b/>
                <w:color w:val="000000"/>
                <w:lang w:val="en-IN"/>
              </w:rPr>
              <w:t>India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96F17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IN"/>
              </w:rPr>
            </w:pPr>
            <w:r w:rsidRPr="00711DF5">
              <w:rPr>
                <w:rFonts w:eastAsia="Times New Roman"/>
                <w:b/>
                <w:color w:val="000000"/>
                <w:lang w:val="en-IN"/>
              </w:rPr>
              <w:t>Malaysia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76D98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IN"/>
              </w:rPr>
            </w:pPr>
            <w:r w:rsidRPr="00711DF5">
              <w:rPr>
                <w:rFonts w:eastAsia="Times New Roman"/>
                <w:b/>
                <w:color w:val="000000"/>
                <w:lang w:val="en-IN"/>
              </w:rPr>
              <w:t>FROM</w:t>
            </w:r>
          </w:p>
        </w:tc>
      </w:tr>
      <w:tr w:rsidR="008F59F0" w:rsidRPr="00711DF5" w14:paraId="15718373" w14:textId="77777777" w:rsidTr="00773FA6">
        <w:trPr>
          <w:trHeight w:val="300"/>
        </w:trPr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A182" w14:textId="77777777" w:rsidR="008F59F0" w:rsidRPr="00711DF5" w:rsidRDefault="008F59F0" w:rsidP="00773FA6">
            <w:pPr>
              <w:spacing w:after="0" w:line="240" w:lineRule="auto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China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0158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55.93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7665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17.79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C9F9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11.56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21A9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14.72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1FD2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44.07</w:t>
            </w:r>
          </w:p>
        </w:tc>
      </w:tr>
      <w:tr w:rsidR="008F59F0" w:rsidRPr="00711DF5" w14:paraId="50532E43" w14:textId="77777777" w:rsidTr="00773FA6">
        <w:trPr>
          <w:trHeight w:val="300"/>
        </w:trPr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832E" w14:textId="77777777" w:rsidR="008F59F0" w:rsidRPr="00711DF5" w:rsidRDefault="008F59F0" w:rsidP="00773FA6">
            <w:pPr>
              <w:spacing w:after="0" w:line="240" w:lineRule="auto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Korea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6296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16.23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FD64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66.2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CA8F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5.9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92A3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11.67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4404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33.8</w:t>
            </w:r>
          </w:p>
        </w:tc>
      </w:tr>
      <w:tr w:rsidR="008F59F0" w:rsidRPr="00711DF5" w14:paraId="07145D69" w14:textId="77777777" w:rsidTr="00773FA6">
        <w:trPr>
          <w:trHeight w:val="300"/>
        </w:trPr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8DE5" w14:textId="77777777" w:rsidR="008F59F0" w:rsidRPr="00711DF5" w:rsidRDefault="008F59F0" w:rsidP="00773FA6">
            <w:pPr>
              <w:spacing w:after="0" w:line="240" w:lineRule="auto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India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3D98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13.31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BAEB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7.69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CD3F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70.47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B7BC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8.53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9CEE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29.53</w:t>
            </w:r>
          </w:p>
        </w:tc>
      </w:tr>
      <w:tr w:rsidR="008F59F0" w:rsidRPr="00711DF5" w14:paraId="22F14A96" w14:textId="77777777" w:rsidTr="00773FA6">
        <w:trPr>
          <w:trHeight w:val="300"/>
        </w:trPr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3DDE" w14:textId="77777777" w:rsidR="008F59F0" w:rsidRPr="00711DF5" w:rsidRDefault="008F59F0" w:rsidP="00773FA6">
            <w:pPr>
              <w:spacing w:after="0" w:line="240" w:lineRule="auto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Malaysia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3462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29.51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590F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26.88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7CE7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17.72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6556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25.89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6FA7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74.11</w:t>
            </w:r>
          </w:p>
        </w:tc>
      </w:tr>
      <w:tr w:rsidR="008F59F0" w:rsidRPr="00711DF5" w14:paraId="06DBA1D2" w14:textId="77777777" w:rsidTr="00773FA6">
        <w:trPr>
          <w:trHeight w:val="300"/>
        </w:trPr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2C25" w14:textId="77777777" w:rsidR="008F59F0" w:rsidRPr="00711DF5" w:rsidRDefault="008F59F0" w:rsidP="00773FA6">
            <w:pPr>
              <w:spacing w:after="0" w:line="240" w:lineRule="auto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TO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3E23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59.05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B57B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52.36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17C3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35.18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52C7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34.92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8C50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181.5</w:t>
            </w:r>
          </w:p>
        </w:tc>
      </w:tr>
      <w:tr w:rsidR="008F59F0" w:rsidRPr="00711DF5" w14:paraId="3CFB8AC7" w14:textId="77777777" w:rsidTr="00773FA6">
        <w:trPr>
          <w:trHeight w:val="300"/>
        </w:trPr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B714" w14:textId="77777777" w:rsidR="008F59F0" w:rsidRPr="00711DF5" w:rsidRDefault="008F59F0" w:rsidP="00773FA6">
            <w:pPr>
              <w:spacing w:after="0" w:line="240" w:lineRule="auto"/>
              <w:rPr>
                <w:rFonts w:eastAsia="Times New Roman"/>
                <w:color w:val="000000"/>
                <w:lang w:val="en-IN"/>
              </w:rPr>
            </w:pPr>
            <w:proofErr w:type="spellStart"/>
            <w:r w:rsidRPr="00711DF5">
              <w:rPr>
                <w:rFonts w:eastAsia="Times New Roman"/>
                <w:color w:val="000000"/>
                <w:lang w:val="en-IN"/>
              </w:rPr>
              <w:t>Inc.Own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402D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114.98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C3E1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118.56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7E28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105.65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A244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60.81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ED75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TCI</w:t>
            </w:r>
          </w:p>
        </w:tc>
      </w:tr>
      <w:tr w:rsidR="008F59F0" w:rsidRPr="00711DF5" w14:paraId="0E8503AE" w14:textId="77777777" w:rsidTr="00773FA6">
        <w:trPr>
          <w:trHeight w:val="300"/>
        </w:trPr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7D601" w14:textId="77777777" w:rsidR="008F59F0" w:rsidRPr="00711DF5" w:rsidRDefault="008F59F0" w:rsidP="00773FA6">
            <w:pPr>
              <w:spacing w:after="0" w:line="240" w:lineRule="auto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NET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99271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14.98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3EE16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18.56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1B78E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5.65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B9C46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-39.19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71387" w14:textId="77777777" w:rsidR="008F59F0" w:rsidRPr="00711DF5" w:rsidRDefault="008F59F0" w:rsidP="00773FA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IN"/>
              </w:rPr>
            </w:pPr>
            <w:r w:rsidRPr="00711DF5">
              <w:rPr>
                <w:rFonts w:eastAsia="Times New Roman"/>
                <w:color w:val="000000"/>
                <w:lang w:val="en-IN"/>
              </w:rPr>
              <w:t>45.38</w:t>
            </w:r>
          </w:p>
        </w:tc>
      </w:tr>
    </w:tbl>
    <w:p w14:paraId="1FEAD153" w14:textId="52C19813" w:rsidR="005A12CD" w:rsidRPr="00711DF5" w:rsidRDefault="008F59F0" w:rsidP="008F59F0">
      <w:pPr>
        <w:jc w:val="both"/>
        <w:rPr>
          <w:rFonts w:ascii="Times New Roman" w:hAnsi="Times New Roman" w:cs="Times New Roman"/>
          <w:iCs/>
          <w:szCs w:val="24"/>
        </w:rPr>
      </w:pPr>
      <w:r w:rsidRPr="00711DF5">
        <w:rPr>
          <w:rFonts w:ascii="Times New Roman" w:hAnsi="Times New Roman" w:cs="Times New Roman"/>
          <w:sz w:val="24"/>
          <w:szCs w:val="24"/>
        </w:rPr>
        <w:t xml:space="preserve">Note: </w:t>
      </w:r>
      <w:r w:rsidRPr="00711DF5">
        <w:rPr>
          <w:rFonts w:ascii="Times New Roman" w:hAnsi="Times New Roman" w:cs="Times New Roman"/>
          <w:szCs w:val="24"/>
        </w:rPr>
        <w:t xml:space="preserve">The diagonal values represent own country's contagion. TO indicates the total directional spill-overs from country j to all other countries </w:t>
      </w:r>
      <w:proofErr w:type="spellStart"/>
      <w:r w:rsidRPr="00711DF5">
        <w:rPr>
          <w:rFonts w:ascii="Times New Roman" w:hAnsi="Times New Roman" w:cs="Times New Roman"/>
          <w:szCs w:val="24"/>
        </w:rPr>
        <w:t>i</w:t>
      </w:r>
      <w:proofErr w:type="spellEnd"/>
      <w:r w:rsidRPr="00711DF5">
        <w:rPr>
          <w:rFonts w:ascii="Times New Roman" w:hAnsi="Times New Roman" w:cs="Times New Roman"/>
          <w:szCs w:val="24"/>
        </w:rPr>
        <w:t xml:space="preserve"> excluding own spill-overs. FROM presents the total directional spill-overs to country </w:t>
      </w:r>
      <w:proofErr w:type="spellStart"/>
      <w:r w:rsidRPr="00711DF5">
        <w:rPr>
          <w:rFonts w:ascii="Times New Roman" w:hAnsi="Times New Roman" w:cs="Times New Roman"/>
          <w:szCs w:val="24"/>
        </w:rPr>
        <w:t>i</w:t>
      </w:r>
      <w:proofErr w:type="spellEnd"/>
      <w:r w:rsidRPr="00711DF5">
        <w:rPr>
          <w:rFonts w:ascii="Times New Roman" w:hAnsi="Times New Roman" w:cs="Times New Roman"/>
          <w:szCs w:val="24"/>
        </w:rPr>
        <w:t xml:space="preserve"> from all other asset j. </w:t>
      </w:r>
      <w:r w:rsidRPr="00711DF5">
        <w:rPr>
          <w:rFonts w:ascii="Times New Roman" w:hAnsi="Times New Roman" w:cs="Times New Roman"/>
          <w:iCs/>
          <w:szCs w:val="24"/>
        </w:rPr>
        <w:t>The net represents the difference between what a country receives (From) and what it transmits (To). The lower right corner cell of the table presents the total connectedness index in percentage terms.</w:t>
      </w:r>
    </w:p>
    <w:p w14:paraId="3CB93B66" w14:textId="77777777" w:rsidR="00785416" w:rsidRPr="00711DF5" w:rsidRDefault="00785416" w:rsidP="00785416">
      <w:pPr>
        <w:rPr>
          <w:rFonts w:ascii="Times New Roman" w:eastAsia="Times New Roman" w:hAnsi="Times New Roman" w:cs="Times New Roman"/>
          <w:sz w:val="24"/>
          <w:szCs w:val="24"/>
        </w:rPr>
      </w:pPr>
      <w:r w:rsidRPr="00711DF5">
        <w:rPr>
          <w:rFonts w:ascii="Times New Roman" w:eastAsia="Times New Roman" w:hAnsi="Times New Roman" w:cs="Times New Roman"/>
          <w:sz w:val="24"/>
          <w:szCs w:val="24"/>
        </w:rPr>
        <w:t>Source: Authors' own creation</w:t>
      </w:r>
    </w:p>
    <w:p w14:paraId="67F40257" w14:textId="77777777" w:rsidR="005A12CD" w:rsidRPr="00711DF5" w:rsidRDefault="005A12CD">
      <w:pPr>
        <w:rPr>
          <w:rFonts w:ascii="Times New Roman" w:hAnsi="Times New Roman" w:cs="Times New Roman"/>
          <w:iCs/>
          <w:szCs w:val="24"/>
        </w:rPr>
      </w:pPr>
      <w:r w:rsidRPr="00711DF5">
        <w:rPr>
          <w:rFonts w:ascii="Times New Roman" w:hAnsi="Times New Roman" w:cs="Times New Roman"/>
          <w:iCs/>
          <w:szCs w:val="24"/>
        </w:rPr>
        <w:br w:type="page"/>
      </w:r>
    </w:p>
    <w:p w14:paraId="509DC574" w14:textId="2AB3061D" w:rsidR="005A12CD" w:rsidRPr="00711DF5" w:rsidRDefault="00D33301" w:rsidP="005A12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DF5">
        <w:rPr>
          <w:rFonts w:ascii="Times New Roman" w:hAnsi="Times New Roman" w:cs="Times New Roman"/>
          <w:b/>
          <w:noProof/>
          <w:sz w:val="24"/>
          <w:szCs w:val="24"/>
          <w:lang w:val="en-IN"/>
        </w:rPr>
        <w:lastRenderedPageBreak/>
        <w:object w:dxaOrig="1440" w:dyaOrig="1440" w14:anchorId="130C6D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2pt;margin-top:27.35pt;width:441.55pt;height:179.65pt;z-index:251658240;mso-wrap-style:tight" filled="t" stroked="t">
            <v:imagedata r:id="rId7" o:title=""/>
          </v:shape>
          <o:OLEObject Type="Embed" ProgID="EViews.Workfile.2" ShapeID="_x0000_s1026" DrawAspect="Content" ObjectID="_1788895376" r:id="rId8"/>
        </w:object>
      </w:r>
      <w:r w:rsidR="005A12CD" w:rsidRPr="00711DF5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305977" w:rsidRPr="00711DF5">
        <w:rPr>
          <w:rFonts w:ascii="Times New Roman" w:hAnsi="Times New Roman" w:cs="Times New Roman"/>
          <w:b/>
          <w:sz w:val="24"/>
          <w:szCs w:val="24"/>
        </w:rPr>
        <w:t>A</w:t>
      </w:r>
      <w:r w:rsidR="005A12CD" w:rsidRPr="00711DF5">
        <w:rPr>
          <w:rFonts w:ascii="Times New Roman" w:hAnsi="Times New Roman" w:cs="Times New Roman"/>
          <w:b/>
          <w:sz w:val="24"/>
          <w:szCs w:val="24"/>
        </w:rPr>
        <w:t>1.</w:t>
      </w:r>
      <w:r w:rsidR="005A12CD" w:rsidRPr="00711DF5">
        <w:rPr>
          <w:rFonts w:ascii="Times New Roman" w:hAnsi="Times New Roman" w:cs="Times New Roman"/>
          <w:sz w:val="24"/>
          <w:szCs w:val="24"/>
        </w:rPr>
        <w:t xml:space="preserve"> Total dynamic connectedness</w:t>
      </w:r>
    </w:p>
    <w:p w14:paraId="4FACD7C5" w14:textId="77777777" w:rsidR="005A12CD" w:rsidRPr="00711DF5" w:rsidRDefault="005A12CD" w:rsidP="005A12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E783C" w14:textId="77777777" w:rsidR="005A12CD" w:rsidRPr="00711DF5" w:rsidRDefault="005A12CD" w:rsidP="005A12C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5B75D34" w14:textId="77777777" w:rsidR="005A12CD" w:rsidRPr="00711DF5" w:rsidRDefault="005A12CD" w:rsidP="005A12C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67F71B3" w14:textId="77777777" w:rsidR="005A12CD" w:rsidRPr="00711DF5" w:rsidRDefault="005A12CD" w:rsidP="005A12C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239C9C1" w14:textId="77777777" w:rsidR="005A12CD" w:rsidRPr="00711DF5" w:rsidRDefault="005A12CD" w:rsidP="005A12C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DFDAFFA" w14:textId="77777777" w:rsidR="005A12CD" w:rsidRPr="00711DF5" w:rsidRDefault="005A12CD" w:rsidP="005A12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DF5">
        <w:rPr>
          <w:rFonts w:ascii="Times New Roman" w:hAnsi="Times New Roman" w:cs="Times New Roman"/>
          <w:sz w:val="24"/>
          <w:szCs w:val="24"/>
        </w:rPr>
        <w:t>Note: The graph presents the total dynamic connectedness index of credit spread across four countries from January 2010 to June 2022. The TCI is computed following the DCC-GARCH model.</w:t>
      </w:r>
    </w:p>
    <w:p w14:paraId="087C351B" w14:textId="77777777" w:rsidR="00785416" w:rsidRPr="00711DF5" w:rsidRDefault="00785416" w:rsidP="00785416">
      <w:pPr>
        <w:rPr>
          <w:rFonts w:ascii="Times New Roman" w:eastAsia="Times New Roman" w:hAnsi="Times New Roman" w:cs="Times New Roman"/>
          <w:sz w:val="24"/>
          <w:szCs w:val="24"/>
        </w:rPr>
      </w:pPr>
      <w:r w:rsidRPr="00711DF5">
        <w:rPr>
          <w:rFonts w:ascii="Times New Roman" w:eastAsia="Times New Roman" w:hAnsi="Times New Roman" w:cs="Times New Roman"/>
          <w:sz w:val="24"/>
          <w:szCs w:val="24"/>
        </w:rPr>
        <w:t>Source: Authors' own creation</w:t>
      </w:r>
    </w:p>
    <w:p w14:paraId="1854F2DF" w14:textId="30FE4481" w:rsidR="005A12CD" w:rsidRPr="00711DF5" w:rsidRDefault="005A12CD" w:rsidP="005A12C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11DF5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305977" w:rsidRPr="00711DF5">
        <w:rPr>
          <w:rFonts w:ascii="Times New Roman" w:hAnsi="Times New Roman" w:cs="Times New Roman"/>
          <w:b/>
          <w:sz w:val="24"/>
          <w:szCs w:val="24"/>
        </w:rPr>
        <w:t>A</w:t>
      </w:r>
      <w:r w:rsidRPr="00711DF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11DF5">
        <w:rPr>
          <w:rFonts w:ascii="Times New Roman" w:hAnsi="Times New Roman" w:cs="Times New Roman"/>
          <w:sz w:val="24"/>
          <w:szCs w:val="24"/>
        </w:rPr>
        <w:t>Total dynamic spillover of credit spreads to other countries</w:t>
      </w:r>
      <w:r w:rsidRPr="00711DF5">
        <w:rPr>
          <w:rFonts w:ascii="Times New Roman" w:hAnsi="Times New Roman" w:cs="Times New Roman"/>
          <w:b/>
          <w:noProof/>
          <w:sz w:val="24"/>
          <w:szCs w:val="24"/>
          <w:lang w:val="en-IN"/>
        </w:rPr>
        <w:drawing>
          <wp:inline distT="0" distB="0" distL="0" distR="0" wp14:anchorId="4A17E278" wp14:editId="1157F31C">
            <wp:extent cx="6105525" cy="2414765"/>
            <wp:effectExtent l="0" t="0" r="0" b="5080"/>
            <wp:docPr id="1" name="Picture 1" descr="G:\My Drive\zzzzzzzz\CS variables\To oth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My Drive\zzzzzzzz\CS variables\To other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9" cy="241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621D1" w14:textId="2E3427F4" w:rsidR="005A12CD" w:rsidRPr="00711DF5" w:rsidRDefault="005A12CD" w:rsidP="005A12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DF5">
        <w:rPr>
          <w:rFonts w:ascii="Times New Roman" w:hAnsi="Times New Roman" w:cs="Times New Roman"/>
          <w:sz w:val="24"/>
          <w:szCs w:val="24"/>
        </w:rPr>
        <w:t>Note: The graph demonstrates the transmission of credit spread shocks by one country to other</w:t>
      </w:r>
      <w:r w:rsidR="004A21D9" w:rsidRPr="00711DF5">
        <w:rPr>
          <w:rFonts w:ascii="Times New Roman" w:hAnsi="Times New Roman" w:cs="Times New Roman"/>
          <w:sz w:val="24"/>
          <w:szCs w:val="24"/>
        </w:rPr>
        <w:t>s</w:t>
      </w:r>
      <w:r w:rsidRPr="00711DF5">
        <w:rPr>
          <w:rFonts w:ascii="Times New Roman" w:hAnsi="Times New Roman" w:cs="Times New Roman"/>
          <w:sz w:val="24"/>
          <w:szCs w:val="24"/>
        </w:rPr>
        <w:t xml:space="preserve"> from January 2010 to June 2022. </w:t>
      </w:r>
    </w:p>
    <w:p w14:paraId="56BD24B4" w14:textId="7ECEB341" w:rsidR="00785416" w:rsidRPr="00711DF5" w:rsidRDefault="00785416" w:rsidP="00785416">
      <w:pPr>
        <w:rPr>
          <w:rFonts w:ascii="Times New Roman" w:eastAsia="Times New Roman" w:hAnsi="Times New Roman" w:cs="Times New Roman"/>
          <w:sz w:val="24"/>
          <w:szCs w:val="24"/>
        </w:rPr>
      </w:pPr>
      <w:r w:rsidRPr="00711DF5">
        <w:rPr>
          <w:rFonts w:ascii="Times New Roman" w:eastAsia="Times New Roman" w:hAnsi="Times New Roman" w:cs="Times New Roman"/>
          <w:sz w:val="24"/>
          <w:szCs w:val="24"/>
        </w:rPr>
        <w:t>Source: Authors' own creation</w:t>
      </w:r>
    </w:p>
    <w:p w14:paraId="367C095F" w14:textId="2596C4A8" w:rsidR="005A12CD" w:rsidRPr="00711DF5" w:rsidRDefault="005A12CD" w:rsidP="005A12C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11D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305977" w:rsidRPr="00711DF5">
        <w:rPr>
          <w:rFonts w:ascii="Times New Roman" w:hAnsi="Times New Roman" w:cs="Times New Roman"/>
          <w:b/>
          <w:sz w:val="24"/>
          <w:szCs w:val="24"/>
        </w:rPr>
        <w:t>A</w:t>
      </w:r>
      <w:r w:rsidRPr="00711DF5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711DF5">
        <w:rPr>
          <w:rFonts w:ascii="Times New Roman" w:hAnsi="Times New Roman" w:cs="Times New Roman"/>
          <w:sz w:val="24"/>
          <w:szCs w:val="24"/>
        </w:rPr>
        <w:t>Total dynamic spillover of credit spreads from other countries</w:t>
      </w:r>
      <w:r w:rsidRPr="00711DF5">
        <w:rPr>
          <w:rFonts w:ascii="Times New Roman" w:hAnsi="Times New Roman" w:cs="Times New Roman"/>
          <w:b/>
          <w:noProof/>
          <w:sz w:val="24"/>
          <w:szCs w:val="24"/>
          <w:lang w:val="en-IN"/>
        </w:rPr>
        <w:drawing>
          <wp:inline distT="0" distB="0" distL="0" distR="0" wp14:anchorId="761620A8" wp14:editId="49EFC2AB">
            <wp:extent cx="5690017" cy="2800350"/>
            <wp:effectExtent l="0" t="0" r="6350" b="0"/>
            <wp:docPr id="2" name="Picture 2" descr="G:\My Drive\zzzzzzzz\CS variables\from oth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My Drive\zzzzzzzz\CS variables\from other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23" cy="280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04F10" w14:textId="77777777" w:rsidR="005A12CD" w:rsidRPr="00711DF5" w:rsidRDefault="005A12CD" w:rsidP="005A12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DF5">
        <w:rPr>
          <w:rFonts w:ascii="Times New Roman" w:hAnsi="Times New Roman" w:cs="Times New Roman"/>
          <w:sz w:val="24"/>
          <w:szCs w:val="24"/>
        </w:rPr>
        <w:t xml:space="preserve">Note: The graph demonstrates the absorption of credit spread shocks by one country from other countries from January 2010 to June 2022. </w:t>
      </w:r>
    </w:p>
    <w:p w14:paraId="0865F295" w14:textId="08396B55" w:rsidR="005A12CD" w:rsidRPr="00785416" w:rsidRDefault="00785416" w:rsidP="005A12CD">
      <w:pPr>
        <w:rPr>
          <w:rFonts w:ascii="Times New Roman" w:eastAsia="Times New Roman" w:hAnsi="Times New Roman" w:cs="Times New Roman"/>
          <w:sz w:val="24"/>
          <w:szCs w:val="24"/>
        </w:rPr>
      </w:pPr>
      <w:r w:rsidRPr="00711DF5">
        <w:rPr>
          <w:rFonts w:ascii="Times New Roman" w:eastAsia="Times New Roman" w:hAnsi="Times New Roman" w:cs="Times New Roman"/>
          <w:sz w:val="24"/>
          <w:szCs w:val="24"/>
        </w:rPr>
        <w:t>Source: Authors' own creation</w:t>
      </w:r>
    </w:p>
    <w:p w14:paraId="3C66E73B" w14:textId="77777777" w:rsidR="008F59F0" w:rsidRPr="0013650D" w:rsidRDefault="008F59F0" w:rsidP="008F59F0">
      <w:pPr>
        <w:jc w:val="both"/>
        <w:rPr>
          <w:rFonts w:ascii="Times New Roman" w:hAnsi="Times New Roman" w:cs="Times New Roman"/>
          <w:iCs/>
          <w:szCs w:val="24"/>
        </w:rPr>
      </w:pPr>
    </w:p>
    <w:p w14:paraId="52665199" w14:textId="77777777" w:rsidR="008F59F0" w:rsidRDefault="008F59F0"/>
    <w:sectPr w:rsidR="008F59F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D8660" w14:textId="77777777" w:rsidR="00D33301" w:rsidRDefault="00D33301" w:rsidP="00711DF5">
      <w:pPr>
        <w:spacing w:after="0" w:line="240" w:lineRule="auto"/>
      </w:pPr>
      <w:r>
        <w:separator/>
      </w:r>
    </w:p>
  </w:endnote>
  <w:endnote w:type="continuationSeparator" w:id="0">
    <w:p w14:paraId="731337D1" w14:textId="77777777" w:rsidR="00D33301" w:rsidRDefault="00D33301" w:rsidP="00711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8A011" w14:textId="77777777" w:rsidR="00711DF5" w:rsidRDefault="00711D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4EDC0" w14:textId="77777777" w:rsidR="00711DF5" w:rsidRDefault="00711DF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09EA4" w14:textId="77777777" w:rsidR="00711DF5" w:rsidRDefault="00711D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9686D" w14:textId="77777777" w:rsidR="00D33301" w:rsidRDefault="00D33301" w:rsidP="00711DF5">
      <w:pPr>
        <w:spacing w:after="0" w:line="240" w:lineRule="auto"/>
      </w:pPr>
      <w:r>
        <w:separator/>
      </w:r>
    </w:p>
  </w:footnote>
  <w:footnote w:type="continuationSeparator" w:id="0">
    <w:p w14:paraId="4AAC7491" w14:textId="77777777" w:rsidR="00D33301" w:rsidRDefault="00D33301" w:rsidP="00711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B1189" w14:textId="77777777" w:rsidR="00711DF5" w:rsidRDefault="00711D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F6367" w14:textId="6EE74A08" w:rsidR="00711DF5" w:rsidRDefault="00711DF5" w:rsidP="00711DF5">
    <w:pPr>
      <w:pStyle w:val="Header"/>
      <w:jc w:val="center"/>
    </w:pPr>
    <w:bookmarkStart w:id="0" w:name="_GoBack"/>
    <w:r>
      <w:t>Supplementary Online Appendix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3A7B3" w14:textId="77777777" w:rsidR="00711DF5" w:rsidRDefault="00711D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17118"/>
    <w:multiLevelType w:val="multilevel"/>
    <w:tmpl w:val="F014C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e4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2364AAC"/>
    <w:multiLevelType w:val="multilevel"/>
    <w:tmpl w:val="AFD28DAA"/>
    <w:lvl w:ilvl="0">
      <w:start w:val="1"/>
      <w:numFmt w:val="decimal"/>
      <w:lvlText w:val="%1"/>
      <w:lvlJc w:val="left"/>
      <w:pPr>
        <w:ind w:left="2592" w:hanging="432"/>
      </w:pPr>
      <w:rPr>
        <w:rFonts w:hint="default"/>
        <w:vanish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3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3tTA3tzAxNDQ2MjVS0lEKTi0uzszPAykwqgUA474mhiwAAAA="/>
  </w:docVars>
  <w:rsids>
    <w:rsidRoot w:val="008F59F0"/>
    <w:rsid w:val="00305977"/>
    <w:rsid w:val="003B409E"/>
    <w:rsid w:val="004A21D9"/>
    <w:rsid w:val="00594774"/>
    <w:rsid w:val="005A12CD"/>
    <w:rsid w:val="005E076A"/>
    <w:rsid w:val="006A0E00"/>
    <w:rsid w:val="00711DF5"/>
    <w:rsid w:val="00730FE7"/>
    <w:rsid w:val="00762447"/>
    <w:rsid w:val="00785416"/>
    <w:rsid w:val="007B2B02"/>
    <w:rsid w:val="008F59F0"/>
    <w:rsid w:val="00A6155D"/>
    <w:rsid w:val="00A8114A"/>
    <w:rsid w:val="00A95763"/>
    <w:rsid w:val="00AD6696"/>
    <w:rsid w:val="00D32AA9"/>
    <w:rsid w:val="00D33301"/>
    <w:rsid w:val="00DC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3FF60FA"/>
  <w15:chartTrackingRefBased/>
  <w15:docId w15:val="{E4A2674E-95C4-4CEE-96A3-CC47C0CD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9F0"/>
    <w:rPr>
      <w:rFonts w:ascii="Calibri" w:eastAsia="Calibri" w:hAnsi="Calibri" w:cs="Calibri"/>
      <w:kern w:val="0"/>
      <w:lang w:val="en-US" w:eastAsia="en-I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09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2"/>
    <w:link w:val="Style4Char"/>
    <w:autoRedefine/>
    <w:qFormat/>
    <w:rsid w:val="003B409E"/>
    <w:pPr>
      <w:numPr>
        <w:numId w:val="2"/>
      </w:numPr>
      <w:spacing w:after="240" w:line="240" w:lineRule="auto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Style4Char">
    <w:name w:val="Style4 Char"/>
    <w:basedOn w:val="Heading2Char"/>
    <w:link w:val="Style4"/>
    <w:rsid w:val="003B409E"/>
    <w:rPr>
      <w:rFonts w:ascii="Times New Roman" w:eastAsiaTheme="majorEastAsia" w:hAnsi="Times New Roman" w:cs="Times New Roman"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0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78541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11D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DF5"/>
    <w:rPr>
      <w:rFonts w:ascii="Calibri" w:eastAsia="Calibri" w:hAnsi="Calibri" w:cs="Calibri"/>
      <w:kern w:val="0"/>
      <w:lang w:val="en-US" w:eastAsia="en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1D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DF5"/>
    <w:rPr>
      <w:rFonts w:ascii="Calibri" w:eastAsia="Calibri" w:hAnsi="Calibri" w:cs="Calibri"/>
      <w:kern w:val="0"/>
      <w:lang w:val="en-US"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Mohit Kumar</dc:creator>
  <cp:keywords/>
  <dc:description/>
  <cp:lastModifiedBy>Kevin Emerald</cp:lastModifiedBy>
  <cp:revision>9</cp:revision>
  <dcterms:created xsi:type="dcterms:W3CDTF">2023-10-14T12:06:00Z</dcterms:created>
  <dcterms:modified xsi:type="dcterms:W3CDTF">2024-09-26T17:07:00Z</dcterms:modified>
</cp:coreProperties>
</file>