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12757D" w14:textId="724F2B25" w:rsidR="008F59F0" w:rsidRPr="00711DF5" w:rsidRDefault="008F59F0" w:rsidP="008F59F0">
      <w:pPr>
        <w:rPr>
          <w:rFonts w:ascii="Times New Roman" w:hAnsi="Times New Roman" w:cs="Times New Roman"/>
          <w:b/>
          <w:sz w:val="24"/>
          <w:szCs w:val="24"/>
        </w:rPr>
      </w:pPr>
      <w:r w:rsidRPr="00711DF5">
        <w:rPr>
          <w:rFonts w:ascii="Times New Roman" w:hAnsi="Times New Roman" w:cs="Times New Roman"/>
          <w:b/>
          <w:sz w:val="24"/>
          <w:szCs w:val="24"/>
        </w:rPr>
        <w:t xml:space="preserve">Table </w:t>
      </w:r>
      <w:r w:rsidR="00305977" w:rsidRPr="00711DF5">
        <w:rPr>
          <w:rFonts w:ascii="Times New Roman" w:hAnsi="Times New Roman" w:cs="Times New Roman"/>
          <w:b/>
          <w:sz w:val="24"/>
          <w:szCs w:val="24"/>
        </w:rPr>
        <w:t>A</w:t>
      </w:r>
      <w:r w:rsidRPr="00711DF5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711DF5">
        <w:rPr>
          <w:rFonts w:ascii="Times New Roman" w:hAnsi="Times New Roman" w:cs="Times New Roman"/>
          <w:sz w:val="24"/>
          <w:szCs w:val="24"/>
        </w:rPr>
        <w:t>Details of the Independent Variables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689"/>
        <w:gridCol w:w="1757"/>
        <w:gridCol w:w="5580"/>
      </w:tblGrid>
      <w:tr w:rsidR="008F59F0" w:rsidRPr="00711DF5" w14:paraId="673B591B" w14:textId="77777777" w:rsidTr="00773FA6">
        <w:trPr>
          <w:trHeight w:val="300"/>
        </w:trPr>
        <w:tc>
          <w:tcPr>
            <w:tcW w:w="100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3223BC" w14:textId="77777777" w:rsidR="008F59F0" w:rsidRPr="00711DF5" w:rsidRDefault="008F59F0" w:rsidP="00773FA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/>
              </w:rPr>
            </w:pPr>
            <w:r w:rsidRPr="00711DF5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/>
              </w:rPr>
              <w:t>Category</w:t>
            </w:r>
          </w:p>
        </w:tc>
        <w:tc>
          <w:tcPr>
            <w:tcW w:w="13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91CFB8" w14:textId="77777777" w:rsidR="008F59F0" w:rsidRPr="00711DF5" w:rsidRDefault="008F59F0" w:rsidP="00773FA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/>
              </w:rPr>
            </w:pPr>
            <w:r w:rsidRPr="00711DF5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/>
              </w:rPr>
              <w:t>Variables</w:t>
            </w:r>
          </w:p>
        </w:tc>
        <w:tc>
          <w:tcPr>
            <w:tcW w:w="261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DA9964" w14:textId="77777777" w:rsidR="008F59F0" w:rsidRPr="00711DF5" w:rsidRDefault="008F59F0" w:rsidP="00773FA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/>
              </w:rPr>
            </w:pPr>
            <w:r w:rsidRPr="00711DF5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/>
              </w:rPr>
              <w:t>Calculation</w:t>
            </w:r>
          </w:p>
        </w:tc>
      </w:tr>
      <w:tr w:rsidR="008F59F0" w:rsidRPr="00711DF5" w14:paraId="156A59E1" w14:textId="77777777" w:rsidTr="00773FA6">
        <w:trPr>
          <w:trHeight w:val="300"/>
        </w:trPr>
        <w:tc>
          <w:tcPr>
            <w:tcW w:w="1006" w:type="pct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66175" w14:textId="77777777" w:rsidR="008F59F0" w:rsidRPr="00711DF5" w:rsidRDefault="008F59F0" w:rsidP="00773FA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IN"/>
              </w:rPr>
            </w:pPr>
            <w:r w:rsidRPr="00711DF5">
              <w:rPr>
                <w:rFonts w:ascii="Times New Roman" w:eastAsia="Times New Roman" w:hAnsi="Times New Roman" w:cs="Times New Roman"/>
                <w:b/>
                <w:color w:val="000000"/>
                <w:lang w:val="en-IN"/>
              </w:rPr>
              <w:t>Bond specific variables</w:t>
            </w:r>
          </w:p>
        </w:tc>
        <w:tc>
          <w:tcPr>
            <w:tcW w:w="138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5C0FC" w14:textId="77777777" w:rsidR="008F59F0" w:rsidRPr="00711DF5" w:rsidRDefault="008F59F0" w:rsidP="00773FA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en-IN"/>
              </w:rPr>
            </w:pPr>
            <w:r w:rsidRPr="00711DF5">
              <w:rPr>
                <w:rFonts w:ascii="Times New Roman" w:eastAsia="Times New Roman" w:hAnsi="Times New Roman" w:cs="Times New Roman"/>
                <w:color w:val="000000"/>
                <w:lang w:val="en-IN"/>
              </w:rPr>
              <w:t>Duration</w:t>
            </w:r>
          </w:p>
        </w:tc>
        <w:tc>
          <w:tcPr>
            <w:tcW w:w="261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96A94" w14:textId="77777777" w:rsidR="008F59F0" w:rsidRPr="00711DF5" w:rsidRDefault="008F59F0" w:rsidP="00773FA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en-IN"/>
              </w:rPr>
            </w:pPr>
            <w:r w:rsidRPr="00711DF5">
              <w:rPr>
                <w:rFonts w:ascii="Times New Roman" w:eastAsia="Times New Roman" w:hAnsi="Times New Roman" w:cs="Times New Roman"/>
                <w:color w:val="000000"/>
                <w:lang w:val="en-IN"/>
              </w:rPr>
              <w:t>Modified duration extracted from DataStream</w:t>
            </w:r>
          </w:p>
        </w:tc>
      </w:tr>
      <w:tr w:rsidR="008F59F0" w:rsidRPr="00711DF5" w14:paraId="29F0B240" w14:textId="77777777" w:rsidTr="00773FA6">
        <w:trPr>
          <w:trHeight w:val="300"/>
        </w:trPr>
        <w:tc>
          <w:tcPr>
            <w:tcW w:w="1006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06C35D" w14:textId="77777777" w:rsidR="008F59F0" w:rsidRPr="00711DF5" w:rsidRDefault="008F59F0" w:rsidP="00773FA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en-IN"/>
              </w:rPr>
            </w:pPr>
          </w:p>
        </w:tc>
        <w:tc>
          <w:tcPr>
            <w:tcW w:w="1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18A39" w14:textId="77777777" w:rsidR="008F59F0" w:rsidRPr="00711DF5" w:rsidRDefault="008F59F0" w:rsidP="00773FA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en-IN"/>
              </w:rPr>
            </w:pPr>
          </w:p>
          <w:p w14:paraId="76A07276" w14:textId="77777777" w:rsidR="008F59F0" w:rsidRPr="00711DF5" w:rsidRDefault="008F59F0" w:rsidP="00773FA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en-IN"/>
              </w:rPr>
            </w:pPr>
            <w:r w:rsidRPr="00711DF5">
              <w:rPr>
                <w:rFonts w:ascii="Times New Roman" w:eastAsia="Times New Roman" w:hAnsi="Times New Roman" w:cs="Times New Roman"/>
                <w:color w:val="000000"/>
                <w:lang w:val="en-IN"/>
              </w:rPr>
              <w:t>Residual maturity</w:t>
            </w:r>
          </w:p>
        </w:tc>
        <w:tc>
          <w:tcPr>
            <w:tcW w:w="2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41D32" w14:textId="77777777" w:rsidR="008F59F0" w:rsidRPr="00711DF5" w:rsidRDefault="008F59F0" w:rsidP="00773FA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en-IN"/>
              </w:rPr>
            </w:pPr>
            <w:r w:rsidRPr="00711DF5">
              <w:rPr>
                <w:rFonts w:ascii="Times New Roman" w:eastAsia="Times New Roman" w:hAnsi="Times New Roman" w:cs="Times New Roman"/>
                <w:color w:val="000000"/>
                <w:lang w:val="en-IN"/>
              </w:rPr>
              <w:t>The difference between trading date and redemption date</w:t>
            </w:r>
          </w:p>
        </w:tc>
      </w:tr>
      <w:tr w:rsidR="008F59F0" w:rsidRPr="00711DF5" w14:paraId="4D03E950" w14:textId="77777777" w:rsidTr="00773FA6">
        <w:trPr>
          <w:trHeight w:val="300"/>
        </w:trPr>
        <w:tc>
          <w:tcPr>
            <w:tcW w:w="1006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F305BD" w14:textId="77777777" w:rsidR="008F59F0" w:rsidRPr="00711DF5" w:rsidRDefault="008F59F0" w:rsidP="00773FA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en-IN"/>
              </w:rPr>
            </w:pPr>
          </w:p>
        </w:tc>
        <w:tc>
          <w:tcPr>
            <w:tcW w:w="1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FD7E3" w14:textId="77777777" w:rsidR="008F59F0" w:rsidRPr="00711DF5" w:rsidRDefault="008F59F0" w:rsidP="00773FA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en-IN"/>
              </w:rPr>
            </w:pPr>
            <w:r w:rsidRPr="00711DF5">
              <w:rPr>
                <w:rFonts w:ascii="Times New Roman" w:eastAsia="Times New Roman" w:hAnsi="Times New Roman" w:cs="Times New Roman"/>
                <w:color w:val="000000"/>
                <w:lang w:val="en-IN"/>
              </w:rPr>
              <w:t>Trading volume</w:t>
            </w:r>
          </w:p>
        </w:tc>
        <w:tc>
          <w:tcPr>
            <w:tcW w:w="2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9EA18" w14:textId="77777777" w:rsidR="008F59F0" w:rsidRPr="00711DF5" w:rsidRDefault="008F59F0" w:rsidP="00773FA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en-IN"/>
              </w:rPr>
            </w:pPr>
          </w:p>
          <w:p w14:paraId="59167142" w14:textId="77777777" w:rsidR="008F59F0" w:rsidRPr="00711DF5" w:rsidRDefault="008F59F0" w:rsidP="00773FA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en-IN"/>
              </w:rPr>
            </w:pPr>
            <w:r w:rsidRPr="00711DF5">
              <w:rPr>
                <w:rFonts w:ascii="Times New Roman" w:eastAsia="Times New Roman" w:hAnsi="Times New Roman" w:cs="Times New Roman"/>
                <w:color w:val="000000"/>
                <w:lang w:val="en-IN"/>
              </w:rPr>
              <w:t>Change in trading volume</w:t>
            </w:r>
          </w:p>
        </w:tc>
      </w:tr>
      <w:tr w:rsidR="008F59F0" w:rsidRPr="00711DF5" w14:paraId="6B5D6181" w14:textId="77777777" w:rsidTr="00773FA6">
        <w:trPr>
          <w:trHeight w:val="300"/>
        </w:trPr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1A70F7" w14:textId="77777777" w:rsidR="008F59F0" w:rsidRPr="00711DF5" w:rsidRDefault="008F59F0" w:rsidP="00773FA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en-IN"/>
              </w:rPr>
            </w:pPr>
          </w:p>
        </w:tc>
        <w:tc>
          <w:tcPr>
            <w:tcW w:w="1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6C7178" w14:textId="77777777" w:rsidR="008F59F0" w:rsidRPr="00711DF5" w:rsidRDefault="008F59F0" w:rsidP="00773FA6">
            <w:pPr>
              <w:spacing w:after="0" w:line="276" w:lineRule="auto"/>
              <w:rPr>
                <w:rFonts w:ascii="Times New Roman" w:eastAsia="Times New Roman" w:hAnsi="Times New Roman" w:cs="Times New Roman"/>
                <w:szCs w:val="20"/>
                <w:lang w:val="en-IN"/>
              </w:rPr>
            </w:pPr>
          </w:p>
        </w:tc>
        <w:tc>
          <w:tcPr>
            <w:tcW w:w="26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49FC36" w14:textId="77777777" w:rsidR="008F59F0" w:rsidRPr="00711DF5" w:rsidRDefault="008F59F0" w:rsidP="00773FA6">
            <w:pPr>
              <w:spacing w:after="0" w:line="276" w:lineRule="auto"/>
              <w:rPr>
                <w:rFonts w:ascii="Times New Roman" w:eastAsia="Times New Roman" w:hAnsi="Times New Roman" w:cs="Times New Roman"/>
                <w:szCs w:val="20"/>
                <w:lang w:val="en-IN"/>
              </w:rPr>
            </w:pPr>
          </w:p>
        </w:tc>
      </w:tr>
      <w:tr w:rsidR="008F59F0" w:rsidRPr="00711DF5" w14:paraId="5C5BDDE3" w14:textId="77777777" w:rsidTr="00773FA6">
        <w:trPr>
          <w:trHeight w:val="300"/>
        </w:trPr>
        <w:tc>
          <w:tcPr>
            <w:tcW w:w="1006" w:type="pct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2936A" w14:textId="77777777" w:rsidR="008F59F0" w:rsidRPr="00711DF5" w:rsidRDefault="008F59F0" w:rsidP="00773FA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IN"/>
              </w:rPr>
            </w:pPr>
            <w:r w:rsidRPr="00711DF5">
              <w:rPr>
                <w:rFonts w:ascii="Times New Roman" w:eastAsia="Times New Roman" w:hAnsi="Times New Roman" w:cs="Times New Roman"/>
                <w:b/>
                <w:color w:val="000000"/>
                <w:lang w:val="en-IN"/>
              </w:rPr>
              <w:t>Market volatility variables</w:t>
            </w:r>
          </w:p>
        </w:tc>
        <w:tc>
          <w:tcPr>
            <w:tcW w:w="138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E3C85" w14:textId="77777777" w:rsidR="008F59F0" w:rsidRPr="00711DF5" w:rsidRDefault="008F59F0" w:rsidP="00773FA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en-IN"/>
              </w:rPr>
            </w:pPr>
            <w:r w:rsidRPr="00711DF5">
              <w:rPr>
                <w:rFonts w:ascii="Times New Roman" w:eastAsia="Times New Roman" w:hAnsi="Times New Roman" w:cs="Times New Roman"/>
                <w:color w:val="000000"/>
                <w:lang w:val="en-IN"/>
              </w:rPr>
              <w:t>Stock market volatility</w:t>
            </w:r>
          </w:p>
        </w:tc>
        <w:tc>
          <w:tcPr>
            <w:tcW w:w="261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4B3A1" w14:textId="77777777" w:rsidR="008F59F0" w:rsidRPr="00711DF5" w:rsidRDefault="008F59F0" w:rsidP="00773FA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en-IN"/>
              </w:rPr>
            </w:pPr>
            <w:r w:rsidRPr="00711DF5">
              <w:rPr>
                <w:rFonts w:ascii="Times New Roman" w:eastAsia="Times New Roman" w:hAnsi="Times New Roman" w:cs="Times New Roman"/>
                <w:color w:val="000000"/>
                <w:lang w:val="en-IN"/>
              </w:rPr>
              <w:t>Historical volatility</w:t>
            </w:r>
          </w:p>
        </w:tc>
      </w:tr>
      <w:tr w:rsidR="008F59F0" w:rsidRPr="00711DF5" w14:paraId="65A9412C" w14:textId="77777777" w:rsidTr="00773FA6">
        <w:trPr>
          <w:trHeight w:val="300"/>
        </w:trPr>
        <w:tc>
          <w:tcPr>
            <w:tcW w:w="1006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5C225C" w14:textId="77777777" w:rsidR="008F59F0" w:rsidRPr="00711DF5" w:rsidRDefault="008F59F0" w:rsidP="00773FA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en-IN"/>
              </w:rPr>
            </w:pPr>
          </w:p>
        </w:tc>
        <w:tc>
          <w:tcPr>
            <w:tcW w:w="1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EF58C" w14:textId="77777777" w:rsidR="008F59F0" w:rsidRPr="00711DF5" w:rsidRDefault="008F59F0" w:rsidP="00773FA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en-IN"/>
              </w:rPr>
            </w:pPr>
            <w:r w:rsidRPr="00711DF5">
              <w:rPr>
                <w:rFonts w:ascii="Times New Roman" w:eastAsia="Times New Roman" w:hAnsi="Times New Roman" w:cs="Times New Roman"/>
                <w:color w:val="000000"/>
                <w:lang w:val="en-IN"/>
              </w:rPr>
              <w:t>Exchange market volatility</w:t>
            </w:r>
          </w:p>
        </w:tc>
        <w:tc>
          <w:tcPr>
            <w:tcW w:w="2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EB254" w14:textId="77777777" w:rsidR="008F59F0" w:rsidRPr="00711DF5" w:rsidRDefault="008F59F0" w:rsidP="00773FA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en-IN"/>
              </w:rPr>
            </w:pPr>
          </w:p>
          <w:p w14:paraId="014C42BF" w14:textId="77777777" w:rsidR="008F59F0" w:rsidRPr="00711DF5" w:rsidRDefault="008F59F0" w:rsidP="00773FA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en-IN"/>
              </w:rPr>
            </w:pPr>
            <w:r w:rsidRPr="00711DF5">
              <w:rPr>
                <w:rFonts w:ascii="Times New Roman" w:eastAsia="Times New Roman" w:hAnsi="Times New Roman" w:cs="Times New Roman"/>
                <w:color w:val="000000"/>
                <w:lang w:val="en-IN"/>
              </w:rPr>
              <w:t>Historical volatility</w:t>
            </w:r>
          </w:p>
        </w:tc>
      </w:tr>
      <w:tr w:rsidR="008F59F0" w:rsidRPr="00711DF5" w14:paraId="050B933A" w14:textId="77777777" w:rsidTr="00773FA6">
        <w:trPr>
          <w:trHeight w:val="300"/>
        </w:trPr>
        <w:tc>
          <w:tcPr>
            <w:tcW w:w="1006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362022" w14:textId="77777777" w:rsidR="008F59F0" w:rsidRPr="00711DF5" w:rsidRDefault="008F59F0" w:rsidP="00773FA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en-IN"/>
              </w:rPr>
            </w:pPr>
          </w:p>
        </w:tc>
        <w:tc>
          <w:tcPr>
            <w:tcW w:w="1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B93EB" w14:textId="77777777" w:rsidR="008F59F0" w:rsidRPr="00711DF5" w:rsidRDefault="008F59F0" w:rsidP="00773FA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en-IN"/>
              </w:rPr>
            </w:pPr>
          </w:p>
          <w:p w14:paraId="4BE6507F" w14:textId="77777777" w:rsidR="008F59F0" w:rsidRPr="00711DF5" w:rsidRDefault="008F59F0" w:rsidP="00773FA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en-IN"/>
              </w:rPr>
            </w:pPr>
            <w:r w:rsidRPr="00711DF5">
              <w:rPr>
                <w:rFonts w:ascii="Times New Roman" w:eastAsia="Times New Roman" w:hAnsi="Times New Roman" w:cs="Times New Roman"/>
                <w:color w:val="000000"/>
                <w:lang w:val="en-IN"/>
              </w:rPr>
              <w:t>Treasury bond yield volatility</w:t>
            </w:r>
          </w:p>
        </w:tc>
        <w:tc>
          <w:tcPr>
            <w:tcW w:w="2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B05D5" w14:textId="77777777" w:rsidR="008F59F0" w:rsidRPr="00711DF5" w:rsidRDefault="008F59F0" w:rsidP="00773FA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en-IN"/>
              </w:rPr>
            </w:pPr>
            <w:r w:rsidRPr="00711DF5">
              <w:rPr>
                <w:rFonts w:ascii="Times New Roman" w:eastAsia="Times New Roman" w:hAnsi="Times New Roman" w:cs="Times New Roman"/>
                <w:color w:val="000000"/>
                <w:lang w:val="en-IN"/>
              </w:rPr>
              <w:t>Historical volatility</w:t>
            </w:r>
          </w:p>
        </w:tc>
      </w:tr>
      <w:tr w:rsidR="008F59F0" w:rsidRPr="00711DF5" w14:paraId="0218D3A9" w14:textId="77777777" w:rsidTr="00773FA6">
        <w:trPr>
          <w:trHeight w:val="300"/>
        </w:trPr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1BB931" w14:textId="77777777" w:rsidR="008F59F0" w:rsidRPr="00711DF5" w:rsidRDefault="008F59F0" w:rsidP="00773FA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en-IN"/>
              </w:rPr>
            </w:pPr>
          </w:p>
        </w:tc>
        <w:tc>
          <w:tcPr>
            <w:tcW w:w="1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9C4B37" w14:textId="77777777" w:rsidR="008F59F0" w:rsidRPr="00711DF5" w:rsidRDefault="008F59F0" w:rsidP="00773FA6">
            <w:pPr>
              <w:spacing w:after="0" w:line="276" w:lineRule="auto"/>
              <w:rPr>
                <w:rFonts w:ascii="Times New Roman" w:eastAsia="Times New Roman" w:hAnsi="Times New Roman" w:cs="Times New Roman"/>
                <w:szCs w:val="20"/>
                <w:lang w:val="en-IN"/>
              </w:rPr>
            </w:pPr>
          </w:p>
        </w:tc>
        <w:tc>
          <w:tcPr>
            <w:tcW w:w="26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FE6295" w14:textId="77777777" w:rsidR="008F59F0" w:rsidRPr="00711DF5" w:rsidRDefault="008F59F0" w:rsidP="00773FA6">
            <w:pPr>
              <w:spacing w:after="0" w:line="276" w:lineRule="auto"/>
              <w:rPr>
                <w:rFonts w:ascii="Times New Roman" w:eastAsia="Times New Roman" w:hAnsi="Times New Roman" w:cs="Times New Roman"/>
                <w:szCs w:val="20"/>
                <w:lang w:val="en-IN"/>
              </w:rPr>
            </w:pPr>
          </w:p>
        </w:tc>
      </w:tr>
      <w:tr w:rsidR="008F59F0" w:rsidRPr="00711DF5" w14:paraId="4078F770" w14:textId="77777777" w:rsidTr="00773FA6">
        <w:trPr>
          <w:trHeight w:val="300"/>
        </w:trPr>
        <w:tc>
          <w:tcPr>
            <w:tcW w:w="1006" w:type="pct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CB298" w14:textId="77777777" w:rsidR="008F59F0" w:rsidRPr="00711DF5" w:rsidRDefault="008F59F0" w:rsidP="00773FA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IN"/>
              </w:rPr>
            </w:pPr>
            <w:r w:rsidRPr="00711DF5">
              <w:rPr>
                <w:rFonts w:ascii="Times New Roman" w:eastAsia="Times New Roman" w:hAnsi="Times New Roman" w:cs="Times New Roman"/>
                <w:b/>
                <w:color w:val="000000"/>
                <w:lang w:val="en-IN"/>
              </w:rPr>
              <w:t>Macro-economic variables</w:t>
            </w:r>
          </w:p>
        </w:tc>
        <w:tc>
          <w:tcPr>
            <w:tcW w:w="138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C2D8B" w14:textId="77777777" w:rsidR="008F59F0" w:rsidRPr="00711DF5" w:rsidRDefault="008F59F0" w:rsidP="00773FA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en-IN"/>
              </w:rPr>
            </w:pPr>
            <w:r w:rsidRPr="00711DF5">
              <w:rPr>
                <w:rFonts w:ascii="Times New Roman" w:eastAsia="Times New Roman" w:hAnsi="Times New Roman" w:cs="Times New Roman"/>
                <w:color w:val="000000"/>
                <w:lang w:val="en-IN"/>
              </w:rPr>
              <w:t>Industrial production</w:t>
            </w:r>
          </w:p>
        </w:tc>
        <w:tc>
          <w:tcPr>
            <w:tcW w:w="261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BDA14" w14:textId="77777777" w:rsidR="008F59F0" w:rsidRPr="00711DF5" w:rsidRDefault="008F59F0" w:rsidP="00773FA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en-IN"/>
              </w:rPr>
            </w:pPr>
            <w:r w:rsidRPr="00711DF5">
              <w:rPr>
                <w:rFonts w:ascii="Times New Roman" w:eastAsia="Times New Roman" w:hAnsi="Times New Roman" w:cs="Times New Roman"/>
                <w:color w:val="000000"/>
                <w:lang w:val="en-IN"/>
              </w:rPr>
              <w:t>Growth rate of Industrial production index</w:t>
            </w:r>
          </w:p>
          <w:p w14:paraId="177A0E08" w14:textId="77777777" w:rsidR="008F59F0" w:rsidRPr="00711DF5" w:rsidRDefault="008F59F0" w:rsidP="00773FA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en-IN"/>
              </w:rPr>
            </w:pPr>
          </w:p>
        </w:tc>
      </w:tr>
      <w:tr w:rsidR="008F59F0" w:rsidRPr="00711DF5" w14:paraId="173ABDCD" w14:textId="77777777" w:rsidTr="00773FA6">
        <w:trPr>
          <w:trHeight w:val="300"/>
        </w:trPr>
        <w:tc>
          <w:tcPr>
            <w:tcW w:w="1006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B955CE" w14:textId="77777777" w:rsidR="008F59F0" w:rsidRPr="00711DF5" w:rsidRDefault="008F59F0" w:rsidP="00773FA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en-IN"/>
              </w:rPr>
            </w:pPr>
          </w:p>
        </w:tc>
        <w:tc>
          <w:tcPr>
            <w:tcW w:w="1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DC30A" w14:textId="77777777" w:rsidR="008F59F0" w:rsidRPr="00711DF5" w:rsidRDefault="008F59F0" w:rsidP="00773FA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en-IN"/>
              </w:rPr>
            </w:pPr>
            <w:r w:rsidRPr="00711DF5">
              <w:rPr>
                <w:rFonts w:ascii="Times New Roman" w:eastAsia="Times New Roman" w:hAnsi="Times New Roman" w:cs="Times New Roman"/>
                <w:color w:val="000000"/>
                <w:lang w:val="en-IN"/>
              </w:rPr>
              <w:t>Inflation</w:t>
            </w:r>
          </w:p>
        </w:tc>
        <w:tc>
          <w:tcPr>
            <w:tcW w:w="2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00C34" w14:textId="77777777" w:rsidR="008F59F0" w:rsidRPr="00711DF5" w:rsidRDefault="008F59F0" w:rsidP="00773FA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en-IN"/>
              </w:rPr>
            </w:pPr>
          </w:p>
          <w:p w14:paraId="28712239" w14:textId="77777777" w:rsidR="008F59F0" w:rsidRPr="00711DF5" w:rsidRDefault="008F59F0" w:rsidP="00773FA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en-IN"/>
              </w:rPr>
            </w:pPr>
            <w:r w:rsidRPr="00711DF5">
              <w:rPr>
                <w:rFonts w:ascii="Times New Roman" w:eastAsia="Times New Roman" w:hAnsi="Times New Roman" w:cs="Times New Roman"/>
                <w:color w:val="000000"/>
                <w:lang w:val="en-IN"/>
              </w:rPr>
              <w:t>Growth rate of consumer price index</w:t>
            </w:r>
          </w:p>
        </w:tc>
      </w:tr>
      <w:tr w:rsidR="008F59F0" w:rsidRPr="00711DF5" w14:paraId="3DD68F8D" w14:textId="77777777" w:rsidTr="00773FA6">
        <w:trPr>
          <w:trHeight w:val="300"/>
        </w:trPr>
        <w:tc>
          <w:tcPr>
            <w:tcW w:w="1006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9013D3" w14:textId="77777777" w:rsidR="008F59F0" w:rsidRPr="00711DF5" w:rsidRDefault="008F59F0" w:rsidP="00773FA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en-IN"/>
              </w:rPr>
            </w:pPr>
          </w:p>
        </w:tc>
        <w:tc>
          <w:tcPr>
            <w:tcW w:w="1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561E5" w14:textId="77777777" w:rsidR="008F59F0" w:rsidRPr="00711DF5" w:rsidRDefault="008F59F0" w:rsidP="00773FA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en-IN"/>
              </w:rPr>
            </w:pPr>
            <w:r w:rsidRPr="00711DF5">
              <w:rPr>
                <w:rFonts w:ascii="Times New Roman" w:eastAsia="Times New Roman" w:hAnsi="Times New Roman" w:cs="Times New Roman"/>
                <w:color w:val="000000"/>
                <w:lang w:val="en-IN"/>
              </w:rPr>
              <w:t>Money supply</w:t>
            </w:r>
          </w:p>
        </w:tc>
        <w:tc>
          <w:tcPr>
            <w:tcW w:w="2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9324F" w14:textId="77777777" w:rsidR="008F59F0" w:rsidRPr="00711DF5" w:rsidRDefault="008F59F0" w:rsidP="00773FA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en-IN"/>
              </w:rPr>
            </w:pPr>
          </w:p>
          <w:p w14:paraId="2F2BC94E" w14:textId="77777777" w:rsidR="008F59F0" w:rsidRPr="00711DF5" w:rsidRDefault="008F59F0" w:rsidP="00773FA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en-IN"/>
              </w:rPr>
            </w:pPr>
            <w:r w:rsidRPr="00711DF5">
              <w:rPr>
                <w:rFonts w:ascii="Times New Roman" w:eastAsia="Times New Roman" w:hAnsi="Times New Roman" w:cs="Times New Roman"/>
                <w:color w:val="000000"/>
                <w:lang w:val="en-IN"/>
              </w:rPr>
              <w:t>Change in M3</w:t>
            </w:r>
          </w:p>
        </w:tc>
      </w:tr>
      <w:tr w:rsidR="008F59F0" w:rsidRPr="00711DF5" w14:paraId="45644206" w14:textId="77777777" w:rsidTr="00773FA6">
        <w:trPr>
          <w:trHeight w:val="300"/>
        </w:trPr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4DE25F" w14:textId="77777777" w:rsidR="008F59F0" w:rsidRPr="00711DF5" w:rsidRDefault="008F59F0" w:rsidP="00773FA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en-IN"/>
              </w:rPr>
            </w:pPr>
          </w:p>
        </w:tc>
        <w:tc>
          <w:tcPr>
            <w:tcW w:w="1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F241A9" w14:textId="77777777" w:rsidR="008F59F0" w:rsidRPr="00711DF5" w:rsidRDefault="008F59F0" w:rsidP="00773FA6">
            <w:pPr>
              <w:spacing w:after="0" w:line="276" w:lineRule="auto"/>
              <w:rPr>
                <w:rFonts w:ascii="Times New Roman" w:eastAsia="Times New Roman" w:hAnsi="Times New Roman" w:cs="Times New Roman"/>
                <w:szCs w:val="20"/>
                <w:lang w:val="en-IN"/>
              </w:rPr>
            </w:pPr>
          </w:p>
        </w:tc>
        <w:tc>
          <w:tcPr>
            <w:tcW w:w="26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CDC0A4" w14:textId="77777777" w:rsidR="008F59F0" w:rsidRPr="00711DF5" w:rsidRDefault="008F59F0" w:rsidP="00773FA6">
            <w:pPr>
              <w:spacing w:after="0" w:line="276" w:lineRule="auto"/>
              <w:rPr>
                <w:rFonts w:ascii="Times New Roman" w:eastAsia="Times New Roman" w:hAnsi="Times New Roman" w:cs="Times New Roman"/>
                <w:szCs w:val="20"/>
                <w:lang w:val="en-IN"/>
              </w:rPr>
            </w:pPr>
          </w:p>
        </w:tc>
      </w:tr>
      <w:tr w:rsidR="008F59F0" w:rsidRPr="00711DF5" w14:paraId="7C08747B" w14:textId="77777777" w:rsidTr="00773FA6">
        <w:trPr>
          <w:trHeight w:val="300"/>
        </w:trPr>
        <w:tc>
          <w:tcPr>
            <w:tcW w:w="1006" w:type="pct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5AFFB" w14:textId="77777777" w:rsidR="008F59F0" w:rsidRPr="00711DF5" w:rsidRDefault="008F59F0" w:rsidP="00773FA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IN"/>
              </w:rPr>
            </w:pPr>
            <w:r w:rsidRPr="00711DF5">
              <w:rPr>
                <w:rFonts w:ascii="Times New Roman" w:eastAsia="Times New Roman" w:hAnsi="Times New Roman" w:cs="Times New Roman"/>
                <w:b/>
                <w:color w:val="000000"/>
                <w:lang w:val="en-IN"/>
              </w:rPr>
              <w:t>Global variables</w:t>
            </w:r>
          </w:p>
        </w:tc>
        <w:tc>
          <w:tcPr>
            <w:tcW w:w="138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CF4D2" w14:textId="77777777" w:rsidR="008F59F0" w:rsidRPr="00711DF5" w:rsidRDefault="008F59F0" w:rsidP="00773FA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en-IN"/>
              </w:rPr>
            </w:pPr>
            <w:r w:rsidRPr="00711DF5">
              <w:rPr>
                <w:rFonts w:ascii="Times New Roman" w:eastAsia="Times New Roman" w:hAnsi="Times New Roman" w:cs="Times New Roman"/>
                <w:color w:val="000000"/>
                <w:lang w:val="en-IN"/>
              </w:rPr>
              <w:t>Volatility index</w:t>
            </w:r>
          </w:p>
        </w:tc>
        <w:tc>
          <w:tcPr>
            <w:tcW w:w="261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8DE73" w14:textId="77777777" w:rsidR="008F59F0" w:rsidRPr="00711DF5" w:rsidRDefault="008F59F0" w:rsidP="00773FA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en-IN"/>
              </w:rPr>
            </w:pPr>
            <w:r w:rsidRPr="00711DF5">
              <w:rPr>
                <w:rFonts w:ascii="Times New Roman" w:eastAsia="Times New Roman" w:hAnsi="Times New Roman" w:cs="Times New Roman"/>
                <w:color w:val="000000"/>
                <w:lang w:val="en-IN"/>
              </w:rPr>
              <w:t>Historical volatility of VIX obtained from Chicago board of exchange</w:t>
            </w:r>
          </w:p>
          <w:p w14:paraId="1F0ACA88" w14:textId="77777777" w:rsidR="008F59F0" w:rsidRPr="00711DF5" w:rsidRDefault="008F59F0" w:rsidP="00773FA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en-IN"/>
              </w:rPr>
            </w:pPr>
          </w:p>
        </w:tc>
      </w:tr>
      <w:tr w:rsidR="008F59F0" w:rsidRPr="00711DF5" w14:paraId="0032A987" w14:textId="77777777" w:rsidTr="00773FA6">
        <w:trPr>
          <w:trHeight w:val="300"/>
        </w:trPr>
        <w:tc>
          <w:tcPr>
            <w:tcW w:w="1006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6991E9" w14:textId="77777777" w:rsidR="008F59F0" w:rsidRPr="00711DF5" w:rsidRDefault="008F59F0" w:rsidP="00773FA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en-IN"/>
              </w:rPr>
            </w:pPr>
          </w:p>
        </w:tc>
        <w:tc>
          <w:tcPr>
            <w:tcW w:w="1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F81F8" w14:textId="77777777" w:rsidR="008F59F0" w:rsidRPr="00711DF5" w:rsidRDefault="008F59F0" w:rsidP="00773FA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en-IN"/>
              </w:rPr>
            </w:pPr>
            <w:r w:rsidRPr="00711DF5">
              <w:rPr>
                <w:rFonts w:ascii="Times New Roman" w:eastAsia="Times New Roman" w:hAnsi="Times New Roman" w:cs="Times New Roman"/>
                <w:color w:val="000000"/>
                <w:lang w:val="en-IN"/>
              </w:rPr>
              <w:t>Ted spread</w:t>
            </w:r>
          </w:p>
        </w:tc>
        <w:tc>
          <w:tcPr>
            <w:tcW w:w="2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9D758" w14:textId="337DB2A3" w:rsidR="008F59F0" w:rsidRPr="00711DF5" w:rsidRDefault="008F59F0" w:rsidP="00773FA6">
            <w:pPr>
              <w:spacing w:after="0" w:line="276" w:lineRule="auto"/>
              <w:rPr>
                <w:rFonts w:ascii="Times New Roman" w:eastAsia="Times New Roman" w:hAnsi="Times New Roman" w:cs="Times New Roman"/>
                <w:lang w:val="en-IN"/>
              </w:rPr>
            </w:pPr>
            <w:r w:rsidRPr="00711DF5">
              <w:rPr>
                <w:rFonts w:ascii="Times New Roman" w:eastAsia="Times New Roman" w:hAnsi="Times New Roman" w:cs="Times New Roman"/>
                <w:lang w:val="en-IN"/>
              </w:rPr>
              <w:t xml:space="preserve">Eurodollar-Treasury spread </w:t>
            </w:r>
            <w:r w:rsidR="004A21D9" w:rsidRPr="00711DF5">
              <w:rPr>
                <w:rFonts w:ascii="Times New Roman" w:eastAsia="Times New Roman" w:hAnsi="Times New Roman" w:cs="Times New Roman"/>
                <w:lang w:val="en-IN"/>
              </w:rPr>
              <w:t>from</w:t>
            </w:r>
            <w:r w:rsidRPr="00711DF5">
              <w:rPr>
                <w:rFonts w:ascii="Times New Roman" w:eastAsia="Times New Roman" w:hAnsi="Times New Roman" w:cs="Times New Roman"/>
                <w:lang w:val="en-IN"/>
              </w:rPr>
              <w:t xml:space="preserve"> Federal Reserve Bank of St. Louis website</w:t>
            </w:r>
          </w:p>
          <w:p w14:paraId="50C7130D" w14:textId="77777777" w:rsidR="008F59F0" w:rsidRPr="00711DF5" w:rsidRDefault="008F59F0" w:rsidP="00773FA6">
            <w:pPr>
              <w:spacing w:after="0" w:line="276" w:lineRule="auto"/>
              <w:rPr>
                <w:rFonts w:ascii="Times New Roman" w:eastAsia="Times New Roman" w:hAnsi="Times New Roman" w:cs="Times New Roman"/>
                <w:lang w:val="en-IN"/>
              </w:rPr>
            </w:pPr>
          </w:p>
        </w:tc>
      </w:tr>
      <w:tr w:rsidR="008F59F0" w:rsidRPr="00711DF5" w14:paraId="73EF0322" w14:textId="77777777" w:rsidTr="00773FA6">
        <w:trPr>
          <w:trHeight w:val="300"/>
        </w:trPr>
        <w:tc>
          <w:tcPr>
            <w:tcW w:w="1006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29E3E51" w14:textId="77777777" w:rsidR="008F59F0" w:rsidRPr="00711DF5" w:rsidRDefault="008F59F0" w:rsidP="00773FA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en-IN"/>
              </w:rPr>
            </w:pPr>
          </w:p>
        </w:tc>
        <w:tc>
          <w:tcPr>
            <w:tcW w:w="1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C96B96" w14:textId="77777777" w:rsidR="008F59F0" w:rsidRPr="00711DF5" w:rsidRDefault="008F59F0" w:rsidP="00773FA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en-IN"/>
              </w:rPr>
            </w:pPr>
            <w:r w:rsidRPr="00711DF5">
              <w:rPr>
                <w:rFonts w:ascii="Times New Roman" w:eastAsia="Times New Roman" w:hAnsi="Times New Roman" w:cs="Times New Roman"/>
                <w:color w:val="000000"/>
                <w:lang w:val="en-IN"/>
              </w:rPr>
              <w:t>WTIC</w:t>
            </w:r>
          </w:p>
        </w:tc>
        <w:tc>
          <w:tcPr>
            <w:tcW w:w="26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3150A0" w14:textId="5C59FD72" w:rsidR="008F59F0" w:rsidRPr="00711DF5" w:rsidRDefault="008F59F0" w:rsidP="00773FA6">
            <w:pPr>
              <w:spacing w:after="0" w:line="276" w:lineRule="auto"/>
              <w:rPr>
                <w:rFonts w:ascii="Times New Roman" w:eastAsia="Times New Roman" w:hAnsi="Times New Roman" w:cs="Times New Roman"/>
                <w:lang w:val="en-IN"/>
              </w:rPr>
            </w:pPr>
            <w:r w:rsidRPr="00711D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West Texas Intermediate crude oil price index </w:t>
            </w:r>
            <w:r w:rsidR="004A21D9" w:rsidRPr="00711DF5">
              <w:rPr>
                <w:rFonts w:ascii="Times New Roman" w:eastAsia="Times New Roman" w:hAnsi="Times New Roman" w:cs="Times New Roman"/>
                <w:sz w:val="24"/>
                <w:szCs w:val="24"/>
              </w:rPr>
              <w:t>from</w:t>
            </w:r>
            <w:r w:rsidRPr="00711D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Federal Reserve Bank of St. Louis website</w:t>
            </w:r>
          </w:p>
        </w:tc>
      </w:tr>
    </w:tbl>
    <w:p w14:paraId="0A6A018C" w14:textId="335816AE" w:rsidR="007B2B02" w:rsidRPr="00711DF5" w:rsidRDefault="008F59F0">
      <w:pPr>
        <w:rPr>
          <w:rFonts w:ascii="Times New Roman" w:eastAsia="Times New Roman" w:hAnsi="Times New Roman" w:cs="Times New Roman"/>
          <w:sz w:val="24"/>
          <w:szCs w:val="24"/>
        </w:rPr>
      </w:pPr>
      <w:r w:rsidRPr="00711DF5">
        <w:rPr>
          <w:rFonts w:ascii="Times New Roman" w:eastAsia="Times New Roman" w:hAnsi="Times New Roman" w:cs="Times New Roman"/>
          <w:sz w:val="24"/>
          <w:szCs w:val="24"/>
        </w:rPr>
        <w:t>Note: The table shows the category of independent variables, the sub-variables included under each category and their computation.</w:t>
      </w:r>
    </w:p>
    <w:p w14:paraId="78674299" w14:textId="3E320341" w:rsidR="00785416" w:rsidRPr="00711DF5" w:rsidRDefault="00785416">
      <w:pPr>
        <w:rPr>
          <w:rFonts w:ascii="Times New Roman" w:eastAsia="Times New Roman" w:hAnsi="Times New Roman" w:cs="Times New Roman"/>
          <w:sz w:val="24"/>
          <w:szCs w:val="24"/>
        </w:rPr>
      </w:pPr>
      <w:r w:rsidRPr="00711DF5">
        <w:rPr>
          <w:rFonts w:ascii="Times New Roman" w:eastAsia="Times New Roman" w:hAnsi="Times New Roman" w:cs="Times New Roman"/>
          <w:sz w:val="24"/>
          <w:szCs w:val="24"/>
        </w:rPr>
        <w:t>Source: Authors' own creation</w:t>
      </w:r>
    </w:p>
    <w:p w14:paraId="3A552B48" w14:textId="62372180" w:rsidR="008F59F0" w:rsidRPr="00711DF5" w:rsidRDefault="008F59F0" w:rsidP="008F59F0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11DF5">
        <w:rPr>
          <w:rFonts w:ascii="Times New Roman" w:eastAsia="Times New Roman" w:hAnsi="Times New Roman" w:cs="Times New Roman"/>
          <w:b/>
          <w:sz w:val="24"/>
          <w:szCs w:val="24"/>
        </w:rPr>
        <w:t xml:space="preserve">Table </w:t>
      </w:r>
      <w:r w:rsidR="00305977" w:rsidRPr="00711DF5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Pr="00711DF5">
        <w:rPr>
          <w:rFonts w:ascii="Times New Roman" w:eastAsia="Times New Roman" w:hAnsi="Times New Roman" w:cs="Times New Roman"/>
          <w:b/>
          <w:sz w:val="24"/>
          <w:szCs w:val="24"/>
        </w:rPr>
        <w:t xml:space="preserve">2. </w:t>
      </w:r>
      <w:r w:rsidRPr="00711DF5">
        <w:rPr>
          <w:rFonts w:ascii="Times New Roman" w:eastAsia="Times New Roman" w:hAnsi="Times New Roman" w:cs="Times New Roman"/>
          <w:sz w:val="24"/>
          <w:szCs w:val="24"/>
        </w:rPr>
        <w:t>Credit spread determinants</w:t>
      </w:r>
    </w:p>
    <w:tbl>
      <w:tblPr>
        <w:tblW w:w="5000" w:type="pct"/>
        <w:jc w:val="center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333"/>
        <w:gridCol w:w="1283"/>
        <w:gridCol w:w="1282"/>
        <w:gridCol w:w="1282"/>
        <w:gridCol w:w="1282"/>
        <w:gridCol w:w="1282"/>
        <w:gridCol w:w="1282"/>
      </w:tblGrid>
      <w:tr w:rsidR="008F59F0" w:rsidRPr="00711DF5" w14:paraId="7B889BEA" w14:textId="77777777" w:rsidTr="00773FA6">
        <w:trPr>
          <w:trHeight w:val="262"/>
          <w:jc w:val="center"/>
        </w:trPr>
        <w:tc>
          <w:tcPr>
            <w:tcW w:w="738" w:type="pct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06A34AE" w14:textId="77777777" w:rsidR="008F59F0" w:rsidRPr="00711DF5" w:rsidRDefault="008F59F0" w:rsidP="00773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pct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573FB03" w14:textId="77777777" w:rsidR="008F59F0" w:rsidRPr="00711DF5" w:rsidRDefault="008F59F0" w:rsidP="00773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pct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D71690C" w14:textId="77777777" w:rsidR="008F59F0" w:rsidRPr="00711DF5" w:rsidRDefault="008F59F0" w:rsidP="00773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pct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2D7CBB9" w14:textId="77777777" w:rsidR="008F59F0" w:rsidRPr="00711DF5" w:rsidRDefault="008F59F0" w:rsidP="00773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pct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BAF544B" w14:textId="77777777" w:rsidR="008F59F0" w:rsidRPr="00711DF5" w:rsidRDefault="008F59F0" w:rsidP="00773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pct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041A427" w14:textId="77777777" w:rsidR="008F59F0" w:rsidRPr="00711DF5" w:rsidRDefault="008F59F0" w:rsidP="00773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pct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1433D04" w14:textId="77777777" w:rsidR="008F59F0" w:rsidRPr="00711DF5" w:rsidRDefault="008F59F0" w:rsidP="00773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59F0" w:rsidRPr="00711DF5" w14:paraId="2BBB4E69" w14:textId="77777777" w:rsidTr="00773FA6">
        <w:trPr>
          <w:trHeight w:val="277"/>
          <w:jc w:val="center"/>
        </w:trPr>
        <w:tc>
          <w:tcPr>
            <w:tcW w:w="738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2D25B91" w14:textId="77777777" w:rsidR="008F59F0" w:rsidRPr="00711DF5" w:rsidRDefault="008F59F0" w:rsidP="00773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11DF5">
              <w:rPr>
                <w:rFonts w:ascii="Times New Roman" w:hAnsi="Times New Roman" w:cs="Times New Roman"/>
                <w:sz w:val="20"/>
                <w:szCs w:val="20"/>
              </w:rPr>
              <w:t>VARIABLES</w:t>
            </w:r>
          </w:p>
        </w:tc>
        <w:tc>
          <w:tcPr>
            <w:tcW w:w="711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B0F9162" w14:textId="77777777" w:rsidR="008F59F0" w:rsidRPr="00711DF5" w:rsidRDefault="008F59F0" w:rsidP="00773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1DF5">
              <w:rPr>
                <w:rFonts w:ascii="Times New Roman" w:hAnsi="Times New Roman" w:cs="Times New Roman"/>
                <w:sz w:val="20"/>
                <w:szCs w:val="20"/>
              </w:rPr>
              <w:t>1 Year</w:t>
            </w:r>
          </w:p>
        </w:tc>
        <w:tc>
          <w:tcPr>
            <w:tcW w:w="710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F492FEC" w14:textId="77777777" w:rsidR="008F59F0" w:rsidRPr="00711DF5" w:rsidRDefault="008F59F0" w:rsidP="00773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1DF5">
              <w:rPr>
                <w:rFonts w:ascii="Times New Roman" w:hAnsi="Times New Roman" w:cs="Times New Roman"/>
                <w:sz w:val="20"/>
                <w:szCs w:val="20"/>
              </w:rPr>
              <w:t>2 Years</w:t>
            </w:r>
          </w:p>
        </w:tc>
        <w:tc>
          <w:tcPr>
            <w:tcW w:w="710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5C049F9" w14:textId="77777777" w:rsidR="008F59F0" w:rsidRPr="00711DF5" w:rsidRDefault="008F59F0" w:rsidP="00773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1DF5">
              <w:rPr>
                <w:rFonts w:ascii="Times New Roman" w:hAnsi="Times New Roman" w:cs="Times New Roman"/>
                <w:sz w:val="20"/>
                <w:szCs w:val="20"/>
              </w:rPr>
              <w:t>5 Years</w:t>
            </w:r>
          </w:p>
        </w:tc>
        <w:tc>
          <w:tcPr>
            <w:tcW w:w="710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CE2BC1B" w14:textId="77777777" w:rsidR="008F59F0" w:rsidRPr="00711DF5" w:rsidRDefault="008F59F0" w:rsidP="00773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1DF5">
              <w:rPr>
                <w:rFonts w:ascii="Times New Roman" w:hAnsi="Times New Roman" w:cs="Times New Roman"/>
                <w:sz w:val="20"/>
                <w:szCs w:val="20"/>
              </w:rPr>
              <w:t>10 Years</w:t>
            </w:r>
          </w:p>
        </w:tc>
        <w:tc>
          <w:tcPr>
            <w:tcW w:w="710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1575251" w14:textId="77777777" w:rsidR="008F59F0" w:rsidRPr="00711DF5" w:rsidRDefault="008F59F0" w:rsidP="00773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1DF5">
              <w:rPr>
                <w:rFonts w:ascii="Times New Roman" w:hAnsi="Times New Roman" w:cs="Times New Roman"/>
                <w:sz w:val="20"/>
                <w:szCs w:val="20"/>
              </w:rPr>
              <w:t>15 Years</w:t>
            </w:r>
          </w:p>
        </w:tc>
        <w:tc>
          <w:tcPr>
            <w:tcW w:w="710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DFDC6AB" w14:textId="77777777" w:rsidR="008F59F0" w:rsidRPr="00711DF5" w:rsidRDefault="008F59F0" w:rsidP="00773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1DF5">
              <w:rPr>
                <w:rFonts w:ascii="Times New Roman" w:hAnsi="Times New Roman" w:cs="Times New Roman"/>
                <w:sz w:val="20"/>
                <w:szCs w:val="20"/>
              </w:rPr>
              <w:t>20 Years</w:t>
            </w:r>
          </w:p>
        </w:tc>
      </w:tr>
      <w:tr w:rsidR="008F59F0" w:rsidRPr="00711DF5" w14:paraId="6F7D856A" w14:textId="77777777" w:rsidTr="00773FA6">
        <w:trPr>
          <w:trHeight w:val="262"/>
          <w:jc w:val="center"/>
        </w:trPr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</w:tcPr>
          <w:p w14:paraId="4BBBE624" w14:textId="77777777" w:rsidR="008F59F0" w:rsidRPr="00711DF5" w:rsidRDefault="008F59F0" w:rsidP="00773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</w:tcPr>
          <w:p w14:paraId="0278BE4F" w14:textId="77777777" w:rsidR="008F59F0" w:rsidRPr="00711DF5" w:rsidRDefault="008F59F0" w:rsidP="00773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</w:tcPr>
          <w:p w14:paraId="6D299E42" w14:textId="77777777" w:rsidR="008F59F0" w:rsidRPr="00711DF5" w:rsidRDefault="008F59F0" w:rsidP="00773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</w:tcPr>
          <w:p w14:paraId="70A947B5" w14:textId="77777777" w:rsidR="008F59F0" w:rsidRPr="00711DF5" w:rsidRDefault="008F59F0" w:rsidP="00773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</w:tcPr>
          <w:p w14:paraId="2930D3BB" w14:textId="77777777" w:rsidR="008F59F0" w:rsidRPr="00711DF5" w:rsidRDefault="008F59F0" w:rsidP="00773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</w:tcPr>
          <w:p w14:paraId="513772D7" w14:textId="77777777" w:rsidR="008F59F0" w:rsidRPr="00711DF5" w:rsidRDefault="008F59F0" w:rsidP="00773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</w:tcPr>
          <w:p w14:paraId="573D8E00" w14:textId="77777777" w:rsidR="008F59F0" w:rsidRPr="00711DF5" w:rsidRDefault="008F59F0" w:rsidP="00773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59F0" w:rsidRPr="00711DF5" w14:paraId="1D4942D2" w14:textId="77777777" w:rsidTr="00773FA6">
        <w:trPr>
          <w:trHeight w:val="277"/>
          <w:jc w:val="center"/>
        </w:trPr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</w:tcPr>
          <w:p w14:paraId="3D743788" w14:textId="77777777" w:rsidR="008F59F0" w:rsidRPr="00711DF5" w:rsidRDefault="008F59F0" w:rsidP="00773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11DF5">
              <w:rPr>
                <w:rFonts w:ascii="Times New Roman" w:hAnsi="Times New Roman" w:cs="Times New Roman"/>
                <w:sz w:val="20"/>
                <w:szCs w:val="20"/>
              </w:rPr>
              <w:t>Bond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</w:tcPr>
          <w:p w14:paraId="2E833858" w14:textId="77777777" w:rsidR="008F59F0" w:rsidRPr="00711DF5" w:rsidRDefault="008F59F0" w:rsidP="00773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1DF5">
              <w:rPr>
                <w:rFonts w:ascii="Times New Roman" w:hAnsi="Times New Roman" w:cs="Times New Roman"/>
                <w:sz w:val="20"/>
                <w:szCs w:val="20"/>
              </w:rPr>
              <w:t>-0.161***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</w:tcPr>
          <w:p w14:paraId="7B155CEF" w14:textId="77777777" w:rsidR="008F59F0" w:rsidRPr="00711DF5" w:rsidRDefault="008F59F0" w:rsidP="00773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1DF5">
              <w:rPr>
                <w:rFonts w:ascii="Times New Roman" w:hAnsi="Times New Roman" w:cs="Times New Roman"/>
                <w:sz w:val="20"/>
                <w:szCs w:val="20"/>
              </w:rPr>
              <w:t>0.0810***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</w:tcPr>
          <w:p w14:paraId="7D9B3C46" w14:textId="77777777" w:rsidR="008F59F0" w:rsidRPr="00711DF5" w:rsidRDefault="008F59F0" w:rsidP="00773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1DF5">
              <w:rPr>
                <w:rFonts w:ascii="Times New Roman" w:hAnsi="Times New Roman" w:cs="Times New Roman"/>
                <w:sz w:val="20"/>
                <w:szCs w:val="20"/>
              </w:rPr>
              <w:t>-0.449***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</w:tcPr>
          <w:p w14:paraId="47644895" w14:textId="77777777" w:rsidR="008F59F0" w:rsidRPr="00711DF5" w:rsidRDefault="008F59F0" w:rsidP="00773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1DF5">
              <w:rPr>
                <w:rFonts w:ascii="Times New Roman" w:hAnsi="Times New Roman" w:cs="Times New Roman"/>
                <w:sz w:val="20"/>
                <w:szCs w:val="20"/>
              </w:rPr>
              <w:t>0.0241*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</w:tcPr>
          <w:p w14:paraId="6D415F68" w14:textId="77777777" w:rsidR="008F59F0" w:rsidRPr="00711DF5" w:rsidRDefault="008F59F0" w:rsidP="00773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1DF5">
              <w:rPr>
                <w:rFonts w:ascii="Times New Roman" w:hAnsi="Times New Roman" w:cs="Times New Roman"/>
                <w:sz w:val="20"/>
                <w:szCs w:val="20"/>
              </w:rPr>
              <w:t>0.0191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</w:tcPr>
          <w:p w14:paraId="7FF60C78" w14:textId="77777777" w:rsidR="008F59F0" w:rsidRPr="00711DF5" w:rsidRDefault="008F59F0" w:rsidP="00773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1DF5">
              <w:rPr>
                <w:rFonts w:ascii="Times New Roman" w:hAnsi="Times New Roman" w:cs="Times New Roman"/>
                <w:sz w:val="20"/>
                <w:szCs w:val="20"/>
              </w:rPr>
              <w:t>0.0293</w:t>
            </w:r>
          </w:p>
        </w:tc>
      </w:tr>
      <w:tr w:rsidR="008F59F0" w:rsidRPr="00711DF5" w14:paraId="1A9F7154" w14:textId="77777777" w:rsidTr="00773FA6">
        <w:trPr>
          <w:trHeight w:val="262"/>
          <w:jc w:val="center"/>
        </w:trPr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</w:tcPr>
          <w:p w14:paraId="1E952312" w14:textId="77777777" w:rsidR="008F59F0" w:rsidRPr="00711DF5" w:rsidRDefault="008F59F0" w:rsidP="00773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</w:tcPr>
          <w:p w14:paraId="5A6F2688" w14:textId="77777777" w:rsidR="008F59F0" w:rsidRPr="00711DF5" w:rsidRDefault="008F59F0" w:rsidP="00773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1DF5">
              <w:rPr>
                <w:rFonts w:ascii="Times New Roman" w:hAnsi="Times New Roman" w:cs="Times New Roman"/>
                <w:sz w:val="20"/>
                <w:szCs w:val="20"/>
              </w:rPr>
              <w:t>(0.0245)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</w:tcPr>
          <w:p w14:paraId="752603B3" w14:textId="77777777" w:rsidR="008F59F0" w:rsidRPr="00711DF5" w:rsidRDefault="008F59F0" w:rsidP="00773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1DF5">
              <w:rPr>
                <w:rFonts w:ascii="Times New Roman" w:hAnsi="Times New Roman" w:cs="Times New Roman"/>
                <w:sz w:val="20"/>
                <w:szCs w:val="20"/>
              </w:rPr>
              <w:t>(0.0212)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</w:tcPr>
          <w:p w14:paraId="4E68D121" w14:textId="77777777" w:rsidR="008F59F0" w:rsidRPr="00711DF5" w:rsidRDefault="008F59F0" w:rsidP="00773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1DF5">
              <w:rPr>
                <w:rFonts w:ascii="Times New Roman" w:hAnsi="Times New Roman" w:cs="Times New Roman"/>
                <w:sz w:val="20"/>
                <w:szCs w:val="20"/>
              </w:rPr>
              <w:t>(0.0183)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</w:tcPr>
          <w:p w14:paraId="262BB66E" w14:textId="77777777" w:rsidR="008F59F0" w:rsidRPr="00711DF5" w:rsidRDefault="008F59F0" w:rsidP="00773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1DF5">
              <w:rPr>
                <w:rFonts w:ascii="Times New Roman" w:hAnsi="Times New Roman" w:cs="Times New Roman"/>
                <w:sz w:val="20"/>
                <w:szCs w:val="20"/>
              </w:rPr>
              <w:t>(0.0124)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</w:tcPr>
          <w:p w14:paraId="760272D3" w14:textId="77777777" w:rsidR="008F59F0" w:rsidRPr="00711DF5" w:rsidRDefault="008F59F0" w:rsidP="00773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1DF5">
              <w:rPr>
                <w:rFonts w:ascii="Times New Roman" w:hAnsi="Times New Roman" w:cs="Times New Roman"/>
                <w:sz w:val="20"/>
                <w:szCs w:val="20"/>
              </w:rPr>
              <w:t>(0.0296)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</w:tcPr>
          <w:p w14:paraId="56FBF2D3" w14:textId="77777777" w:rsidR="008F59F0" w:rsidRPr="00711DF5" w:rsidRDefault="008F59F0" w:rsidP="00773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1DF5">
              <w:rPr>
                <w:rFonts w:ascii="Times New Roman" w:hAnsi="Times New Roman" w:cs="Times New Roman"/>
                <w:sz w:val="20"/>
                <w:szCs w:val="20"/>
              </w:rPr>
              <w:t>(0.106)</w:t>
            </w:r>
          </w:p>
        </w:tc>
      </w:tr>
      <w:tr w:rsidR="008F59F0" w:rsidRPr="00711DF5" w14:paraId="05E3E0DA" w14:textId="77777777" w:rsidTr="00773FA6">
        <w:trPr>
          <w:trHeight w:val="262"/>
          <w:jc w:val="center"/>
        </w:trPr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</w:tcPr>
          <w:p w14:paraId="71CB73D6" w14:textId="77777777" w:rsidR="008F59F0" w:rsidRPr="00711DF5" w:rsidRDefault="008F59F0" w:rsidP="00773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</w:tcPr>
          <w:p w14:paraId="2527CE28" w14:textId="77777777" w:rsidR="008F59F0" w:rsidRPr="00711DF5" w:rsidRDefault="008F59F0" w:rsidP="00773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</w:tcPr>
          <w:p w14:paraId="031CA04A" w14:textId="77777777" w:rsidR="008F59F0" w:rsidRPr="00711DF5" w:rsidRDefault="008F59F0" w:rsidP="00773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</w:tcPr>
          <w:p w14:paraId="7C3DDC7E" w14:textId="77777777" w:rsidR="008F59F0" w:rsidRPr="00711DF5" w:rsidRDefault="008F59F0" w:rsidP="00773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</w:tcPr>
          <w:p w14:paraId="6C40D505" w14:textId="77777777" w:rsidR="008F59F0" w:rsidRPr="00711DF5" w:rsidRDefault="008F59F0" w:rsidP="00773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</w:tcPr>
          <w:p w14:paraId="0E390C58" w14:textId="77777777" w:rsidR="008F59F0" w:rsidRPr="00711DF5" w:rsidRDefault="008F59F0" w:rsidP="00773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</w:tcPr>
          <w:p w14:paraId="3D9B3242" w14:textId="77777777" w:rsidR="008F59F0" w:rsidRPr="00711DF5" w:rsidRDefault="008F59F0" w:rsidP="00773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59F0" w:rsidRPr="00711DF5" w14:paraId="7AE16BAA" w14:textId="77777777" w:rsidTr="00773FA6">
        <w:trPr>
          <w:trHeight w:val="262"/>
          <w:jc w:val="center"/>
        </w:trPr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</w:tcPr>
          <w:p w14:paraId="1235BAA1" w14:textId="1766FD4B" w:rsidR="008F59F0" w:rsidRPr="00711DF5" w:rsidRDefault="008F59F0" w:rsidP="00773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11DF5">
              <w:rPr>
                <w:rFonts w:ascii="Times New Roman" w:hAnsi="Times New Roman" w:cs="Times New Roman"/>
                <w:sz w:val="20"/>
                <w:szCs w:val="20"/>
              </w:rPr>
              <w:t>Market</w:t>
            </w:r>
            <w:r w:rsidR="004A21D9" w:rsidRPr="00711D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11DF5">
              <w:rPr>
                <w:rFonts w:ascii="Times New Roman" w:hAnsi="Times New Roman" w:cs="Times New Roman"/>
                <w:sz w:val="20"/>
                <w:szCs w:val="20"/>
              </w:rPr>
              <w:t>Vol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</w:tcPr>
          <w:p w14:paraId="32456524" w14:textId="77777777" w:rsidR="008F59F0" w:rsidRPr="00711DF5" w:rsidRDefault="008F59F0" w:rsidP="00773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1DF5">
              <w:rPr>
                <w:rFonts w:ascii="Times New Roman" w:hAnsi="Times New Roman" w:cs="Times New Roman"/>
                <w:sz w:val="20"/>
                <w:szCs w:val="20"/>
              </w:rPr>
              <w:t>0.195***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</w:tcPr>
          <w:p w14:paraId="2B45E7D4" w14:textId="77777777" w:rsidR="008F59F0" w:rsidRPr="00711DF5" w:rsidRDefault="008F59F0" w:rsidP="00773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1DF5">
              <w:rPr>
                <w:rFonts w:ascii="Times New Roman" w:hAnsi="Times New Roman" w:cs="Times New Roman"/>
                <w:sz w:val="20"/>
                <w:szCs w:val="20"/>
              </w:rPr>
              <w:t>0.495***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</w:tcPr>
          <w:p w14:paraId="33DB6A03" w14:textId="77777777" w:rsidR="008F59F0" w:rsidRPr="00711DF5" w:rsidRDefault="008F59F0" w:rsidP="00773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1DF5">
              <w:rPr>
                <w:rFonts w:ascii="Times New Roman" w:hAnsi="Times New Roman" w:cs="Times New Roman"/>
                <w:sz w:val="20"/>
                <w:szCs w:val="20"/>
              </w:rPr>
              <w:t>0.149***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</w:tcPr>
          <w:p w14:paraId="037EBF33" w14:textId="77777777" w:rsidR="008F59F0" w:rsidRPr="00711DF5" w:rsidRDefault="008F59F0" w:rsidP="00773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1DF5">
              <w:rPr>
                <w:rFonts w:ascii="Times New Roman" w:hAnsi="Times New Roman" w:cs="Times New Roman"/>
                <w:sz w:val="20"/>
                <w:szCs w:val="20"/>
              </w:rPr>
              <w:t>0.0762***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</w:tcPr>
          <w:p w14:paraId="3079AD4B" w14:textId="77777777" w:rsidR="008F59F0" w:rsidRPr="00711DF5" w:rsidRDefault="008F59F0" w:rsidP="00773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1DF5">
              <w:rPr>
                <w:rFonts w:ascii="Times New Roman" w:hAnsi="Times New Roman" w:cs="Times New Roman"/>
                <w:sz w:val="20"/>
                <w:szCs w:val="20"/>
              </w:rPr>
              <w:t>0.160***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</w:tcPr>
          <w:p w14:paraId="46F9DEB4" w14:textId="77777777" w:rsidR="008F59F0" w:rsidRPr="00711DF5" w:rsidRDefault="008F59F0" w:rsidP="00773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1DF5">
              <w:rPr>
                <w:rFonts w:ascii="Times New Roman" w:hAnsi="Times New Roman" w:cs="Times New Roman"/>
                <w:sz w:val="20"/>
                <w:szCs w:val="20"/>
              </w:rPr>
              <w:t>0.269***</w:t>
            </w:r>
          </w:p>
        </w:tc>
      </w:tr>
      <w:tr w:rsidR="008F59F0" w:rsidRPr="00711DF5" w14:paraId="000B1148" w14:textId="77777777" w:rsidTr="00773FA6">
        <w:trPr>
          <w:trHeight w:val="277"/>
          <w:jc w:val="center"/>
        </w:trPr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</w:tcPr>
          <w:p w14:paraId="34EC5584" w14:textId="77777777" w:rsidR="008F59F0" w:rsidRPr="00711DF5" w:rsidRDefault="008F59F0" w:rsidP="00773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</w:tcPr>
          <w:p w14:paraId="69996D10" w14:textId="77777777" w:rsidR="008F59F0" w:rsidRPr="00711DF5" w:rsidRDefault="008F59F0" w:rsidP="00773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1DF5">
              <w:rPr>
                <w:rFonts w:ascii="Times New Roman" w:hAnsi="Times New Roman" w:cs="Times New Roman"/>
                <w:sz w:val="20"/>
                <w:szCs w:val="20"/>
              </w:rPr>
              <w:t>(0.0202)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</w:tcPr>
          <w:p w14:paraId="3DF9DCEC" w14:textId="77777777" w:rsidR="008F59F0" w:rsidRPr="00711DF5" w:rsidRDefault="008F59F0" w:rsidP="00773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1DF5">
              <w:rPr>
                <w:rFonts w:ascii="Times New Roman" w:hAnsi="Times New Roman" w:cs="Times New Roman"/>
                <w:sz w:val="20"/>
                <w:szCs w:val="20"/>
              </w:rPr>
              <w:t>(0.0162)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</w:tcPr>
          <w:p w14:paraId="359D28F8" w14:textId="77777777" w:rsidR="008F59F0" w:rsidRPr="00711DF5" w:rsidRDefault="008F59F0" w:rsidP="00773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1DF5">
              <w:rPr>
                <w:rFonts w:ascii="Times New Roman" w:hAnsi="Times New Roman" w:cs="Times New Roman"/>
                <w:sz w:val="20"/>
                <w:szCs w:val="20"/>
              </w:rPr>
              <w:t>(0.00732)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</w:tcPr>
          <w:p w14:paraId="693986C3" w14:textId="77777777" w:rsidR="008F59F0" w:rsidRPr="00711DF5" w:rsidRDefault="008F59F0" w:rsidP="00773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1DF5">
              <w:rPr>
                <w:rFonts w:ascii="Times New Roman" w:hAnsi="Times New Roman" w:cs="Times New Roman"/>
                <w:sz w:val="20"/>
                <w:szCs w:val="20"/>
              </w:rPr>
              <w:t>(0.0107)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</w:tcPr>
          <w:p w14:paraId="5EF3CA6B" w14:textId="77777777" w:rsidR="008F59F0" w:rsidRPr="00711DF5" w:rsidRDefault="008F59F0" w:rsidP="00773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1DF5">
              <w:rPr>
                <w:rFonts w:ascii="Times New Roman" w:hAnsi="Times New Roman" w:cs="Times New Roman"/>
                <w:sz w:val="20"/>
                <w:szCs w:val="20"/>
              </w:rPr>
              <w:t>(0.0270)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</w:tcPr>
          <w:p w14:paraId="49A95412" w14:textId="77777777" w:rsidR="008F59F0" w:rsidRPr="00711DF5" w:rsidRDefault="008F59F0" w:rsidP="00773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1DF5">
              <w:rPr>
                <w:rFonts w:ascii="Times New Roman" w:hAnsi="Times New Roman" w:cs="Times New Roman"/>
                <w:sz w:val="20"/>
                <w:szCs w:val="20"/>
              </w:rPr>
              <w:t>(0.0949)</w:t>
            </w:r>
          </w:p>
        </w:tc>
      </w:tr>
      <w:tr w:rsidR="008F59F0" w:rsidRPr="00711DF5" w14:paraId="58993FF9" w14:textId="77777777" w:rsidTr="00773FA6">
        <w:trPr>
          <w:trHeight w:val="262"/>
          <w:jc w:val="center"/>
        </w:trPr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</w:tcPr>
          <w:p w14:paraId="43A2A95C" w14:textId="77777777" w:rsidR="008F59F0" w:rsidRPr="00711DF5" w:rsidRDefault="008F59F0" w:rsidP="00773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</w:tcPr>
          <w:p w14:paraId="5247FCB9" w14:textId="77777777" w:rsidR="008F59F0" w:rsidRPr="00711DF5" w:rsidRDefault="008F59F0" w:rsidP="00773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</w:tcPr>
          <w:p w14:paraId="2EB72591" w14:textId="77777777" w:rsidR="008F59F0" w:rsidRPr="00711DF5" w:rsidRDefault="008F59F0" w:rsidP="00773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</w:tcPr>
          <w:p w14:paraId="4328F5C8" w14:textId="77777777" w:rsidR="008F59F0" w:rsidRPr="00711DF5" w:rsidRDefault="008F59F0" w:rsidP="00773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</w:tcPr>
          <w:p w14:paraId="1569C5C9" w14:textId="77777777" w:rsidR="008F59F0" w:rsidRPr="00711DF5" w:rsidRDefault="008F59F0" w:rsidP="00773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</w:tcPr>
          <w:p w14:paraId="15D5787A" w14:textId="77777777" w:rsidR="008F59F0" w:rsidRPr="00711DF5" w:rsidRDefault="008F59F0" w:rsidP="00773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</w:tcPr>
          <w:p w14:paraId="397BAC99" w14:textId="77777777" w:rsidR="008F59F0" w:rsidRPr="00711DF5" w:rsidRDefault="008F59F0" w:rsidP="00773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59F0" w:rsidRPr="00711DF5" w14:paraId="1B2C00A6" w14:textId="77777777" w:rsidTr="00773FA6">
        <w:trPr>
          <w:trHeight w:val="262"/>
          <w:jc w:val="center"/>
        </w:trPr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</w:tcPr>
          <w:p w14:paraId="0A381DDC" w14:textId="77777777" w:rsidR="008F59F0" w:rsidRPr="00711DF5" w:rsidRDefault="008F59F0" w:rsidP="00773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11D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Macro-Eco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</w:tcPr>
          <w:p w14:paraId="25DE31B4" w14:textId="77777777" w:rsidR="008F59F0" w:rsidRPr="00711DF5" w:rsidRDefault="008F59F0" w:rsidP="00773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1DF5">
              <w:rPr>
                <w:rFonts w:ascii="Times New Roman" w:hAnsi="Times New Roman" w:cs="Times New Roman"/>
                <w:sz w:val="20"/>
                <w:szCs w:val="20"/>
              </w:rPr>
              <w:t>-0.291***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</w:tcPr>
          <w:p w14:paraId="58258362" w14:textId="77777777" w:rsidR="008F59F0" w:rsidRPr="00711DF5" w:rsidRDefault="008F59F0" w:rsidP="00773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1DF5">
              <w:rPr>
                <w:rFonts w:ascii="Times New Roman" w:hAnsi="Times New Roman" w:cs="Times New Roman"/>
                <w:sz w:val="20"/>
                <w:szCs w:val="20"/>
              </w:rPr>
              <w:t>-0.234***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</w:tcPr>
          <w:p w14:paraId="322E1AE6" w14:textId="77777777" w:rsidR="008F59F0" w:rsidRPr="00711DF5" w:rsidRDefault="008F59F0" w:rsidP="00773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1DF5">
              <w:rPr>
                <w:rFonts w:ascii="Times New Roman" w:hAnsi="Times New Roman" w:cs="Times New Roman"/>
                <w:sz w:val="20"/>
                <w:szCs w:val="20"/>
              </w:rPr>
              <w:t>-0.0471***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</w:tcPr>
          <w:p w14:paraId="2DCAAA4B" w14:textId="77777777" w:rsidR="008F59F0" w:rsidRPr="00711DF5" w:rsidRDefault="008F59F0" w:rsidP="00773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1DF5">
              <w:rPr>
                <w:rFonts w:ascii="Times New Roman" w:hAnsi="Times New Roman" w:cs="Times New Roman"/>
                <w:sz w:val="20"/>
                <w:szCs w:val="20"/>
              </w:rPr>
              <w:t>-0.0593***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</w:tcPr>
          <w:p w14:paraId="52F3D6B0" w14:textId="77777777" w:rsidR="008F59F0" w:rsidRPr="00711DF5" w:rsidRDefault="008F59F0" w:rsidP="00773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1DF5">
              <w:rPr>
                <w:rFonts w:ascii="Times New Roman" w:hAnsi="Times New Roman" w:cs="Times New Roman"/>
                <w:sz w:val="20"/>
                <w:szCs w:val="20"/>
              </w:rPr>
              <w:t>-0.0707***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</w:tcPr>
          <w:p w14:paraId="6F7FF6CD" w14:textId="77777777" w:rsidR="008F59F0" w:rsidRPr="00711DF5" w:rsidRDefault="008F59F0" w:rsidP="00773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1DF5">
              <w:rPr>
                <w:rFonts w:ascii="Times New Roman" w:hAnsi="Times New Roman" w:cs="Times New Roman"/>
                <w:sz w:val="20"/>
                <w:szCs w:val="20"/>
              </w:rPr>
              <w:t>0.0670</w:t>
            </w:r>
          </w:p>
        </w:tc>
      </w:tr>
      <w:tr w:rsidR="008F59F0" w:rsidRPr="00711DF5" w14:paraId="504E0A04" w14:textId="77777777" w:rsidTr="00773FA6">
        <w:trPr>
          <w:trHeight w:val="277"/>
          <w:jc w:val="center"/>
        </w:trPr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</w:tcPr>
          <w:p w14:paraId="0221A29F" w14:textId="77777777" w:rsidR="008F59F0" w:rsidRPr="00711DF5" w:rsidRDefault="008F59F0" w:rsidP="00773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</w:tcPr>
          <w:p w14:paraId="5F6857B8" w14:textId="77777777" w:rsidR="008F59F0" w:rsidRPr="00711DF5" w:rsidRDefault="008F59F0" w:rsidP="00773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1DF5">
              <w:rPr>
                <w:rFonts w:ascii="Times New Roman" w:hAnsi="Times New Roman" w:cs="Times New Roman"/>
                <w:sz w:val="20"/>
                <w:szCs w:val="20"/>
              </w:rPr>
              <w:t>(0.0129)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</w:tcPr>
          <w:p w14:paraId="40FA2342" w14:textId="77777777" w:rsidR="008F59F0" w:rsidRPr="00711DF5" w:rsidRDefault="008F59F0" w:rsidP="00773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1DF5">
              <w:rPr>
                <w:rFonts w:ascii="Times New Roman" w:hAnsi="Times New Roman" w:cs="Times New Roman"/>
                <w:sz w:val="20"/>
                <w:szCs w:val="20"/>
              </w:rPr>
              <w:t>(0.0111)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</w:tcPr>
          <w:p w14:paraId="57277DA8" w14:textId="77777777" w:rsidR="008F59F0" w:rsidRPr="00711DF5" w:rsidRDefault="008F59F0" w:rsidP="00773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1DF5">
              <w:rPr>
                <w:rFonts w:ascii="Times New Roman" w:hAnsi="Times New Roman" w:cs="Times New Roman"/>
                <w:sz w:val="20"/>
                <w:szCs w:val="20"/>
              </w:rPr>
              <w:t>(0.0109)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</w:tcPr>
          <w:p w14:paraId="210C7857" w14:textId="77777777" w:rsidR="008F59F0" w:rsidRPr="00711DF5" w:rsidRDefault="008F59F0" w:rsidP="00773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1DF5">
              <w:rPr>
                <w:rFonts w:ascii="Times New Roman" w:hAnsi="Times New Roman" w:cs="Times New Roman"/>
                <w:sz w:val="20"/>
                <w:szCs w:val="20"/>
              </w:rPr>
              <w:t>(0.0122)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</w:tcPr>
          <w:p w14:paraId="76716111" w14:textId="77777777" w:rsidR="008F59F0" w:rsidRPr="00711DF5" w:rsidRDefault="008F59F0" w:rsidP="00773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1DF5">
              <w:rPr>
                <w:rFonts w:ascii="Times New Roman" w:hAnsi="Times New Roman" w:cs="Times New Roman"/>
                <w:sz w:val="20"/>
                <w:szCs w:val="20"/>
              </w:rPr>
              <w:t>(0.0273)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</w:tcPr>
          <w:p w14:paraId="76A5C39B" w14:textId="77777777" w:rsidR="008F59F0" w:rsidRPr="00711DF5" w:rsidRDefault="008F59F0" w:rsidP="00773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1DF5">
              <w:rPr>
                <w:rFonts w:ascii="Times New Roman" w:hAnsi="Times New Roman" w:cs="Times New Roman"/>
                <w:sz w:val="20"/>
                <w:szCs w:val="20"/>
              </w:rPr>
              <w:t>(0.131)</w:t>
            </w:r>
          </w:p>
        </w:tc>
      </w:tr>
      <w:tr w:rsidR="008F59F0" w:rsidRPr="00711DF5" w14:paraId="0840F8B2" w14:textId="77777777" w:rsidTr="00773FA6">
        <w:trPr>
          <w:trHeight w:val="262"/>
          <w:jc w:val="center"/>
        </w:trPr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</w:tcPr>
          <w:p w14:paraId="5CE32D45" w14:textId="77777777" w:rsidR="008F59F0" w:rsidRPr="00711DF5" w:rsidRDefault="008F59F0" w:rsidP="00773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</w:tcPr>
          <w:p w14:paraId="124C8689" w14:textId="77777777" w:rsidR="008F59F0" w:rsidRPr="00711DF5" w:rsidRDefault="008F59F0" w:rsidP="00773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</w:tcPr>
          <w:p w14:paraId="1CD200C6" w14:textId="77777777" w:rsidR="008F59F0" w:rsidRPr="00711DF5" w:rsidRDefault="008F59F0" w:rsidP="00773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</w:tcPr>
          <w:p w14:paraId="3F747EF3" w14:textId="77777777" w:rsidR="008F59F0" w:rsidRPr="00711DF5" w:rsidRDefault="008F59F0" w:rsidP="00773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</w:tcPr>
          <w:p w14:paraId="73371401" w14:textId="77777777" w:rsidR="008F59F0" w:rsidRPr="00711DF5" w:rsidRDefault="008F59F0" w:rsidP="00773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</w:tcPr>
          <w:p w14:paraId="23076180" w14:textId="77777777" w:rsidR="008F59F0" w:rsidRPr="00711DF5" w:rsidRDefault="008F59F0" w:rsidP="00773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</w:tcPr>
          <w:p w14:paraId="6D343E25" w14:textId="77777777" w:rsidR="008F59F0" w:rsidRPr="00711DF5" w:rsidRDefault="008F59F0" w:rsidP="00773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59F0" w:rsidRPr="00711DF5" w14:paraId="76C5EE67" w14:textId="77777777" w:rsidTr="00773FA6">
        <w:trPr>
          <w:trHeight w:val="262"/>
          <w:jc w:val="center"/>
        </w:trPr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</w:tcPr>
          <w:p w14:paraId="3F9183D4" w14:textId="77777777" w:rsidR="008F59F0" w:rsidRPr="00711DF5" w:rsidRDefault="008F59F0" w:rsidP="00773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11DF5">
              <w:rPr>
                <w:rFonts w:ascii="Times New Roman" w:hAnsi="Times New Roman" w:cs="Times New Roman"/>
                <w:sz w:val="20"/>
                <w:szCs w:val="20"/>
              </w:rPr>
              <w:t>Global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</w:tcPr>
          <w:p w14:paraId="4C7B3A93" w14:textId="77777777" w:rsidR="008F59F0" w:rsidRPr="00711DF5" w:rsidRDefault="008F59F0" w:rsidP="00773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1DF5">
              <w:rPr>
                <w:rFonts w:ascii="Times New Roman" w:hAnsi="Times New Roman" w:cs="Times New Roman"/>
                <w:sz w:val="20"/>
                <w:szCs w:val="20"/>
              </w:rPr>
              <w:t>0.0290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</w:tcPr>
          <w:p w14:paraId="2E82FC16" w14:textId="77777777" w:rsidR="008F59F0" w:rsidRPr="00711DF5" w:rsidRDefault="008F59F0" w:rsidP="00773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1DF5">
              <w:rPr>
                <w:rFonts w:ascii="Times New Roman" w:hAnsi="Times New Roman" w:cs="Times New Roman"/>
                <w:sz w:val="20"/>
                <w:szCs w:val="20"/>
              </w:rPr>
              <w:t>0.0159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</w:tcPr>
          <w:p w14:paraId="720D93EF" w14:textId="77777777" w:rsidR="008F59F0" w:rsidRPr="00711DF5" w:rsidRDefault="008F59F0" w:rsidP="00773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1DF5">
              <w:rPr>
                <w:rFonts w:ascii="Times New Roman" w:hAnsi="Times New Roman" w:cs="Times New Roman"/>
                <w:sz w:val="20"/>
                <w:szCs w:val="20"/>
              </w:rPr>
              <w:t>0.117***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</w:tcPr>
          <w:p w14:paraId="0DF11DA8" w14:textId="77777777" w:rsidR="008F59F0" w:rsidRPr="00711DF5" w:rsidRDefault="008F59F0" w:rsidP="00773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1DF5">
              <w:rPr>
                <w:rFonts w:ascii="Times New Roman" w:hAnsi="Times New Roman" w:cs="Times New Roman"/>
                <w:sz w:val="20"/>
                <w:szCs w:val="20"/>
              </w:rPr>
              <w:t>0.0365***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</w:tcPr>
          <w:p w14:paraId="760B63CF" w14:textId="77777777" w:rsidR="008F59F0" w:rsidRPr="00711DF5" w:rsidRDefault="008F59F0" w:rsidP="00773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1DF5">
              <w:rPr>
                <w:rFonts w:ascii="Times New Roman" w:hAnsi="Times New Roman" w:cs="Times New Roman"/>
                <w:sz w:val="20"/>
                <w:szCs w:val="20"/>
              </w:rPr>
              <w:t>0.0850***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</w:tcPr>
          <w:p w14:paraId="2E00FBBB" w14:textId="77777777" w:rsidR="008F59F0" w:rsidRPr="00711DF5" w:rsidRDefault="008F59F0" w:rsidP="00773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1DF5">
              <w:rPr>
                <w:rFonts w:ascii="Times New Roman" w:hAnsi="Times New Roman" w:cs="Times New Roman"/>
                <w:sz w:val="20"/>
                <w:szCs w:val="20"/>
              </w:rPr>
              <w:t>0.0439</w:t>
            </w:r>
          </w:p>
        </w:tc>
      </w:tr>
      <w:tr w:rsidR="008F59F0" w:rsidRPr="00711DF5" w14:paraId="334FB678" w14:textId="77777777" w:rsidTr="00773FA6">
        <w:trPr>
          <w:trHeight w:val="262"/>
          <w:jc w:val="center"/>
        </w:trPr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</w:tcPr>
          <w:p w14:paraId="2257CB79" w14:textId="77777777" w:rsidR="008F59F0" w:rsidRPr="00711DF5" w:rsidRDefault="008F59F0" w:rsidP="00773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</w:tcPr>
          <w:p w14:paraId="1D25A3B8" w14:textId="77777777" w:rsidR="008F59F0" w:rsidRPr="00711DF5" w:rsidRDefault="008F59F0" w:rsidP="00773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1DF5">
              <w:rPr>
                <w:rFonts w:ascii="Times New Roman" w:hAnsi="Times New Roman" w:cs="Times New Roman"/>
                <w:sz w:val="20"/>
                <w:szCs w:val="20"/>
              </w:rPr>
              <w:t>(0.0178)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</w:tcPr>
          <w:p w14:paraId="48069D9D" w14:textId="77777777" w:rsidR="008F59F0" w:rsidRPr="00711DF5" w:rsidRDefault="008F59F0" w:rsidP="00773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1DF5">
              <w:rPr>
                <w:rFonts w:ascii="Times New Roman" w:hAnsi="Times New Roman" w:cs="Times New Roman"/>
                <w:sz w:val="20"/>
                <w:szCs w:val="20"/>
              </w:rPr>
              <w:t>(0.0137)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</w:tcPr>
          <w:p w14:paraId="40D96CB9" w14:textId="77777777" w:rsidR="008F59F0" w:rsidRPr="00711DF5" w:rsidRDefault="008F59F0" w:rsidP="00773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1DF5">
              <w:rPr>
                <w:rFonts w:ascii="Times New Roman" w:hAnsi="Times New Roman" w:cs="Times New Roman"/>
                <w:sz w:val="20"/>
                <w:szCs w:val="20"/>
              </w:rPr>
              <w:t>(0.0100)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</w:tcPr>
          <w:p w14:paraId="702CC321" w14:textId="77777777" w:rsidR="008F59F0" w:rsidRPr="00711DF5" w:rsidRDefault="008F59F0" w:rsidP="00773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1DF5">
              <w:rPr>
                <w:rFonts w:ascii="Times New Roman" w:hAnsi="Times New Roman" w:cs="Times New Roman"/>
                <w:sz w:val="20"/>
                <w:szCs w:val="20"/>
              </w:rPr>
              <w:t>(0.0113)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</w:tcPr>
          <w:p w14:paraId="0046C599" w14:textId="77777777" w:rsidR="008F59F0" w:rsidRPr="00711DF5" w:rsidRDefault="008F59F0" w:rsidP="00773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1DF5">
              <w:rPr>
                <w:rFonts w:ascii="Times New Roman" w:hAnsi="Times New Roman" w:cs="Times New Roman"/>
                <w:sz w:val="20"/>
                <w:szCs w:val="20"/>
              </w:rPr>
              <w:t>(0.0276)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</w:tcPr>
          <w:p w14:paraId="361734C2" w14:textId="77777777" w:rsidR="008F59F0" w:rsidRPr="00711DF5" w:rsidRDefault="008F59F0" w:rsidP="00773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1DF5">
              <w:rPr>
                <w:rFonts w:ascii="Times New Roman" w:hAnsi="Times New Roman" w:cs="Times New Roman"/>
                <w:sz w:val="20"/>
                <w:szCs w:val="20"/>
              </w:rPr>
              <w:t>(0.0979)</w:t>
            </w:r>
          </w:p>
        </w:tc>
      </w:tr>
      <w:tr w:rsidR="008F59F0" w:rsidRPr="00711DF5" w14:paraId="34EDB1D0" w14:textId="77777777" w:rsidTr="00773FA6">
        <w:trPr>
          <w:trHeight w:val="277"/>
          <w:jc w:val="center"/>
        </w:trPr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</w:tcPr>
          <w:p w14:paraId="1417E01B" w14:textId="77777777" w:rsidR="008F59F0" w:rsidRPr="00711DF5" w:rsidRDefault="008F59F0" w:rsidP="00773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</w:tcPr>
          <w:p w14:paraId="72FD1C5C" w14:textId="77777777" w:rsidR="008F59F0" w:rsidRPr="00711DF5" w:rsidRDefault="008F59F0" w:rsidP="00773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</w:tcPr>
          <w:p w14:paraId="7335EA3B" w14:textId="77777777" w:rsidR="008F59F0" w:rsidRPr="00711DF5" w:rsidRDefault="008F59F0" w:rsidP="00773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</w:tcPr>
          <w:p w14:paraId="7667E087" w14:textId="77777777" w:rsidR="008F59F0" w:rsidRPr="00711DF5" w:rsidRDefault="008F59F0" w:rsidP="00773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</w:tcPr>
          <w:p w14:paraId="0A1D8811" w14:textId="77777777" w:rsidR="008F59F0" w:rsidRPr="00711DF5" w:rsidRDefault="008F59F0" w:rsidP="00773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</w:tcPr>
          <w:p w14:paraId="29F9B2BE" w14:textId="77777777" w:rsidR="008F59F0" w:rsidRPr="00711DF5" w:rsidRDefault="008F59F0" w:rsidP="00773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</w:tcPr>
          <w:p w14:paraId="6B4AF032" w14:textId="77777777" w:rsidR="008F59F0" w:rsidRPr="00711DF5" w:rsidRDefault="008F59F0" w:rsidP="00773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59F0" w:rsidRPr="00711DF5" w14:paraId="5D5A1F0E" w14:textId="77777777" w:rsidTr="00773FA6">
        <w:trPr>
          <w:trHeight w:val="262"/>
          <w:jc w:val="center"/>
        </w:trPr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</w:tcPr>
          <w:p w14:paraId="1DCB57F3" w14:textId="77777777" w:rsidR="008F59F0" w:rsidRPr="00711DF5" w:rsidRDefault="008F59F0" w:rsidP="00773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11DF5">
              <w:rPr>
                <w:rFonts w:ascii="Times New Roman" w:hAnsi="Times New Roman" w:cs="Times New Roman"/>
                <w:sz w:val="20"/>
                <w:szCs w:val="20"/>
              </w:rPr>
              <w:t>Observations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</w:tcPr>
          <w:p w14:paraId="1CF9C186" w14:textId="77777777" w:rsidR="008F59F0" w:rsidRPr="00711DF5" w:rsidRDefault="008F59F0" w:rsidP="00773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1DF5">
              <w:rPr>
                <w:rFonts w:ascii="Times New Roman" w:hAnsi="Times New Roman" w:cs="Times New Roman"/>
                <w:sz w:val="20"/>
                <w:szCs w:val="20"/>
              </w:rPr>
              <w:t>21,054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</w:tcPr>
          <w:p w14:paraId="3481E6A8" w14:textId="77777777" w:rsidR="008F59F0" w:rsidRPr="00711DF5" w:rsidRDefault="008F59F0" w:rsidP="00773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1DF5">
              <w:rPr>
                <w:rFonts w:ascii="Times New Roman" w:hAnsi="Times New Roman" w:cs="Times New Roman"/>
                <w:sz w:val="20"/>
                <w:szCs w:val="20"/>
              </w:rPr>
              <w:t>47,539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</w:tcPr>
          <w:p w14:paraId="767A7E9D" w14:textId="77777777" w:rsidR="008F59F0" w:rsidRPr="00711DF5" w:rsidRDefault="008F59F0" w:rsidP="00773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1DF5">
              <w:rPr>
                <w:rFonts w:ascii="Times New Roman" w:hAnsi="Times New Roman" w:cs="Times New Roman"/>
                <w:sz w:val="20"/>
                <w:szCs w:val="20"/>
              </w:rPr>
              <w:t>38,292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</w:tcPr>
          <w:p w14:paraId="54584718" w14:textId="77777777" w:rsidR="008F59F0" w:rsidRPr="00711DF5" w:rsidRDefault="008F59F0" w:rsidP="00773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1DF5">
              <w:rPr>
                <w:rFonts w:ascii="Times New Roman" w:hAnsi="Times New Roman" w:cs="Times New Roman"/>
                <w:sz w:val="20"/>
                <w:szCs w:val="20"/>
              </w:rPr>
              <w:t>6,808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</w:tcPr>
          <w:p w14:paraId="59AC3983" w14:textId="77777777" w:rsidR="008F59F0" w:rsidRPr="00711DF5" w:rsidRDefault="008F59F0" w:rsidP="00773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1DF5">
              <w:rPr>
                <w:rFonts w:ascii="Times New Roman" w:hAnsi="Times New Roman" w:cs="Times New Roman"/>
                <w:sz w:val="20"/>
                <w:szCs w:val="20"/>
              </w:rPr>
              <w:t>1,119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</w:tcPr>
          <w:p w14:paraId="3F272F9B" w14:textId="77777777" w:rsidR="008F59F0" w:rsidRPr="00711DF5" w:rsidRDefault="008F59F0" w:rsidP="00773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1DF5">
              <w:rPr>
                <w:rFonts w:ascii="Times New Roman" w:hAnsi="Times New Roman" w:cs="Times New Roman"/>
                <w:sz w:val="20"/>
                <w:szCs w:val="20"/>
              </w:rPr>
              <w:t>513</w:t>
            </w:r>
          </w:p>
        </w:tc>
      </w:tr>
      <w:tr w:rsidR="008F59F0" w:rsidRPr="00711DF5" w14:paraId="23CA8129" w14:textId="77777777" w:rsidTr="00773FA6">
        <w:tblPrEx>
          <w:tblBorders>
            <w:bottom w:val="single" w:sz="6" w:space="0" w:color="auto"/>
          </w:tblBorders>
        </w:tblPrEx>
        <w:trPr>
          <w:trHeight w:val="262"/>
          <w:jc w:val="center"/>
        </w:trPr>
        <w:tc>
          <w:tcPr>
            <w:tcW w:w="738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5663C71" w14:textId="77777777" w:rsidR="008F59F0" w:rsidRPr="00711DF5" w:rsidRDefault="008F59F0" w:rsidP="00773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11DF5">
              <w:rPr>
                <w:rFonts w:ascii="Times New Roman" w:hAnsi="Times New Roman" w:cs="Times New Roman"/>
                <w:sz w:val="20"/>
                <w:szCs w:val="20"/>
              </w:rPr>
              <w:t>R-squared</w:t>
            </w:r>
          </w:p>
        </w:tc>
        <w:tc>
          <w:tcPr>
            <w:tcW w:w="711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E29AB85" w14:textId="77777777" w:rsidR="008F59F0" w:rsidRPr="00711DF5" w:rsidRDefault="008F59F0" w:rsidP="00773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1DF5">
              <w:rPr>
                <w:rFonts w:ascii="Times New Roman" w:hAnsi="Times New Roman" w:cs="Times New Roman"/>
                <w:sz w:val="20"/>
                <w:szCs w:val="20"/>
              </w:rPr>
              <w:t>0.036</w:t>
            </w:r>
          </w:p>
        </w:tc>
        <w:tc>
          <w:tcPr>
            <w:tcW w:w="710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FA5D972" w14:textId="77777777" w:rsidR="008F59F0" w:rsidRPr="00711DF5" w:rsidRDefault="008F59F0" w:rsidP="00773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1DF5">
              <w:rPr>
                <w:rFonts w:ascii="Times New Roman" w:hAnsi="Times New Roman" w:cs="Times New Roman"/>
                <w:sz w:val="20"/>
                <w:szCs w:val="20"/>
              </w:rPr>
              <w:t>0.029</w:t>
            </w:r>
          </w:p>
        </w:tc>
        <w:tc>
          <w:tcPr>
            <w:tcW w:w="710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893B2DE" w14:textId="77777777" w:rsidR="008F59F0" w:rsidRPr="00711DF5" w:rsidRDefault="008F59F0" w:rsidP="00773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1DF5">
              <w:rPr>
                <w:rFonts w:ascii="Times New Roman" w:hAnsi="Times New Roman" w:cs="Times New Roman"/>
                <w:sz w:val="20"/>
                <w:szCs w:val="20"/>
              </w:rPr>
              <w:t>0.063</w:t>
            </w:r>
          </w:p>
        </w:tc>
        <w:tc>
          <w:tcPr>
            <w:tcW w:w="710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541E14A" w14:textId="77777777" w:rsidR="008F59F0" w:rsidRPr="00711DF5" w:rsidRDefault="008F59F0" w:rsidP="00773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1DF5">
              <w:rPr>
                <w:rFonts w:ascii="Times New Roman" w:hAnsi="Times New Roman" w:cs="Times New Roman"/>
                <w:sz w:val="20"/>
                <w:szCs w:val="20"/>
              </w:rPr>
              <w:t>0.016</w:t>
            </w:r>
          </w:p>
        </w:tc>
        <w:tc>
          <w:tcPr>
            <w:tcW w:w="710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B6CAA47" w14:textId="77777777" w:rsidR="008F59F0" w:rsidRPr="00711DF5" w:rsidRDefault="008F59F0" w:rsidP="00773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1DF5">
              <w:rPr>
                <w:rFonts w:ascii="Times New Roman" w:hAnsi="Times New Roman" w:cs="Times New Roman"/>
                <w:sz w:val="20"/>
                <w:szCs w:val="20"/>
              </w:rPr>
              <w:t>0.051</w:t>
            </w:r>
          </w:p>
        </w:tc>
        <w:tc>
          <w:tcPr>
            <w:tcW w:w="710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2CD29D4" w14:textId="77777777" w:rsidR="008F59F0" w:rsidRPr="00711DF5" w:rsidRDefault="008F59F0" w:rsidP="00773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1DF5">
              <w:rPr>
                <w:rFonts w:ascii="Times New Roman" w:hAnsi="Times New Roman" w:cs="Times New Roman"/>
                <w:sz w:val="20"/>
                <w:szCs w:val="20"/>
              </w:rPr>
              <w:t>0.016</w:t>
            </w:r>
          </w:p>
        </w:tc>
      </w:tr>
    </w:tbl>
    <w:p w14:paraId="2AC9BEE3" w14:textId="3F364DBC" w:rsidR="008F59F0" w:rsidRPr="00711DF5" w:rsidRDefault="008F59F0" w:rsidP="008F59F0">
      <w:pPr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711DF5">
        <w:rPr>
          <w:rFonts w:ascii="Times New Roman" w:eastAsia="Times New Roman" w:hAnsi="Times New Roman" w:cs="Times New Roman"/>
          <w:szCs w:val="24"/>
        </w:rPr>
        <w:t xml:space="preserve">Note: The table presents the regression analysis for all the six time maturity series of corporate bonds. </w:t>
      </w:r>
      <w:r w:rsidR="00D32AA9" w:rsidRPr="00711DF5">
        <w:rPr>
          <w:rFonts w:ascii="Times New Roman" w:eastAsia="Times New Roman" w:hAnsi="Times New Roman" w:cs="Times New Roman"/>
          <w:szCs w:val="24"/>
        </w:rPr>
        <w:t xml:space="preserve">Credit spread is </w:t>
      </w:r>
      <w:r w:rsidR="005A12CD" w:rsidRPr="00711DF5">
        <w:rPr>
          <w:rFonts w:ascii="Times New Roman" w:eastAsia="Times New Roman" w:hAnsi="Times New Roman" w:cs="Times New Roman"/>
          <w:szCs w:val="24"/>
        </w:rPr>
        <w:t xml:space="preserve">the </w:t>
      </w:r>
      <w:r w:rsidR="00D32AA9" w:rsidRPr="00711DF5">
        <w:rPr>
          <w:rFonts w:ascii="Times New Roman" w:eastAsia="Times New Roman" w:hAnsi="Times New Roman" w:cs="Times New Roman"/>
          <w:szCs w:val="24"/>
        </w:rPr>
        <w:t xml:space="preserve">dependent variable. </w:t>
      </w:r>
      <w:r w:rsidRPr="00711DF5">
        <w:rPr>
          <w:rFonts w:ascii="Times New Roman" w:eastAsia="Times New Roman" w:hAnsi="Times New Roman" w:cs="Times New Roman"/>
          <w:szCs w:val="24"/>
        </w:rPr>
        <w:t>The independent variables present the first component obtained from principle component analysis on each category</w:t>
      </w:r>
      <w:r w:rsidR="00D32AA9" w:rsidRPr="00711DF5">
        <w:rPr>
          <w:rFonts w:ascii="Times New Roman" w:eastAsia="Times New Roman" w:hAnsi="Times New Roman" w:cs="Times New Roman"/>
          <w:szCs w:val="24"/>
        </w:rPr>
        <w:t>.</w:t>
      </w:r>
      <w:r w:rsidRPr="00711DF5">
        <w:rPr>
          <w:rFonts w:ascii="Times New Roman" w:eastAsia="Times New Roman" w:hAnsi="Times New Roman" w:cs="Times New Roman"/>
          <w:szCs w:val="24"/>
        </w:rPr>
        <w:t xml:space="preserve"> </w:t>
      </w:r>
      <w:r w:rsidRPr="00711DF5">
        <w:rPr>
          <w:rFonts w:ascii="Times New Roman" w:eastAsia="Times New Roman" w:hAnsi="Times New Roman" w:cs="Times New Roman"/>
          <w:color w:val="000000"/>
          <w:szCs w:val="24"/>
        </w:rPr>
        <w:t>The monthly data is collected over a sample period from January 2010 to June 2022.</w:t>
      </w:r>
    </w:p>
    <w:p w14:paraId="350FDDB5" w14:textId="77777777" w:rsidR="00785416" w:rsidRPr="00711DF5" w:rsidRDefault="00785416" w:rsidP="00785416">
      <w:pPr>
        <w:rPr>
          <w:rFonts w:ascii="Times New Roman" w:eastAsia="Times New Roman" w:hAnsi="Times New Roman" w:cs="Times New Roman"/>
          <w:sz w:val="24"/>
          <w:szCs w:val="24"/>
        </w:rPr>
      </w:pPr>
      <w:r w:rsidRPr="00711DF5">
        <w:rPr>
          <w:rFonts w:ascii="Times New Roman" w:eastAsia="Times New Roman" w:hAnsi="Times New Roman" w:cs="Times New Roman"/>
          <w:sz w:val="24"/>
          <w:szCs w:val="24"/>
        </w:rPr>
        <w:t>Source: Authors' own creation</w:t>
      </w:r>
    </w:p>
    <w:p w14:paraId="3BE6B25C" w14:textId="780D1D76" w:rsidR="008F59F0" w:rsidRPr="00711DF5" w:rsidRDefault="008F59F0" w:rsidP="008F59F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11DF5">
        <w:rPr>
          <w:rFonts w:ascii="Times New Roman" w:hAnsi="Times New Roman" w:cs="Times New Roman"/>
          <w:b/>
          <w:sz w:val="24"/>
          <w:szCs w:val="24"/>
        </w:rPr>
        <w:t xml:space="preserve">Table </w:t>
      </w:r>
      <w:r w:rsidR="00305977" w:rsidRPr="00711DF5">
        <w:rPr>
          <w:rFonts w:ascii="Times New Roman" w:hAnsi="Times New Roman" w:cs="Times New Roman"/>
          <w:b/>
          <w:sz w:val="24"/>
          <w:szCs w:val="24"/>
        </w:rPr>
        <w:t>A</w:t>
      </w:r>
      <w:r w:rsidRPr="00711DF5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711DF5">
        <w:rPr>
          <w:rFonts w:ascii="Times New Roman" w:hAnsi="Times New Roman" w:cs="Times New Roman"/>
          <w:sz w:val="24"/>
          <w:szCs w:val="24"/>
        </w:rPr>
        <w:t>Credit spread connectedness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566"/>
        <w:gridCol w:w="1290"/>
        <w:gridCol w:w="1289"/>
        <w:gridCol w:w="1289"/>
        <w:gridCol w:w="1565"/>
        <w:gridCol w:w="2027"/>
      </w:tblGrid>
      <w:tr w:rsidR="008F59F0" w:rsidRPr="00711DF5" w14:paraId="2D642873" w14:textId="77777777" w:rsidTr="00773FA6">
        <w:trPr>
          <w:trHeight w:val="300"/>
        </w:trPr>
        <w:tc>
          <w:tcPr>
            <w:tcW w:w="8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554000" w14:textId="77777777" w:rsidR="008F59F0" w:rsidRPr="00711DF5" w:rsidRDefault="008F59F0" w:rsidP="00773F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IN"/>
              </w:rPr>
            </w:pPr>
            <w:r w:rsidRPr="00711D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IN"/>
              </w:rPr>
              <w:t>Country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850BE8" w14:textId="77777777" w:rsidR="008F59F0" w:rsidRPr="00711DF5" w:rsidRDefault="008F59F0" w:rsidP="00773FA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val="en-IN"/>
              </w:rPr>
            </w:pPr>
            <w:r w:rsidRPr="00711DF5">
              <w:rPr>
                <w:rFonts w:eastAsia="Times New Roman"/>
                <w:b/>
                <w:color w:val="000000"/>
                <w:lang w:val="en-IN"/>
              </w:rPr>
              <w:t>China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2676D5" w14:textId="77777777" w:rsidR="008F59F0" w:rsidRPr="00711DF5" w:rsidRDefault="008F59F0" w:rsidP="00773FA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val="en-IN"/>
              </w:rPr>
            </w:pPr>
            <w:r w:rsidRPr="00711DF5">
              <w:rPr>
                <w:rFonts w:eastAsia="Times New Roman"/>
                <w:b/>
                <w:color w:val="000000"/>
                <w:lang w:val="en-IN"/>
              </w:rPr>
              <w:t>Korea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A9A206" w14:textId="77777777" w:rsidR="008F59F0" w:rsidRPr="00711DF5" w:rsidRDefault="008F59F0" w:rsidP="00773FA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val="en-IN"/>
              </w:rPr>
            </w:pPr>
            <w:r w:rsidRPr="00711DF5">
              <w:rPr>
                <w:rFonts w:eastAsia="Times New Roman"/>
                <w:b/>
                <w:color w:val="000000"/>
                <w:lang w:val="en-IN"/>
              </w:rPr>
              <w:t>India</w:t>
            </w:r>
          </w:p>
        </w:tc>
        <w:tc>
          <w:tcPr>
            <w:tcW w:w="8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B96F17" w14:textId="77777777" w:rsidR="008F59F0" w:rsidRPr="00711DF5" w:rsidRDefault="008F59F0" w:rsidP="00773FA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val="en-IN"/>
              </w:rPr>
            </w:pPr>
            <w:r w:rsidRPr="00711DF5">
              <w:rPr>
                <w:rFonts w:eastAsia="Times New Roman"/>
                <w:b/>
                <w:color w:val="000000"/>
                <w:lang w:val="en-IN"/>
              </w:rPr>
              <w:t>Malaysia</w:t>
            </w:r>
          </w:p>
        </w:tc>
        <w:tc>
          <w:tcPr>
            <w:tcW w:w="11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E76D98" w14:textId="77777777" w:rsidR="008F59F0" w:rsidRPr="00711DF5" w:rsidRDefault="008F59F0" w:rsidP="00773FA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val="en-IN"/>
              </w:rPr>
            </w:pPr>
            <w:r w:rsidRPr="00711DF5">
              <w:rPr>
                <w:rFonts w:eastAsia="Times New Roman"/>
                <w:b/>
                <w:color w:val="000000"/>
                <w:lang w:val="en-IN"/>
              </w:rPr>
              <w:t>FROM</w:t>
            </w:r>
          </w:p>
        </w:tc>
      </w:tr>
      <w:tr w:rsidR="008F59F0" w:rsidRPr="00711DF5" w14:paraId="15718373" w14:textId="77777777" w:rsidTr="00773FA6">
        <w:trPr>
          <w:trHeight w:val="300"/>
        </w:trPr>
        <w:tc>
          <w:tcPr>
            <w:tcW w:w="86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0A182" w14:textId="77777777" w:rsidR="008F59F0" w:rsidRPr="00711DF5" w:rsidRDefault="008F59F0" w:rsidP="00773FA6">
            <w:pPr>
              <w:spacing w:after="0" w:line="240" w:lineRule="auto"/>
              <w:rPr>
                <w:rFonts w:eastAsia="Times New Roman"/>
                <w:color w:val="000000"/>
                <w:lang w:val="en-IN"/>
              </w:rPr>
            </w:pPr>
            <w:r w:rsidRPr="00711DF5">
              <w:rPr>
                <w:rFonts w:eastAsia="Times New Roman"/>
                <w:color w:val="000000"/>
                <w:lang w:val="en-IN"/>
              </w:rPr>
              <w:t>China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10158" w14:textId="77777777" w:rsidR="008F59F0" w:rsidRPr="00711DF5" w:rsidRDefault="008F59F0" w:rsidP="00773FA6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IN"/>
              </w:rPr>
            </w:pPr>
            <w:r w:rsidRPr="00711DF5">
              <w:rPr>
                <w:rFonts w:eastAsia="Times New Roman"/>
                <w:color w:val="000000"/>
                <w:lang w:val="en-IN"/>
              </w:rPr>
              <w:t>55.93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D7665" w14:textId="77777777" w:rsidR="008F59F0" w:rsidRPr="00711DF5" w:rsidRDefault="008F59F0" w:rsidP="00773FA6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IN"/>
              </w:rPr>
            </w:pPr>
            <w:r w:rsidRPr="00711DF5">
              <w:rPr>
                <w:rFonts w:eastAsia="Times New Roman"/>
                <w:color w:val="000000"/>
                <w:lang w:val="en-IN"/>
              </w:rPr>
              <w:t>17.79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3C9F9" w14:textId="77777777" w:rsidR="008F59F0" w:rsidRPr="00711DF5" w:rsidRDefault="008F59F0" w:rsidP="00773FA6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IN"/>
              </w:rPr>
            </w:pPr>
            <w:r w:rsidRPr="00711DF5">
              <w:rPr>
                <w:rFonts w:eastAsia="Times New Roman"/>
                <w:color w:val="000000"/>
                <w:lang w:val="en-IN"/>
              </w:rPr>
              <w:t>11.56</w:t>
            </w:r>
          </w:p>
        </w:tc>
        <w:tc>
          <w:tcPr>
            <w:tcW w:w="86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821A9" w14:textId="77777777" w:rsidR="008F59F0" w:rsidRPr="00711DF5" w:rsidRDefault="008F59F0" w:rsidP="00773FA6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IN"/>
              </w:rPr>
            </w:pPr>
            <w:r w:rsidRPr="00711DF5">
              <w:rPr>
                <w:rFonts w:eastAsia="Times New Roman"/>
                <w:color w:val="000000"/>
                <w:lang w:val="en-IN"/>
              </w:rPr>
              <w:t>14.72</w:t>
            </w:r>
          </w:p>
        </w:tc>
        <w:tc>
          <w:tcPr>
            <w:tcW w:w="112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01FD2" w14:textId="77777777" w:rsidR="008F59F0" w:rsidRPr="00711DF5" w:rsidRDefault="008F59F0" w:rsidP="00773FA6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IN"/>
              </w:rPr>
            </w:pPr>
            <w:r w:rsidRPr="00711DF5">
              <w:rPr>
                <w:rFonts w:eastAsia="Times New Roman"/>
                <w:color w:val="000000"/>
                <w:lang w:val="en-IN"/>
              </w:rPr>
              <w:t>44.07</w:t>
            </w:r>
          </w:p>
        </w:tc>
      </w:tr>
      <w:tr w:rsidR="008F59F0" w:rsidRPr="00711DF5" w14:paraId="50532E43" w14:textId="77777777" w:rsidTr="00773FA6">
        <w:trPr>
          <w:trHeight w:val="300"/>
        </w:trPr>
        <w:tc>
          <w:tcPr>
            <w:tcW w:w="8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C832E" w14:textId="77777777" w:rsidR="008F59F0" w:rsidRPr="00711DF5" w:rsidRDefault="008F59F0" w:rsidP="00773FA6">
            <w:pPr>
              <w:spacing w:after="0" w:line="240" w:lineRule="auto"/>
              <w:rPr>
                <w:rFonts w:eastAsia="Times New Roman"/>
                <w:color w:val="000000"/>
                <w:lang w:val="en-IN"/>
              </w:rPr>
            </w:pPr>
            <w:r w:rsidRPr="00711DF5">
              <w:rPr>
                <w:rFonts w:eastAsia="Times New Roman"/>
                <w:color w:val="000000"/>
                <w:lang w:val="en-IN"/>
              </w:rPr>
              <w:t>Korea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16296" w14:textId="77777777" w:rsidR="008F59F0" w:rsidRPr="00711DF5" w:rsidRDefault="008F59F0" w:rsidP="00773FA6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IN"/>
              </w:rPr>
            </w:pPr>
            <w:r w:rsidRPr="00711DF5">
              <w:rPr>
                <w:rFonts w:eastAsia="Times New Roman"/>
                <w:color w:val="000000"/>
                <w:lang w:val="en-IN"/>
              </w:rPr>
              <w:t>16.23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FFD64" w14:textId="77777777" w:rsidR="008F59F0" w:rsidRPr="00711DF5" w:rsidRDefault="008F59F0" w:rsidP="00773FA6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IN"/>
              </w:rPr>
            </w:pPr>
            <w:r w:rsidRPr="00711DF5">
              <w:rPr>
                <w:rFonts w:eastAsia="Times New Roman"/>
                <w:color w:val="000000"/>
                <w:lang w:val="en-IN"/>
              </w:rPr>
              <w:t>66.2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8CA8F" w14:textId="77777777" w:rsidR="008F59F0" w:rsidRPr="00711DF5" w:rsidRDefault="008F59F0" w:rsidP="00773FA6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IN"/>
              </w:rPr>
            </w:pPr>
            <w:r w:rsidRPr="00711DF5">
              <w:rPr>
                <w:rFonts w:eastAsia="Times New Roman"/>
                <w:color w:val="000000"/>
                <w:lang w:val="en-IN"/>
              </w:rPr>
              <w:t>5.9</w:t>
            </w:r>
          </w:p>
        </w:tc>
        <w:tc>
          <w:tcPr>
            <w:tcW w:w="8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F92A3" w14:textId="77777777" w:rsidR="008F59F0" w:rsidRPr="00711DF5" w:rsidRDefault="008F59F0" w:rsidP="00773FA6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IN"/>
              </w:rPr>
            </w:pPr>
            <w:r w:rsidRPr="00711DF5">
              <w:rPr>
                <w:rFonts w:eastAsia="Times New Roman"/>
                <w:color w:val="000000"/>
                <w:lang w:val="en-IN"/>
              </w:rPr>
              <w:t>11.67</w:t>
            </w:r>
          </w:p>
        </w:tc>
        <w:tc>
          <w:tcPr>
            <w:tcW w:w="1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94404" w14:textId="77777777" w:rsidR="008F59F0" w:rsidRPr="00711DF5" w:rsidRDefault="008F59F0" w:rsidP="00773FA6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IN"/>
              </w:rPr>
            </w:pPr>
            <w:r w:rsidRPr="00711DF5">
              <w:rPr>
                <w:rFonts w:eastAsia="Times New Roman"/>
                <w:color w:val="000000"/>
                <w:lang w:val="en-IN"/>
              </w:rPr>
              <w:t>33.8</w:t>
            </w:r>
          </w:p>
        </w:tc>
      </w:tr>
      <w:tr w:rsidR="008F59F0" w:rsidRPr="00711DF5" w14:paraId="07145D69" w14:textId="77777777" w:rsidTr="00773FA6">
        <w:trPr>
          <w:trHeight w:val="300"/>
        </w:trPr>
        <w:tc>
          <w:tcPr>
            <w:tcW w:w="8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28DE5" w14:textId="77777777" w:rsidR="008F59F0" w:rsidRPr="00711DF5" w:rsidRDefault="008F59F0" w:rsidP="00773FA6">
            <w:pPr>
              <w:spacing w:after="0" w:line="240" w:lineRule="auto"/>
              <w:rPr>
                <w:rFonts w:eastAsia="Times New Roman"/>
                <w:color w:val="000000"/>
                <w:lang w:val="en-IN"/>
              </w:rPr>
            </w:pPr>
            <w:r w:rsidRPr="00711DF5">
              <w:rPr>
                <w:rFonts w:eastAsia="Times New Roman"/>
                <w:color w:val="000000"/>
                <w:lang w:val="en-IN"/>
              </w:rPr>
              <w:t>India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A3D98" w14:textId="77777777" w:rsidR="008F59F0" w:rsidRPr="00711DF5" w:rsidRDefault="008F59F0" w:rsidP="00773FA6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IN"/>
              </w:rPr>
            </w:pPr>
            <w:r w:rsidRPr="00711DF5">
              <w:rPr>
                <w:rFonts w:eastAsia="Times New Roman"/>
                <w:color w:val="000000"/>
                <w:lang w:val="en-IN"/>
              </w:rPr>
              <w:t>13.31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9BAEB" w14:textId="77777777" w:rsidR="008F59F0" w:rsidRPr="00711DF5" w:rsidRDefault="008F59F0" w:rsidP="00773FA6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IN"/>
              </w:rPr>
            </w:pPr>
            <w:r w:rsidRPr="00711DF5">
              <w:rPr>
                <w:rFonts w:eastAsia="Times New Roman"/>
                <w:color w:val="000000"/>
                <w:lang w:val="en-IN"/>
              </w:rPr>
              <w:t>7.69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4CD3F" w14:textId="77777777" w:rsidR="008F59F0" w:rsidRPr="00711DF5" w:rsidRDefault="008F59F0" w:rsidP="00773FA6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IN"/>
              </w:rPr>
            </w:pPr>
            <w:r w:rsidRPr="00711DF5">
              <w:rPr>
                <w:rFonts w:eastAsia="Times New Roman"/>
                <w:color w:val="000000"/>
                <w:lang w:val="en-IN"/>
              </w:rPr>
              <w:t>70.47</w:t>
            </w:r>
          </w:p>
        </w:tc>
        <w:tc>
          <w:tcPr>
            <w:tcW w:w="8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2B7BC" w14:textId="77777777" w:rsidR="008F59F0" w:rsidRPr="00711DF5" w:rsidRDefault="008F59F0" w:rsidP="00773FA6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IN"/>
              </w:rPr>
            </w:pPr>
            <w:r w:rsidRPr="00711DF5">
              <w:rPr>
                <w:rFonts w:eastAsia="Times New Roman"/>
                <w:color w:val="000000"/>
                <w:lang w:val="en-IN"/>
              </w:rPr>
              <w:t>8.53</w:t>
            </w:r>
          </w:p>
        </w:tc>
        <w:tc>
          <w:tcPr>
            <w:tcW w:w="1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F9CEE" w14:textId="77777777" w:rsidR="008F59F0" w:rsidRPr="00711DF5" w:rsidRDefault="008F59F0" w:rsidP="00773FA6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IN"/>
              </w:rPr>
            </w:pPr>
            <w:r w:rsidRPr="00711DF5">
              <w:rPr>
                <w:rFonts w:eastAsia="Times New Roman"/>
                <w:color w:val="000000"/>
                <w:lang w:val="en-IN"/>
              </w:rPr>
              <w:t>29.53</w:t>
            </w:r>
          </w:p>
        </w:tc>
      </w:tr>
      <w:tr w:rsidR="008F59F0" w:rsidRPr="00711DF5" w14:paraId="22F14A96" w14:textId="77777777" w:rsidTr="00773FA6">
        <w:trPr>
          <w:trHeight w:val="300"/>
        </w:trPr>
        <w:tc>
          <w:tcPr>
            <w:tcW w:w="8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03DDE" w14:textId="77777777" w:rsidR="008F59F0" w:rsidRPr="00711DF5" w:rsidRDefault="008F59F0" w:rsidP="00773FA6">
            <w:pPr>
              <w:spacing w:after="0" w:line="240" w:lineRule="auto"/>
              <w:rPr>
                <w:rFonts w:eastAsia="Times New Roman"/>
                <w:color w:val="000000"/>
                <w:lang w:val="en-IN"/>
              </w:rPr>
            </w:pPr>
            <w:r w:rsidRPr="00711DF5">
              <w:rPr>
                <w:rFonts w:eastAsia="Times New Roman"/>
                <w:color w:val="000000"/>
                <w:lang w:val="en-IN"/>
              </w:rPr>
              <w:t>Malaysia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23462" w14:textId="77777777" w:rsidR="008F59F0" w:rsidRPr="00711DF5" w:rsidRDefault="008F59F0" w:rsidP="00773FA6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IN"/>
              </w:rPr>
            </w:pPr>
            <w:r w:rsidRPr="00711DF5">
              <w:rPr>
                <w:rFonts w:eastAsia="Times New Roman"/>
                <w:color w:val="000000"/>
                <w:lang w:val="en-IN"/>
              </w:rPr>
              <w:t>29.51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0590F" w14:textId="77777777" w:rsidR="008F59F0" w:rsidRPr="00711DF5" w:rsidRDefault="008F59F0" w:rsidP="00773FA6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IN"/>
              </w:rPr>
            </w:pPr>
            <w:r w:rsidRPr="00711DF5">
              <w:rPr>
                <w:rFonts w:eastAsia="Times New Roman"/>
                <w:color w:val="000000"/>
                <w:lang w:val="en-IN"/>
              </w:rPr>
              <w:t>26.88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57CE7" w14:textId="77777777" w:rsidR="008F59F0" w:rsidRPr="00711DF5" w:rsidRDefault="008F59F0" w:rsidP="00773FA6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IN"/>
              </w:rPr>
            </w:pPr>
            <w:r w:rsidRPr="00711DF5">
              <w:rPr>
                <w:rFonts w:eastAsia="Times New Roman"/>
                <w:color w:val="000000"/>
                <w:lang w:val="en-IN"/>
              </w:rPr>
              <w:t>17.72</w:t>
            </w:r>
          </w:p>
        </w:tc>
        <w:tc>
          <w:tcPr>
            <w:tcW w:w="8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56556" w14:textId="77777777" w:rsidR="008F59F0" w:rsidRPr="00711DF5" w:rsidRDefault="008F59F0" w:rsidP="00773FA6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IN"/>
              </w:rPr>
            </w:pPr>
            <w:r w:rsidRPr="00711DF5">
              <w:rPr>
                <w:rFonts w:eastAsia="Times New Roman"/>
                <w:color w:val="000000"/>
                <w:lang w:val="en-IN"/>
              </w:rPr>
              <w:t>25.89</w:t>
            </w:r>
          </w:p>
        </w:tc>
        <w:tc>
          <w:tcPr>
            <w:tcW w:w="1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D6FA7" w14:textId="77777777" w:rsidR="008F59F0" w:rsidRPr="00711DF5" w:rsidRDefault="008F59F0" w:rsidP="00773FA6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IN"/>
              </w:rPr>
            </w:pPr>
            <w:r w:rsidRPr="00711DF5">
              <w:rPr>
                <w:rFonts w:eastAsia="Times New Roman"/>
                <w:color w:val="000000"/>
                <w:lang w:val="en-IN"/>
              </w:rPr>
              <w:t>74.11</w:t>
            </w:r>
          </w:p>
        </w:tc>
      </w:tr>
      <w:tr w:rsidR="008F59F0" w:rsidRPr="00711DF5" w14:paraId="06DBA1D2" w14:textId="77777777" w:rsidTr="00773FA6">
        <w:trPr>
          <w:trHeight w:val="300"/>
        </w:trPr>
        <w:tc>
          <w:tcPr>
            <w:tcW w:w="8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72C25" w14:textId="77777777" w:rsidR="008F59F0" w:rsidRPr="00711DF5" w:rsidRDefault="008F59F0" w:rsidP="00773FA6">
            <w:pPr>
              <w:spacing w:after="0" w:line="240" w:lineRule="auto"/>
              <w:rPr>
                <w:rFonts w:eastAsia="Times New Roman"/>
                <w:color w:val="000000"/>
                <w:lang w:val="en-IN"/>
              </w:rPr>
            </w:pPr>
            <w:r w:rsidRPr="00711DF5">
              <w:rPr>
                <w:rFonts w:eastAsia="Times New Roman"/>
                <w:color w:val="000000"/>
                <w:lang w:val="en-IN"/>
              </w:rPr>
              <w:t>TO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53E23" w14:textId="77777777" w:rsidR="008F59F0" w:rsidRPr="00711DF5" w:rsidRDefault="008F59F0" w:rsidP="00773FA6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IN"/>
              </w:rPr>
            </w:pPr>
            <w:r w:rsidRPr="00711DF5">
              <w:rPr>
                <w:rFonts w:eastAsia="Times New Roman"/>
                <w:color w:val="000000"/>
                <w:lang w:val="en-IN"/>
              </w:rPr>
              <w:t>59.05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DB57B" w14:textId="77777777" w:rsidR="008F59F0" w:rsidRPr="00711DF5" w:rsidRDefault="008F59F0" w:rsidP="00773FA6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IN"/>
              </w:rPr>
            </w:pPr>
            <w:r w:rsidRPr="00711DF5">
              <w:rPr>
                <w:rFonts w:eastAsia="Times New Roman"/>
                <w:color w:val="000000"/>
                <w:lang w:val="en-IN"/>
              </w:rPr>
              <w:t>52.36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817C3" w14:textId="77777777" w:rsidR="008F59F0" w:rsidRPr="00711DF5" w:rsidRDefault="008F59F0" w:rsidP="00773FA6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IN"/>
              </w:rPr>
            </w:pPr>
            <w:r w:rsidRPr="00711DF5">
              <w:rPr>
                <w:rFonts w:eastAsia="Times New Roman"/>
                <w:color w:val="000000"/>
                <w:lang w:val="en-IN"/>
              </w:rPr>
              <w:t>35.18</w:t>
            </w:r>
          </w:p>
        </w:tc>
        <w:tc>
          <w:tcPr>
            <w:tcW w:w="8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452C7" w14:textId="77777777" w:rsidR="008F59F0" w:rsidRPr="00711DF5" w:rsidRDefault="008F59F0" w:rsidP="00773FA6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IN"/>
              </w:rPr>
            </w:pPr>
            <w:r w:rsidRPr="00711DF5">
              <w:rPr>
                <w:rFonts w:eastAsia="Times New Roman"/>
                <w:color w:val="000000"/>
                <w:lang w:val="en-IN"/>
              </w:rPr>
              <w:t>34.92</w:t>
            </w:r>
          </w:p>
        </w:tc>
        <w:tc>
          <w:tcPr>
            <w:tcW w:w="1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88C50" w14:textId="77777777" w:rsidR="008F59F0" w:rsidRPr="00711DF5" w:rsidRDefault="008F59F0" w:rsidP="00773FA6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IN"/>
              </w:rPr>
            </w:pPr>
            <w:r w:rsidRPr="00711DF5">
              <w:rPr>
                <w:rFonts w:eastAsia="Times New Roman"/>
                <w:color w:val="000000"/>
                <w:lang w:val="en-IN"/>
              </w:rPr>
              <w:t>181.5</w:t>
            </w:r>
          </w:p>
        </w:tc>
      </w:tr>
      <w:tr w:rsidR="008F59F0" w:rsidRPr="00711DF5" w14:paraId="3CFB8AC7" w14:textId="77777777" w:rsidTr="00773FA6">
        <w:trPr>
          <w:trHeight w:val="300"/>
        </w:trPr>
        <w:tc>
          <w:tcPr>
            <w:tcW w:w="8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BB714" w14:textId="77777777" w:rsidR="008F59F0" w:rsidRPr="00711DF5" w:rsidRDefault="008F59F0" w:rsidP="00773FA6">
            <w:pPr>
              <w:spacing w:after="0" w:line="240" w:lineRule="auto"/>
              <w:rPr>
                <w:rFonts w:eastAsia="Times New Roman"/>
                <w:color w:val="000000"/>
                <w:lang w:val="en-IN"/>
              </w:rPr>
            </w:pPr>
            <w:proofErr w:type="spellStart"/>
            <w:r w:rsidRPr="00711DF5">
              <w:rPr>
                <w:rFonts w:eastAsia="Times New Roman"/>
                <w:color w:val="000000"/>
                <w:lang w:val="en-IN"/>
              </w:rPr>
              <w:t>Inc.Own</w:t>
            </w:r>
            <w:proofErr w:type="spellEnd"/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B402D" w14:textId="77777777" w:rsidR="008F59F0" w:rsidRPr="00711DF5" w:rsidRDefault="008F59F0" w:rsidP="00773FA6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IN"/>
              </w:rPr>
            </w:pPr>
            <w:r w:rsidRPr="00711DF5">
              <w:rPr>
                <w:rFonts w:eastAsia="Times New Roman"/>
                <w:color w:val="000000"/>
                <w:lang w:val="en-IN"/>
              </w:rPr>
              <w:t>114.98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9C3E1" w14:textId="77777777" w:rsidR="008F59F0" w:rsidRPr="00711DF5" w:rsidRDefault="008F59F0" w:rsidP="00773FA6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IN"/>
              </w:rPr>
            </w:pPr>
            <w:r w:rsidRPr="00711DF5">
              <w:rPr>
                <w:rFonts w:eastAsia="Times New Roman"/>
                <w:color w:val="000000"/>
                <w:lang w:val="en-IN"/>
              </w:rPr>
              <w:t>118.56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C7E28" w14:textId="77777777" w:rsidR="008F59F0" w:rsidRPr="00711DF5" w:rsidRDefault="008F59F0" w:rsidP="00773FA6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IN"/>
              </w:rPr>
            </w:pPr>
            <w:r w:rsidRPr="00711DF5">
              <w:rPr>
                <w:rFonts w:eastAsia="Times New Roman"/>
                <w:color w:val="000000"/>
                <w:lang w:val="en-IN"/>
              </w:rPr>
              <w:t>105.65</w:t>
            </w:r>
          </w:p>
        </w:tc>
        <w:tc>
          <w:tcPr>
            <w:tcW w:w="8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0A244" w14:textId="77777777" w:rsidR="008F59F0" w:rsidRPr="00711DF5" w:rsidRDefault="008F59F0" w:rsidP="00773FA6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IN"/>
              </w:rPr>
            </w:pPr>
            <w:r w:rsidRPr="00711DF5">
              <w:rPr>
                <w:rFonts w:eastAsia="Times New Roman"/>
                <w:color w:val="000000"/>
                <w:lang w:val="en-IN"/>
              </w:rPr>
              <w:t>60.81</w:t>
            </w:r>
          </w:p>
        </w:tc>
        <w:tc>
          <w:tcPr>
            <w:tcW w:w="1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DED75" w14:textId="77777777" w:rsidR="008F59F0" w:rsidRPr="00711DF5" w:rsidRDefault="008F59F0" w:rsidP="00773FA6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IN"/>
              </w:rPr>
            </w:pPr>
            <w:r w:rsidRPr="00711DF5">
              <w:rPr>
                <w:rFonts w:eastAsia="Times New Roman"/>
                <w:color w:val="000000"/>
                <w:lang w:val="en-IN"/>
              </w:rPr>
              <w:t>TCI</w:t>
            </w:r>
          </w:p>
        </w:tc>
      </w:tr>
      <w:tr w:rsidR="008F59F0" w:rsidRPr="00711DF5" w14:paraId="0E8503AE" w14:textId="77777777" w:rsidTr="00773FA6">
        <w:trPr>
          <w:trHeight w:val="300"/>
        </w:trPr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07D601" w14:textId="77777777" w:rsidR="008F59F0" w:rsidRPr="00711DF5" w:rsidRDefault="008F59F0" w:rsidP="00773FA6">
            <w:pPr>
              <w:spacing w:after="0" w:line="240" w:lineRule="auto"/>
              <w:rPr>
                <w:rFonts w:eastAsia="Times New Roman"/>
                <w:color w:val="000000"/>
                <w:lang w:val="en-IN"/>
              </w:rPr>
            </w:pPr>
            <w:r w:rsidRPr="00711DF5">
              <w:rPr>
                <w:rFonts w:eastAsia="Times New Roman"/>
                <w:color w:val="000000"/>
                <w:lang w:val="en-IN"/>
              </w:rPr>
              <w:t>NET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A99271" w14:textId="77777777" w:rsidR="008F59F0" w:rsidRPr="00711DF5" w:rsidRDefault="008F59F0" w:rsidP="00773FA6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IN"/>
              </w:rPr>
            </w:pPr>
            <w:r w:rsidRPr="00711DF5">
              <w:rPr>
                <w:rFonts w:eastAsia="Times New Roman"/>
                <w:color w:val="000000"/>
                <w:lang w:val="en-IN"/>
              </w:rPr>
              <w:t>14.98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63EE16" w14:textId="77777777" w:rsidR="008F59F0" w:rsidRPr="00711DF5" w:rsidRDefault="008F59F0" w:rsidP="00773FA6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IN"/>
              </w:rPr>
            </w:pPr>
            <w:r w:rsidRPr="00711DF5">
              <w:rPr>
                <w:rFonts w:eastAsia="Times New Roman"/>
                <w:color w:val="000000"/>
                <w:lang w:val="en-IN"/>
              </w:rPr>
              <w:t>18.56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B1B78E" w14:textId="77777777" w:rsidR="008F59F0" w:rsidRPr="00711DF5" w:rsidRDefault="008F59F0" w:rsidP="00773FA6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IN"/>
              </w:rPr>
            </w:pPr>
            <w:r w:rsidRPr="00711DF5">
              <w:rPr>
                <w:rFonts w:eastAsia="Times New Roman"/>
                <w:color w:val="000000"/>
                <w:lang w:val="en-IN"/>
              </w:rPr>
              <w:t>5.65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DB9C46" w14:textId="77777777" w:rsidR="008F59F0" w:rsidRPr="00711DF5" w:rsidRDefault="008F59F0" w:rsidP="00773FA6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IN"/>
              </w:rPr>
            </w:pPr>
            <w:r w:rsidRPr="00711DF5">
              <w:rPr>
                <w:rFonts w:eastAsia="Times New Roman"/>
                <w:color w:val="000000"/>
                <w:lang w:val="en-IN"/>
              </w:rPr>
              <w:t>-39.19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071387" w14:textId="77777777" w:rsidR="008F59F0" w:rsidRPr="00711DF5" w:rsidRDefault="008F59F0" w:rsidP="00773FA6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IN"/>
              </w:rPr>
            </w:pPr>
            <w:r w:rsidRPr="00711DF5">
              <w:rPr>
                <w:rFonts w:eastAsia="Times New Roman"/>
                <w:color w:val="000000"/>
                <w:lang w:val="en-IN"/>
              </w:rPr>
              <w:t>45.38</w:t>
            </w:r>
          </w:p>
        </w:tc>
      </w:tr>
    </w:tbl>
    <w:p w14:paraId="1FEAD153" w14:textId="52C19813" w:rsidR="005A12CD" w:rsidRPr="00711DF5" w:rsidRDefault="008F59F0" w:rsidP="008F59F0">
      <w:pPr>
        <w:jc w:val="both"/>
        <w:rPr>
          <w:rFonts w:ascii="Times New Roman" w:hAnsi="Times New Roman" w:cs="Times New Roman"/>
          <w:iCs/>
          <w:szCs w:val="24"/>
        </w:rPr>
      </w:pPr>
      <w:r w:rsidRPr="00711DF5">
        <w:rPr>
          <w:rFonts w:ascii="Times New Roman" w:hAnsi="Times New Roman" w:cs="Times New Roman"/>
          <w:sz w:val="24"/>
          <w:szCs w:val="24"/>
        </w:rPr>
        <w:t xml:space="preserve">Note: </w:t>
      </w:r>
      <w:r w:rsidRPr="00711DF5">
        <w:rPr>
          <w:rFonts w:ascii="Times New Roman" w:hAnsi="Times New Roman" w:cs="Times New Roman"/>
          <w:szCs w:val="24"/>
        </w:rPr>
        <w:t xml:space="preserve">The diagonal values represent own country's contagion. TO indicates the total directional spill-overs from country j to all other countries </w:t>
      </w:r>
      <w:proofErr w:type="spellStart"/>
      <w:r w:rsidRPr="00711DF5">
        <w:rPr>
          <w:rFonts w:ascii="Times New Roman" w:hAnsi="Times New Roman" w:cs="Times New Roman"/>
          <w:szCs w:val="24"/>
        </w:rPr>
        <w:t>i</w:t>
      </w:r>
      <w:proofErr w:type="spellEnd"/>
      <w:r w:rsidRPr="00711DF5">
        <w:rPr>
          <w:rFonts w:ascii="Times New Roman" w:hAnsi="Times New Roman" w:cs="Times New Roman"/>
          <w:szCs w:val="24"/>
        </w:rPr>
        <w:t xml:space="preserve"> excluding own spill-overs. FROM presents the total directional spill-overs to country </w:t>
      </w:r>
      <w:proofErr w:type="spellStart"/>
      <w:r w:rsidRPr="00711DF5">
        <w:rPr>
          <w:rFonts w:ascii="Times New Roman" w:hAnsi="Times New Roman" w:cs="Times New Roman"/>
          <w:szCs w:val="24"/>
        </w:rPr>
        <w:t>i</w:t>
      </w:r>
      <w:proofErr w:type="spellEnd"/>
      <w:r w:rsidRPr="00711DF5">
        <w:rPr>
          <w:rFonts w:ascii="Times New Roman" w:hAnsi="Times New Roman" w:cs="Times New Roman"/>
          <w:szCs w:val="24"/>
        </w:rPr>
        <w:t xml:space="preserve"> from all other asset j. </w:t>
      </w:r>
      <w:r w:rsidRPr="00711DF5">
        <w:rPr>
          <w:rFonts w:ascii="Times New Roman" w:hAnsi="Times New Roman" w:cs="Times New Roman"/>
          <w:iCs/>
          <w:szCs w:val="24"/>
        </w:rPr>
        <w:t>The net represents the difference between what a country receives (From) and what it transmits (To). The lower right corner cell of the table presents the total connectedness index in percentage terms.</w:t>
      </w:r>
    </w:p>
    <w:p w14:paraId="3CB93B66" w14:textId="77777777" w:rsidR="00785416" w:rsidRPr="00711DF5" w:rsidRDefault="00785416" w:rsidP="00785416">
      <w:pPr>
        <w:rPr>
          <w:rFonts w:ascii="Times New Roman" w:eastAsia="Times New Roman" w:hAnsi="Times New Roman" w:cs="Times New Roman"/>
          <w:sz w:val="24"/>
          <w:szCs w:val="24"/>
        </w:rPr>
      </w:pPr>
      <w:r w:rsidRPr="00711DF5">
        <w:rPr>
          <w:rFonts w:ascii="Times New Roman" w:eastAsia="Times New Roman" w:hAnsi="Times New Roman" w:cs="Times New Roman"/>
          <w:sz w:val="24"/>
          <w:szCs w:val="24"/>
        </w:rPr>
        <w:t>Source: Authors' own creation</w:t>
      </w:r>
    </w:p>
    <w:p w14:paraId="67F40257" w14:textId="77777777" w:rsidR="005A12CD" w:rsidRPr="00711DF5" w:rsidRDefault="005A12CD">
      <w:pPr>
        <w:rPr>
          <w:rFonts w:ascii="Times New Roman" w:hAnsi="Times New Roman" w:cs="Times New Roman"/>
          <w:iCs/>
          <w:szCs w:val="24"/>
        </w:rPr>
      </w:pPr>
      <w:r w:rsidRPr="00711DF5">
        <w:rPr>
          <w:rFonts w:ascii="Times New Roman" w:hAnsi="Times New Roman" w:cs="Times New Roman"/>
          <w:iCs/>
          <w:szCs w:val="24"/>
        </w:rPr>
        <w:br w:type="page"/>
      </w:r>
    </w:p>
    <w:p w14:paraId="509DC574" w14:textId="2AB3061D" w:rsidR="005A12CD" w:rsidRPr="00711DF5" w:rsidRDefault="00D33301" w:rsidP="005A12C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DF5">
        <w:rPr>
          <w:rFonts w:ascii="Times New Roman" w:hAnsi="Times New Roman" w:cs="Times New Roman"/>
          <w:b/>
          <w:noProof/>
          <w:sz w:val="24"/>
          <w:szCs w:val="24"/>
          <w:lang w:val="en-IN"/>
        </w:rPr>
        <w:lastRenderedPageBreak/>
        <w:object w:dxaOrig="1440" w:dyaOrig="1440" w14:anchorId="130C6D9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.2pt;margin-top:27.35pt;width:441.55pt;height:179.65pt;z-index:251658240;mso-wrap-style:tight" filled="t" stroked="t">
            <v:imagedata r:id="rId7" o:title=""/>
          </v:shape>
          <o:OLEObject Type="Embed" ProgID="EViews.Workfile.2" ShapeID="_x0000_s1026" DrawAspect="Content" ObjectID="_1788895376" r:id="rId8"/>
        </w:object>
      </w:r>
      <w:r w:rsidR="005A12CD" w:rsidRPr="00711DF5">
        <w:rPr>
          <w:rFonts w:ascii="Times New Roman" w:hAnsi="Times New Roman" w:cs="Times New Roman"/>
          <w:b/>
          <w:sz w:val="24"/>
          <w:szCs w:val="24"/>
        </w:rPr>
        <w:t xml:space="preserve">Figure </w:t>
      </w:r>
      <w:r w:rsidR="00305977" w:rsidRPr="00711DF5">
        <w:rPr>
          <w:rFonts w:ascii="Times New Roman" w:hAnsi="Times New Roman" w:cs="Times New Roman"/>
          <w:b/>
          <w:sz w:val="24"/>
          <w:szCs w:val="24"/>
        </w:rPr>
        <w:t>A</w:t>
      </w:r>
      <w:r w:rsidR="005A12CD" w:rsidRPr="00711DF5">
        <w:rPr>
          <w:rFonts w:ascii="Times New Roman" w:hAnsi="Times New Roman" w:cs="Times New Roman"/>
          <w:b/>
          <w:sz w:val="24"/>
          <w:szCs w:val="24"/>
        </w:rPr>
        <w:t>1.</w:t>
      </w:r>
      <w:r w:rsidR="005A12CD" w:rsidRPr="00711DF5">
        <w:rPr>
          <w:rFonts w:ascii="Times New Roman" w:hAnsi="Times New Roman" w:cs="Times New Roman"/>
          <w:sz w:val="24"/>
          <w:szCs w:val="24"/>
        </w:rPr>
        <w:t xml:space="preserve"> Total dynamic connectedness</w:t>
      </w:r>
    </w:p>
    <w:p w14:paraId="4FACD7C5" w14:textId="77777777" w:rsidR="005A12CD" w:rsidRPr="00711DF5" w:rsidRDefault="005A12CD" w:rsidP="005A12C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DE783C" w14:textId="77777777" w:rsidR="005A12CD" w:rsidRPr="00711DF5" w:rsidRDefault="005A12CD" w:rsidP="005A12CD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55B75D34" w14:textId="77777777" w:rsidR="005A12CD" w:rsidRPr="00711DF5" w:rsidRDefault="005A12CD" w:rsidP="005A12CD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767F71B3" w14:textId="77777777" w:rsidR="005A12CD" w:rsidRPr="00711DF5" w:rsidRDefault="005A12CD" w:rsidP="005A12CD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1239C9C1" w14:textId="77777777" w:rsidR="005A12CD" w:rsidRPr="00711DF5" w:rsidRDefault="005A12CD" w:rsidP="005A12CD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4DFDAFFA" w14:textId="77777777" w:rsidR="005A12CD" w:rsidRPr="00711DF5" w:rsidRDefault="005A12CD" w:rsidP="005A12C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DF5">
        <w:rPr>
          <w:rFonts w:ascii="Times New Roman" w:hAnsi="Times New Roman" w:cs="Times New Roman"/>
          <w:sz w:val="24"/>
          <w:szCs w:val="24"/>
        </w:rPr>
        <w:t>Note: The graph presents the total dynamic connectedness index of credit spread across four countries from January 2010 to June 2022. The TCI is computed following the DCC-GARCH model.</w:t>
      </w:r>
    </w:p>
    <w:p w14:paraId="087C351B" w14:textId="77777777" w:rsidR="00785416" w:rsidRPr="00711DF5" w:rsidRDefault="00785416" w:rsidP="00785416">
      <w:pPr>
        <w:rPr>
          <w:rFonts w:ascii="Times New Roman" w:eastAsia="Times New Roman" w:hAnsi="Times New Roman" w:cs="Times New Roman"/>
          <w:sz w:val="24"/>
          <w:szCs w:val="24"/>
        </w:rPr>
      </w:pPr>
      <w:r w:rsidRPr="00711DF5">
        <w:rPr>
          <w:rFonts w:ascii="Times New Roman" w:eastAsia="Times New Roman" w:hAnsi="Times New Roman" w:cs="Times New Roman"/>
          <w:sz w:val="24"/>
          <w:szCs w:val="24"/>
        </w:rPr>
        <w:t>Source: Authors' own creation</w:t>
      </w:r>
    </w:p>
    <w:p w14:paraId="1854F2DF" w14:textId="30FE4481" w:rsidR="005A12CD" w:rsidRPr="00711DF5" w:rsidRDefault="005A12CD" w:rsidP="005A12CD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711DF5">
        <w:rPr>
          <w:rFonts w:ascii="Times New Roman" w:hAnsi="Times New Roman" w:cs="Times New Roman"/>
          <w:b/>
          <w:sz w:val="24"/>
          <w:szCs w:val="24"/>
        </w:rPr>
        <w:t xml:space="preserve">Figure </w:t>
      </w:r>
      <w:r w:rsidR="00305977" w:rsidRPr="00711DF5">
        <w:rPr>
          <w:rFonts w:ascii="Times New Roman" w:hAnsi="Times New Roman" w:cs="Times New Roman"/>
          <w:b/>
          <w:sz w:val="24"/>
          <w:szCs w:val="24"/>
        </w:rPr>
        <w:t>A</w:t>
      </w:r>
      <w:r w:rsidRPr="00711DF5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711DF5">
        <w:rPr>
          <w:rFonts w:ascii="Times New Roman" w:hAnsi="Times New Roman" w:cs="Times New Roman"/>
          <w:sz w:val="24"/>
          <w:szCs w:val="24"/>
        </w:rPr>
        <w:t>Total dynamic spillover of credit spreads to other countries</w:t>
      </w:r>
      <w:r w:rsidRPr="00711DF5">
        <w:rPr>
          <w:rFonts w:ascii="Times New Roman" w:hAnsi="Times New Roman" w:cs="Times New Roman"/>
          <w:b/>
          <w:noProof/>
          <w:sz w:val="24"/>
          <w:szCs w:val="24"/>
          <w:lang w:val="en-IN"/>
        </w:rPr>
        <w:drawing>
          <wp:inline distT="0" distB="0" distL="0" distR="0" wp14:anchorId="4A17E278" wp14:editId="1157F31C">
            <wp:extent cx="6105525" cy="2414765"/>
            <wp:effectExtent l="0" t="0" r="0" b="5080"/>
            <wp:docPr id="1" name="Picture 1" descr="G:\My Drive\zzzzzzzz\CS variables\To other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G:\My Drive\zzzzzzzz\CS variables\To others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9" cy="2419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F621D1" w14:textId="2E3427F4" w:rsidR="005A12CD" w:rsidRPr="00711DF5" w:rsidRDefault="005A12CD" w:rsidP="005A12C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DF5">
        <w:rPr>
          <w:rFonts w:ascii="Times New Roman" w:hAnsi="Times New Roman" w:cs="Times New Roman"/>
          <w:sz w:val="24"/>
          <w:szCs w:val="24"/>
        </w:rPr>
        <w:t>Note: The graph demonstrates the transmission of credit spread shocks by one country to other</w:t>
      </w:r>
      <w:r w:rsidR="004A21D9" w:rsidRPr="00711DF5">
        <w:rPr>
          <w:rFonts w:ascii="Times New Roman" w:hAnsi="Times New Roman" w:cs="Times New Roman"/>
          <w:sz w:val="24"/>
          <w:szCs w:val="24"/>
        </w:rPr>
        <w:t>s</w:t>
      </w:r>
      <w:r w:rsidRPr="00711DF5">
        <w:rPr>
          <w:rFonts w:ascii="Times New Roman" w:hAnsi="Times New Roman" w:cs="Times New Roman"/>
          <w:sz w:val="24"/>
          <w:szCs w:val="24"/>
        </w:rPr>
        <w:t xml:space="preserve"> from January 2010 to June 2022. </w:t>
      </w:r>
    </w:p>
    <w:p w14:paraId="56BD24B4" w14:textId="7ECEB341" w:rsidR="00785416" w:rsidRPr="00711DF5" w:rsidRDefault="00785416" w:rsidP="00785416">
      <w:pPr>
        <w:rPr>
          <w:rFonts w:ascii="Times New Roman" w:eastAsia="Times New Roman" w:hAnsi="Times New Roman" w:cs="Times New Roman"/>
          <w:sz w:val="24"/>
          <w:szCs w:val="24"/>
        </w:rPr>
      </w:pPr>
      <w:r w:rsidRPr="00711DF5">
        <w:rPr>
          <w:rFonts w:ascii="Times New Roman" w:eastAsia="Times New Roman" w:hAnsi="Times New Roman" w:cs="Times New Roman"/>
          <w:sz w:val="24"/>
          <w:szCs w:val="24"/>
        </w:rPr>
        <w:t>Source: Authors' own creation</w:t>
      </w:r>
    </w:p>
    <w:p w14:paraId="367C095F" w14:textId="2596C4A8" w:rsidR="005A12CD" w:rsidRPr="00711DF5" w:rsidRDefault="005A12CD" w:rsidP="005A12CD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711DF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Figure </w:t>
      </w:r>
      <w:r w:rsidR="00305977" w:rsidRPr="00711DF5">
        <w:rPr>
          <w:rFonts w:ascii="Times New Roman" w:hAnsi="Times New Roman" w:cs="Times New Roman"/>
          <w:b/>
          <w:sz w:val="24"/>
          <w:szCs w:val="24"/>
        </w:rPr>
        <w:t>A</w:t>
      </w:r>
      <w:r w:rsidRPr="00711DF5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711DF5">
        <w:rPr>
          <w:rFonts w:ascii="Times New Roman" w:hAnsi="Times New Roman" w:cs="Times New Roman"/>
          <w:sz w:val="24"/>
          <w:szCs w:val="24"/>
        </w:rPr>
        <w:t>Total dynamic spillover of credit spreads from other countries</w:t>
      </w:r>
      <w:r w:rsidRPr="00711DF5">
        <w:rPr>
          <w:rFonts w:ascii="Times New Roman" w:hAnsi="Times New Roman" w:cs="Times New Roman"/>
          <w:b/>
          <w:noProof/>
          <w:sz w:val="24"/>
          <w:szCs w:val="24"/>
          <w:lang w:val="en-IN"/>
        </w:rPr>
        <w:drawing>
          <wp:inline distT="0" distB="0" distL="0" distR="0" wp14:anchorId="761620A8" wp14:editId="49EFC2AB">
            <wp:extent cx="5690017" cy="2800350"/>
            <wp:effectExtent l="0" t="0" r="6350" b="0"/>
            <wp:docPr id="2" name="Picture 2" descr="G:\My Drive\zzzzzzzz\CS variables\from other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G:\My Drive\zzzzzzzz\CS variables\from others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8923" cy="2809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804F10" w14:textId="77777777" w:rsidR="005A12CD" w:rsidRPr="00711DF5" w:rsidRDefault="005A12CD" w:rsidP="005A12C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1DF5">
        <w:rPr>
          <w:rFonts w:ascii="Times New Roman" w:hAnsi="Times New Roman" w:cs="Times New Roman"/>
          <w:sz w:val="24"/>
          <w:szCs w:val="24"/>
        </w:rPr>
        <w:t xml:space="preserve">Note: The graph demonstrates the absorption of credit spread shocks by one country from other countries from January 2010 to June 2022. </w:t>
      </w:r>
    </w:p>
    <w:p w14:paraId="0865F295" w14:textId="08396B55" w:rsidR="005A12CD" w:rsidRPr="00785416" w:rsidRDefault="00785416" w:rsidP="005A12CD">
      <w:pPr>
        <w:rPr>
          <w:rFonts w:ascii="Times New Roman" w:eastAsia="Times New Roman" w:hAnsi="Times New Roman" w:cs="Times New Roman"/>
          <w:sz w:val="24"/>
          <w:szCs w:val="24"/>
        </w:rPr>
      </w:pPr>
      <w:r w:rsidRPr="00711DF5">
        <w:rPr>
          <w:rFonts w:ascii="Times New Roman" w:eastAsia="Times New Roman" w:hAnsi="Times New Roman" w:cs="Times New Roman"/>
          <w:sz w:val="24"/>
          <w:szCs w:val="24"/>
        </w:rPr>
        <w:t>Source: Authors' own creation</w:t>
      </w:r>
    </w:p>
    <w:p w14:paraId="3C66E73B" w14:textId="77777777" w:rsidR="008F59F0" w:rsidRPr="0013650D" w:rsidRDefault="008F59F0" w:rsidP="008F59F0">
      <w:pPr>
        <w:jc w:val="both"/>
        <w:rPr>
          <w:rFonts w:ascii="Times New Roman" w:hAnsi="Times New Roman" w:cs="Times New Roman"/>
          <w:iCs/>
          <w:szCs w:val="24"/>
        </w:rPr>
      </w:pPr>
    </w:p>
    <w:p w14:paraId="52665199" w14:textId="77777777" w:rsidR="008F59F0" w:rsidRDefault="008F59F0"/>
    <w:sectPr w:rsidR="008F59F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AD8660" w14:textId="77777777" w:rsidR="00D33301" w:rsidRDefault="00D33301" w:rsidP="00711DF5">
      <w:pPr>
        <w:spacing w:after="0" w:line="240" w:lineRule="auto"/>
      </w:pPr>
      <w:r>
        <w:separator/>
      </w:r>
    </w:p>
  </w:endnote>
  <w:endnote w:type="continuationSeparator" w:id="0">
    <w:p w14:paraId="731337D1" w14:textId="77777777" w:rsidR="00D33301" w:rsidRDefault="00D33301" w:rsidP="00711D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48A011" w14:textId="77777777" w:rsidR="00711DF5" w:rsidRDefault="00711DF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B4EDC0" w14:textId="77777777" w:rsidR="00711DF5" w:rsidRDefault="00711DF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309EA4" w14:textId="77777777" w:rsidR="00711DF5" w:rsidRDefault="00711DF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B9686D" w14:textId="77777777" w:rsidR="00D33301" w:rsidRDefault="00D33301" w:rsidP="00711DF5">
      <w:pPr>
        <w:spacing w:after="0" w:line="240" w:lineRule="auto"/>
      </w:pPr>
      <w:r>
        <w:separator/>
      </w:r>
    </w:p>
  </w:footnote>
  <w:footnote w:type="continuationSeparator" w:id="0">
    <w:p w14:paraId="4AAC7491" w14:textId="77777777" w:rsidR="00D33301" w:rsidRDefault="00D33301" w:rsidP="00711D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EB1189" w14:textId="77777777" w:rsidR="00711DF5" w:rsidRDefault="00711DF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0F6367" w14:textId="6EE74A08" w:rsidR="00711DF5" w:rsidRDefault="00711DF5" w:rsidP="00711DF5">
    <w:pPr>
      <w:pStyle w:val="Header"/>
      <w:jc w:val="center"/>
    </w:pPr>
    <w:bookmarkStart w:id="0" w:name="_GoBack"/>
    <w:r>
      <w:t>Supplementary Online Appendix</w:t>
    </w:r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93A7B3" w14:textId="77777777" w:rsidR="00711DF5" w:rsidRDefault="00711DF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17118"/>
    <w:multiLevelType w:val="multilevel"/>
    <w:tmpl w:val="F014C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Style4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72364AAC"/>
    <w:multiLevelType w:val="multilevel"/>
    <w:tmpl w:val="AFD28DAA"/>
    <w:lvl w:ilvl="0">
      <w:start w:val="1"/>
      <w:numFmt w:val="decimal"/>
      <w:lvlText w:val="%1"/>
      <w:lvlJc w:val="left"/>
      <w:pPr>
        <w:ind w:left="2592" w:hanging="432"/>
      </w:pPr>
      <w:rPr>
        <w:rFonts w:hint="default"/>
        <w:vanish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69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3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57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01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45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3" w:hanging="1584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Q3tTA3tzAxNDQ2MjVS0lEKTi0uzszPAykwqgUA474mhiwAAAA="/>
  </w:docVars>
  <w:rsids>
    <w:rsidRoot w:val="008F59F0"/>
    <w:rsid w:val="00305977"/>
    <w:rsid w:val="003B409E"/>
    <w:rsid w:val="004A21D9"/>
    <w:rsid w:val="00594774"/>
    <w:rsid w:val="005A12CD"/>
    <w:rsid w:val="005E076A"/>
    <w:rsid w:val="006A0E00"/>
    <w:rsid w:val="00711DF5"/>
    <w:rsid w:val="00730FE7"/>
    <w:rsid w:val="00762447"/>
    <w:rsid w:val="00785416"/>
    <w:rsid w:val="007B2B02"/>
    <w:rsid w:val="008F59F0"/>
    <w:rsid w:val="00A6155D"/>
    <w:rsid w:val="00A8114A"/>
    <w:rsid w:val="00A95763"/>
    <w:rsid w:val="00AD6696"/>
    <w:rsid w:val="00D32AA9"/>
    <w:rsid w:val="00D33301"/>
    <w:rsid w:val="00DC4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3FF60FA"/>
  <w15:chartTrackingRefBased/>
  <w15:docId w15:val="{E4A2674E-95C4-4CEE-96A3-CC47C0CDA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59F0"/>
    <w:rPr>
      <w:rFonts w:ascii="Calibri" w:eastAsia="Calibri" w:hAnsi="Calibri" w:cs="Calibri"/>
      <w:kern w:val="0"/>
      <w:lang w:val="en-US" w:eastAsia="en-IN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409E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26"/>
      <w:szCs w:val="26"/>
      <w:lang w:val="en-IN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4">
    <w:name w:val="Style4"/>
    <w:basedOn w:val="Heading2"/>
    <w:link w:val="Style4Char"/>
    <w:autoRedefine/>
    <w:qFormat/>
    <w:rsid w:val="003B409E"/>
    <w:pPr>
      <w:numPr>
        <w:numId w:val="2"/>
      </w:numPr>
      <w:spacing w:after="240" w:line="240" w:lineRule="auto"/>
    </w:pPr>
    <w:rPr>
      <w:rFonts w:ascii="Times New Roman" w:hAnsi="Times New Roman" w:cs="Times New Roman"/>
      <w:color w:val="000000" w:themeColor="text1"/>
      <w:sz w:val="24"/>
      <w:szCs w:val="24"/>
    </w:rPr>
  </w:style>
  <w:style w:type="character" w:customStyle="1" w:styleId="Style4Char">
    <w:name w:val="Style4 Char"/>
    <w:basedOn w:val="Heading2Char"/>
    <w:link w:val="Style4"/>
    <w:rsid w:val="003B409E"/>
    <w:rPr>
      <w:rFonts w:ascii="Times New Roman" w:eastAsiaTheme="majorEastAsia" w:hAnsi="Times New Roman" w:cs="Times New Roman"/>
      <w:color w:val="000000" w:themeColor="text1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409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Emphasis">
    <w:name w:val="Emphasis"/>
    <w:basedOn w:val="DefaultParagraphFont"/>
    <w:uiPriority w:val="20"/>
    <w:qFormat/>
    <w:rsid w:val="00785416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711D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1DF5"/>
    <w:rPr>
      <w:rFonts w:ascii="Calibri" w:eastAsia="Calibri" w:hAnsi="Calibri" w:cs="Calibri"/>
      <w:kern w:val="0"/>
      <w:lang w:val="en-US" w:eastAsia="en-I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11D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1DF5"/>
    <w:rPr>
      <w:rFonts w:ascii="Calibri" w:eastAsia="Calibri" w:hAnsi="Calibri" w:cs="Calibri"/>
      <w:kern w:val="0"/>
      <w:lang w:val="en-US" w:eastAsia="en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560</Words>
  <Characters>3194</Characters>
  <Application>Microsoft Office Word</Application>
  <DocSecurity>0</DocSecurity>
  <Lines>26</Lines>
  <Paragraphs>7</Paragraphs>
  <ScaleCrop>false</ScaleCrop>
  <Company/>
  <LinksUpToDate>false</LinksUpToDate>
  <CharactersWithSpaces>3747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Mohit Kumar</dc:creator>
  <cp:keywords/>
  <dc:description/>
  <cp:lastModifiedBy>Kevin Emerald</cp:lastModifiedBy>
  <cp:revision>9</cp:revision>
  <dcterms:created xsi:type="dcterms:W3CDTF">2023-10-14T12:06:00Z</dcterms:created>
  <dcterms:modified xsi:type="dcterms:W3CDTF">2024-09-26T17:07:00Z</dcterms:modified>
</cp:coreProperties>
</file>