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5241" w:rsidRDefault="00835241" w:rsidP="00EB5914">
      <w:pPr>
        <w:spacing w:before="240" w:after="240" w:line="360" w:lineRule="auto"/>
        <w:jc w:val="both"/>
        <w:rPr>
          <w:b/>
          <w:bCs/>
          <w:sz w:val="28"/>
          <w:szCs w:val="28"/>
          <w:u w:val="single"/>
        </w:rPr>
      </w:pPr>
      <w:r w:rsidRPr="006E2200">
        <w:rPr>
          <w:b/>
          <w:bCs/>
          <w:sz w:val="28"/>
          <w:szCs w:val="28"/>
          <w:u w:val="single"/>
        </w:rPr>
        <w:t>Online Appendix</w:t>
      </w:r>
    </w:p>
    <w:p w:rsidR="006F509B" w:rsidRPr="00965B7C" w:rsidRDefault="006F509B" w:rsidP="006F509B">
      <w:pPr>
        <w:spacing w:before="240" w:line="360" w:lineRule="auto"/>
        <w:jc w:val="both"/>
        <w:rPr>
          <w:b/>
          <w:bCs/>
          <w:color w:val="000000" w:themeColor="text1"/>
        </w:rPr>
      </w:pPr>
      <w:r w:rsidRPr="00965B7C">
        <w:rPr>
          <w:b/>
          <w:bCs/>
          <w:color w:val="000000" w:themeColor="text1"/>
        </w:rPr>
        <w:t xml:space="preserve">Table </w:t>
      </w:r>
      <w:r>
        <w:rPr>
          <w:b/>
          <w:bCs/>
          <w:color w:val="000000" w:themeColor="text1"/>
        </w:rPr>
        <w:t>A</w:t>
      </w:r>
      <w:r w:rsidRPr="00965B7C">
        <w:rPr>
          <w:b/>
          <w:bCs/>
          <w:color w:val="000000" w:themeColor="text1"/>
        </w:rPr>
        <w:t xml:space="preserve">1: </w:t>
      </w:r>
      <w:r w:rsidRPr="00965B7C">
        <w:rPr>
          <w:b/>
          <w:bCs/>
          <w:color w:val="000000" w:themeColor="text1"/>
          <w:lang w:val="en-US"/>
        </w:rPr>
        <w:t xml:space="preserve">Empirical </w:t>
      </w:r>
      <w:r>
        <w:rPr>
          <w:b/>
          <w:bCs/>
          <w:color w:val="000000" w:themeColor="text1"/>
        </w:rPr>
        <w:t>L</w:t>
      </w:r>
      <w:r w:rsidRPr="005A460C">
        <w:rPr>
          <w:b/>
          <w:bCs/>
          <w:color w:val="000000" w:themeColor="text1"/>
        </w:rPr>
        <w:t>iterature</w:t>
      </w:r>
      <w:r w:rsidRPr="005A460C">
        <w:rPr>
          <w:b/>
          <w:bCs/>
          <w:color w:val="000000" w:themeColor="text1"/>
          <w:lang w:val="en-US"/>
        </w:rPr>
        <w:t xml:space="preserve"> </w:t>
      </w:r>
      <w:r w:rsidRPr="00965B7C">
        <w:rPr>
          <w:b/>
          <w:bCs/>
          <w:color w:val="000000" w:themeColor="text1"/>
          <w:lang w:val="en-US"/>
        </w:rPr>
        <w:t xml:space="preserve">of Dornbusch </w:t>
      </w:r>
      <w:r>
        <w:rPr>
          <w:b/>
          <w:bCs/>
          <w:color w:val="000000" w:themeColor="text1"/>
          <w:lang w:val="en-US"/>
        </w:rPr>
        <w:t xml:space="preserve">(1976) </w:t>
      </w:r>
      <w:r w:rsidRPr="00965B7C">
        <w:rPr>
          <w:b/>
          <w:bCs/>
          <w:color w:val="000000" w:themeColor="text1"/>
          <w:lang w:val="en-US"/>
        </w:rPr>
        <w:t>Model</w:t>
      </w:r>
    </w:p>
    <w:tbl>
      <w:tblPr>
        <w:tblStyle w:val="TableGrid"/>
        <w:tblW w:w="8926" w:type="dxa"/>
        <w:jc w:val="center"/>
        <w:tblLayout w:type="fixed"/>
        <w:tblLook w:val="0420" w:firstRow="1" w:lastRow="0" w:firstColumn="0" w:lastColumn="0" w:noHBand="0" w:noVBand="1"/>
      </w:tblPr>
      <w:tblGrid>
        <w:gridCol w:w="1555"/>
        <w:gridCol w:w="1134"/>
        <w:gridCol w:w="992"/>
        <w:gridCol w:w="1843"/>
        <w:gridCol w:w="1417"/>
        <w:gridCol w:w="1985"/>
      </w:tblGrid>
      <w:tr w:rsidR="006F509B" w:rsidRPr="00965B7C" w:rsidTr="00333FBC">
        <w:trPr>
          <w:trHeight w:val="458"/>
          <w:jc w:val="center"/>
        </w:trPr>
        <w:tc>
          <w:tcPr>
            <w:tcW w:w="155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b/>
                <w:bCs/>
                <w:color w:val="000000" w:themeColor="text1"/>
                <w:sz w:val="20"/>
                <w:szCs w:val="20"/>
              </w:rPr>
              <w:t>Study</w:t>
            </w:r>
          </w:p>
        </w:tc>
        <w:tc>
          <w:tcPr>
            <w:tcW w:w="1134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b/>
                <w:bCs/>
                <w:color w:val="000000" w:themeColor="text1"/>
                <w:sz w:val="20"/>
                <w:szCs w:val="20"/>
              </w:rPr>
              <w:t>Currency Pair</w:t>
            </w:r>
          </w:p>
        </w:tc>
        <w:tc>
          <w:tcPr>
            <w:tcW w:w="992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b/>
                <w:bCs/>
                <w:color w:val="000000" w:themeColor="text1"/>
                <w:sz w:val="20"/>
                <w:szCs w:val="20"/>
              </w:rPr>
              <w:t>Time-period</w:t>
            </w:r>
          </w:p>
        </w:tc>
        <w:tc>
          <w:tcPr>
            <w:tcW w:w="1843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Independent </w:t>
            </w:r>
            <w:r w:rsidRPr="00965B7C">
              <w:rPr>
                <w:b/>
                <w:bCs/>
                <w:color w:val="000000" w:themeColor="text1"/>
                <w:sz w:val="20"/>
                <w:szCs w:val="20"/>
              </w:rPr>
              <w:t>Variables Considered</w:t>
            </w:r>
          </w:p>
        </w:tc>
        <w:tc>
          <w:tcPr>
            <w:tcW w:w="1417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b/>
                <w:bCs/>
                <w:color w:val="000000" w:themeColor="text1"/>
                <w:sz w:val="20"/>
                <w:szCs w:val="20"/>
              </w:rPr>
              <w:t>Estimation Method</w:t>
            </w:r>
          </w:p>
        </w:tc>
        <w:tc>
          <w:tcPr>
            <w:tcW w:w="198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b/>
                <w:bCs/>
                <w:color w:val="000000" w:themeColor="text1"/>
                <w:sz w:val="20"/>
                <w:szCs w:val="20"/>
              </w:rPr>
              <w:t>Significant Variables</w:t>
            </w:r>
          </w:p>
        </w:tc>
      </w:tr>
      <w:tr w:rsidR="006F509B" w:rsidRPr="00965B7C" w:rsidTr="00333FBC">
        <w:trPr>
          <w:trHeight w:val="824"/>
          <w:jc w:val="center"/>
        </w:trPr>
        <w:tc>
          <w:tcPr>
            <w:tcW w:w="155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r w:rsidRPr="00965B7C">
              <w:rPr>
                <w:color w:val="000000" w:themeColor="text1"/>
                <w:sz w:val="20"/>
                <w:szCs w:val="20"/>
              </w:rPr>
              <w:t xml:space="preserve">Hooper </w:t>
            </w:r>
            <w:r>
              <w:rPr>
                <w:color w:val="000000" w:themeColor="text1"/>
                <w:sz w:val="20"/>
                <w:szCs w:val="20"/>
              </w:rPr>
              <w:t>and</w:t>
            </w:r>
            <w:r w:rsidRPr="00965B7C">
              <w:rPr>
                <w:color w:val="000000" w:themeColor="text1"/>
                <w:sz w:val="20"/>
                <w:szCs w:val="20"/>
              </w:rPr>
              <w:t xml:space="preserve"> Morton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965B7C">
              <w:rPr>
                <w:color w:val="000000" w:themeColor="text1"/>
                <w:sz w:val="20"/>
                <w:szCs w:val="20"/>
              </w:rPr>
              <w:t>1982)</w:t>
            </w:r>
          </w:p>
        </w:tc>
        <w:tc>
          <w:tcPr>
            <w:tcW w:w="1134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DEM/USD</w:t>
            </w:r>
          </w:p>
        </w:tc>
        <w:tc>
          <w:tcPr>
            <w:tcW w:w="992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Quarterly, 1973-1978</w:t>
            </w:r>
          </w:p>
        </w:tc>
        <w:tc>
          <w:tcPr>
            <w:tcW w:w="1843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 xml:space="preserve">, </m:t>
              </m:r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bCs/>
                          <w:color w:val="0E101A"/>
                          <w:sz w:val="22"/>
                          <w:szCs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RP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t</m:t>
                      </m:r>
                    </m:sub>
                  </m:sSub>
                </m:den>
              </m:f>
            </m:oMath>
            <w:r w:rsidRPr="00965B7C">
              <w:rPr>
                <w:rFonts w:eastAsiaTheme="minorEastAsia"/>
                <w:bCs/>
                <w:sz w:val="22"/>
                <w:szCs w:val="22"/>
                <w:lang w:val="en-US"/>
              </w:rPr>
              <w:t>,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  <w:szCs w:val="22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e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 xml:space="preserve"> 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*e</m:t>
                      </m:r>
                    </m:sup>
                  </m:sSup>
                </m:den>
              </m:f>
            </m:oMath>
          </w:p>
        </w:tc>
        <w:tc>
          <w:tcPr>
            <w:tcW w:w="1417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Ordinary Least Squares (OLS)</w:t>
            </w:r>
          </w:p>
        </w:tc>
        <w:tc>
          <w:tcPr>
            <w:tcW w:w="198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All except risk-adjusted relative interest rate</w:t>
            </w:r>
          </w:p>
        </w:tc>
      </w:tr>
      <w:tr w:rsidR="006F509B" w:rsidRPr="00965B7C" w:rsidTr="00333FBC">
        <w:trPr>
          <w:trHeight w:val="824"/>
          <w:jc w:val="center"/>
        </w:trPr>
        <w:tc>
          <w:tcPr>
            <w:tcW w:w="155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r w:rsidRPr="00965B7C">
              <w:rPr>
                <w:color w:val="000000" w:themeColor="text1"/>
                <w:sz w:val="20"/>
                <w:szCs w:val="20"/>
              </w:rPr>
              <w:t>Frankel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965B7C">
              <w:rPr>
                <w:color w:val="000000" w:themeColor="text1"/>
                <w:sz w:val="20"/>
                <w:szCs w:val="20"/>
              </w:rPr>
              <w:t>19</w:t>
            </w:r>
            <w:r>
              <w:rPr>
                <w:color w:val="000000" w:themeColor="text1"/>
                <w:sz w:val="20"/>
                <w:szCs w:val="20"/>
              </w:rPr>
              <w:t>79</w:t>
            </w:r>
            <w:r w:rsidRPr="00965B7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Multiple (DEM, GBP, FRF, JPY, CAD) / USD</w:t>
            </w:r>
          </w:p>
        </w:tc>
        <w:tc>
          <w:tcPr>
            <w:tcW w:w="992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Monthly, 1974-1981</w:t>
            </w:r>
          </w:p>
        </w:tc>
        <w:tc>
          <w:tcPr>
            <w:tcW w:w="1843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 xml:space="preserve">, </m:t>
              </m:r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bCs/>
                          <w:color w:val="0E101A"/>
                          <w:sz w:val="22"/>
                          <w:szCs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RP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t</m:t>
                      </m:r>
                    </m:sub>
                  </m:sSub>
                </m:den>
              </m:f>
            </m:oMath>
            <w:r w:rsidRPr="00965B7C">
              <w:rPr>
                <w:rFonts w:eastAsiaTheme="minorEastAsia"/>
                <w:bCs/>
                <w:sz w:val="22"/>
                <w:szCs w:val="22"/>
                <w:lang w:val="en-US"/>
              </w:rPr>
              <w:t>,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  <w:szCs w:val="22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e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 xml:space="preserve"> 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*e</m:t>
                      </m:r>
                    </m:sup>
                  </m:sSup>
                </m:den>
              </m:f>
            </m:oMath>
          </w:p>
        </w:tc>
        <w:tc>
          <w:tcPr>
            <w:tcW w:w="1417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OLS</w:t>
            </w:r>
          </w:p>
        </w:tc>
        <w:tc>
          <w:tcPr>
            <w:tcW w:w="198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Risk-adjusted relative interest rate (for Germany, France, Japan)</w:t>
            </w:r>
          </w:p>
        </w:tc>
      </w:tr>
      <w:tr w:rsidR="006F509B" w:rsidRPr="00965B7C" w:rsidTr="00333FBC">
        <w:trPr>
          <w:trHeight w:val="824"/>
          <w:jc w:val="center"/>
        </w:trPr>
        <w:tc>
          <w:tcPr>
            <w:tcW w:w="155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r w:rsidRPr="00965B7C">
              <w:rPr>
                <w:color w:val="000000" w:themeColor="text1"/>
                <w:sz w:val="20"/>
                <w:szCs w:val="20"/>
              </w:rPr>
              <w:t>Drisk</w:t>
            </w:r>
            <w:r>
              <w:rPr>
                <w:color w:val="000000" w:themeColor="text1"/>
                <w:sz w:val="20"/>
                <w:szCs w:val="20"/>
              </w:rPr>
              <w:t>i</w:t>
            </w:r>
            <w:r w:rsidRPr="00965B7C">
              <w:rPr>
                <w:color w:val="000000" w:themeColor="text1"/>
                <w:sz w:val="20"/>
                <w:szCs w:val="20"/>
              </w:rPr>
              <w:t xml:space="preserve">ll </w:t>
            </w:r>
            <w:r w:rsidRPr="00174F0E">
              <w:rPr>
                <w:i/>
                <w:iCs/>
                <w:color w:val="000000" w:themeColor="text1"/>
                <w:sz w:val="20"/>
                <w:szCs w:val="20"/>
              </w:rPr>
              <w:t>et al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., </w:t>
            </w:r>
            <w:r w:rsidRPr="00965B7C">
              <w:rPr>
                <w:color w:val="000000" w:themeColor="text1"/>
                <w:sz w:val="20"/>
                <w:szCs w:val="20"/>
              </w:rPr>
              <w:t>1992)</w:t>
            </w:r>
          </w:p>
        </w:tc>
        <w:tc>
          <w:tcPr>
            <w:tcW w:w="1134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CHF/USD</w:t>
            </w:r>
          </w:p>
        </w:tc>
        <w:tc>
          <w:tcPr>
            <w:tcW w:w="992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Quarterly, 1976-1987</w:t>
            </w:r>
          </w:p>
        </w:tc>
        <w:tc>
          <w:tcPr>
            <w:tcW w:w="1843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 xml:space="preserve">, </m:t>
              </m:r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bCs/>
                          <w:color w:val="0E101A"/>
                          <w:sz w:val="22"/>
                          <w:szCs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RP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t</m:t>
                      </m:r>
                    </m:sub>
                  </m:sSub>
                </m:den>
              </m:f>
            </m:oMath>
            <w:r w:rsidRPr="00965B7C">
              <w:rPr>
                <w:rFonts w:eastAsiaTheme="minorEastAsia"/>
                <w:bCs/>
                <w:sz w:val="22"/>
                <w:szCs w:val="22"/>
                <w:lang w:val="en-US"/>
              </w:rPr>
              <w:t>,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  <w:szCs w:val="22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e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 xml:space="preserve"> 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*e</m:t>
                      </m:r>
                    </m:sup>
                  </m:sSup>
                </m:den>
              </m:f>
            </m:oMath>
          </w:p>
        </w:tc>
        <w:tc>
          <w:tcPr>
            <w:tcW w:w="1417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Maximum Likelihood</w:t>
            </w:r>
          </w:p>
        </w:tc>
        <w:tc>
          <w:tcPr>
            <w:tcW w:w="198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All except risk-adjusted relative interest rate</w:t>
            </w:r>
          </w:p>
        </w:tc>
      </w:tr>
      <w:tr w:rsidR="006F509B" w:rsidRPr="00965B7C" w:rsidTr="00333FBC">
        <w:trPr>
          <w:trHeight w:val="1191"/>
          <w:jc w:val="center"/>
        </w:trPr>
        <w:tc>
          <w:tcPr>
            <w:tcW w:w="155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965B7C">
              <w:rPr>
                <w:color w:val="000000" w:themeColor="text1"/>
                <w:sz w:val="20"/>
                <w:szCs w:val="20"/>
              </w:rPr>
              <w:t>Nieh</w:t>
            </w:r>
            <w:proofErr w:type="spellEnd"/>
            <w:r w:rsidRPr="00965B7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and</w:t>
            </w:r>
            <w:r w:rsidRPr="00965B7C">
              <w:rPr>
                <w:color w:val="000000" w:themeColor="text1"/>
                <w:sz w:val="20"/>
                <w:szCs w:val="20"/>
              </w:rPr>
              <w:t xml:space="preserve"> Wang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965B7C">
              <w:rPr>
                <w:color w:val="000000" w:themeColor="text1"/>
                <w:sz w:val="20"/>
                <w:szCs w:val="20"/>
              </w:rPr>
              <w:t>2005)</w:t>
            </w:r>
          </w:p>
        </w:tc>
        <w:tc>
          <w:tcPr>
            <w:tcW w:w="1134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TWD</w:t>
            </w:r>
            <w:r>
              <w:rPr>
                <w:color w:val="000000" w:themeColor="text1"/>
                <w:sz w:val="20"/>
                <w:szCs w:val="20"/>
              </w:rPr>
              <w:t>/</w:t>
            </w:r>
            <w:r w:rsidRPr="00965B7C">
              <w:rPr>
                <w:color w:val="000000" w:themeColor="text1"/>
                <w:sz w:val="20"/>
                <w:szCs w:val="20"/>
              </w:rPr>
              <w:t>USD</w:t>
            </w:r>
          </w:p>
        </w:tc>
        <w:tc>
          <w:tcPr>
            <w:tcW w:w="992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Monthly, 1986-2003</w:t>
            </w:r>
          </w:p>
        </w:tc>
        <w:tc>
          <w:tcPr>
            <w:tcW w:w="1843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 xml:space="preserve">, </m:t>
              </m:r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bCs/>
                          <w:color w:val="0E101A"/>
                          <w:sz w:val="22"/>
                          <w:szCs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RP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t</m:t>
                      </m:r>
                    </m:sub>
                  </m:sSub>
                </m:den>
              </m:f>
            </m:oMath>
            <w:r w:rsidRPr="00965B7C">
              <w:rPr>
                <w:rFonts w:eastAsiaTheme="minorEastAsia"/>
                <w:bCs/>
                <w:sz w:val="22"/>
                <w:szCs w:val="22"/>
                <w:lang w:val="en-US"/>
              </w:rPr>
              <w:t>,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  <w:szCs w:val="22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e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 xml:space="preserve"> 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2"/>
                              <w:szCs w:val="22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*e</m:t>
                      </m:r>
                    </m:sup>
                  </m:sSup>
                </m:den>
              </m:f>
            </m:oMath>
          </w:p>
        </w:tc>
        <w:tc>
          <w:tcPr>
            <w:tcW w:w="1417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Maximum Likelihood Cointegration, ARDL Bound Test</w:t>
            </w:r>
          </w:p>
        </w:tc>
        <w:tc>
          <w:tcPr>
            <w:tcW w:w="1985" w:type="dxa"/>
            <w:vAlign w:val="center"/>
            <w:hideMark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All except risk-adjusted relative interest rate</w:t>
            </w:r>
          </w:p>
        </w:tc>
      </w:tr>
      <w:tr w:rsidR="006F509B" w:rsidRPr="00965B7C" w:rsidTr="00333FBC">
        <w:trPr>
          <w:trHeight w:val="1191"/>
          <w:jc w:val="center"/>
        </w:trPr>
        <w:tc>
          <w:tcPr>
            <w:tcW w:w="1555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r w:rsidRPr="00965B7C">
              <w:rPr>
                <w:color w:val="000000" w:themeColor="text1"/>
                <w:sz w:val="20"/>
                <w:szCs w:val="20"/>
              </w:rPr>
              <w:t xml:space="preserve">Bhattacharyya </w:t>
            </w:r>
            <w:r>
              <w:rPr>
                <w:color w:val="000000" w:themeColor="text1"/>
                <w:sz w:val="20"/>
                <w:szCs w:val="20"/>
              </w:rPr>
              <w:t>and</w:t>
            </w:r>
            <w:r w:rsidRPr="00965B7C">
              <w:rPr>
                <w:color w:val="000000" w:themeColor="text1"/>
                <w:sz w:val="20"/>
                <w:szCs w:val="20"/>
              </w:rPr>
              <w:t xml:space="preserve"> Deb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965B7C">
              <w:rPr>
                <w:color w:val="000000" w:themeColor="text1"/>
                <w:sz w:val="20"/>
                <w:szCs w:val="20"/>
              </w:rPr>
              <w:t>2024a)</w:t>
            </w:r>
          </w:p>
        </w:tc>
        <w:tc>
          <w:tcPr>
            <w:tcW w:w="1134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INR/</w:t>
            </w:r>
            <w:r w:rsidRPr="00965B7C">
              <w:rPr>
                <w:color w:val="000000" w:themeColor="text1"/>
                <w:sz w:val="20"/>
                <w:szCs w:val="20"/>
              </w:rPr>
              <w:t>USD</w:t>
            </w:r>
          </w:p>
        </w:tc>
        <w:tc>
          <w:tcPr>
            <w:tcW w:w="992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Quarterly, 1996-2019</w:t>
            </w:r>
          </w:p>
        </w:tc>
        <w:tc>
          <w:tcPr>
            <w:tcW w:w="1843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 xml:space="preserve">, </m:t>
              </m:r>
              <m:f>
                <m:f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*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2"/>
                      <w:szCs w:val="22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bCs/>
                          <w:sz w:val="22"/>
                          <w:szCs w:val="22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2"/>
                          <w:szCs w:val="22"/>
                          <w:lang w:val="en-US"/>
                        </w:rPr>
                        <m:t>*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bCs/>
                          <w:color w:val="0E101A"/>
                          <w:sz w:val="22"/>
                          <w:szCs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RP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color w:val="0E101A"/>
                          <w:sz w:val="22"/>
                          <w:szCs w:val="22"/>
                        </w:rPr>
                        <m:t>t</m:t>
                      </m:r>
                    </m:sub>
                  </m:sSub>
                </m:den>
              </m:f>
            </m:oMath>
            <w:r w:rsidRPr="00965B7C">
              <w:rPr>
                <w:rFonts w:eastAsiaTheme="minorEastAsia"/>
                <w:bCs/>
                <w:sz w:val="22"/>
                <w:szCs w:val="22"/>
                <w:lang w:val="en-US"/>
              </w:rPr>
              <w:t>,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0"/>
                          <w:szCs w:val="20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  <w:lang w:val="en-US"/>
                        </w:rPr>
                        <m:t>e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 xml:space="preserve"> 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sz w:val="20"/>
                          <w:szCs w:val="20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Cs/>
                              <w:color w:val="0E101A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  <w:lang w:val="en-US"/>
                        </w:rPr>
                        <m:t>*e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 xml:space="preserve">, </m:t>
              </m:r>
              <m:sSub>
                <m:sSubPr>
                  <m:ctrl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MB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CC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t</m:t>
                  </m:r>
                </m:sub>
              </m:sSub>
            </m:oMath>
          </w:p>
        </w:tc>
        <w:tc>
          <w:tcPr>
            <w:tcW w:w="1417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>ARDL-ECM Model</w:t>
            </w:r>
          </w:p>
        </w:tc>
        <w:tc>
          <w:tcPr>
            <w:tcW w:w="1985" w:type="dxa"/>
            <w:vAlign w:val="center"/>
          </w:tcPr>
          <w:p w:rsidR="006F509B" w:rsidRPr="00965B7C" w:rsidRDefault="006F509B" w:rsidP="00333FBC">
            <w:pPr>
              <w:spacing w:before="240"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965B7C">
              <w:rPr>
                <w:color w:val="000000" w:themeColor="text1"/>
                <w:sz w:val="20"/>
                <w:szCs w:val="20"/>
              </w:rPr>
              <w:t xml:space="preserve">All except the relative inflation rate and turnover in the foreign exchange market (in the </w:t>
            </w:r>
            <w:r>
              <w:rPr>
                <w:color w:val="000000" w:themeColor="text1"/>
                <w:sz w:val="20"/>
                <w:szCs w:val="20"/>
              </w:rPr>
              <w:t>short-run</w:t>
            </w:r>
            <w:r w:rsidRPr="00965B7C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047C2D" w:rsidRPr="00965B7C" w:rsidRDefault="00047C2D" w:rsidP="00047C2D">
      <w:pPr>
        <w:spacing w:before="240" w:line="360" w:lineRule="auto"/>
        <w:jc w:val="both"/>
        <w:rPr>
          <w:b/>
          <w:bCs/>
          <w:color w:val="0E101A"/>
        </w:rPr>
      </w:pPr>
      <w:r w:rsidRPr="00965B7C">
        <w:rPr>
          <w:b/>
          <w:bCs/>
          <w:color w:val="0E101A"/>
        </w:rPr>
        <w:t xml:space="preserve">Table </w:t>
      </w:r>
      <w:r w:rsidR="006E2200">
        <w:rPr>
          <w:b/>
          <w:bCs/>
          <w:color w:val="0E101A"/>
        </w:rPr>
        <w:t>A</w:t>
      </w:r>
      <w:r w:rsidR="006F509B">
        <w:rPr>
          <w:b/>
          <w:bCs/>
          <w:color w:val="0E101A"/>
        </w:rPr>
        <w:t>2</w:t>
      </w:r>
      <w:r w:rsidRPr="00965B7C">
        <w:rPr>
          <w:b/>
          <w:bCs/>
          <w:color w:val="0E101A"/>
        </w:rPr>
        <w:t>: Summary of Data Sources</w:t>
      </w:r>
    </w:p>
    <w:tbl>
      <w:tblPr>
        <w:tblStyle w:val="TableGrid"/>
        <w:tblW w:w="9047" w:type="dxa"/>
        <w:tblLook w:val="04A0" w:firstRow="1" w:lastRow="0" w:firstColumn="1" w:lastColumn="0" w:noHBand="0" w:noVBand="1"/>
      </w:tblPr>
      <w:tblGrid>
        <w:gridCol w:w="1146"/>
        <w:gridCol w:w="4149"/>
        <w:gridCol w:w="3752"/>
      </w:tblGrid>
      <w:tr w:rsidR="00047C2D" w:rsidRPr="00965B7C" w:rsidTr="00333FBC">
        <w:trPr>
          <w:trHeight w:val="810"/>
        </w:trPr>
        <w:tc>
          <w:tcPr>
            <w:tcW w:w="1146" w:type="dxa"/>
            <w:vAlign w:val="center"/>
          </w:tcPr>
          <w:p w:rsidR="00047C2D" w:rsidRPr="00965B7C" w:rsidRDefault="00047C2D" w:rsidP="00333FBC">
            <w:pPr>
              <w:spacing w:line="360" w:lineRule="auto"/>
              <w:jc w:val="center"/>
              <w:rPr>
                <w:b/>
                <w:bCs/>
                <w:color w:val="0E101A"/>
                <w:sz w:val="20"/>
                <w:szCs w:val="20"/>
              </w:rPr>
            </w:pPr>
            <w:r w:rsidRPr="00965B7C">
              <w:rPr>
                <w:b/>
                <w:bCs/>
                <w:color w:val="0E101A"/>
                <w:sz w:val="20"/>
                <w:szCs w:val="20"/>
              </w:rPr>
              <w:t>Variable</w:t>
            </w:r>
          </w:p>
        </w:tc>
        <w:tc>
          <w:tcPr>
            <w:tcW w:w="4149" w:type="dxa"/>
            <w:vAlign w:val="center"/>
          </w:tcPr>
          <w:p w:rsidR="00047C2D" w:rsidRPr="00965B7C" w:rsidRDefault="00047C2D" w:rsidP="00333FBC">
            <w:pPr>
              <w:spacing w:line="360" w:lineRule="auto"/>
              <w:jc w:val="center"/>
              <w:rPr>
                <w:b/>
                <w:bCs/>
                <w:color w:val="0E101A"/>
                <w:sz w:val="20"/>
                <w:szCs w:val="20"/>
              </w:rPr>
            </w:pPr>
            <w:r w:rsidRPr="00965B7C">
              <w:rPr>
                <w:b/>
                <w:bCs/>
                <w:color w:val="0E101A"/>
                <w:sz w:val="20"/>
                <w:szCs w:val="20"/>
              </w:rPr>
              <w:t>Definition</w:t>
            </w:r>
          </w:p>
        </w:tc>
        <w:tc>
          <w:tcPr>
            <w:tcW w:w="3752" w:type="dxa"/>
            <w:vAlign w:val="center"/>
          </w:tcPr>
          <w:p w:rsidR="00047C2D" w:rsidRPr="00965B7C" w:rsidRDefault="00047C2D" w:rsidP="00333FBC">
            <w:pPr>
              <w:spacing w:line="360" w:lineRule="auto"/>
              <w:jc w:val="center"/>
              <w:rPr>
                <w:b/>
                <w:bCs/>
                <w:color w:val="0E101A"/>
                <w:sz w:val="20"/>
                <w:szCs w:val="20"/>
              </w:rPr>
            </w:pPr>
            <w:r w:rsidRPr="00965B7C">
              <w:rPr>
                <w:b/>
                <w:bCs/>
                <w:color w:val="0E101A"/>
                <w:sz w:val="20"/>
                <w:szCs w:val="20"/>
              </w:rPr>
              <w:t>Source</w:t>
            </w:r>
          </w:p>
        </w:tc>
      </w:tr>
      <w:tr w:rsidR="00047C2D" w:rsidRPr="00965B7C" w:rsidTr="00333FBC">
        <w:trPr>
          <w:trHeight w:val="804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color w:val="0E101A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Indian Rupee/US dollar spot exchange rate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Handbook of Statistics published by RBI</w:t>
            </w:r>
          </w:p>
        </w:tc>
      </w:tr>
      <w:tr w:rsidR="00047C2D" w:rsidRPr="00965B7C" w:rsidTr="00333FBC">
        <w:trPr>
          <w:trHeight w:val="688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b/>
                <w:bCs/>
                <w:color w:val="0E101A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color w:val="0E101A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 xml:space="preserve">Money Supply of India (M3) 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Federal Reserve Economic Data (FRED)</w:t>
            </w:r>
          </w:p>
        </w:tc>
      </w:tr>
      <w:tr w:rsidR="00047C2D" w:rsidRPr="00965B7C" w:rsidTr="00333FBC">
        <w:trPr>
          <w:trHeight w:val="556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bCs/>
                        <w:sz w:val="20"/>
                        <w:szCs w:val="20"/>
                        <w:lang w:val="en-US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t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*</m:t>
                    </m:r>
                  </m:sup>
                </m:sSubSup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Money Supply of the US (M3)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 xml:space="preserve"> FRED</w:t>
            </w:r>
          </w:p>
        </w:tc>
      </w:tr>
      <w:tr w:rsidR="00047C2D" w:rsidRPr="00965B7C" w:rsidTr="00333FBC">
        <w:trPr>
          <w:trHeight w:val="806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color w:val="0E101A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Gross Domestic Product of India at Current Prices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 xml:space="preserve"> FRED</w:t>
            </w:r>
          </w:p>
        </w:tc>
      </w:tr>
      <w:tr w:rsidR="00047C2D" w:rsidRPr="00965B7C" w:rsidTr="00333FBC">
        <w:trPr>
          <w:trHeight w:val="862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bCs/>
                        <w:sz w:val="20"/>
                        <w:szCs w:val="20"/>
                        <w:lang w:val="en-US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t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*</m:t>
                    </m:r>
                  </m:sup>
                </m:sSubSup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Gross Domestic Product of the US at Current Prices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 xml:space="preserve"> FRED</w:t>
            </w:r>
          </w:p>
        </w:tc>
      </w:tr>
      <w:tr w:rsidR="00047C2D" w:rsidRPr="00965B7C" w:rsidTr="00333FBC">
        <w:trPr>
          <w:trHeight w:val="634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bCs/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color w:val="0E101A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i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Interest Rate, Discount Rate of India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FRED</w:t>
            </w:r>
          </w:p>
        </w:tc>
      </w:tr>
      <w:tr w:rsidR="00047C2D" w:rsidRPr="00965B7C" w:rsidTr="00333FBC">
        <w:trPr>
          <w:trHeight w:val="686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bCs/>
                <w:color w:val="0E101A"/>
                <w:sz w:val="20"/>
                <w:szCs w:val="20"/>
                <w:lang w:val="en-US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bCs/>
                        <w:sz w:val="20"/>
                        <w:szCs w:val="20"/>
                        <w:lang w:val="en-US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i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t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*</m:t>
                    </m:r>
                  </m:sup>
                </m:sSubSup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Interest Rate, Discount Rate of the US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FRED</w:t>
            </w:r>
          </w:p>
        </w:tc>
      </w:tr>
      <w:tr w:rsidR="00047C2D" w:rsidRPr="00965B7C" w:rsidTr="00333FBC">
        <w:trPr>
          <w:trHeight w:val="994"/>
        </w:trPr>
        <w:tc>
          <w:tcPr>
            <w:tcW w:w="1146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0"/>
                    <w:szCs w:val="20"/>
                    <w:lang w:val="en-US"/>
                  </w:rPr>
                  <m:t>∆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color w:val="0E101A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color w:val="0E101A"/>
                            <w:sz w:val="20"/>
                            <w:szCs w:val="20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color w:val="0E101A"/>
                            <w:sz w:val="20"/>
                            <w:szCs w:val="20"/>
                          </w:rPr>
                          <m:t>t</m:t>
                        </m:r>
                      </m:sub>
                    </m:sSub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e</m:t>
                    </m:r>
                  </m:sup>
                </m:sSup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Consumer Price Index of India (Base Year = 2015)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 xml:space="preserve"> FRED</w:t>
            </w:r>
          </w:p>
        </w:tc>
      </w:tr>
      <w:tr w:rsidR="00047C2D" w:rsidRPr="00965B7C" w:rsidTr="00333FBC">
        <w:trPr>
          <w:trHeight w:val="980"/>
        </w:trPr>
        <w:tc>
          <w:tcPr>
            <w:tcW w:w="1146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0"/>
                    <w:szCs w:val="20"/>
                    <w:lang w:val="en-US"/>
                  </w:rPr>
                  <m:t>∆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color w:val="0E101A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color w:val="0E101A"/>
                            <w:sz w:val="20"/>
                            <w:szCs w:val="20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color w:val="0E101A"/>
                            <w:sz w:val="20"/>
                            <w:szCs w:val="20"/>
                          </w:rPr>
                          <m:t>t</m:t>
                        </m:r>
                      </m:sub>
                    </m:sSub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  <w:lang w:val="en-US"/>
                      </w:rPr>
                      <m:t>*e</m:t>
                    </m:r>
                  </m:sup>
                </m:sSup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Consumer Price Index of the US (Base Year = 2015)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 xml:space="preserve"> FRED</w:t>
            </w:r>
          </w:p>
        </w:tc>
      </w:tr>
      <w:tr w:rsidR="00047C2D" w:rsidRPr="00965B7C" w:rsidTr="00333FBC">
        <w:trPr>
          <w:trHeight w:val="636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bCs/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color w:val="0E101A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MB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Turnover in the Foreign Exchange market of India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Handbook of Statistics published by RBI</w:t>
            </w:r>
          </w:p>
        </w:tc>
      </w:tr>
      <w:tr w:rsidR="00047C2D" w:rsidRPr="00965B7C" w:rsidTr="00333FBC">
        <w:trPr>
          <w:trHeight w:val="558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bCs/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color w:val="0E101A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CC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E101A"/>
                        <w:sz w:val="20"/>
                        <w:szCs w:val="20"/>
                        <w:lang w:val="en-US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Capital control variable of India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FKRSU dataset prepared by Fernandez et al. (2016).</w:t>
            </w:r>
          </w:p>
        </w:tc>
      </w:tr>
      <w:tr w:rsidR="00047C2D" w:rsidRPr="00965B7C" w:rsidTr="00333FBC">
        <w:trPr>
          <w:trHeight w:val="472"/>
        </w:trPr>
        <w:tc>
          <w:tcPr>
            <w:tcW w:w="1146" w:type="dxa"/>
          </w:tcPr>
          <w:p w:rsidR="00047C2D" w:rsidRPr="00965B7C" w:rsidRDefault="00000000" w:rsidP="00333FBC">
            <w:pPr>
              <w:spacing w:line="360" w:lineRule="auto"/>
              <w:jc w:val="both"/>
              <w:rPr>
                <w:bCs/>
                <w:color w:val="0E101A"/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bCs/>
                        <w:color w:val="0E101A"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color w:val="0E101A"/>
                        <w:sz w:val="20"/>
                        <w:szCs w:val="20"/>
                      </w:rPr>
                      <m:t>VIX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color w:val="0E101A"/>
                        <w:sz w:val="20"/>
                        <w:szCs w:val="20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149" w:type="dxa"/>
          </w:tcPr>
          <w:p w:rsidR="00047C2D" w:rsidRPr="00965B7C" w:rsidRDefault="00047C2D" w:rsidP="00333FBC">
            <w:pPr>
              <w:spacing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Volatility Index of the US to represent risk premium (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color w:val="0E101A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E101A"/>
                      <w:sz w:val="20"/>
                      <w:szCs w:val="20"/>
                    </w:rPr>
                    <m:t>RP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color w:val="0E101A"/>
                      <w:sz w:val="20"/>
                      <w:szCs w:val="20"/>
                    </w:rPr>
                    <m:t>t</m:t>
                  </m:r>
                </m:sub>
              </m:sSub>
            </m:oMath>
            <w:r w:rsidRPr="00965B7C">
              <w:rPr>
                <w:color w:val="0E101A"/>
                <w:sz w:val="20"/>
                <w:szCs w:val="20"/>
              </w:rPr>
              <w:t>) following Goyal (2019)</w:t>
            </w:r>
          </w:p>
        </w:tc>
        <w:tc>
          <w:tcPr>
            <w:tcW w:w="3752" w:type="dxa"/>
          </w:tcPr>
          <w:p w:rsidR="00047C2D" w:rsidRPr="00965B7C" w:rsidRDefault="00047C2D" w:rsidP="00333FBC">
            <w:pPr>
              <w:spacing w:after="240" w:line="360" w:lineRule="auto"/>
              <w:jc w:val="both"/>
              <w:rPr>
                <w:color w:val="0E101A"/>
                <w:sz w:val="20"/>
                <w:szCs w:val="20"/>
              </w:rPr>
            </w:pPr>
            <w:r w:rsidRPr="00965B7C">
              <w:rPr>
                <w:color w:val="0E101A"/>
                <w:sz w:val="20"/>
                <w:szCs w:val="20"/>
              </w:rPr>
              <w:t>Chicago Board Options Exchange (</w:t>
            </w:r>
            <w:proofErr w:type="spellStart"/>
            <w:r w:rsidRPr="00965B7C">
              <w:rPr>
                <w:color w:val="0E101A"/>
                <w:sz w:val="20"/>
                <w:szCs w:val="20"/>
              </w:rPr>
              <w:t>Cboe</w:t>
            </w:r>
            <w:proofErr w:type="spellEnd"/>
            <w:r w:rsidRPr="00965B7C">
              <w:rPr>
                <w:color w:val="0E101A"/>
                <w:sz w:val="20"/>
                <w:szCs w:val="20"/>
              </w:rPr>
              <w:t>).</w:t>
            </w:r>
          </w:p>
        </w:tc>
      </w:tr>
    </w:tbl>
    <w:p w:rsidR="00EB5914" w:rsidRPr="00965B7C" w:rsidRDefault="00EB5914" w:rsidP="00EB5914">
      <w:pPr>
        <w:spacing w:before="240" w:after="240" w:line="360" w:lineRule="auto"/>
        <w:jc w:val="both"/>
        <w:rPr>
          <w:b/>
          <w:bCs/>
          <w:color w:val="0E101A"/>
        </w:rPr>
      </w:pPr>
      <w:r w:rsidRPr="00965B7C">
        <w:rPr>
          <w:b/>
          <w:bCs/>
        </w:rPr>
        <w:t>Table A</w:t>
      </w:r>
      <w:r w:rsidR="006F509B">
        <w:rPr>
          <w:b/>
          <w:bCs/>
        </w:rPr>
        <w:t>3</w:t>
      </w:r>
      <w:r w:rsidRPr="00965B7C">
        <w:rPr>
          <w:b/>
          <w:bCs/>
        </w:rPr>
        <w:t>: Summary Statistics Table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1413"/>
        <w:gridCol w:w="850"/>
        <w:gridCol w:w="993"/>
        <w:gridCol w:w="1134"/>
        <w:gridCol w:w="1134"/>
        <w:gridCol w:w="992"/>
        <w:gridCol w:w="1843"/>
        <w:gridCol w:w="850"/>
      </w:tblGrid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Statistic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93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1134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Y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Y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1134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i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i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US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</w:rPr>
                          <m:t>VIX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</w:rPr>
                          <m:t>t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992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US"/>
                      </w:rPr>
                      <m:t>∆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b/>
                                <w:b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e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US"/>
                      </w:rPr>
                      <m:t> ∆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b/>
                                <w:b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*e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843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MB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850" w:type="dxa"/>
            <w:vAlign w:val="center"/>
            <w:hideMark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GB"/>
                      </w:rPr>
                      <m:t>CC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GB"/>
                      </w:rPr>
                      <m:t>t</m:t>
                    </m:r>
                  </m:sub>
                </m:sSub>
              </m:oMath>
            </m:oMathPara>
          </w:p>
        </w:tc>
      </w:tr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50.804</w:t>
            </w:r>
          </w:p>
        </w:tc>
        <w:tc>
          <w:tcPr>
            <w:tcW w:w="99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0.106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0.015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-0.489</w:t>
            </w:r>
          </w:p>
        </w:tc>
        <w:tc>
          <w:tcPr>
            <w:tcW w:w="992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-0.259</w:t>
            </w:r>
          </w:p>
        </w:tc>
        <w:tc>
          <w:tcPr>
            <w:tcW w:w="184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695,000,000,000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0.965</w:t>
            </w:r>
          </w:p>
        </w:tc>
      </w:tr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Median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46.643</w:t>
            </w:r>
          </w:p>
        </w:tc>
        <w:tc>
          <w:tcPr>
            <w:tcW w:w="99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0.121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0.014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-0.460</w:t>
            </w:r>
          </w:p>
        </w:tc>
        <w:tc>
          <w:tcPr>
            <w:tcW w:w="992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2.152</w:t>
            </w:r>
          </w:p>
        </w:tc>
        <w:tc>
          <w:tcPr>
            <w:tcW w:w="184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872,000,000,000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0.950</w:t>
            </w:r>
          </w:p>
        </w:tc>
      </w:tr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Maximum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72.044</w:t>
            </w:r>
          </w:p>
        </w:tc>
        <w:tc>
          <w:tcPr>
            <w:tcW w:w="99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0.165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0.020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-0.118</w:t>
            </w:r>
          </w:p>
        </w:tc>
        <w:tc>
          <w:tcPr>
            <w:tcW w:w="992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18.908</w:t>
            </w:r>
          </w:p>
        </w:tc>
        <w:tc>
          <w:tcPr>
            <w:tcW w:w="184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1,420,000,000,000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1.000</w:t>
            </w:r>
          </w:p>
        </w:tc>
      </w:tr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35.779</w:t>
            </w:r>
          </w:p>
        </w:tc>
        <w:tc>
          <w:tcPr>
            <w:tcW w:w="99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0.048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0.012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-1.215</w:t>
            </w:r>
          </w:p>
        </w:tc>
        <w:tc>
          <w:tcPr>
            <w:tcW w:w="992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-249.953</w:t>
            </w:r>
          </w:p>
        </w:tc>
        <w:tc>
          <w:tcPr>
            <w:tcW w:w="184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72,800,000,000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0.950</w:t>
            </w:r>
          </w:p>
        </w:tc>
      </w:tr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lastRenderedPageBreak/>
              <w:t>Std. Dev.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10.192</w:t>
            </w:r>
          </w:p>
        </w:tc>
        <w:tc>
          <w:tcPr>
            <w:tcW w:w="99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0.041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0.002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0.208</w:t>
            </w:r>
          </w:p>
        </w:tc>
        <w:tc>
          <w:tcPr>
            <w:tcW w:w="992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26.772</w:t>
            </w:r>
          </w:p>
        </w:tc>
        <w:tc>
          <w:tcPr>
            <w:tcW w:w="184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487,000,000,000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0.023</w:t>
            </w:r>
          </w:p>
        </w:tc>
      </w:tr>
      <w:tr w:rsidR="00EB5914" w:rsidRPr="00965B7C" w:rsidTr="00333FBC">
        <w:tc>
          <w:tcPr>
            <w:tcW w:w="141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Observations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  <w:tc>
          <w:tcPr>
            <w:tcW w:w="99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  <w:tc>
          <w:tcPr>
            <w:tcW w:w="1134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  <w:tc>
          <w:tcPr>
            <w:tcW w:w="992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  <w:tc>
          <w:tcPr>
            <w:tcW w:w="1843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  <w:tc>
          <w:tcPr>
            <w:tcW w:w="850" w:type="dxa"/>
            <w:vAlign w:val="center"/>
            <w:hideMark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94</w:t>
            </w:r>
          </w:p>
        </w:tc>
      </w:tr>
    </w:tbl>
    <w:p w:rsidR="00EB5914" w:rsidRPr="00965B7C" w:rsidRDefault="00EB5914" w:rsidP="00EB5914">
      <w:pPr>
        <w:spacing w:after="240"/>
        <w:jc w:val="both"/>
        <w:rPr>
          <w:color w:val="0D0D0D"/>
          <w:sz w:val="20"/>
          <w:szCs w:val="20"/>
          <w:shd w:val="clear" w:color="auto" w:fill="FFFFFF"/>
        </w:rPr>
      </w:pPr>
      <w:r w:rsidRPr="00965B7C">
        <w:rPr>
          <w:color w:val="0D0D0D"/>
          <w:sz w:val="20"/>
          <w:szCs w:val="20"/>
          <w:shd w:val="clear" w:color="auto" w:fill="FFFFFF"/>
        </w:rPr>
        <w:t>Note: The values of the variable considered for calculating summary statistics have not been transformed with logs or differences. Source: Authors contribution.</w:t>
      </w:r>
    </w:p>
    <w:p w:rsidR="00EB5914" w:rsidRPr="00965B7C" w:rsidRDefault="00EB5914" w:rsidP="00EB5914">
      <w:pPr>
        <w:spacing w:line="360" w:lineRule="auto"/>
        <w:rPr>
          <w:b/>
          <w:bCs/>
          <w:color w:val="0D0D0D"/>
          <w:shd w:val="clear" w:color="auto" w:fill="FFFFFF"/>
        </w:rPr>
      </w:pPr>
      <w:r w:rsidRPr="00965B7C">
        <w:rPr>
          <w:b/>
          <w:bCs/>
          <w:color w:val="0D0D0D"/>
          <w:shd w:val="clear" w:color="auto" w:fill="FFFFFF"/>
        </w:rPr>
        <w:t>Table A</w:t>
      </w:r>
      <w:r w:rsidR="006F509B">
        <w:rPr>
          <w:b/>
          <w:bCs/>
          <w:color w:val="0D0D0D"/>
          <w:shd w:val="clear" w:color="auto" w:fill="FFFFFF"/>
        </w:rPr>
        <w:t>4</w:t>
      </w:r>
      <w:r w:rsidRPr="00965B7C">
        <w:rPr>
          <w:b/>
          <w:bCs/>
          <w:color w:val="0D0D0D"/>
          <w:shd w:val="clear" w:color="auto" w:fill="FFFFFF"/>
        </w:rPr>
        <w:t>: ADF Test Result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3"/>
        <w:gridCol w:w="720"/>
        <w:gridCol w:w="1247"/>
        <w:gridCol w:w="1633"/>
        <w:gridCol w:w="789"/>
        <w:gridCol w:w="1339"/>
        <w:gridCol w:w="1985"/>
      </w:tblGrid>
      <w:tr w:rsidR="00EB5914" w:rsidRPr="00965B7C" w:rsidTr="00333FBC">
        <w:trPr>
          <w:trHeight w:val="341"/>
          <w:jc w:val="center"/>
        </w:trPr>
        <w:tc>
          <w:tcPr>
            <w:tcW w:w="1643" w:type="dxa"/>
            <w:vMerge w:val="restart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Variables</w:t>
            </w:r>
          </w:p>
        </w:tc>
        <w:tc>
          <w:tcPr>
            <w:tcW w:w="3600" w:type="dxa"/>
            <w:gridSpan w:val="3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Level</w:t>
            </w:r>
          </w:p>
        </w:tc>
        <w:tc>
          <w:tcPr>
            <w:tcW w:w="4113" w:type="dxa"/>
            <w:gridSpan w:val="3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1</w:t>
            </w:r>
            <w:r w:rsidRPr="00965B7C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965B7C">
              <w:rPr>
                <w:b/>
                <w:bCs/>
                <w:sz w:val="20"/>
                <w:szCs w:val="20"/>
              </w:rPr>
              <w:t xml:space="preserve"> Difference</w:t>
            </w:r>
          </w:p>
        </w:tc>
      </w:tr>
      <w:tr w:rsidR="00EB5914" w:rsidRPr="00965B7C" w:rsidTr="00333FBC">
        <w:trPr>
          <w:trHeight w:val="728"/>
          <w:jc w:val="center"/>
        </w:trPr>
        <w:tc>
          <w:tcPr>
            <w:tcW w:w="1643" w:type="dxa"/>
            <w:vMerge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SC lag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t-Statistic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p value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SC lag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t-Statistic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EB5914" w:rsidRPr="00965B7C" w:rsidRDefault="00EB5914" w:rsidP="00333FBC">
            <w:pPr>
              <w:spacing w:before="240" w:after="24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965B7C">
              <w:rPr>
                <w:b/>
                <w:bCs/>
                <w:sz w:val="20"/>
                <w:szCs w:val="20"/>
              </w:rPr>
              <w:t>p value</w:t>
            </w:r>
          </w:p>
        </w:tc>
      </w:tr>
      <w:tr w:rsidR="00EB5914" w:rsidRPr="00965B7C" w:rsidTr="00333FBC">
        <w:trPr>
          <w:trHeight w:val="485"/>
          <w:jc w:val="center"/>
        </w:trPr>
        <w:tc>
          <w:tcPr>
            <w:tcW w:w="164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  <w:vertAlign w:val="superscript"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  <w:color w:val="0E101A"/>
                  <w:sz w:val="20"/>
                  <w:szCs w:val="20"/>
                </w:rPr>
                <m:t>⁡(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/>
                  <w:color w:val="0E101A"/>
                  <w:sz w:val="20"/>
                  <w:szCs w:val="20"/>
                </w:rPr>
                <m:t>)</m:t>
              </m:r>
            </m:oMath>
            <w:r w:rsidRPr="00965B7C">
              <w:rPr>
                <w:rFonts w:eastAsia="Calibri"/>
                <w:b/>
                <w:bCs/>
                <w:sz w:val="20"/>
                <w:szCs w:val="20"/>
                <w:vertAlign w:val="superscript"/>
              </w:rPr>
              <w:t>$$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1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-2.03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0.579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-6.87***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</w:tr>
      <w:tr w:rsidR="00EB5914" w:rsidRPr="00965B7C" w:rsidTr="00333FBC">
        <w:trPr>
          <w:trHeight w:val="368"/>
          <w:jc w:val="center"/>
        </w:trPr>
        <w:tc>
          <w:tcPr>
            <w:tcW w:w="164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color w:val="0E101A"/>
                      <w:sz w:val="20"/>
                      <w:szCs w:val="20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sz w:val="20"/>
                          <w:szCs w:val="20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</m:sSub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Sup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  <m:sup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*</m:t>
                          </m:r>
                        </m:sup>
                      </m:sSubSup>
                    </m:den>
                  </m:f>
                </m:e>
              </m:d>
            </m:oMath>
            <w:r w:rsidR="00EB5914" w:rsidRPr="00965B7C">
              <w:rPr>
                <w:b/>
                <w:bCs/>
                <w:sz w:val="20"/>
                <w:szCs w:val="20"/>
                <w:vertAlign w:val="superscript"/>
              </w:rPr>
              <w:t>$$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2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-1.25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0.893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-7.37***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</w:tr>
      <w:tr w:rsidR="00EB5914" w:rsidRPr="00965B7C" w:rsidTr="00333FBC">
        <w:trPr>
          <w:trHeight w:val="404"/>
          <w:jc w:val="center"/>
        </w:trPr>
        <w:tc>
          <w:tcPr>
            <w:tcW w:w="164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color w:val="0E101A"/>
                      <w:sz w:val="20"/>
                      <w:szCs w:val="20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sz w:val="20"/>
                          <w:szCs w:val="20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</m:sSub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Sup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  <m:sup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*</m:t>
                          </m:r>
                        </m:sup>
                      </m:sSubSup>
                    </m:den>
                  </m:f>
                </m:e>
              </m:d>
            </m:oMath>
            <w:r w:rsidR="00EB5914" w:rsidRPr="00965B7C">
              <w:rPr>
                <w:b/>
                <w:bCs/>
                <w:sz w:val="20"/>
                <w:szCs w:val="20"/>
                <w:vertAlign w:val="superscript"/>
              </w:rPr>
              <w:t>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1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-2.28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0.180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-6.36***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</w:tr>
      <w:tr w:rsidR="00EB5914" w:rsidRPr="00965B7C" w:rsidTr="00333FBC">
        <w:trPr>
          <w:trHeight w:val="440"/>
          <w:jc w:val="center"/>
        </w:trPr>
        <w:tc>
          <w:tcPr>
            <w:tcW w:w="164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color w:val="0E101A"/>
                      <w:sz w:val="20"/>
                      <w:szCs w:val="20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sz w:val="20"/>
                          <w:szCs w:val="20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i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</m:sSub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Sup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i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  <m:sup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*</m:t>
                          </m:r>
                        </m:sup>
                      </m:sSubSup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sz w:val="20"/>
                              <w:szCs w:val="20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VIX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  <w:lang w:val="en-US"/>
                            </w:rPr>
                            <m:t>t</m:t>
                          </m:r>
                        </m:sub>
                      </m:sSub>
                    </m:den>
                  </m:f>
                </m:e>
              </m:d>
            </m:oMath>
            <w:r w:rsidR="00EB5914" w:rsidRPr="00965B7C">
              <w:rPr>
                <w:b/>
                <w:bCs/>
                <w:sz w:val="20"/>
                <w:szCs w:val="20"/>
                <w:vertAlign w:val="superscript"/>
              </w:rPr>
              <w:t>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-1.48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0.540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-8.26***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</w:tr>
      <w:tr w:rsidR="00EB5914" w:rsidRPr="00965B7C" w:rsidTr="00333FBC">
        <w:trPr>
          <w:trHeight w:val="440"/>
          <w:jc w:val="center"/>
        </w:trPr>
        <w:tc>
          <w:tcPr>
            <w:tcW w:w="164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  <w:color w:val="0E101A"/>
                  <w:sz w:val="20"/>
                  <w:szCs w:val="20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sz w:val="20"/>
                          <w:szCs w:val="20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/>
                              <w:bCs/>
                              <w:color w:val="0E101A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  <w:lang w:val="en-US"/>
                        </w:rPr>
                        <m:t>e</m:t>
                      </m:r>
                    </m:sup>
                  </m:sSup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∆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sz w:val="20"/>
                          <w:szCs w:val="20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b/>
                              <w:bCs/>
                              <w:color w:val="0E101A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eastAsia="Calibri" w:hAnsi="Cambria Math"/>
                              <w:color w:val="0E101A"/>
                              <w:sz w:val="20"/>
                              <w:szCs w:val="20"/>
                            </w:rPr>
                            <m:t>t</m:t>
                          </m:r>
                        </m:sub>
                      </m:sSub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  <w:lang w:val="en-US"/>
                        </w:rPr>
                        <m:t>*e</m:t>
                      </m:r>
                    </m:sup>
                  </m:sSup>
                </m:den>
              </m:f>
              <m:r>
                <m:rPr>
                  <m:sty m:val="b"/>
                </m:rPr>
                <w:rPr>
                  <w:rFonts w:ascii="Cambria Math" w:hAnsi="Cambria Math"/>
                  <w:color w:val="0E101A"/>
                  <w:sz w:val="20"/>
                  <w:szCs w:val="20"/>
                </w:rPr>
                <m:t>)</m:t>
              </m:r>
            </m:oMath>
            <w:r w:rsidRPr="00965B7C">
              <w:rPr>
                <w:b/>
                <w:bCs/>
                <w:sz w:val="20"/>
                <w:szCs w:val="20"/>
                <w:vertAlign w:val="superscript"/>
              </w:rPr>
              <w:t>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-9.58***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</w:t>
            </w:r>
          </w:p>
        </w:tc>
      </w:tr>
      <w:tr w:rsidR="00EB5914" w:rsidRPr="00965B7C" w:rsidTr="00333FBC">
        <w:trPr>
          <w:trHeight w:val="386"/>
          <w:jc w:val="center"/>
        </w:trPr>
        <w:tc>
          <w:tcPr>
            <w:tcW w:w="164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w:r w:rsidRPr="00965B7C">
              <w:rPr>
                <w:b/>
                <w:bCs/>
                <w:sz w:val="20"/>
                <w:szCs w:val="20"/>
              </w:rPr>
              <w:t>(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MB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oMath>
            <w:r w:rsidRPr="00965B7C">
              <w:rPr>
                <w:b/>
                <w:bCs/>
                <w:sz w:val="20"/>
                <w:szCs w:val="20"/>
              </w:rPr>
              <w:t>)</w:t>
            </w:r>
            <w:r w:rsidRPr="00965B7C">
              <w:rPr>
                <w:b/>
                <w:bCs/>
                <w:sz w:val="20"/>
                <w:szCs w:val="20"/>
                <w:vertAlign w:val="superscript"/>
              </w:rPr>
              <w:t>$$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-0.86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0.955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-9.83***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</w:tr>
      <w:tr w:rsidR="00EB5914" w:rsidRPr="00965B7C" w:rsidTr="00333FBC">
        <w:trPr>
          <w:trHeight w:val="323"/>
          <w:jc w:val="center"/>
        </w:trPr>
        <w:tc>
          <w:tcPr>
            <w:tcW w:w="164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  <w:color w:val="0E101A"/>
                  <w:sz w:val="20"/>
                  <w:szCs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color w:val="0E101A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0E101A"/>
                      <w:sz w:val="20"/>
                      <w:szCs w:val="20"/>
                    </w:rPr>
                    <m:t>CC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color w:val="0E101A"/>
                      <w:sz w:val="20"/>
                      <w:szCs w:val="20"/>
                    </w:rPr>
                    <m:t>t</m:t>
                  </m:r>
                </m:sub>
              </m:sSub>
            </m:oMath>
            <w:r w:rsidRPr="00965B7C">
              <w:rPr>
                <w:b/>
                <w:bCs/>
                <w:color w:val="0E101A"/>
                <w:sz w:val="20"/>
                <w:szCs w:val="20"/>
              </w:rPr>
              <w:t>)</w:t>
            </w:r>
            <w:r w:rsidRPr="00965B7C">
              <w:rPr>
                <w:b/>
                <w:bCs/>
                <w:sz w:val="20"/>
                <w:szCs w:val="20"/>
                <w:vertAlign w:val="superscript"/>
              </w:rPr>
              <w:t>$</w:t>
            </w:r>
          </w:p>
        </w:tc>
        <w:tc>
          <w:tcPr>
            <w:tcW w:w="720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247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-1.79</w:t>
            </w:r>
          </w:p>
        </w:tc>
        <w:tc>
          <w:tcPr>
            <w:tcW w:w="1633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0.385</w:t>
            </w:r>
          </w:p>
        </w:tc>
        <w:tc>
          <w:tcPr>
            <w:tcW w:w="78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0</w:t>
            </w:r>
          </w:p>
        </w:tc>
        <w:tc>
          <w:tcPr>
            <w:tcW w:w="1339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-9.49***</w:t>
            </w:r>
          </w:p>
        </w:tc>
        <w:tc>
          <w:tcPr>
            <w:tcW w:w="1985" w:type="dxa"/>
            <w:vAlign w:val="center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sz w:val="20"/>
                <w:szCs w:val="20"/>
              </w:rPr>
            </w:pPr>
            <w:r w:rsidRPr="00965B7C">
              <w:rPr>
                <w:sz w:val="20"/>
                <w:szCs w:val="20"/>
              </w:rPr>
              <w:t>&lt;0.001</w:t>
            </w:r>
          </w:p>
        </w:tc>
      </w:tr>
    </w:tbl>
    <w:p w:rsidR="00EB5914" w:rsidRPr="00965B7C" w:rsidRDefault="00EB5914" w:rsidP="00EB5914">
      <w:pPr>
        <w:jc w:val="both"/>
        <w:rPr>
          <w:sz w:val="20"/>
          <w:szCs w:val="20"/>
        </w:rPr>
      </w:pPr>
      <w:r w:rsidRPr="00965B7C">
        <w:rPr>
          <w:sz w:val="20"/>
          <w:szCs w:val="20"/>
          <w:lang w:val="en-US"/>
        </w:rPr>
        <w:t xml:space="preserve">Note: $ represents model with intercept but no trend, $$ represents model with intercept and trend. The use of trend is justified by the figures shown in Section V. *** p&lt;0.01, ** p&lt;0.05, * p&lt;0.10. The Schwarz Criterion (SC) or BIC is used for appropriate lag selection in order to conduct the test. Null hypothesis: the variable is non-stationary. </w:t>
      </w:r>
      <w:r w:rsidRPr="00965B7C">
        <w:rPr>
          <w:sz w:val="20"/>
          <w:szCs w:val="20"/>
        </w:rPr>
        <w:t>Source: Authors’ contribution.</w:t>
      </w:r>
    </w:p>
    <w:p w:rsidR="00EB5914" w:rsidRPr="00965B7C" w:rsidRDefault="00EB5914" w:rsidP="00EB5914">
      <w:pPr>
        <w:rPr>
          <w:color w:val="0D0D0D"/>
          <w:sz w:val="20"/>
          <w:szCs w:val="20"/>
          <w:shd w:val="clear" w:color="auto" w:fill="FFFFFF"/>
        </w:rPr>
      </w:pPr>
    </w:p>
    <w:p w:rsidR="00EB5914" w:rsidRPr="00965B7C" w:rsidRDefault="00EB5914" w:rsidP="00EB5914">
      <w:pPr>
        <w:spacing w:before="240" w:line="360" w:lineRule="auto"/>
        <w:jc w:val="both"/>
        <w:rPr>
          <w:b/>
          <w:bCs/>
          <w:color w:val="0D0D0D"/>
          <w:shd w:val="clear" w:color="auto" w:fill="FFFFFF"/>
        </w:rPr>
      </w:pPr>
      <w:r w:rsidRPr="00965B7C">
        <w:rPr>
          <w:b/>
          <w:bCs/>
          <w:color w:val="0D0D0D"/>
          <w:shd w:val="clear" w:color="auto" w:fill="FFFFFF"/>
        </w:rPr>
        <w:t>Table A</w:t>
      </w:r>
      <w:r w:rsidR="006F509B">
        <w:rPr>
          <w:b/>
          <w:bCs/>
          <w:color w:val="0D0D0D"/>
          <w:shd w:val="clear" w:color="auto" w:fill="FFFFFF"/>
        </w:rPr>
        <w:t>5</w:t>
      </w:r>
      <w:r w:rsidRPr="00965B7C">
        <w:rPr>
          <w:b/>
          <w:bCs/>
          <w:color w:val="0D0D0D"/>
          <w:shd w:val="clear" w:color="auto" w:fill="FFFFFF"/>
        </w:rPr>
        <w:t>: Model Selection Criteria</w:t>
      </w:r>
    </w:p>
    <w:tbl>
      <w:tblPr>
        <w:tblStyle w:val="TableGrid"/>
        <w:tblW w:w="7061" w:type="dxa"/>
        <w:jc w:val="center"/>
        <w:tblLook w:val="04A0" w:firstRow="1" w:lastRow="0" w:firstColumn="1" w:lastColumn="0" w:noHBand="0" w:noVBand="1"/>
      </w:tblPr>
      <w:tblGrid>
        <w:gridCol w:w="2383"/>
        <w:gridCol w:w="3424"/>
        <w:gridCol w:w="1254"/>
      </w:tblGrid>
      <w:tr w:rsidR="00EB5914" w:rsidRPr="00965B7C" w:rsidTr="00333FBC">
        <w:trPr>
          <w:jc w:val="center"/>
        </w:trPr>
        <w:tc>
          <w:tcPr>
            <w:tcW w:w="2383" w:type="dxa"/>
          </w:tcPr>
          <w:p w:rsidR="00EB5914" w:rsidRPr="00965B7C" w:rsidRDefault="00EB5914" w:rsidP="00333FBC">
            <w:pPr>
              <w:spacing w:line="360" w:lineRule="auto"/>
              <w:jc w:val="both"/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  <w:t>Threshold Variables</w:t>
            </w:r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line="360" w:lineRule="auto"/>
              <w:jc w:val="center"/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  <w:t>RSS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line="360" w:lineRule="auto"/>
              <w:jc w:val="both"/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  <w:t>Regimes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b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e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0.005065*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e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t-1</m:t>
                    </m:r>
                  </m:sub>
                </m:sSub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0.006107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0.005504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t-1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t-1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0.007890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Y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Y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b/>
                <w:bCs/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0.005591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i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i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t</m:t>
                        </m:r>
                      </m:sub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</m:t>
                        </m:r>
                      </m:sup>
                    </m:sSubSup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US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</w:rPr>
                          <m:t>VIX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</w:rPr>
                          <m:t>t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0.005487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US"/>
                      </w:rPr>
                      <m:t>∆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b/>
                                <w:b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e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US"/>
                      </w:rPr>
                      <m:t> ∆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b/>
                            <w:bCs/>
                            <w:sz w:val="20"/>
                            <w:szCs w:val="20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b/>
                                <w:b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b"/>
                              </m:rP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/>
                            <w:sz w:val="20"/>
                            <w:szCs w:val="20"/>
                            <w:lang w:val="en-US"/>
                          </w:rPr>
                          <m:t>*e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0.005973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MB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0.007890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EB5914" w:rsidRPr="00965B7C" w:rsidTr="00333FBC">
        <w:trPr>
          <w:jc w:val="center"/>
        </w:trPr>
        <w:tc>
          <w:tcPr>
            <w:tcW w:w="2383" w:type="dxa"/>
            <w:vAlign w:val="center"/>
          </w:tcPr>
          <w:p w:rsidR="00EB5914" w:rsidRPr="00965B7C" w:rsidRDefault="00000000" w:rsidP="00333FBC">
            <w:pPr>
              <w:spacing w:before="240" w:line="36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GB"/>
                      </w:rPr>
                      <m:t>CC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Calibri" w:hAnsi="Cambria Math"/>
                        <w:sz w:val="20"/>
                        <w:szCs w:val="20"/>
                        <w:lang w:val="en-GB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342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0.007890</w:t>
            </w:r>
          </w:p>
        </w:tc>
        <w:tc>
          <w:tcPr>
            <w:tcW w:w="1254" w:type="dxa"/>
          </w:tcPr>
          <w:p w:rsidR="00EB5914" w:rsidRPr="00965B7C" w:rsidRDefault="00EB5914" w:rsidP="00333FBC">
            <w:pPr>
              <w:spacing w:before="240" w:line="360" w:lineRule="auto"/>
              <w:jc w:val="center"/>
              <w:rPr>
                <w:color w:val="0D0D0D"/>
                <w:sz w:val="20"/>
                <w:szCs w:val="20"/>
                <w:shd w:val="clear" w:color="auto" w:fill="FFFFFF"/>
              </w:rPr>
            </w:pPr>
            <w:r w:rsidRPr="00965B7C">
              <w:rPr>
                <w:color w:val="0D0D0D"/>
                <w:sz w:val="20"/>
                <w:szCs w:val="20"/>
                <w:shd w:val="clear" w:color="auto" w:fill="FFFFFF"/>
              </w:rPr>
              <w:t>1</w:t>
            </w:r>
          </w:p>
        </w:tc>
      </w:tr>
    </w:tbl>
    <w:p w:rsidR="00EB5914" w:rsidRPr="00522427" w:rsidRDefault="00EB5914" w:rsidP="00EB5914">
      <w:pPr>
        <w:rPr>
          <w:color w:val="0D0D0D"/>
          <w:sz w:val="20"/>
          <w:szCs w:val="20"/>
          <w:shd w:val="clear" w:color="auto" w:fill="FFFFFF"/>
        </w:rPr>
      </w:pPr>
      <w:r w:rsidRPr="00965B7C">
        <w:rPr>
          <w:color w:val="0D0D0D"/>
          <w:sz w:val="20"/>
          <w:szCs w:val="20"/>
          <w:shd w:val="clear" w:color="auto" w:fill="FFFFFF"/>
        </w:rPr>
        <w:t>Note: * represent the model with minimum RSS. Source: Authors’ contribution.</w:t>
      </w:r>
    </w:p>
    <w:p w:rsidR="006F509B" w:rsidRDefault="006F509B" w:rsidP="006F509B">
      <w:pPr>
        <w:spacing w:line="360" w:lineRule="auto"/>
        <w:jc w:val="center"/>
      </w:pPr>
    </w:p>
    <w:p w:rsidR="006F509B" w:rsidRPr="006F509B" w:rsidRDefault="006F509B" w:rsidP="006F509B">
      <w:pPr>
        <w:spacing w:line="360" w:lineRule="auto"/>
        <w:jc w:val="center"/>
        <w:rPr>
          <w:b/>
          <w:bCs/>
        </w:rPr>
      </w:pPr>
      <w:r w:rsidRPr="006F509B">
        <w:rPr>
          <w:b/>
          <w:bCs/>
        </w:rPr>
        <w:t xml:space="preserve">Figure </w:t>
      </w:r>
      <w:r>
        <w:rPr>
          <w:b/>
          <w:bCs/>
        </w:rPr>
        <w:t>A</w:t>
      </w:r>
      <w:r w:rsidRPr="006F509B">
        <w:rPr>
          <w:b/>
          <w:bCs/>
        </w:rPr>
        <w:t>1: India/US Exchange Rate</w:t>
      </w:r>
    </w:p>
    <w:p w:rsidR="006F509B" w:rsidRPr="00F766A7" w:rsidRDefault="006F509B" w:rsidP="006F509B">
      <w:pPr>
        <w:spacing w:line="360" w:lineRule="auto"/>
        <w:jc w:val="center"/>
        <w:rPr>
          <w:rFonts w:eastAsia="Calibri"/>
          <w:bCs/>
        </w:rPr>
      </w:pPr>
      <w:r w:rsidRPr="00F766A7">
        <w:rPr>
          <w:noProof/>
          <w:lang w:val="en-GB"/>
        </w:rPr>
        <w:drawing>
          <wp:inline distT="0" distB="0" distL="0" distR="0" wp14:anchorId="5CE2BA6E" wp14:editId="0116F4D7">
            <wp:extent cx="4667391" cy="1727200"/>
            <wp:effectExtent l="0" t="0" r="6350" b="0"/>
            <wp:docPr id="519864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86432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5164" cy="175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66A7">
        <w:rPr>
          <w:noProof/>
          <w:lang w:val="en-GB"/>
        </w:rPr>
        <w:t xml:space="preserve"> </w:t>
      </w:r>
    </w:p>
    <w:p w:rsidR="006F509B" w:rsidRPr="00F766A7" w:rsidRDefault="006F509B" w:rsidP="006F509B">
      <w:pPr>
        <w:spacing w:line="360" w:lineRule="auto"/>
        <w:jc w:val="center"/>
        <w:rPr>
          <w:rFonts w:eastAsia="Calibri"/>
          <w:bCs/>
        </w:rPr>
      </w:pPr>
      <w:r w:rsidRPr="00F766A7">
        <w:rPr>
          <w:rFonts w:eastAsia="Calibri"/>
          <w:bCs/>
        </w:rPr>
        <w:t>Source: Authors’ Contribution</w:t>
      </w:r>
    </w:p>
    <w:p w:rsidR="00EB5914" w:rsidRPr="00522427" w:rsidRDefault="00EB5914" w:rsidP="00EB5914"/>
    <w:p w:rsidR="00835241" w:rsidRPr="00965B7C" w:rsidRDefault="00835241" w:rsidP="00835241">
      <w:pPr>
        <w:spacing w:line="360" w:lineRule="auto"/>
        <w:jc w:val="center"/>
        <w:rPr>
          <w:b/>
        </w:rPr>
      </w:pPr>
      <w:r w:rsidRPr="00965B7C">
        <w:rPr>
          <w:b/>
        </w:rPr>
        <w:t xml:space="preserve">Figure </w:t>
      </w:r>
      <w:r w:rsidR="008772F1">
        <w:rPr>
          <w:b/>
        </w:rPr>
        <w:t>A</w:t>
      </w:r>
      <w:r w:rsidR="006F509B">
        <w:rPr>
          <w:b/>
        </w:rPr>
        <w:t>2</w:t>
      </w:r>
      <w:r w:rsidRPr="00965B7C">
        <w:rPr>
          <w:b/>
        </w:rPr>
        <w:t>: CUSUMSQ Test for Model Stability</w:t>
      </w:r>
    </w:p>
    <w:p w:rsidR="00835241" w:rsidRPr="00965B7C" w:rsidRDefault="00835241" w:rsidP="00835241">
      <w:pPr>
        <w:spacing w:line="360" w:lineRule="auto"/>
        <w:jc w:val="center"/>
        <w:rPr>
          <w:rFonts w:eastAsiaTheme="minorEastAsia"/>
        </w:rPr>
      </w:pPr>
      <w:r w:rsidRPr="00965B7C">
        <w:rPr>
          <w:rFonts w:eastAsiaTheme="minorEastAsia"/>
          <w:noProof/>
          <w:lang w:val="en-GB"/>
        </w:rPr>
        <w:drawing>
          <wp:inline distT="0" distB="0" distL="0" distR="0" wp14:anchorId="2B44F502" wp14:editId="0F7828FE">
            <wp:extent cx="2968533" cy="1818967"/>
            <wp:effectExtent l="0" t="0" r="3810" b="0"/>
            <wp:docPr id="1631637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6374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3819" cy="187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241" w:rsidRPr="00965B7C" w:rsidRDefault="00835241" w:rsidP="00835241">
      <w:pPr>
        <w:spacing w:line="360" w:lineRule="auto"/>
        <w:jc w:val="center"/>
        <w:rPr>
          <w:rFonts w:eastAsiaTheme="minorEastAsia"/>
          <w:sz w:val="20"/>
          <w:szCs w:val="20"/>
        </w:rPr>
      </w:pPr>
      <w:r w:rsidRPr="00965B7C">
        <w:rPr>
          <w:rFonts w:eastAsiaTheme="minorEastAsia"/>
          <w:sz w:val="20"/>
          <w:szCs w:val="20"/>
        </w:rPr>
        <w:t>Source: Authors’ contribution.</w:t>
      </w:r>
    </w:p>
    <w:p w:rsidR="00835241" w:rsidRPr="00965B7C" w:rsidRDefault="00835241" w:rsidP="00835241">
      <w:pPr>
        <w:spacing w:before="240" w:line="360" w:lineRule="auto"/>
        <w:jc w:val="both"/>
        <w:rPr>
          <w:b/>
          <w:bCs/>
        </w:rPr>
      </w:pPr>
      <w:r w:rsidRPr="00965B7C">
        <w:rPr>
          <w:b/>
        </w:rPr>
        <w:t xml:space="preserve">Table </w:t>
      </w:r>
      <w:r>
        <w:rPr>
          <w:b/>
        </w:rPr>
        <w:t>A</w:t>
      </w:r>
      <w:r w:rsidR="006F509B">
        <w:rPr>
          <w:b/>
        </w:rPr>
        <w:t>6</w:t>
      </w:r>
      <w:r w:rsidRPr="00965B7C">
        <w:rPr>
          <w:b/>
        </w:rPr>
        <w:t xml:space="preserve">: </w:t>
      </w:r>
      <w:r w:rsidRPr="00965B7C">
        <w:rPr>
          <w:b/>
          <w:bCs/>
        </w:rPr>
        <w:t>Breusch-Godfrey LM Test for Autocorrelation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268"/>
        <w:gridCol w:w="2551"/>
        <w:gridCol w:w="2636"/>
      </w:tblGrid>
      <w:tr w:rsidR="00835241" w:rsidRPr="00965B7C" w:rsidTr="00333FBC">
        <w:trPr>
          <w:trHeight w:val="368"/>
          <w:jc w:val="center"/>
        </w:trPr>
        <w:tc>
          <w:tcPr>
            <w:tcW w:w="1555" w:type="dxa"/>
            <w:vAlign w:val="center"/>
          </w:tcPr>
          <w:p w:rsidR="00835241" w:rsidRPr="00965B7C" w:rsidRDefault="00835241" w:rsidP="00333FBC">
            <w:pPr>
              <w:tabs>
                <w:tab w:val="left" w:pos="885"/>
              </w:tabs>
              <w:spacing w:line="360" w:lineRule="auto"/>
              <w:jc w:val="center"/>
            </w:pPr>
            <w:r w:rsidRPr="00965B7C">
              <w:lastRenderedPageBreak/>
              <w:t>Lags</w:t>
            </w:r>
          </w:p>
        </w:tc>
        <w:tc>
          <w:tcPr>
            <w:tcW w:w="2268" w:type="dxa"/>
            <w:vAlign w:val="center"/>
          </w:tcPr>
          <w:p w:rsidR="00835241" w:rsidRPr="00965B7C" w:rsidRDefault="00835241" w:rsidP="00333FBC">
            <w:pPr>
              <w:tabs>
                <w:tab w:val="left" w:pos="885"/>
              </w:tabs>
              <w:spacing w:line="360" w:lineRule="auto"/>
              <w:jc w:val="center"/>
            </w:pPr>
            <w:r w:rsidRPr="00965B7C">
              <w:t>F-statistic</w:t>
            </w:r>
          </w:p>
        </w:tc>
        <w:tc>
          <w:tcPr>
            <w:tcW w:w="2551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p-value of F statistic</w:t>
            </w:r>
          </w:p>
        </w:tc>
        <w:tc>
          <w:tcPr>
            <w:tcW w:w="2636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p-value of chi-square</w:t>
            </w:r>
          </w:p>
        </w:tc>
      </w:tr>
      <w:tr w:rsidR="00835241" w:rsidRPr="00965B7C" w:rsidTr="00333FBC">
        <w:trPr>
          <w:jc w:val="center"/>
        </w:trPr>
        <w:tc>
          <w:tcPr>
            <w:tcW w:w="1555" w:type="dxa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1</w:t>
            </w:r>
          </w:p>
        </w:tc>
        <w:tc>
          <w:tcPr>
            <w:tcW w:w="2268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1.538</w:t>
            </w:r>
          </w:p>
        </w:tc>
        <w:tc>
          <w:tcPr>
            <w:tcW w:w="2551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0.219</w:t>
            </w:r>
          </w:p>
        </w:tc>
        <w:tc>
          <w:tcPr>
            <w:tcW w:w="2636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0.174</w:t>
            </w:r>
          </w:p>
        </w:tc>
      </w:tr>
      <w:tr w:rsidR="00835241" w:rsidRPr="00965B7C" w:rsidTr="00333FBC">
        <w:trPr>
          <w:jc w:val="center"/>
        </w:trPr>
        <w:tc>
          <w:tcPr>
            <w:tcW w:w="1555" w:type="dxa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2</w:t>
            </w:r>
          </w:p>
        </w:tc>
        <w:tc>
          <w:tcPr>
            <w:tcW w:w="2268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0.847</w:t>
            </w:r>
          </w:p>
        </w:tc>
        <w:tc>
          <w:tcPr>
            <w:tcW w:w="2551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0.433</w:t>
            </w:r>
          </w:p>
        </w:tc>
        <w:tc>
          <w:tcPr>
            <w:tcW w:w="2636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0.357</w:t>
            </w:r>
          </w:p>
        </w:tc>
      </w:tr>
    </w:tbl>
    <w:p w:rsidR="008772F1" w:rsidRDefault="00835241" w:rsidP="008772F1">
      <w:pPr>
        <w:jc w:val="both"/>
        <w:rPr>
          <w:sz w:val="20"/>
          <w:szCs w:val="20"/>
        </w:rPr>
      </w:pPr>
      <w:r w:rsidRPr="00965B7C">
        <w:rPr>
          <w:sz w:val="20"/>
          <w:szCs w:val="20"/>
        </w:rPr>
        <w:t xml:space="preserve">Note: Null hypothesis: There is no autocorrelation </w:t>
      </w:r>
      <w:proofErr w:type="spellStart"/>
      <w:r w:rsidRPr="00965B7C">
        <w:rPr>
          <w:sz w:val="20"/>
          <w:szCs w:val="20"/>
        </w:rPr>
        <w:t>upto</w:t>
      </w:r>
      <w:proofErr w:type="spellEnd"/>
      <w:r w:rsidRPr="00965B7C">
        <w:rPr>
          <w:sz w:val="20"/>
          <w:szCs w:val="20"/>
        </w:rPr>
        <w:t xml:space="preserve"> lag 2. *** Indicates significance at 1% level, ** indicates significance at 5% level and * indicates significance at 10% level. Source: Authors’ contribution.</w:t>
      </w:r>
    </w:p>
    <w:p w:rsidR="008772F1" w:rsidRDefault="008772F1" w:rsidP="008772F1">
      <w:pPr>
        <w:jc w:val="both"/>
        <w:rPr>
          <w:b/>
        </w:rPr>
      </w:pPr>
    </w:p>
    <w:p w:rsidR="00835241" w:rsidRPr="008772F1" w:rsidRDefault="00835241" w:rsidP="008772F1">
      <w:pPr>
        <w:jc w:val="both"/>
        <w:rPr>
          <w:sz w:val="20"/>
          <w:szCs w:val="20"/>
        </w:rPr>
      </w:pPr>
      <w:r w:rsidRPr="00965B7C">
        <w:rPr>
          <w:b/>
        </w:rPr>
        <w:t xml:space="preserve">Table </w:t>
      </w:r>
      <w:r>
        <w:rPr>
          <w:b/>
        </w:rPr>
        <w:t>A</w:t>
      </w:r>
      <w:r w:rsidR="006F509B">
        <w:rPr>
          <w:b/>
        </w:rPr>
        <w:t>7</w:t>
      </w:r>
      <w:r w:rsidRPr="00965B7C">
        <w:rPr>
          <w:b/>
        </w:rPr>
        <w:t xml:space="preserve">: </w:t>
      </w:r>
      <w:r w:rsidRPr="00965B7C">
        <w:rPr>
          <w:b/>
          <w:bCs/>
        </w:rPr>
        <w:t>White Heteroscedasticity Test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827"/>
        <w:gridCol w:w="3119"/>
      </w:tblGrid>
      <w:tr w:rsidR="00835241" w:rsidRPr="00965B7C" w:rsidTr="00333FBC">
        <w:trPr>
          <w:trHeight w:val="368"/>
          <w:jc w:val="center"/>
        </w:trPr>
        <w:tc>
          <w:tcPr>
            <w:tcW w:w="1980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color w:val="0E101A"/>
                <w:lang w:val="en-GB"/>
              </w:rPr>
            </w:pPr>
            <w:r w:rsidRPr="00965B7C">
              <w:rPr>
                <w:color w:val="0E101A"/>
                <w:lang w:val="en-GB"/>
              </w:rPr>
              <w:t>F-statistic</w:t>
            </w:r>
          </w:p>
        </w:tc>
        <w:tc>
          <w:tcPr>
            <w:tcW w:w="3827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color w:val="0E101A"/>
                <w:lang w:val="en-GB"/>
              </w:rPr>
            </w:pPr>
            <w:r w:rsidRPr="00965B7C">
              <w:rPr>
                <w:color w:val="0E101A"/>
                <w:lang w:val="en-GB"/>
              </w:rPr>
              <w:t>p-value of F statistic</w:t>
            </w:r>
          </w:p>
        </w:tc>
        <w:tc>
          <w:tcPr>
            <w:tcW w:w="3119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color w:val="0E101A"/>
                <w:lang w:val="en-GB"/>
              </w:rPr>
            </w:pPr>
            <w:r w:rsidRPr="00965B7C">
              <w:rPr>
                <w:color w:val="0E101A"/>
                <w:lang w:val="en-GB"/>
              </w:rPr>
              <w:t>p-value of chi-square</w:t>
            </w:r>
          </w:p>
        </w:tc>
      </w:tr>
      <w:tr w:rsidR="00835241" w:rsidRPr="00965B7C" w:rsidTr="00333FBC">
        <w:trPr>
          <w:jc w:val="center"/>
        </w:trPr>
        <w:tc>
          <w:tcPr>
            <w:tcW w:w="1980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1.256</w:t>
            </w:r>
          </w:p>
        </w:tc>
        <w:tc>
          <w:tcPr>
            <w:tcW w:w="3827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0.2534</w:t>
            </w:r>
          </w:p>
        </w:tc>
        <w:tc>
          <w:tcPr>
            <w:tcW w:w="3119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0.3085</w:t>
            </w:r>
          </w:p>
        </w:tc>
      </w:tr>
    </w:tbl>
    <w:p w:rsidR="00835241" w:rsidRPr="00965B7C" w:rsidRDefault="00835241" w:rsidP="00835241">
      <w:pPr>
        <w:jc w:val="both"/>
        <w:rPr>
          <w:sz w:val="20"/>
          <w:szCs w:val="20"/>
        </w:rPr>
      </w:pPr>
      <w:r w:rsidRPr="00965B7C">
        <w:rPr>
          <w:sz w:val="20"/>
          <w:szCs w:val="20"/>
        </w:rPr>
        <w:t>Note: Null hypothesis: Homoscedasticity. *** Indicates significance at 1% level, ** indicates significance at 5% level and * indicates significance at 10% level. Source: Authors’ contribution.</w:t>
      </w:r>
    </w:p>
    <w:p w:rsidR="00835241" w:rsidRPr="00965B7C" w:rsidRDefault="00835241" w:rsidP="00835241">
      <w:pPr>
        <w:spacing w:before="240" w:line="360" w:lineRule="auto"/>
        <w:jc w:val="both"/>
        <w:rPr>
          <w:b/>
          <w:bCs/>
        </w:rPr>
      </w:pPr>
      <w:r w:rsidRPr="00965B7C">
        <w:rPr>
          <w:b/>
        </w:rPr>
        <w:t xml:space="preserve">Table </w:t>
      </w:r>
      <w:r>
        <w:rPr>
          <w:b/>
        </w:rPr>
        <w:t>A</w:t>
      </w:r>
      <w:r w:rsidR="006F509B">
        <w:rPr>
          <w:b/>
        </w:rPr>
        <w:t>8</w:t>
      </w:r>
      <w:r w:rsidRPr="00965B7C">
        <w:rPr>
          <w:b/>
        </w:rPr>
        <w:t xml:space="preserve">: </w:t>
      </w:r>
      <w:r w:rsidRPr="00965B7C">
        <w:rPr>
          <w:b/>
          <w:bCs/>
        </w:rPr>
        <w:t>Ramsey RESET Test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434"/>
        <w:gridCol w:w="2102"/>
      </w:tblGrid>
      <w:tr w:rsidR="00835241" w:rsidRPr="00965B7C" w:rsidTr="00333FBC">
        <w:trPr>
          <w:trHeight w:val="368"/>
          <w:jc w:val="center"/>
        </w:trPr>
        <w:tc>
          <w:tcPr>
            <w:tcW w:w="2122" w:type="dxa"/>
            <w:vAlign w:val="center"/>
          </w:tcPr>
          <w:p w:rsidR="00835241" w:rsidRPr="00965B7C" w:rsidRDefault="00835241" w:rsidP="00333FBC">
            <w:pPr>
              <w:tabs>
                <w:tab w:val="left" w:pos="885"/>
              </w:tabs>
              <w:spacing w:line="360" w:lineRule="auto"/>
              <w:jc w:val="center"/>
            </w:pPr>
          </w:p>
        </w:tc>
        <w:tc>
          <w:tcPr>
            <w:tcW w:w="2434" w:type="dxa"/>
            <w:vAlign w:val="center"/>
          </w:tcPr>
          <w:p w:rsidR="00835241" w:rsidRPr="00965B7C" w:rsidRDefault="00835241" w:rsidP="00333FBC">
            <w:pPr>
              <w:tabs>
                <w:tab w:val="left" w:pos="885"/>
              </w:tabs>
              <w:spacing w:line="360" w:lineRule="auto"/>
              <w:jc w:val="center"/>
            </w:pPr>
            <w:r w:rsidRPr="00965B7C">
              <w:t>Value</w:t>
            </w:r>
          </w:p>
        </w:tc>
        <w:tc>
          <w:tcPr>
            <w:tcW w:w="210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p-value</w:t>
            </w:r>
          </w:p>
        </w:tc>
      </w:tr>
      <w:tr w:rsidR="00835241" w:rsidRPr="00965B7C" w:rsidTr="00333FBC">
        <w:trPr>
          <w:jc w:val="center"/>
        </w:trPr>
        <w:tc>
          <w:tcPr>
            <w:tcW w:w="212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t-statistic</w:t>
            </w:r>
          </w:p>
        </w:tc>
        <w:tc>
          <w:tcPr>
            <w:tcW w:w="2434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0.274</w:t>
            </w:r>
          </w:p>
        </w:tc>
        <w:tc>
          <w:tcPr>
            <w:tcW w:w="210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0.785</w:t>
            </w:r>
          </w:p>
        </w:tc>
      </w:tr>
      <w:tr w:rsidR="00835241" w:rsidRPr="00965B7C" w:rsidTr="00333FBC">
        <w:trPr>
          <w:jc w:val="center"/>
        </w:trPr>
        <w:tc>
          <w:tcPr>
            <w:tcW w:w="212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F-statistic</w:t>
            </w:r>
          </w:p>
        </w:tc>
        <w:tc>
          <w:tcPr>
            <w:tcW w:w="2434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0.075</w:t>
            </w:r>
          </w:p>
        </w:tc>
        <w:tc>
          <w:tcPr>
            <w:tcW w:w="210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0.785</w:t>
            </w:r>
          </w:p>
        </w:tc>
      </w:tr>
      <w:tr w:rsidR="00835241" w:rsidRPr="00965B7C" w:rsidTr="00333FBC">
        <w:tblPrEx>
          <w:jc w:val="left"/>
        </w:tblPrEx>
        <w:tc>
          <w:tcPr>
            <w:tcW w:w="212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Likelihood ratio</w:t>
            </w:r>
          </w:p>
        </w:tc>
        <w:tc>
          <w:tcPr>
            <w:tcW w:w="2434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0.092</w:t>
            </w:r>
          </w:p>
        </w:tc>
        <w:tc>
          <w:tcPr>
            <w:tcW w:w="210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</w:pPr>
            <w:r w:rsidRPr="00965B7C">
              <w:t>0.762</w:t>
            </w:r>
          </w:p>
        </w:tc>
      </w:tr>
    </w:tbl>
    <w:p w:rsidR="00835241" w:rsidRPr="00965B7C" w:rsidRDefault="00835241" w:rsidP="00835241">
      <w:pPr>
        <w:jc w:val="both"/>
        <w:rPr>
          <w:sz w:val="20"/>
          <w:szCs w:val="20"/>
        </w:rPr>
      </w:pPr>
      <w:r w:rsidRPr="00965B7C">
        <w:rPr>
          <w:sz w:val="20"/>
          <w:szCs w:val="20"/>
        </w:rPr>
        <w:t>Note: Null hypothesis: There is no specification error. *** Indicates significance at 1% level, ** indicates significance at 5% level and * indicates significance at 10% level. Source: Authors’ contribution.</w:t>
      </w:r>
    </w:p>
    <w:p w:rsidR="00835241" w:rsidRPr="00965B7C" w:rsidRDefault="00835241" w:rsidP="00835241">
      <w:pPr>
        <w:spacing w:before="240" w:after="240" w:line="360" w:lineRule="auto"/>
        <w:jc w:val="both"/>
        <w:rPr>
          <w:rFonts w:eastAsiaTheme="minorEastAsia"/>
        </w:rPr>
      </w:pPr>
      <w:r w:rsidRPr="00965B7C">
        <w:rPr>
          <w:rFonts w:eastAsiaTheme="minorEastAsia"/>
          <w:b/>
          <w:bCs/>
        </w:rPr>
        <w:t xml:space="preserve">Table </w:t>
      </w:r>
      <w:r>
        <w:rPr>
          <w:rFonts w:eastAsiaTheme="minorEastAsia"/>
          <w:b/>
          <w:bCs/>
        </w:rPr>
        <w:t>A</w:t>
      </w:r>
      <w:r w:rsidR="006F509B">
        <w:rPr>
          <w:rFonts w:eastAsiaTheme="minorEastAsia"/>
          <w:b/>
          <w:bCs/>
        </w:rPr>
        <w:t>9</w:t>
      </w:r>
      <w:r w:rsidRPr="00965B7C">
        <w:rPr>
          <w:rFonts w:eastAsiaTheme="minorEastAsia"/>
          <w:b/>
          <w:bCs/>
        </w:rPr>
        <w:t>: Comparing Forecasting Accuracy Metrics</w:t>
      </w:r>
    </w:p>
    <w:tbl>
      <w:tblPr>
        <w:tblStyle w:val="TableGrid"/>
        <w:tblpPr w:leftFromText="180" w:rightFromText="180" w:vertAnchor="text" w:horzAnchor="margin" w:tblpXSpec="center" w:tblpY="-158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835241" w:rsidRPr="00965B7C" w:rsidTr="00333FBC">
        <w:tc>
          <w:tcPr>
            <w:tcW w:w="9010" w:type="dxa"/>
            <w:gridSpan w:val="4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RWM</w:t>
            </w:r>
          </w:p>
        </w:tc>
      </w:tr>
      <w:tr w:rsidR="00835241" w:rsidRPr="00965B7C" w:rsidTr="00333FBC">
        <w:tc>
          <w:tcPr>
            <w:tcW w:w="2252" w:type="dxa"/>
            <w:vMerge w:val="restart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Error Metrics</w:t>
            </w:r>
          </w:p>
        </w:tc>
        <w:tc>
          <w:tcPr>
            <w:tcW w:w="6758" w:type="dxa"/>
            <w:gridSpan w:val="3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Forecast Horizons</w:t>
            </w:r>
          </w:p>
        </w:tc>
      </w:tr>
      <w:tr w:rsidR="00835241" w:rsidRPr="00965B7C" w:rsidTr="00333FBC">
        <w:tc>
          <w:tcPr>
            <w:tcW w:w="2252" w:type="dxa"/>
            <w:vMerge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6-months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1-year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2-years</w:t>
            </w:r>
          </w:p>
        </w:tc>
      </w:tr>
      <w:tr w:rsidR="00835241" w:rsidRPr="00965B7C" w:rsidTr="00333FBC"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MSE</w:t>
            </w:r>
          </w:p>
        </w:tc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0.0009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0.0044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0.0052</w:t>
            </w:r>
          </w:p>
        </w:tc>
      </w:tr>
      <w:tr w:rsidR="00835241" w:rsidRPr="00965B7C" w:rsidTr="00333FBC"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MAE</w:t>
            </w:r>
          </w:p>
        </w:tc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0.0222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0.0552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0.0662</w:t>
            </w:r>
          </w:p>
        </w:tc>
      </w:tr>
      <w:tr w:rsidR="00835241" w:rsidRPr="00965B7C" w:rsidTr="00333FBC"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RMSE</w:t>
            </w:r>
          </w:p>
        </w:tc>
        <w:tc>
          <w:tcPr>
            <w:tcW w:w="2252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0.0305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0.0665</w:t>
            </w:r>
          </w:p>
        </w:tc>
        <w:tc>
          <w:tcPr>
            <w:tcW w:w="2253" w:type="dxa"/>
            <w:vAlign w:val="center"/>
          </w:tcPr>
          <w:p w:rsidR="00835241" w:rsidRPr="00965B7C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965B7C">
              <w:rPr>
                <w:rFonts w:eastAsiaTheme="minorEastAsia"/>
              </w:rPr>
              <w:t>0.0722</w:t>
            </w:r>
          </w:p>
        </w:tc>
      </w:tr>
      <w:tr w:rsidR="00835241" w:rsidRPr="00682F76" w:rsidTr="00333FBC">
        <w:tc>
          <w:tcPr>
            <w:tcW w:w="9010" w:type="dxa"/>
            <w:gridSpan w:val="4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Modified Dornbusch (1976) Model</w:t>
            </w:r>
          </w:p>
        </w:tc>
      </w:tr>
      <w:tr w:rsidR="00835241" w:rsidRPr="00682F76" w:rsidTr="00333FBC">
        <w:tc>
          <w:tcPr>
            <w:tcW w:w="2252" w:type="dxa"/>
            <w:vMerge w:val="restart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Error Metrics</w:t>
            </w:r>
          </w:p>
        </w:tc>
        <w:tc>
          <w:tcPr>
            <w:tcW w:w="6758" w:type="dxa"/>
            <w:gridSpan w:val="3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Forecast Horizons</w:t>
            </w:r>
          </w:p>
        </w:tc>
      </w:tr>
      <w:tr w:rsidR="00835241" w:rsidRPr="00682F76" w:rsidTr="00333FBC">
        <w:tc>
          <w:tcPr>
            <w:tcW w:w="2252" w:type="dxa"/>
            <w:vMerge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6-months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1-year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2-years</w:t>
            </w:r>
          </w:p>
        </w:tc>
      </w:tr>
      <w:tr w:rsidR="00835241" w:rsidRPr="00682F76" w:rsidTr="00333FBC"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MSE</w:t>
            </w:r>
          </w:p>
        </w:tc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  <w:vertAlign w:val="superscript"/>
              </w:rPr>
            </w:pPr>
            <w:r w:rsidRPr="00682F76">
              <w:rPr>
                <w:rFonts w:eastAsiaTheme="minorEastAsia"/>
              </w:rPr>
              <w:t>&lt;0.0001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&lt;0.0001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&lt;0.0001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</w:tr>
      <w:tr w:rsidR="00835241" w:rsidRPr="00682F76" w:rsidTr="00333FBC"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MAE</w:t>
            </w:r>
          </w:p>
        </w:tc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0.0068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0.0042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0.0052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</w:tr>
      <w:tr w:rsidR="00835241" w:rsidRPr="00682F76" w:rsidTr="00333FBC"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RMSE</w:t>
            </w:r>
          </w:p>
        </w:tc>
        <w:tc>
          <w:tcPr>
            <w:tcW w:w="2252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0.0074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0.0053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  <w:tc>
          <w:tcPr>
            <w:tcW w:w="2253" w:type="dxa"/>
            <w:vAlign w:val="center"/>
          </w:tcPr>
          <w:p w:rsidR="00835241" w:rsidRPr="00682F76" w:rsidRDefault="00835241" w:rsidP="00333FBC">
            <w:pPr>
              <w:spacing w:line="360" w:lineRule="auto"/>
              <w:jc w:val="center"/>
              <w:rPr>
                <w:rFonts w:eastAsiaTheme="minorEastAsia"/>
              </w:rPr>
            </w:pPr>
            <w:r w:rsidRPr="00682F76">
              <w:rPr>
                <w:rFonts w:eastAsiaTheme="minorEastAsia"/>
              </w:rPr>
              <w:t>0.0064</w:t>
            </w:r>
            <w:r w:rsidRPr="00682F76">
              <w:rPr>
                <w:rFonts w:eastAsiaTheme="minorEastAsia"/>
                <w:vertAlign w:val="superscript"/>
              </w:rPr>
              <w:t>#</w:t>
            </w:r>
          </w:p>
        </w:tc>
      </w:tr>
    </w:tbl>
    <w:p w:rsidR="00EB5914" w:rsidRPr="00835241" w:rsidRDefault="00835241" w:rsidP="00835241">
      <w:pPr>
        <w:spacing w:line="360" w:lineRule="auto"/>
        <w:jc w:val="both"/>
        <w:rPr>
          <w:color w:val="0E101A"/>
          <w:sz w:val="20"/>
          <w:szCs w:val="20"/>
          <w:lang w:val="en-GB"/>
        </w:rPr>
      </w:pPr>
      <w:r w:rsidRPr="00682F76">
        <w:rPr>
          <w:color w:val="0E101A"/>
          <w:sz w:val="20"/>
          <w:szCs w:val="20"/>
          <w:lang w:val="en-GB"/>
        </w:rPr>
        <w:t xml:space="preserve">Note: </w:t>
      </w:r>
      <w:r w:rsidRPr="006E2200">
        <w:rPr>
          <w:color w:val="0E101A"/>
          <w:sz w:val="20"/>
          <w:szCs w:val="20"/>
          <w:lang w:val="en-GB"/>
        </w:rPr>
        <w:t># represents the lowest RMSE.</w:t>
      </w:r>
      <w:r w:rsidRPr="00682F76">
        <w:rPr>
          <w:color w:val="0E101A"/>
          <w:sz w:val="20"/>
          <w:szCs w:val="20"/>
          <w:lang w:val="en-GB"/>
        </w:rPr>
        <w:t xml:space="preserve"> </w:t>
      </w:r>
      <w:r w:rsidRPr="00682F76">
        <w:rPr>
          <w:rFonts w:eastAsiaTheme="minorEastAsia"/>
          <w:sz w:val="20"/>
          <w:szCs w:val="20"/>
        </w:rPr>
        <w:t>Source: Authors’ Contribution</w:t>
      </w:r>
    </w:p>
    <w:sectPr w:rsidR="00EB5914" w:rsidRPr="00835241" w:rsidSect="000A14B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7C44" w:rsidRDefault="006E7C44" w:rsidP="00EB5914">
      <w:r>
        <w:separator/>
      </w:r>
    </w:p>
  </w:endnote>
  <w:endnote w:type="continuationSeparator" w:id="0">
    <w:p w:rsidR="006E7C44" w:rsidRDefault="006E7C44" w:rsidP="00EB5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7C44" w:rsidRDefault="006E7C44" w:rsidP="00EB5914">
      <w:r>
        <w:separator/>
      </w:r>
    </w:p>
  </w:footnote>
  <w:footnote w:type="continuationSeparator" w:id="0">
    <w:p w:rsidR="006E7C44" w:rsidRDefault="006E7C44" w:rsidP="00EB59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914"/>
    <w:rsid w:val="00047C2D"/>
    <w:rsid w:val="000A14BA"/>
    <w:rsid w:val="00204F66"/>
    <w:rsid w:val="00223E02"/>
    <w:rsid w:val="003C2F1B"/>
    <w:rsid w:val="0051379A"/>
    <w:rsid w:val="006561D0"/>
    <w:rsid w:val="006B3C9E"/>
    <w:rsid w:val="006E2200"/>
    <w:rsid w:val="006E7C44"/>
    <w:rsid w:val="006F509B"/>
    <w:rsid w:val="00776FBA"/>
    <w:rsid w:val="00835241"/>
    <w:rsid w:val="008772F1"/>
    <w:rsid w:val="008E3AE0"/>
    <w:rsid w:val="00E2742E"/>
    <w:rsid w:val="00E703CA"/>
    <w:rsid w:val="00EB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22A6AA"/>
  <w15:chartTrackingRefBased/>
  <w15:docId w15:val="{97E2994F-8C16-D941-BFC9-A93A51E6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914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B59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B591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EB591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B5914"/>
  </w:style>
  <w:style w:type="table" w:styleId="TableGrid">
    <w:name w:val="Table Grid"/>
    <w:basedOn w:val="TableNormal"/>
    <w:uiPriority w:val="39"/>
    <w:rsid w:val="00EB5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2025-03-09T15:04:00Z</dcterms:created>
  <dcterms:modified xsi:type="dcterms:W3CDTF">2025-03-11T12:02:00Z</dcterms:modified>
</cp:coreProperties>
</file>