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88FF8" w14:textId="696A7E6A" w:rsidR="00B706FD" w:rsidRDefault="000B7822" w:rsidP="00B706FD">
      <w:pPr>
        <w:spacing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Online </w:t>
      </w:r>
      <w:r w:rsidR="00B706FD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Appendix</w:t>
      </w:r>
      <w:bookmarkStart w:id="0" w:name="_GoBack"/>
      <w:bookmarkEnd w:id="0"/>
    </w:p>
    <w:p w14:paraId="267A1244" w14:textId="77777777" w:rsidR="00B706FD" w:rsidRPr="00B706FD" w:rsidRDefault="00B706FD" w:rsidP="00B706FD">
      <w:pPr>
        <w:spacing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</w:p>
    <w:p w14:paraId="29BC8C03" w14:textId="58AFB7BC" w:rsidR="0079667F" w:rsidRDefault="0079667F" w:rsidP="0079667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IN" w:bidi="ar-SA"/>
        </w:rPr>
        <w:drawing>
          <wp:inline distT="0" distB="0" distL="0" distR="0" wp14:anchorId="63DC6665" wp14:editId="3542B16F">
            <wp:extent cx="5598160" cy="2635885"/>
            <wp:effectExtent l="0" t="0" r="2540" b="0"/>
            <wp:docPr id="112620681" name="Picture 7" descr="A graph showing the growth of the stock mar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20681" name="Picture 7" descr="A graph showing the growth of the stock marke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4208A" w14:textId="11C30E29" w:rsidR="0079667F" w:rsidRPr="007579E1" w:rsidRDefault="0079667F" w:rsidP="0079667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79E1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A0107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7579E1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7579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Time Series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7579E1">
        <w:rPr>
          <w:rFonts w:ascii="Times New Roman" w:hAnsi="Times New Roman" w:cs="Times New Roman"/>
          <w:b/>
          <w:bCs/>
          <w:sz w:val="24"/>
          <w:szCs w:val="24"/>
          <w:lang w:val="en-US"/>
        </w:rPr>
        <w:t>lot of CSI and Financial Stress Index (FSI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IND</w:t>
      </w:r>
      <w:r w:rsidRPr="007579E1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5371129E" w14:textId="77777777" w:rsidR="0079667F" w:rsidRDefault="0079667F" w:rsidP="0079667F">
      <w:pPr>
        <w:spacing w:line="24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7579E1">
        <w:rPr>
          <w:rFonts w:ascii="Times New Roman" w:hAnsi="Times New Roman" w:cs="Times New Roman"/>
          <w:sz w:val="20"/>
          <w:lang w:val="en-US"/>
        </w:rPr>
        <w:t xml:space="preserve">Note: </w:t>
      </w:r>
      <w:r>
        <w:rPr>
          <w:rFonts w:ascii="Times New Roman" w:hAnsi="Times New Roman" w:cs="Times New Roman"/>
          <w:sz w:val="20"/>
          <w:lang w:val="en-US"/>
        </w:rPr>
        <w:t xml:space="preserve">This figure plots the time series observations of the </w:t>
      </w:r>
      <w:r w:rsidRPr="007579E1">
        <w:rPr>
          <w:rFonts w:ascii="Times New Roman" w:hAnsi="Times New Roman" w:cs="Times New Roman"/>
          <w:sz w:val="20"/>
          <w:lang w:val="en-US"/>
        </w:rPr>
        <w:t>Current Situation Index (CSI) released by the Reserve Bank of India (RBI). Data on the Financial Stress Index at the Indian level</w:t>
      </w:r>
      <w:r>
        <w:rPr>
          <w:rFonts w:ascii="Times New Roman" w:hAnsi="Times New Roman" w:cs="Times New Roman"/>
          <w:sz w:val="20"/>
          <w:lang w:val="en-US"/>
        </w:rPr>
        <w:t xml:space="preserve"> (FSIIND)</w:t>
      </w:r>
      <w:r w:rsidRPr="007579E1">
        <w:rPr>
          <w:rFonts w:ascii="Times New Roman" w:hAnsi="Times New Roman" w:cs="Times New Roman"/>
          <w:sz w:val="20"/>
          <w:lang w:val="en-US"/>
        </w:rPr>
        <w:t xml:space="preserve"> comes from the Asia Regional Integration Center, Tracking Asian Integration (</w:t>
      </w:r>
      <w:r>
        <w:rPr>
          <w:rFonts w:ascii="Times New Roman" w:hAnsi="Times New Roman" w:cs="Times New Roman"/>
          <w:sz w:val="20"/>
          <w:lang w:val="en-US"/>
        </w:rPr>
        <w:t>ARIC</w:t>
      </w:r>
      <w:r w:rsidRPr="007579E1">
        <w:rPr>
          <w:rFonts w:ascii="Times New Roman" w:hAnsi="Times New Roman" w:cs="Times New Roman"/>
          <w:sz w:val="20"/>
          <w:lang w:val="en-US"/>
        </w:rPr>
        <w:t>) of the Asian Development Bank.</w:t>
      </w:r>
      <w:r>
        <w:rPr>
          <w:rFonts w:ascii="Times New Roman" w:hAnsi="Times New Roman" w:cs="Times New Roman"/>
          <w:sz w:val="20"/>
          <w:lang w:val="en-US"/>
        </w:rPr>
        <w:t xml:space="preserve"> FSIIND is lagged by one month. The correlation coefficient is </w:t>
      </w:r>
      <w:r w:rsidRPr="000877C6">
        <w:rPr>
          <w:rFonts w:ascii="Times New Roman" w:hAnsi="Times New Roman" w:cs="Times New Roman"/>
          <w:sz w:val="20"/>
        </w:rPr>
        <w:t>-0.3</w:t>
      </w:r>
      <w:r>
        <w:rPr>
          <w:rFonts w:ascii="Times New Roman" w:hAnsi="Times New Roman" w:cs="Times New Roman"/>
          <w:sz w:val="20"/>
        </w:rPr>
        <w:t xml:space="preserve">7 and it is statistically significant. </w:t>
      </w:r>
      <w:r>
        <w:rPr>
          <w:rFonts w:ascii="Times New Roman" w:hAnsi="Times New Roman" w:cs="Times New Roman"/>
          <w:sz w:val="20"/>
          <w:lang w:val="en-US"/>
        </w:rPr>
        <w:t xml:space="preserve">  </w:t>
      </w:r>
    </w:p>
    <w:p w14:paraId="3C7214BF" w14:textId="77777777" w:rsidR="00674A4F" w:rsidRPr="005F344D" w:rsidRDefault="00674A4F" w:rsidP="00674A4F">
      <w:pPr>
        <w:spacing w:line="240" w:lineRule="auto"/>
        <w:jc w:val="both"/>
        <w:rPr>
          <w:rFonts w:ascii="Times New Roman" w:hAnsi="Times New Roman" w:cs="Times New Roman"/>
          <w:color w:val="00B0F0"/>
          <w:sz w:val="20"/>
          <w:lang w:val="en-US"/>
        </w:rPr>
      </w:pPr>
      <w:r w:rsidRPr="005F344D">
        <w:rPr>
          <w:rFonts w:ascii="Times New Roman" w:hAnsi="Times New Roman" w:cs="Times New Roman"/>
          <w:i/>
          <w:iCs/>
          <w:color w:val="00B0F0"/>
          <w:sz w:val="20"/>
        </w:rPr>
        <w:t>Source: Authors' own work.</w:t>
      </w:r>
    </w:p>
    <w:p w14:paraId="33E411FD" w14:textId="77777777" w:rsidR="0079667F" w:rsidRDefault="0079667F" w:rsidP="0079667F">
      <w:pPr>
        <w:spacing w:line="240" w:lineRule="auto"/>
        <w:jc w:val="both"/>
        <w:rPr>
          <w:rFonts w:ascii="Times New Roman" w:hAnsi="Times New Roman" w:cs="Times New Roman"/>
          <w:sz w:val="20"/>
          <w:lang w:val="en-US"/>
        </w:rPr>
      </w:pPr>
    </w:p>
    <w:p w14:paraId="4F92E18A" w14:textId="77777777" w:rsidR="0079667F" w:rsidRDefault="0079667F" w:rsidP="0079667F">
      <w:pPr>
        <w:spacing w:line="240" w:lineRule="auto"/>
        <w:jc w:val="both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noProof/>
          <w:sz w:val="20"/>
          <w:lang w:eastAsia="en-IN" w:bidi="ar-SA"/>
        </w:rPr>
        <w:drawing>
          <wp:inline distT="0" distB="0" distL="0" distR="0" wp14:anchorId="572D1CA2" wp14:editId="5A9DC856">
            <wp:extent cx="5873750" cy="2585085"/>
            <wp:effectExtent l="0" t="0" r="0" b="5715"/>
            <wp:docPr id="1271184838" name="Picture 6" descr="A graph showing a line of red and blue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184838" name="Picture 6" descr="A graph showing a line of red and blue line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750" cy="258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341AD" w14:textId="0302EFF3" w:rsidR="0079667F" w:rsidRPr="007579E1" w:rsidRDefault="0079667F" w:rsidP="0079667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79E1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A0107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2: </w:t>
      </w:r>
      <w:r w:rsidRPr="007579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Time Series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7579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lot of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FEI</w:t>
      </w:r>
      <w:r w:rsidRPr="007579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Financial Stress Index (FSI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IND</w:t>
      </w:r>
      <w:r w:rsidRPr="007579E1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395B5BD2" w14:textId="77777777" w:rsidR="0079667F" w:rsidRDefault="0079667F" w:rsidP="0079667F">
      <w:pPr>
        <w:spacing w:line="24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7579E1">
        <w:rPr>
          <w:rFonts w:ascii="Times New Roman" w:hAnsi="Times New Roman" w:cs="Times New Roman"/>
          <w:sz w:val="20"/>
          <w:lang w:val="en-US"/>
        </w:rPr>
        <w:t xml:space="preserve">Note: </w:t>
      </w:r>
      <w:r>
        <w:rPr>
          <w:rFonts w:ascii="Times New Roman" w:hAnsi="Times New Roman" w:cs="Times New Roman"/>
          <w:sz w:val="20"/>
          <w:lang w:val="en-US"/>
        </w:rPr>
        <w:t xml:space="preserve">This figure plots the time series observations of the </w:t>
      </w:r>
      <w:r w:rsidRPr="007579E1">
        <w:rPr>
          <w:rFonts w:ascii="Times New Roman" w:hAnsi="Times New Roman" w:cs="Times New Roman"/>
          <w:sz w:val="20"/>
          <w:lang w:val="en-US"/>
        </w:rPr>
        <w:t>Future Expectation Index (FEI) released by the Reserve Bank of India (RBI). Data on the Financial Stress Index at the Indian level</w:t>
      </w:r>
      <w:r>
        <w:rPr>
          <w:rFonts w:ascii="Times New Roman" w:hAnsi="Times New Roman" w:cs="Times New Roman"/>
          <w:sz w:val="20"/>
          <w:lang w:val="en-US"/>
        </w:rPr>
        <w:t xml:space="preserve"> (FSIIND)</w:t>
      </w:r>
      <w:r w:rsidRPr="007579E1">
        <w:rPr>
          <w:rFonts w:ascii="Times New Roman" w:hAnsi="Times New Roman" w:cs="Times New Roman"/>
          <w:sz w:val="20"/>
          <w:lang w:val="en-US"/>
        </w:rPr>
        <w:t xml:space="preserve"> comes from the Asia Regional Integration Center, Tracking Asian Integration (</w:t>
      </w:r>
      <w:r>
        <w:rPr>
          <w:rFonts w:ascii="Times New Roman" w:hAnsi="Times New Roman" w:cs="Times New Roman"/>
          <w:sz w:val="20"/>
          <w:lang w:val="en-US"/>
        </w:rPr>
        <w:t>ARIC</w:t>
      </w:r>
      <w:r w:rsidRPr="007579E1">
        <w:rPr>
          <w:rFonts w:ascii="Times New Roman" w:hAnsi="Times New Roman" w:cs="Times New Roman"/>
          <w:sz w:val="20"/>
          <w:lang w:val="en-US"/>
        </w:rPr>
        <w:t>) of the Asian Development Bank.</w:t>
      </w:r>
      <w:r>
        <w:rPr>
          <w:rFonts w:ascii="Times New Roman" w:hAnsi="Times New Roman" w:cs="Times New Roman"/>
          <w:sz w:val="20"/>
          <w:lang w:val="en-US"/>
        </w:rPr>
        <w:t xml:space="preserve"> FSIIND is lagged by one month. The correlation coefficient is </w:t>
      </w:r>
      <w:r w:rsidRPr="000877C6">
        <w:rPr>
          <w:rFonts w:ascii="Times New Roman" w:hAnsi="Times New Roman" w:cs="Times New Roman"/>
          <w:sz w:val="20"/>
        </w:rPr>
        <w:t>-0.</w:t>
      </w:r>
      <w:r>
        <w:rPr>
          <w:rFonts w:ascii="Times New Roman" w:hAnsi="Times New Roman" w:cs="Times New Roman"/>
          <w:sz w:val="20"/>
        </w:rPr>
        <w:t xml:space="preserve">27 and it is not statistically significant.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</w:p>
    <w:p w14:paraId="7F6B8199" w14:textId="77777777" w:rsidR="00190A08" w:rsidRPr="005F344D" w:rsidRDefault="00190A08" w:rsidP="00190A08">
      <w:pPr>
        <w:spacing w:line="240" w:lineRule="auto"/>
        <w:jc w:val="both"/>
        <w:rPr>
          <w:rFonts w:ascii="Times New Roman" w:hAnsi="Times New Roman" w:cs="Times New Roman"/>
          <w:color w:val="00B0F0"/>
          <w:sz w:val="20"/>
          <w:lang w:val="en-US"/>
        </w:rPr>
      </w:pPr>
      <w:r w:rsidRPr="005F344D">
        <w:rPr>
          <w:rFonts w:ascii="Times New Roman" w:hAnsi="Times New Roman" w:cs="Times New Roman"/>
          <w:i/>
          <w:iCs/>
          <w:color w:val="00B0F0"/>
          <w:sz w:val="20"/>
        </w:rPr>
        <w:t>Source: Authors' own work.</w:t>
      </w:r>
    </w:p>
    <w:p w14:paraId="0A05110B" w14:textId="77777777" w:rsidR="00190A08" w:rsidRDefault="00190A08" w:rsidP="0079667F">
      <w:pPr>
        <w:spacing w:line="240" w:lineRule="auto"/>
        <w:jc w:val="both"/>
        <w:rPr>
          <w:rFonts w:ascii="Times New Roman" w:hAnsi="Times New Roman" w:cs="Times New Roman"/>
          <w:sz w:val="20"/>
          <w:lang w:val="en-US"/>
        </w:rPr>
      </w:pPr>
    </w:p>
    <w:p w14:paraId="00DE5631" w14:textId="77777777" w:rsidR="0079667F" w:rsidRDefault="0079667F" w:rsidP="0079667F">
      <w:pPr>
        <w:spacing w:line="240" w:lineRule="auto"/>
        <w:jc w:val="both"/>
        <w:rPr>
          <w:rFonts w:ascii="Times New Roman" w:hAnsi="Times New Roman" w:cs="Times New Roman"/>
          <w:sz w:val="20"/>
          <w:lang w:val="en-US"/>
        </w:rPr>
      </w:pPr>
    </w:p>
    <w:p w14:paraId="6C9D538A" w14:textId="77777777" w:rsidR="0079667F" w:rsidRDefault="0079667F" w:rsidP="0079667F">
      <w:pPr>
        <w:spacing w:line="240" w:lineRule="auto"/>
        <w:jc w:val="both"/>
        <w:rPr>
          <w:rFonts w:ascii="Times New Roman" w:hAnsi="Times New Roman" w:cs="Times New Roman"/>
          <w:sz w:val="20"/>
          <w:lang w:val="en-US"/>
        </w:rPr>
      </w:pPr>
    </w:p>
    <w:p w14:paraId="6A9AC8BF" w14:textId="77777777" w:rsidR="0079667F" w:rsidRDefault="0079667F" w:rsidP="0079667F">
      <w:pPr>
        <w:spacing w:line="240" w:lineRule="auto"/>
        <w:jc w:val="both"/>
        <w:rPr>
          <w:rFonts w:ascii="Times New Roman" w:hAnsi="Times New Roman" w:cs="Times New Roman"/>
          <w:sz w:val="20"/>
          <w:lang w:val="en-US"/>
        </w:rPr>
      </w:pPr>
    </w:p>
    <w:p w14:paraId="4F143741" w14:textId="77777777" w:rsidR="0079667F" w:rsidRDefault="0079667F" w:rsidP="0079667F">
      <w:pPr>
        <w:spacing w:line="240" w:lineRule="auto"/>
        <w:jc w:val="both"/>
        <w:rPr>
          <w:rFonts w:ascii="Times New Roman" w:hAnsi="Times New Roman" w:cs="Times New Roman"/>
          <w:sz w:val="20"/>
          <w:lang w:val="en-US"/>
        </w:rPr>
      </w:pPr>
    </w:p>
    <w:p w14:paraId="559899B8" w14:textId="77777777" w:rsidR="0079667F" w:rsidRDefault="0079667F" w:rsidP="0079667F">
      <w:pPr>
        <w:spacing w:line="240" w:lineRule="auto"/>
        <w:jc w:val="both"/>
        <w:rPr>
          <w:rFonts w:ascii="Times New Roman" w:hAnsi="Times New Roman" w:cs="Times New Roman"/>
          <w:sz w:val="20"/>
          <w:lang w:val="en-US"/>
        </w:rPr>
      </w:pPr>
    </w:p>
    <w:p w14:paraId="5A4E1144" w14:textId="77777777" w:rsidR="0079667F" w:rsidRPr="000A3451" w:rsidRDefault="0079667F" w:rsidP="0079667F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  <w:r w:rsidRPr="00087945">
        <w:rPr>
          <w:rFonts w:ascii="Times New Roman" w:hAnsi="Times New Roman" w:cs="Times New Roman"/>
          <w:b/>
          <w:bCs/>
          <w:noProof/>
          <w:sz w:val="20"/>
          <w:lang w:eastAsia="en-IN" w:bidi="ar-SA"/>
        </w:rPr>
        <w:drawing>
          <wp:anchor distT="0" distB="0" distL="114300" distR="114300" simplePos="0" relativeHeight="251659264" behindDoc="0" locked="0" layoutInCell="1" allowOverlap="1" wp14:anchorId="226BE695" wp14:editId="2079A08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18555" cy="2762250"/>
            <wp:effectExtent l="0" t="0" r="0" b="0"/>
            <wp:wrapSquare wrapText="bothSides"/>
            <wp:docPr id="1574108783" name="Picture 1" descr="A close-up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108783" name="Picture 1" descr="A close-up of a graph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855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F94D58" w14:textId="5AAD9D94" w:rsidR="0079667F" w:rsidRDefault="0079667F" w:rsidP="0079667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34132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619F7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734132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 Robustness Analysis</w:t>
      </w:r>
    </w:p>
    <w:p w14:paraId="1A191B89" w14:textId="77777777" w:rsidR="0079667F" w:rsidRPr="00087945" w:rsidRDefault="0079667F" w:rsidP="0079667F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lang w:val="en-US"/>
        </w:rPr>
      </w:pPr>
      <w:r w:rsidRPr="00087945">
        <w:rPr>
          <w:rFonts w:ascii="Times New Roman" w:hAnsi="Times New Roman" w:cs="Times New Roman"/>
          <w:sz w:val="20"/>
          <w:lang w:val="en-US"/>
        </w:rPr>
        <w:t>Note:</w:t>
      </w:r>
      <w:r>
        <w:rPr>
          <w:rFonts w:ascii="Times New Roman" w:hAnsi="Times New Roman" w:cs="Times New Roman"/>
          <w:sz w:val="20"/>
          <w:lang w:val="en-US"/>
        </w:rPr>
        <w:t xml:space="preserve"> This figure presents the </w:t>
      </w:r>
      <w:r w:rsidRPr="00087945">
        <w:rPr>
          <w:rFonts w:ascii="Times New Roman" w:hAnsi="Times New Roman" w:cs="Times New Roman"/>
          <w:sz w:val="20"/>
          <w:lang w:val="en-US"/>
        </w:rPr>
        <w:t>robustness analysis</w:t>
      </w:r>
      <w:r>
        <w:rPr>
          <w:rFonts w:ascii="Times New Roman" w:hAnsi="Times New Roman" w:cs="Times New Roman"/>
          <w:sz w:val="20"/>
          <w:lang w:val="en-US"/>
        </w:rPr>
        <w:t xml:space="preserve"> based on alternative lag selection and considering FSI in percentage change rather than in levels used in baseline regression. </w:t>
      </w:r>
      <w:r>
        <w:rPr>
          <w:rFonts w:ascii="Times New Roman" w:hAnsi="Times New Roman" w:cs="Times New Roman"/>
          <w:sz w:val="20"/>
          <w:szCs w:val="18"/>
          <w:lang w:val="en-US"/>
        </w:rPr>
        <w:t xml:space="preserve">LFSI is the first lag of FSI (baseline). LFSIQ is the one-quarter lagged FSI value. FSIG is percentage change in FSI. </w:t>
      </w:r>
      <w:r w:rsidRPr="001E449B">
        <w:rPr>
          <w:rFonts w:ascii="Times New Roman" w:hAnsi="Times New Roman" w:cs="Times New Roman"/>
          <w:sz w:val="20"/>
          <w:szCs w:val="18"/>
        </w:rPr>
        <w:t>Standard errors clustered at the city level are reported in parentheses. *, **, and *** indicate significance at the 10%, 5%, and 1% , respectively</w:t>
      </w:r>
    </w:p>
    <w:p w14:paraId="5A57CA09" w14:textId="77777777" w:rsidR="00190A08" w:rsidRPr="005F344D" w:rsidRDefault="00190A08" w:rsidP="00190A08">
      <w:pPr>
        <w:spacing w:line="240" w:lineRule="auto"/>
        <w:jc w:val="both"/>
        <w:rPr>
          <w:rFonts w:ascii="Times New Roman" w:hAnsi="Times New Roman" w:cs="Times New Roman"/>
          <w:color w:val="00B0F0"/>
          <w:sz w:val="20"/>
          <w:lang w:val="en-US"/>
        </w:rPr>
      </w:pPr>
      <w:r w:rsidRPr="005F344D">
        <w:rPr>
          <w:rFonts w:ascii="Times New Roman" w:hAnsi="Times New Roman" w:cs="Times New Roman"/>
          <w:i/>
          <w:iCs/>
          <w:color w:val="00B0F0"/>
          <w:sz w:val="20"/>
        </w:rPr>
        <w:t>Source: Authors' own work.</w:t>
      </w:r>
    </w:p>
    <w:p w14:paraId="50422645" w14:textId="77777777" w:rsidR="0079667F" w:rsidRDefault="0079667F" w:rsidP="0079667F">
      <w:pPr>
        <w:spacing w:line="240" w:lineRule="auto"/>
        <w:jc w:val="both"/>
        <w:rPr>
          <w:rFonts w:ascii="Times New Roman" w:hAnsi="Times New Roman" w:cs="Times New Roman"/>
          <w:sz w:val="20"/>
          <w:lang w:val="en-US"/>
        </w:rPr>
      </w:pPr>
    </w:p>
    <w:p w14:paraId="14C2F432" w14:textId="77777777" w:rsidR="0079667F" w:rsidRDefault="0079667F" w:rsidP="0079667F">
      <w:pPr>
        <w:spacing w:line="240" w:lineRule="auto"/>
        <w:jc w:val="both"/>
        <w:rPr>
          <w:rFonts w:ascii="Times New Roman" w:hAnsi="Times New Roman" w:cs="Times New Roman"/>
          <w:sz w:val="20"/>
          <w:lang w:val="en-US"/>
        </w:rPr>
      </w:pPr>
    </w:p>
    <w:p w14:paraId="161ECE73" w14:textId="518310AE" w:rsidR="0079667F" w:rsidRPr="005A1303" w:rsidRDefault="0079667F" w:rsidP="0079667F">
      <w:pPr>
        <w:pStyle w:val="NormalWeb"/>
        <w:spacing w:before="0" w:beforeAutospacing="0" w:after="0" w:afterAutospacing="0"/>
        <w:ind w:left="720" w:hanging="720"/>
        <w:jc w:val="center"/>
        <w:rPr>
          <w:sz w:val="22"/>
          <w:szCs w:val="22"/>
        </w:rPr>
      </w:pPr>
      <w:r>
        <w:rPr>
          <w:noProof/>
          <w:sz w:val="22"/>
          <w:szCs w:val="22"/>
          <w14:ligatures w14:val="standardContextual"/>
        </w:rPr>
        <w:lastRenderedPageBreak/>
        <w:drawing>
          <wp:inline distT="0" distB="0" distL="0" distR="0" wp14:anchorId="7510DA19" wp14:editId="6F4091A4">
            <wp:extent cx="5731510" cy="2870200"/>
            <wp:effectExtent l="0" t="0" r="2540" b="6350"/>
            <wp:docPr id="1186327062" name="Picture 2" descr="A graph showing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327062" name="Picture 2" descr="A graph showing a lin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1303">
        <w:rPr>
          <w:b/>
          <w:bCs/>
          <w:sz w:val="22"/>
          <w:szCs w:val="22"/>
        </w:rPr>
        <w:t xml:space="preserve">Figure </w:t>
      </w:r>
      <w:r w:rsidR="00E619F7">
        <w:rPr>
          <w:b/>
          <w:bCs/>
          <w:sz w:val="22"/>
          <w:szCs w:val="22"/>
        </w:rPr>
        <w:t>A</w:t>
      </w:r>
      <w:r w:rsidRPr="005A1303">
        <w:rPr>
          <w:b/>
          <w:bCs/>
          <w:sz w:val="22"/>
          <w:szCs w:val="22"/>
        </w:rPr>
        <w:t xml:space="preserve">4: Placebo Analysis – Kernel </w:t>
      </w:r>
      <w:r>
        <w:rPr>
          <w:b/>
          <w:bCs/>
          <w:sz w:val="22"/>
          <w:szCs w:val="22"/>
        </w:rPr>
        <w:t>D</w:t>
      </w:r>
      <w:r w:rsidRPr="005A1303">
        <w:rPr>
          <w:b/>
          <w:bCs/>
          <w:sz w:val="22"/>
          <w:szCs w:val="22"/>
        </w:rPr>
        <w:t xml:space="preserve">ensity </w:t>
      </w:r>
      <w:r>
        <w:rPr>
          <w:b/>
          <w:bCs/>
          <w:sz w:val="22"/>
          <w:szCs w:val="22"/>
        </w:rPr>
        <w:t>P</w:t>
      </w:r>
      <w:r w:rsidRPr="005A1303">
        <w:rPr>
          <w:b/>
          <w:bCs/>
          <w:sz w:val="22"/>
          <w:szCs w:val="22"/>
        </w:rPr>
        <w:t>lot of LFSI for GECPER</w:t>
      </w:r>
    </w:p>
    <w:p w14:paraId="36E2D2AB" w14:textId="77777777" w:rsidR="0079667F" w:rsidRDefault="0079667F" w:rsidP="00796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Cs w:val="22"/>
        </w:rPr>
      </w:pPr>
      <w:r w:rsidRPr="005A1303">
        <w:rPr>
          <w:rFonts w:ascii="Times New Roman" w:hAnsi="Times New Roman" w:cs="Times New Roman"/>
          <w:szCs w:val="22"/>
        </w:rPr>
        <w:t xml:space="preserve">Note: Placebo Analysis randomly assigns LFSI to households from different survey rounds. The plot is derived from conducting 500 replications for GECPER. </w:t>
      </w:r>
    </w:p>
    <w:p w14:paraId="0D478164" w14:textId="77777777" w:rsidR="00190A08" w:rsidRPr="005F344D" w:rsidRDefault="00190A08" w:rsidP="00190A08">
      <w:pPr>
        <w:spacing w:line="240" w:lineRule="auto"/>
        <w:jc w:val="both"/>
        <w:rPr>
          <w:rFonts w:ascii="Times New Roman" w:hAnsi="Times New Roman" w:cs="Times New Roman"/>
          <w:color w:val="00B0F0"/>
          <w:sz w:val="20"/>
          <w:lang w:val="en-US"/>
        </w:rPr>
      </w:pPr>
      <w:r w:rsidRPr="005F344D">
        <w:rPr>
          <w:rFonts w:ascii="Times New Roman" w:hAnsi="Times New Roman" w:cs="Times New Roman"/>
          <w:i/>
          <w:iCs/>
          <w:color w:val="00B0F0"/>
          <w:sz w:val="20"/>
        </w:rPr>
        <w:t>Source: Authors' own work.</w:t>
      </w:r>
    </w:p>
    <w:p w14:paraId="7FB2E6A7" w14:textId="77777777" w:rsidR="00190A08" w:rsidRPr="005A1303" w:rsidRDefault="00190A08" w:rsidP="00796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Cs w:val="22"/>
        </w:rPr>
      </w:pPr>
    </w:p>
    <w:p w14:paraId="36B8A923" w14:textId="77777777" w:rsidR="0079667F" w:rsidRPr="00EF4F5A" w:rsidRDefault="0079667F" w:rsidP="007966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53D7456" w14:textId="77777777" w:rsidR="0079667F" w:rsidRDefault="0079667F" w:rsidP="0079667F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01A4F22B" w14:textId="77777777" w:rsidR="0079667F" w:rsidRDefault="0079667F" w:rsidP="0079667F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>
        <w:rPr>
          <w:noProof/>
          <w:sz w:val="22"/>
          <w:szCs w:val="22"/>
          <w14:ligatures w14:val="standardContextual"/>
        </w:rPr>
        <w:drawing>
          <wp:inline distT="0" distB="0" distL="0" distR="0" wp14:anchorId="69B4FD4E" wp14:editId="1B202C1A">
            <wp:extent cx="5731510" cy="2641600"/>
            <wp:effectExtent l="0" t="0" r="2540" b="6350"/>
            <wp:docPr id="1168004173" name="Picture 3" descr="A graph showing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004173" name="Picture 3" descr="A graph showing a lin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B16D1" w14:textId="77777777" w:rsidR="0079667F" w:rsidRPr="000A3C5B" w:rsidRDefault="0079667F" w:rsidP="0079667F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68D7166F" w14:textId="2C23BBDA" w:rsidR="0079667F" w:rsidRPr="000A3C5B" w:rsidRDefault="0079667F" w:rsidP="0079667F">
      <w:pPr>
        <w:pStyle w:val="NormalWeb"/>
        <w:spacing w:before="0" w:beforeAutospacing="0" w:after="0" w:afterAutospacing="0"/>
        <w:ind w:left="720" w:hanging="720"/>
        <w:jc w:val="center"/>
        <w:rPr>
          <w:b/>
          <w:bCs/>
          <w:sz w:val="22"/>
          <w:szCs w:val="22"/>
        </w:rPr>
      </w:pPr>
      <w:r w:rsidRPr="000A3C5B">
        <w:rPr>
          <w:b/>
          <w:bCs/>
          <w:sz w:val="22"/>
          <w:szCs w:val="22"/>
        </w:rPr>
        <w:t xml:space="preserve">Figure </w:t>
      </w:r>
      <w:r w:rsidR="00E619F7">
        <w:rPr>
          <w:b/>
          <w:bCs/>
          <w:sz w:val="22"/>
          <w:szCs w:val="22"/>
        </w:rPr>
        <w:t>A</w:t>
      </w:r>
      <w:r w:rsidRPr="000A3C5B">
        <w:rPr>
          <w:b/>
          <w:bCs/>
          <w:sz w:val="22"/>
          <w:szCs w:val="22"/>
        </w:rPr>
        <w:t xml:space="preserve">5: Placebo Analysis – Kernel </w:t>
      </w:r>
      <w:r>
        <w:rPr>
          <w:b/>
          <w:bCs/>
          <w:sz w:val="22"/>
          <w:szCs w:val="22"/>
        </w:rPr>
        <w:t>D</w:t>
      </w:r>
      <w:r w:rsidRPr="000A3C5B">
        <w:rPr>
          <w:b/>
          <w:bCs/>
          <w:sz w:val="22"/>
          <w:szCs w:val="22"/>
        </w:rPr>
        <w:t xml:space="preserve">ensity </w:t>
      </w:r>
      <w:r>
        <w:rPr>
          <w:b/>
          <w:bCs/>
          <w:sz w:val="22"/>
          <w:szCs w:val="22"/>
        </w:rPr>
        <w:t>P</w:t>
      </w:r>
      <w:r w:rsidRPr="000A3C5B">
        <w:rPr>
          <w:b/>
          <w:bCs/>
          <w:sz w:val="22"/>
          <w:szCs w:val="22"/>
        </w:rPr>
        <w:t>lot of LFSI for GECOTL</w:t>
      </w:r>
    </w:p>
    <w:p w14:paraId="1E8482BF" w14:textId="77777777" w:rsidR="0079667F" w:rsidRPr="000A3C5B" w:rsidRDefault="0079667F" w:rsidP="0079667F">
      <w:pPr>
        <w:pStyle w:val="NormalWeb"/>
        <w:spacing w:before="0" w:beforeAutospacing="0" w:after="0" w:afterAutospacing="0"/>
        <w:ind w:left="720" w:hanging="720"/>
        <w:jc w:val="both"/>
        <w:rPr>
          <w:sz w:val="22"/>
          <w:szCs w:val="22"/>
        </w:rPr>
      </w:pPr>
    </w:p>
    <w:p w14:paraId="5C989015" w14:textId="77777777" w:rsidR="0079667F" w:rsidRPr="000A3C5B" w:rsidRDefault="0079667F" w:rsidP="0079667F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 w:rsidRPr="000A3C5B">
        <w:rPr>
          <w:sz w:val="22"/>
          <w:szCs w:val="22"/>
        </w:rPr>
        <w:t>Note: Placebo Analysis randomly assigns LFSI to households from different survey rounds. The plot is derived from conducting 500 replications for GECOTL.</w:t>
      </w:r>
    </w:p>
    <w:p w14:paraId="0B3BA263" w14:textId="77777777" w:rsidR="00190A08" w:rsidRPr="005F344D" w:rsidRDefault="00190A08" w:rsidP="00190A08">
      <w:pPr>
        <w:spacing w:line="240" w:lineRule="auto"/>
        <w:jc w:val="both"/>
        <w:rPr>
          <w:rFonts w:ascii="Times New Roman" w:hAnsi="Times New Roman" w:cs="Times New Roman"/>
          <w:color w:val="00B0F0"/>
          <w:sz w:val="20"/>
          <w:lang w:val="en-US"/>
        </w:rPr>
      </w:pPr>
      <w:r w:rsidRPr="005F344D">
        <w:rPr>
          <w:rFonts w:ascii="Times New Roman" w:hAnsi="Times New Roman" w:cs="Times New Roman"/>
          <w:i/>
          <w:iCs/>
          <w:color w:val="00B0F0"/>
          <w:sz w:val="20"/>
        </w:rPr>
        <w:t>Source: Authors' own work.</w:t>
      </w:r>
    </w:p>
    <w:p w14:paraId="0142FD9C" w14:textId="77777777" w:rsidR="0079667F" w:rsidRDefault="0079667F" w:rsidP="006A466E">
      <w:pPr>
        <w:jc w:val="center"/>
        <w:rPr>
          <w:rFonts w:ascii="Times New Roman" w:hAnsi="Times New Roman" w:cs="Times New Roman"/>
          <w:b/>
          <w:bCs/>
        </w:rPr>
      </w:pPr>
    </w:p>
    <w:p w14:paraId="13E97B24" w14:textId="77777777" w:rsidR="0079667F" w:rsidRDefault="0079667F" w:rsidP="006A466E">
      <w:pPr>
        <w:jc w:val="center"/>
        <w:rPr>
          <w:rFonts w:ascii="Times New Roman" w:hAnsi="Times New Roman" w:cs="Times New Roman"/>
          <w:b/>
          <w:bCs/>
        </w:rPr>
      </w:pPr>
    </w:p>
    <w:p w14:paraId="6600F44B" w14:textId="77777777" w:rsidR="0079667F" w:rsidRDefault="0079667F" w:rsidP="006A466E">
      <w:pPr>
        <w:jc w:val="center"/>
        <w:rPr>
          <w:rFonts w:ascii="Times New Roman" w:hAnsi="Times New Roman" w:cs="Times New Roman"/>
          <w:b/>
          <w:bCs/>
        </w:rPr>
      </w:pPr>
    </w:p>
    <w:p w14:paraId="5EE9F7F8" w14:textId="77777777" w:rsidR="0079667F" w:rsidRDefault="0079667F" w:rsidP="006A466E">
      <w:pPr>
        <w:jc w:val="center"/>
        <w:rPr>
          <w:rFonts w:ascii="Times New Roman" w:hAnsi="Times New Roman" w:cs="Times New Roman"/>
          <w:b/>
          <w:bCs/>
        </w:rPr>
      </w:pPr>
    </w:p>
    <w:p w14:paraId="77763378" w14:textId="77777777" w:rsidR="0079667F" w:rsidRDefault="0079667F" w:rsidP="006A466E">
      <w:pPr>
        <w:jc w:val="center"/>
        <w:rPr>
          <w:rFonts w:ascii="Times New Roman" w:hAnsi="Times New Roman" w:cs="Times New Roman"/>
          <w:b/>
          <w:bCs/>
        </w:rPr>
      </w:pPr>
    </w:p>
    <w:p w14:paraId="0750B6F8" w14:textId="6049F3EE" w:rsidR="006A466E" w:rsidRDefault="006A466E" w:rsidP="006A466E">
      <w:pPr>
        <w:jc w:val="center"/>
        <w:rPr>
          <w:rFonts w:ascii="Times New Roman" w:hAnsi="Times New Roman" w:cs="Times New Roman"/>
          <w:b/>
          <w:bCs/>
        </w:rPr>
      </w:pPr>
      <w:r w:rsidRPr="008D6690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 xml:space="preserve">able </w:t>
      </w:r>
      <w:r w:rsidR="00C14470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1: Variable Definition and Summary Statistics </w:t>
      </w:r>
    </w:p>
    <w:tbl>
      <w:tblPr>
        <w:tblW w:w="11428" w:type="dxa"/>
        <w:jc w:val="center"/>
        <w:tblLook w:val="04A0" w:firstRow="1" w:lastRow="0" w:firstColumn="1" w:lastColumn="0" w:noHBand="0" w:noVBand="1"/>
      </w:tblPr>
      <w:tblGrid>
        <w:gridCol w:w="1794"/>
        <w:gridCol w:w="7710"/>
        <w:gridCol w:w="862"/>
        <w:gridCol w:w="818"/>
        <w:gridCol w:w="244"/>
      </w:tblGrid>
      <w:tr w:rsidR="006A466E" w14:paraId="6533DB78" w14:textId="77777777" w:rsidTr="00224401">
        <w:trPr>
          <w:gridAfter w:val="1"/>
          <w:wAfter w:w="244" w:type="dxa"/>
          <w:trHeight w:val="450"/>
          <w:jc w:val="center"/>
        </w:trPr>
        <w:tc>
          <w:tcPr>
            <w:tcW w:w="1794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3E87FEB8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Variables</w:t>
            </w:r>
          </w:p>
        </w:tc>
        <w:tc>
          <w:tcPr>
            <w:tcW w:w="7712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2439C49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Measurement </w:t>
            </w: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F3BE9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Mean</w:t>
            </w:r>
          </w:p>
        </w:tc>
        <w:tc>
          <w:tcPr>
            <w:tcW w:w="816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A5DF9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SD</w:t>
            </w:r>
          </w:p>
        </w:tc>
      </w:tr>
      <w:tr w:rsidR="006A466E" w14:paraId="5648D98D" w14:textId="77777777" w:rsidTr="00224401">
        <w:trPr>
          <w:trHeight w:val="274"/>
          <w:jc w:val="center"/>
        </w:trPr>
        <w:tc>
          <w:tcPr>
            <w:tcW w:w="1794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1776569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7712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C7A2651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862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51CBB9A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81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A55FC68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E61D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</w:tr>
      <w:tr w:rsidR="006A466E" w14:paraId="2D73AB7F" w14:textId="77777777" w:rsidTr="00224401">
        <w:trPr>
          <w:trHeight w:val="302"/>
          <w:jc w:val="center"/>
        </w:trPr>
        <w:tc>
          <w:tcPr>
            <w:tcW w:w="11186" w:type="dxa"/>
            <w:gridSpan w:val="4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3CEC92B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Dependent Variables</w:t>
            </w:r>
          </w:p>
        </w:tc>
        <w:tc>
          <w:tcPr>
            <w:tcW w:w="242" w:type="dxa"/>
            <w:vAlign w:val="center"/>
            <w:hideMark/>
          </w:tcPr>
          <w:p w14:paraId="6F085361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5F3CCC11" w14:textId="77777777" w:rsidTr="00224401">
        <w:trPr>
          <w:trHeight w:val="863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6F955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GECPER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815AF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1 if the respondent perceives that the general economic condition compared to a year ago has improved, 0 if it remained the same, and -1 if it worsened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B250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-0.224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9BCC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0.867</w:t>
            </w:r>
          </w:p>
        </w:tc>
        <w:tc>
          <w:tcPr>
            <w:tcW w:w="242" w:type="dxa"/>
            <w:vAlign w:val="center"/>
            <w:hideMark/>
          </w:tcPr>
          <w:p w14:paraId="611AE129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79A49F38" w14:textId="77777777" w:rsidTr="00224401">
        <w:trPr>
          <w:trHeight w:val="863"/>
          <w:jc w:val="center"/>
        </w:trPr>
        <w:tc>
          <w:tcPr>
            <w:tcW w:w="17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A6D90C7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GECOTL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57EBA7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1 if the respondent expects that future general economic conditions a year ahead will improve, 0 if it will remain the same, and -1 if it will worsen.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81279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0.196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99D9F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0.881</w:t>
            </w:r>
          </w:p>
        </w:tc>
        <w:tc>
          <w:tcPr>
            <w:tcW w:w="242" w:type="dxa"/>
            <w:vAlign w:val="center"/>
            <w:hideMark/>
          </w:tcPr>
          <w:p w14:paraId="1F50CBBC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0B6AE6B0" w14:textId="77777777" w:rsidTr="00224401">
        <w:trPr>
          <w:trHeight w:val="302"/>
          <w:jc w:val="center"/>
        </w:trPr>
        <w:tc>
          <w:tcPr>
            <w:tcW w:w="1118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7D22D4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Main Independent Variables</w:t>
            </w:r>
          </w:p>
        </w:tc>
        <w:tc>
          <w:tcPr>
            <w:tcW w:w="242" w:type="dxa"/>
            <w:vAlign w:val="center"/>
            <w:hideMark/>
          </w:tcPr>
          <w:p w14:paraId="4AADDFAE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25F3F607" w14:textId="77777777" w:rsidTr="00224401">
        <w:trPr>
          <w:trHeight w:val="293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0A490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LFSI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5EBC0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first lag of financial stress index (composite)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EA81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-0.749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5B2F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1.56</w:t>
            </w:r>
          </w:p>
        </w:tc>
        <w:tc>
          <w:tcPr>
            <w:tcW w:w="242" w:type="dxa"/>
            <w:vAlign w:val="center"/>
            <w:hideMark/>
          </w:tcPr>
          <w:p w14:paraId="138D11E3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26585700" w14:textId="77777777" w:rsidTr="00224401">
        <w:trPr>
          <w:trHeight w:val="284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225BD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LBNKBTA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E8A2A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=first lag of bank beta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6A8B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0.022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FE95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0.225</w:t>
            </w:r>
          </w:p>
        </w:tc>
        <w:tc>
          <w:tcPr>
            <w:tcW w:w="242" w:type="dxa"/>
            <w:vAlign w:val="center"/>
            <w:hideMark/>
          </w:tcPr>
          <w:p w14:paraId="64297AC9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3EB2B0C1" w14:textId="77777777" w:rsidTr="00224401">
        <w:trPr>
          <w:trHeight w:val="284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E56A5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LEQRTN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EC1E6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=first lag of equity market returns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52BF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-0.015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3A16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0.803</w:t>
            </w:r>
          </w:p>
        </w:tc>
        <w:tc>
          <w:tcPr>
            <w:tcW w:w="242" w:type="dxa"/>
            <w:vAlign w:val="center"/>
            <w:hideMark/>
          </w:tcPr>
          <w:p w14:paraId="42512985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61A278B7" w14:textId="77777777" w:rsidTr="00224401">
        <w:trPr>
          <w:trHeight w:val="284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3A2FE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LEQVT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0E409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first lag of stock market volatility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E71D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-0.824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2610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0.901</w:t>
            </w:r>
          </w:p>
        </w:tc>
        <w:tc>
          <w:tcPr>
            <w:tcW w:w="242" w:type="dxa"/>
            <w:vAlign w:val="center"/>
            <w:hideMark/>
          </w:tcPr>
          <w:p w14:paraId="0C4C2E8C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14EEDECF" w14:textId="77777777" w:rsidTr="00224401">
        <w:trPr>
          <w:trHeight w:val="284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DE5BD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LDBTSPRD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354A9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=first lag of debt spread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986E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0.036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A746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0.104</w:t>
            </w:r>
          </w:p>
        </w:tc>
        <w:tc>
          <w:tcPr>
            <w:tcW w:w="242" w:type="dxa"/>
            <w:vAlign w:val="center"/>
            <w:hideMark/>
          </w:tcPr>
          <w:p w14:paraId="777D172C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7709E0D3" w14:textId="77777777" w:rsidTr="00224401">
        <w:trPr>
          <w:trHeight w:val="293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66D5D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LEMPI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E4B2B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=first lag of exchange market pressure index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AE48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0.032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A4B8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0.333</w:t>
            </w:r>
          </w:p>
        </w:tc>
        <w:tc>
          <w:tcPr>
            <w:tcW w:w="242" w:type="dxa"/>
            <w:vAlign w:val="center"/>
            <w:hideMark/>
          </w:tcPr>
          <w:p w14:paraId="4DC41942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4D161778" w14:textId="77777777" w:rsidTr="00224401">
        <w:trPr>
          <w:trHeight w:val="302"/>
          <w:jc w:val="center"/>
        </w:trPr>
        <w:tc>
          <w:tcPr>
            <w:tcW w:w="1118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102F56A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Household Controls</w:t>
            </w:r>
          </w:p>
        </w:tc>
        <w:tc>
          <w:tcPr>
            <w:tcW w:w="242" w:type="dxa"/>
            <w:vAlign w:val="center"/>
            <w:hideMark/>
          </w:tcPr>
          <w:p w14:paraId="798DB999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546F668D" w14:textId="77777777" w:rsidTr="00224401">
        <w:trPr>
          <w:trHeight w:val="293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F3E38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AGEG1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2CC34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respondent is between 22 to 29 years of age (reference).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A2E8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0.224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8B14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0.417</w:t>
            </w:r>
          </w:p>
        </w:tc>
        <w:tc>
          <w:tcPr>
            <w:tcW w:w="242" w:type="dxa"/>
            <w:vAlign w:val="center"/>
            <w:hideMark/>
          </w:tcPr>
          <w:p w14:paraId="75B24E36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47F92F96" w14:textId="77777777" w:rsidTr="00224401">
        <w:trPr>
          <w:trHeight w:val="284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E0FA8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AGEG2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B711B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respondent is between 30 to 39 years of age.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E0D2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0.28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7AC2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0.449</w:t>
            </w:r>
          </w:p>
        </w:tc>
        <w:tc>
          <w:tcPr>
            <w:tcW w:w="242" w:type="dxa"/>
            <w:vAlign w:val="center"/>
            <w:hideMark/>
          </w:tcPr>
          <w:p w14:paraId="72692D3B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609FF8FB" w14:textId="77777777" w:rsidTr="00224401">
        <w:trPr>
          <w:trHeight w:val="284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70C6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AGEG3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A2942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respondent is between 40 to 59 years of age.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8DD5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0.337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21CE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0.473</w:t>
            </w:r>
          </w:p>
        </w:tc>
        <w:tc>
          <w:tcPr>
            <w:tcW w:w="242" w:type="dxa"/>
            <w:vAlign w:val="center"/>
            <w:hideMark/>
          </w:tcPr>
          <w:p w14:paraId="0198DE97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1DF2291E" w14:textId="77777777" w:rsidTr="00224401">
        <w:trPr>
          <w:trHeight w:val="284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FA2E0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AGEG4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8740A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respondent is of 60 years of age or above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AFD3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0.159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05CC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0.365</w:t>
            </w:r>
          </w:p>
        </w:tc>
        <w:tc>
          <w:tcPr>
            <w:tcW w:w="242" w:type="dxa"/>
            <w:vAlign w:val="center"/>
            <w:hideMark/>
          </w:tcPr>
          <w:p w14:paraId="69813C46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2798663C" w14:textId="77777777" w:rsidTr="00224401">
        <w:trPr>
          <w:trHeight w:val="284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015A6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FEMALE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B7285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respondent is a Female.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43D6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0.475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5BB0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0.5</w:t>
            </w:r>
          </w:p>
        </w:tc>
        <w:tc>
          <w:tcPr>
            <w:tcW w:w="242" w:type="dxa"/>
            <w:vAlign w:val="center"/>
            <w:hideMark/>
          </w:tcPr>
          <w:p w14:paraId="63C2147A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1718127B" w14:textId="77777777" w:rsidTr="00224401">
        <w:trPr>
          <w:trHeight w:val="284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6E471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INCOMEG1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671F4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income of the respondent is below one lakh rupees (reference).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929A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0.544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0C89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0.498</w:t>
            </w:r>
          </w:p>
        </w:tc>
        <w:tc>
          <w:tcPr>
            <w:tcW w:w="242" w:type="dxa"/>
            <w:vAlign w:val="center"/>
            <w:hideMark/>
          </w:tcPr>
          <w:p w14:paraId="11BCE7DF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308C97FD" w14:textId="77777777" w:rsidTr="00224401">
        <w:trPr>
          <w:trHeight w:val="284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9C291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INCOMEG2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9EBE5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income of the respondent is between one lakh to three lakh rupees.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AB60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0.367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4D07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0.482</w:t>
            </w:r>
          </w:p>
        </w:tc>
        <w:tc>
          <w:tcPr>
            <w:tcW w:w="242" w:type="dxa"/>
            <w:vAlign w:val="center"/>
            <w:hideMark/>
          </w:tcPr>
          <w:p w14:paraId="0579E681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26AFEA24" w14:textId="77777777" w:rsidTr="00224401">
        <w:trPr>
          <w:trHeight w:val="284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F966F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INCOMEG3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AEBC8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income of the respondent is between three lakh to five lakh rupees.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07C2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0.063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8ED9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0.244</w:t>
            </w:r>
          </w:p>
        </w:tc>
        <w:tc>
          <w:tcPr>
            <w:tcW w:w="242" w:type="dxa"/>
            <w:vAlign w:val="center"/>
            <w:hideMark/>
          </w:tcPr>
          <w:p w14:paraId="0CD6C77E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512702E2" w14:textId="77777777" w:rsidTr="00224401">
        <w:trPr>
          <w:trHeight w:val="284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637DA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INCOMEG4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978B0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income of the respondent is more than five lakh rupees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F79E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0.026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2FA9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0.158</w:t>
            </w:r>
          </w:p>
        </w:tc>
        <w:tc>
          <w:tcPr>
            <w:tcW w:w="242" w:type="dxa"/>
            <w:vAlign w:val="center"/>
            <w:hideMark/>
          </w:tcPr>
          <w:p w14:paraId="57180FE7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72CE1AB4" w14:textId="77777777" w:rsidTr="00224401">
        <w:trPr>
          <w:trHeight w:val="284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67C81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EDUG1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349FC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respondent is an illiterate (reference).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42AF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0.057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EA0C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0.233</w:t>
            </w:r>
          </w:p>
        </w:tc>
        <w:tc>
          <w:tcPr>
            <w:tcW w:w="242" w:type="dxa"/>
            <w:vAlign w:val="center"/>
            <w:hideMark/>
          </w:tcPr>
          <w:p w14:paraId="754BAA38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503B0DCA" w14:textId="77777777" w:rsidTr="00224401">
        <w:trPr>
          <w:trHeight w:val="569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36F0A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EDUG2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7B205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education of the respondent is below primary and up to fifth standard.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260F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0.126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E8C9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0.332</w:t>
            </w:r>
          </w:p>
        </w:tc>
        <w:tc>
          <w:tcPr>
            <w:tcW w:w="242" w:type="dxa"/>
            <w:vAlign w:val="center"/>
            <w:hideMark/>
          </w:tcPr>
          <w:p w14:paraId="247C50F8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644F9DEB" w14:textId="77777777" w:rsidTr="00224401">
        <w:trPr>
          <w:trHeight w:val="569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CD41B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EDUG3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1BB7E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education of respondent is of fifth standard but below tenth standard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A6A5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0.211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C190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0.408</w:t>
            </w:r>
          </w:p>
        </w:tc>
        <w:tc>
          <w:tcPr>
            <w:tcW w:w="242" w:type="dxa"/>
            <w:vAlign w:val="center"/>
            <w:hideMark/>
          </w:tcPr>
          <w:p w14:paraId="11617EF1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68696615" w14:textId="77777777" w:rsidTr="00224401">
        <w:trPr>
          <w:trHeight w:val="569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A2D51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EDUG4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95A4F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education of respondent is of tenth standard but below twelve standard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7963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0.162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D25B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0.368</w:t>
            </w:r>
          </w:p>
        </w:tc>
        <w:tc>
          <w:tcPr>
            <w:tcW w:w="242" w:type="dxa"/>
            <w:vAlign w:val="center"/>
            <w:hideMark/>
          </w:tcPr>
          <w:p w14:paraId="2075F5F4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42836C23" w14:textId="77777777" w:rsidTr="00224401">
        <w:trPr>
          <w:trHeight w:val="569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E28AB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EDUG5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AF752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education of respondent is of twelve standard but below graduate level.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DE68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F88D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0.4</w:t>
            </w:r>
          </w:p>
        </w:tc>
        <w:tc>
          <w:tcPr>
            <w:tcW w:w="242" w:type="dxa"/>
            <w:vAlign w:val="center"/>
            <w:hideMark/>
          </w:tcPr>
          <w:p w14:paraId="5DB9F89C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6A050FCB" w14:textId="77777777" w:rsidTr="00224401">
        <w:trPr>
          <w:trHeight w:val="284"/>
          <w:jc w:val="center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85108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EDUG6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98355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education of the respondent is graduate and above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5581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0.244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18FE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0.43</w:t>
            </w:r>
          </w:p>
        </w:tc>
        <w:tc>
          <w:tcPr>
            <w:tcW w:w="242" w:type="dxa"/>
            <w:vAlign w:val="center"/>
            <w:hideMark/>
          </w:tcPr>
          <w:p w14:paraId="7234AE06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6A466E" w14:paraId="071496C7" w14:textId="77777777" w:rsidTr="00224401">
        <w:trPr>
          <w:trHeight w:val="293"/>
          <w:jc w:val="center"/>
        </w:trPr>
        <w:tc>
          <w:tcPr>
            <w:tcW w:w="17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F3BC313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2B79210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B2158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AE2EB" w14:textId="77777777" w:rsidR="006A466E" w:rsidRPr="00F775FC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F775F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751022D1" w14:textId="77777777" w:rsidR="006A466E" w:rsidRPr="00F775FC" w:rsidRDefault="006A466E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</w:tbl>
    <w:p w14:paraId="3BE904AB" w14:textId="77777777" w:rsidR="006A466E" w:rsidRDefault="006A466E" w:rsidP="006A46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Continued on the following page</w:t>
      </w:r>
    </w:p>
    <w:p w14:paraId="7564ECAF" w14:textId="77777777" w:rsidR="006A466E" w:rsidRDefault="006A466E" w:rsidP="006A466E">
      <w:pPr>
        <w:jc w:val="right"/>
        <w:rPr>
          <w:rFonts w:ascii="Times New Roman" w:hAnsi="Times New Roman" w:cs="Times New Roman"/>
        </w:rPr>
      </w:pPr>
    </w:p>
    <w:p w14:paraId="3BD8EA3D" w14:textId="77777777" w:rsidR="006A466E" w:rsidRDefault="006A466E" w:rsidP="006A466E">
      <w:pPr>
        <w:rPr>
          <w:rFonts w:ascii="Times New Roman" w:hAnsi="Times New Roman" w:cs="Times New Roman"/>
        </w:rPr>
      </w:pPr>
    </w:p>
    <w:p w14:paraId="0B9EF8F6" w14:textId="77777777" w:rsidR="006A466E" w:rsidRDefault="006A466E" w:rsidP="006A466E">
      <w:pPr>
        <w:rPr>
          <w:rFonts w:ascii="Times New Roman" w:hAnsi="Times New Roman" w:cs="Times New Roman"/>
        </w:rPr>
      </w:pPr>
    </w:p>
    <w:p w14:paraId="5AD0AB26" w14:textId="77777777" w:rsidR="006A466E" w:rsidRDefault="006A466E" w:rsidP="006A466E">
      <w:pPr>
        <w:rPr>
          <w:rFonts w:ascii="Times New Roman" w:hAnsi="Times New Roman" w:cs="Times New Roman"/>
          <w:b/>
          <w:bCs/>
        </w:rPr>
      </w:pPr>
    </w:p>
    <w:p w14:paraId="1242C89E" w14:textId="310EA065" w:rsidR="006A466E" w:rsidRDefault="006A466E" w:rsidP="006A466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Table-</w:t>
      </w:r>
      <w:r w:rsidR="00C14470">
        <w:rPr>
          <w:rFonts w:ascii="Times New Roman" w:hAnsi="Times New Roman" w:cs="Times New Roman"/>
          <w:b/>
          <w:bCs/>
        </w:rPr>
        <w:t xml:space="preserve"> A</w:t>
      </w:r>
      <w:r>
        <w:rPr>
          <w:rFonts w:ascii="Times New Roman" w:hAnsi="Times New Roman" w:cs="Times New Roman"/>
          <w:b/>
          <w:bCs/>
        </w:rPr>
        <w:t>1 continued</w:t>
      </w:r>
    </w:p>
    <w:tbl>
      <w:tblPr>
        <w:tblW w:w="11190" w:type="dxa"/>
        <w:jc w:val="center"/>
        <w:tblLook w:val="04A0" w:firstRow="1" w:lastRow="0" w:firstColumn="1" w:lastColumn="0" w:noHBand="0" w:noVBand="1"/>
      </w:tblPr>
      <w:tblGrid>
        <w:gridCol w:w="1767"/>
        <w:gridCol w:w="7780"/>
        <w:gridCol w:w="846"/>
        <w:gridCol w:w="797"/>
      </w:tblGrid>
      <w:tr w:rsidR="006A466E" w14:paraId="3B53A656" w14:textId="77777777" w:rsidTr="00224401">
        <w:trPr>
          <w:trHeight w:val="265"/>
          <w:jc w:val="center"/>
        </w:trPr>
        <w:tc>
          <w:tcPr>
            <w:tcW w:w="17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719E2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Variables</w:t>
            </w:r>
          </w:p>
        </w:tc>
        <w:tc>
          <w:tcPr>
            <w:tcW w:w="7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8CDB1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Measurement </w:t>
            </w: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C9EE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Mean</w:t>
            </w:r>
          </w:p>
        </w:tc>
        <w:tc>
          <w:tcPr>
            <w:tcW w:w="79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8601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SD</w:t>
            </w:r>
          </w:p>
        </w:tc>
      </w:tr>
      <w:tr w:rsidR="006A466E" w14:paraId="272BD9D7" w14:textId="77777777" w:rsidTr="00224401">
        <w:trPr>
          <w:trHeight w:val="265"/>
          <w:jc w:val="center"/>
        </w:trPr>
        <w:tc>
          <w:tcPr>
            <w:tcW w:w="176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10025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FAMILYM1</w:t>
            </w:r>
          </w:p>
        </w:tc>
        <w:tc>
          <w:tcPr>
            <w:tcW w:w="77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F492E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respondent's family size consists of 1 to 2 members (reference).</w:t>
            </w:r>
          </w:p>
        </w:tc>
        <w:tc>
          <w:tcPr>
            <w:tcW w:w="84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5D54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0.085</w:t>
            </w:r>
          </w:p>
        </w:tc>
        <w:tc>
          <w:tcPr>
            <w:tcW w:w="79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1D7B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0.279</w:t>
            </w:r>
          </w:p>
        </w:tc>
      </w:tr>
      <w:tr w:rsidR="006A466E" w14:paraId="223658AD" w14:textId="77777777" w:rsidTr="00224401">
        <w:trPr>
          <w:trHeight w:val="256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0E4FF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FAMILYM2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DE6F3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respondent's family size consists of 3 or 4 members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C9BA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0.478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A90F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0.499</w:t>
            </w:r>
          </w:p>
        </w:tc>
      </w:tr>
      <w:tr w:rsidR="006A466E" w14:paraId="3652047B" w14:textId="77777777" w:rsidTr="00224401">
        <w:trPr>
          <w:trHeight w:val="256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4AF7B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FAMILYM3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CB1DC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respondent's family size consists of  5 or more members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3D42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0.437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DBE0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0.496</w:t>
            </w:r>
          </w:p>
        </w:tc>
      </w:tr>
      <w:tr w:rsidR="006A466E" w14:paraId="221CCC1B" w14:textId="77777777" w:rsidTr="00224401">
        <w:trPr>
          <w:trHeight w:val="256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2AFF0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RETIRED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44814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respondent is retired (reference)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0275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0.049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F828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0.215</w:t>
            </w:r>
          </w:p>
        </w:tc>
      </w:tr>
      <w:tr w:rsidR="006A466E" w14:paraId="50E7C250" w14:textId="77777777" w:rsidTr="00224401">
        <w:trPr>
          <w:trHeight w:val="256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EFCC7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HOUSEWF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43762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respondent is a housewife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8350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0.327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96AA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0.469</w:t>
            </w:r>
          </w:p>
        </w:tc>
      </w:tr>
      <w:tr w:rsidR="006A466E" w14:paraId="1F660ABD" w14:textId="77777777" w:rsidTr="00224401">
        <w:trPr>
          <w:trHeight w:val="256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646A2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SALARIED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0B14E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respondent is employed.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F239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0.241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5C56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0.427</w:t>
            </w:r>
          </w:p>
        </w:tc>
      </w:tr>
      <w:tr w:rsidR="006A466E" w14:paraId="211DBE97" w14:textId="77777777" w:rsidTr="00224401">
        <w:trPr>
          <w:trHeight w:val="256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6B0AF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DAILYWG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4E0A7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respondent is a daily wage worker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072F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0.095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8FD5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0.293</w:t>
            </w:r>
          </w:p>
        </w:tc>
      </w:tr>
      <w:tr w:rsidR="006A466E" w14:paraId="512FB7C4" w14:textId="77777777" w:rsidTr="00224401">
        <w:trPr>
          <w:trHeight w:val="256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56307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SELFEMP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4B18C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respondent is self-employed or has a business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35EE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0.189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BEDB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0.392</w:t>
            </w:r>
          </w:p>
        </w:tc>
      </w:tr>
      <w:tr w:rsidR="006A466E" w14:paraId="10124F7C" w14:textId="77777777" w:rsidTr="00224401">
        <w:trPr>
          <w:trHeight w:val="256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9BCBC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NEARM1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A4CAB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number of earning members in a family is one (reference).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03D4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0.596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AF56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0.491</w:t>
            </w:r>
          </w:p>
        </w:tc>
      </w:tr>
      <w:tr w:rsidR="006A466E" w14:paraId="31336D32" w14:textId="77777777" w:rsidTr="00224401">
        <w:trPr>
          <w:trHeight w:val="256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00856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NEARM2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C9F3D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number of earning members in a family is two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263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0.291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67E3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0.454</w:t>
            </w:r>
          </w:p>
        </w:tc>
      </w:tr>
      <w:tr w:rsidR="006A466E" w14:paraId="3948F924" w14:textId="77777777" w:rsidTr="00224401">
        <w:trPr>
          <w:trHeight w:val="265"/>
          <w:jc w:val="center"/>
        </w:trPr>
        <w:tc>
          <w:tcPr>
            <w:tcW w:w="17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F0E937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NEARM2P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927C" w14:textId="77777777" w:rsidR="006A466E" w:rsidRPr="00C43EE0" w:rsidRDefault="006A466E" w:rsidP="00C4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 if the number of earning members in a family is three or more.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37F07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0.114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D2387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0.318</w:t>
            </w:r>
          </w:p>
        </w:tc>
      </w:tr>
      <w:tr w:rsidR="006A466E" w14:paraId="44453127" w14:textId="77777777" w:rsidTr="00224401">
        <w:trPr>
          <w:trHeight w:val="256"/>
          <w:jc w:val="center"/>
        </w:trPr>
        <w:tc>
          <w:tcPr>
            <w:tcW w:w="11190" w:type="dxa"/>
            <w:gridSpan w:val="4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F8AA0BC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Cs w:val="22"/>
                <w:lang w:eastAsia="en-IN" w:bidi="ar-SA"/>
                <w14:ligatures w14:val="none"/>
              </w:rPr>
              <w:t>Other Confidence Indicators</w:t>
            </w:r>
          </w:p>
        </w:tc>
      </w:tr>
      <w:tr w:rsidR="006A466E" w14:paraId="3AE74286" w14:textId="77777777" w:rsidTr="00224401">
        <w:trPr>
          <w:trHeight w:val="472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B6B61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HIPER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32347" w14:textId="77777777" w:rsidR="006A466E" w:rsidRPr="00C43EE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 xml:space="preserve"> =1 indicates that respondents think household income has improved from a year ago, 0 indicates that it has stayed the same, and -1 indicates that it has declined.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D6018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-0.116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C3198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0.738</w:t>
            </w:r>
          </w:p>
        </w:tc>
      </w:tr>
      <w:tr w:rsidR="006A466E" w14:paraId="278C0440" w14:textId="77777777" w:rsidTr="00224401">
        <w:trPr>
          <w:trHeight w:val="463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FF242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HIOTL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B72E" w14:textId="77777777" w:rsidR="006A466E" w:rsidRPr="00C43EE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 xml:space="preserve"> =1 indicates that respondents think household income will improve for a year ahead, 0 indicates that it will stay the same, and -1 indicates that it will decline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91416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0.413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4688E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0.667</w:t>
            </w:r>
          </w:p>
        </w:tc>
      </w:tr>
      <w:tr w:rsidR="006A466E" w14:paraId="540782F0" w14:textId="77777777" w:rsidTr="00224401">
        <w:trPr>
          <w:trHeight w:val="463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BDE0C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HSPER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2412F" w14:textId="77777777" w:rsidR="006A466E" w:rsidRPr="00C43EE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 xml:space="preserve"> =1 indicates that respondents think household spending has improved from a year ago, 0 indicates that it has stayed the same, and -1 indicates that it has declined.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B8535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0.635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239FE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0.624</w:t>
            </w:r>
          </w:p>
        </w:tc>
      </w:tr>
      <w:tr w:rsidR="006A466E" w14:paraId="6DC74A07" w14:textId="77777777" w:rsidTr="00224401">
        <w:trPr>
          <w:trHeight w:val="463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71DD5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HSOTL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05CC1" w14:textId="77777777" w:rsidR="006A466E" w:rsidRPr="00C43EE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=1 indicates that respondents think household spending will improve for a year ahead, 0 indicates that it will stay the same, and -1 indicates that it will decline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332EE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0.703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58DA2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0.561</w:t>
            </w:r>
          </w:p>
        </w:tc>
      </w:tr>
      <w:tr w:rsidR="006A466E" w14:paraId="33E5AAA0" w14:textId="77777777" w:rsidTr="00224401">
        <w:trPr>
          <w:trHeight w:val="695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FE801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ESPER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432C7" w14:textId="77777777" w:rsidR="006A466E" w:rsidRPr="00C43EE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 xml:space="preserve"> =1 indicates that respondents think spending on essentials has improved from a year ago, 0 indicates that it has stayed the same, and -1 indicates that it has declined.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CA98D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0.739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154F9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0.558</w:t>
            </w:r>
          </w:p>
        </w:tc>
      </w:tr>
      <w:tr w:rsidR="006A466E" w14:paraId="7D1352F2" w14:textId="77777777" w:rsidTr="00224401">
        <w:trPr>
          <w:trHeight w:val="463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F919F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ESOTL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23DE8" w14:textId="77777777" w:rsidR="006A466E" w:rsidRPr="00C43EE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 xml:space="preserve"> =1 indicates that respondents think spending on essentials will improve for a year ahead, 0 indicates that it will stay the same, and -1 indicates that it will decline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DA926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0.756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EF5AA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0.527</w:t>
            </w:r>
          </w:p>
        </w:tc>
      </w:tr>
      <w:tr w:rsidR="006A466E" w14:paraId="7A9BA285" w14:textId="77777777" w:rsidTr="00224401">
        <w:trPr>
          <w:trHeight w:val="695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20619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NESPER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0D468" w14:textId="77777777" w:rsidR="006A466E" w:rsidRPr="00C43EE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=1 indicates that respondents think spending on non-essentials has improved from a year ago 0 indicates that it has stayed the same, and -1 indicates that it has declined.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18620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-0.032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36CA4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0.812</w:t>
            </w:r>
          </w:p>
        </w:tc>
      </w:tr>
      <w:tr w:rsidR="006A466E" w14:paraId="0374F615" w14:textId="77777777" w:rsidTr="00224401">
        <w:trPr>
          <w:trHeight w:val="695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6CB71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NESOTL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78318" w14:textId="77777777" w:rsidR="006A466E" w:rsidRPr="00C43EE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 xml:space="preserve"> =1 indicates that respondents think spending on non-essentials will improve for a year ahead, 0 indicates that it will stay the same, and -1 indicates that it will decline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D0FC7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0.156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319E3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0.79</w:t>
            </w:r>
          </w:p>
        </w:tc>
      </w:tr>
      <w:tr w:rsidR="006A466E" w14:paraId="171A27C2" w14:textId="77777777" w:rsidTr="00224401">
        <w:trPr>
          <w:trHeight w:val="695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12439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EMPER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77912" w14:textId="77777777" w:rsidR="006A466E" w:rsidRPr="00C43EE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=1 indicates that respondents think the employment scenario has improved from a year ago, 0 indicates that it has stayed the same, and -1 indicates that it has declined.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C83A0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-0.244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27407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0.853</w:t>
            </w:r>
          </w:p>
        </w:tc>
      </w:tr>
      <w:tr w:rsidR="006A466E" w14:paraId="2D49FD0F" w14:textId="77777777" w:rsidTr="00224401">
        <w:trPr>
          <w:trHeight w:val="695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3F093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EMOTL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132F6" w14:textId="77777777" w:rsidR="006A466E" w:rsidRPr="00C43EE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=1 indicates that respondents think the employment scenario will improve for a year ahead, 0 indicates that it will stay the same, and -1 indicates that it will decline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CCEFF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0.224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DFF5A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0.863</w:t>
            </w:r>
          </w:p>
        </w:tc>
      </w:tr>
      <w:tr w:rsidR="006A466E" w14:paraId="4CFCDD70" w14:textId="77777777" w:rsidTr="00224401">
        <w:trPr>
          <w:trHeight w:val="695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DE85E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GEPPER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80F4E" w14:textId="77777777" w:rsidR="006A466E" w:rsidRPr="00C43EE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 xml:space="preserve"> =1 indicates that respondents think the general price level has improved from a year ago, 0 indicates that it has stayed the same, and -1 indicates that it has declined.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FDCCF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0.842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6B0E3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0.446</w:t>
            </w:r>
          </w:p>
        </w:tc>
      </w:tr>
      <w:tr w:rsidR="006A466E" w14:paraId="729D0650" w14:textId="77777777" w:rsidTr="00224401">
        <w:trPr>
          <w:trHeight w:val="695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7FDE3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GPOTL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3AC07" w14:textId="77777777" w:rsidR="006A466E" w:rsidRPr="00C43EE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bookmarkStart w:id="1" w:name="RANGE!D54"/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 xml:space="preserve"> =1 indicates that respondents think that the general price level will improve for a year ahead, 0 indicates that it will stay the same, and -1 indicates that it will decline</w:t>
            </w:r>
            <w:bookmarkEnd w:id="1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B7C16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0.687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40EEB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0.63</w:t>
            </w:r>
          </w:p>
        </w:tc>
      </w:tr>
      <w:tr w:rsidR="006A466E" w14:paraId="1A487E46" w14:textId="77777777" w:rsidTr="00224401">
        <w:trPr>
          <w:trHeight w:val="695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82D11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IFPER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59E59" w14:textId="77777777" w:rsidR="006A466E" w:rsidRPr="00C43EE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bookmarkStart w:id="2" w:name="_Hlk112160260" w:colFirst="1" w:colLast="1"/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 xml:space="preserve"> =1 indicates that respondents think the inflation situation has improved from a year ago, 0 indicates that it has stayed the same, and -1 indicates that it has declined.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88684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0.775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D22B0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0.525</w:t>
            </w:r>
          </w:p>
        </w:tc>
      </w:tr>
      <w:tr w:rsidR="006A466E" w14:paraId="4CAFE616" w14:textId="77777777" w:rsidTr="00224401">
        <w:trPr>
          <w:trHeight w:val="703"/>
          <w:jc w:val="center"/>
        </w:trPr>
        <w:tc>
          <w:tcPr>
            <w:tcW w:w="17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A211014" w14:textId="77777777" w:rsidR="006A466E" w:rsidRPr="00930640" w:rsidRDefault="006A466E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IFOTL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172C881" w14:textId="77777777" w:rsidR="006A466E" w:rsidRPr="00C43EE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C43EE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=1 indicates that respondents think that the inflation situation will improve for a year ahead, 0 indicates that it will stay the same, and -1 indicates that it will decline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B82AC4A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0.737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F189242" w14:textId="77777777" w:rsidR="006A466E" w:rsidRPr="00930640" w:rsidRDefault="006A466E" w:rsidP="00224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93064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0.552</w:t>
            </w:r>
          </w:p>
        </w:tc>
      </w:tr>
    </w:tbl>
    <w:bookmarkEnd w:id="2"/>
    <w:p w14:paraId="131ABA5A" w14:textId="77777777" w:rsidR="006A466E" w:rsidRDefault="006A466E" w:rsidP="006A466E">
      <w:pPr>
        <w:spacing w:after="0"/>
        <w:rPr>
          <w:rFonts w:ascii="Times New Roman" w:hAnsi="Times New Roman" w:cs="Times New Roman"/>
          <w:sz w:val="20"/>
        </w:rPr>
      </w:pPr>
      <w:r w:rsidRPr="00662D68">
        <w:rPr>
          <w:rFonts w:ascii="Times New Roman" w:hAnsi="Times New Roman" w:cs="Times New Roman"/>
          <w:sz w:val="20"/>
        </w:rPr>
        <w:lastRenderedPageBreak/>
        <w:t xml:space="preserve">Note: This table presents the definitions of the variables used in our empirical analysis and their descriptive </w:t>
      </w:r>
    </w:p>
    <w:p w14:paraId="036BD8CE" w14:textId="77777777" w:rsidR="006A466E" w:rsidRDefault="006A466E" w:rsidP="006A466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62D68">
        <w:rPr>
          <w:rFonts w:ascii="Times New Roman" w:hAnsi="Times New Roman" w:cs="Times New Roman"/>
          <w:sz w:val="20"/>
        </w:rPr>
        <w:t>Statistics</w:t>
      </w:r>
      <w:r>
        <w:rPr>
          <w:rFonts w:ascii="Times New Roman" w:hAnsi="Times New Roman" w:cs="Times New Roman"/>
          <w:sz w:val="20"/>
        </w:rPr>
        <w:t>.</w:t>
      </w:r>
    </w:p>
    <w:p w14:paraId="09D16744" w14:textId="77777777" w:rsidR="00190A08" w:rsidRPr="005F344D" w:rsidRDefault="00190A08" w:rsidP="00190A08">
      <w:pPr>
        <w:spacing w:line="240" w:lineRule="auto"/>
        <w:jc w:val="both"/>
        <w:rPr>
          <w:rFonts w:ascii="Times New Roman" w:hAnsi="Times New Roman" w:cs="Times New Roman"/>
          <w:color w:val="00B0F0"/>
          <w:sz w:val="20"/>
          <w:lang w:val="en-US"/>
        </w:rPr>
      </w:pPr>
      <w:r w:rsidRPr="005F344D">
        <w:rPr>
          <w:rFonts w:ascii="Times New Roman" w:hAnsi="Times New Roman" w:cs="Times New Roman"/>
          <w:i/>
          <w:iCs/>
          <w:color w:val="00B0F0"/>
          <w:sz w:val="20"/>
        </w:rPr>
        <w:t>Source: Authors' own work.</w:t>
      </w:r>
    </w:p>
    <w:p w14:paraId="02428716" w14:textId="77777777" w:rsidR="009E11B0" w:rsidRDefault="009E11B0" w:rsidP="009E11B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6F0C3" w14:textId="77777777" w:rsidR="009E11B0" w:rsidRDefault="009E11B0" w:rsidP="009E11B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983BA" w14:textId="77777777" w:rsidR="009E11B0" w:rsidRDefault="009E11B0" w:rsidP="009E11B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DFDCA" w14:textId="1EC00B78" w:rsidR="009E11B0" w:rsidRDefault="009E11B0" w:rsidP="009E11B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D4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C14470">
        <w:rPr>
          <w:rFonts w:ascii="Times New Roman" w:hAnsi="Times New Roman" w:cs="Times New Roman"/>
          <w:b/>
          <w:bCs/>
          <w:sz w:val="24"/>
          <w:szCs w:val="24"/>
        </w:rPr>
        <w:t>A2</w:t>
      </w:r>
      <w:r w:rsidRPr="00144D46">
        <w:rPr>
          <w:rFonts w:ascii="Times New Roman" w:hAnsi="Times New Roman" w:cs="Times New Roman"/>
          <w:b/>
          <w:bCs/>
          <w:sz w:val="24"/>
          <w:szCs w:val="24"/>
        </w:rPr>
        <w:t xml:space="preserve">: Heterogeneity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44D46">
        <w:rPr>
          <w:rFonts w:ascii="Times New Roman" w:hAnsi="Times New Roman" w:cs="Times New Roman"/>
          <w:b/>
          <w:bCs/>
          <w:sz w:val="24"/>
          <w:szCs w:val="24"/>
        </w:rPr>
        <w:t>nalysis</w:t>
      </w:r>
      <w:r>
        <w:rPr>
          <w:rFonts w:ascii="Times New Roman" w:hAnsi="Times New Roman" w:cs="Times New Roman"/>
          <w:b/>
          <w:bCs/>
          <w:sz w:val="24"/>
          <w:szCs w:val="24"/>
        </w:rPr>
        <w:t>- I</w:t>
      </w:r>
      <w:r w:rsidRPr="00144D46">
        <w:rPr>
          <w:rFonts w:ascii="Times New Roman" w:hAnsi="Times New Roman" w:cs="Times New Roman"/>
          <w:b/>
          <w:bCs/>
          <w:sz w:val="24"/>
          <w:szCs w:val="24"/>
        </w:rPr>
        <w:t>ncome</w:t>
      </w:r>
    </w:p>
    <w:tbl>
      <w:tblPr>
        <w:tblW w:w="9149" w:type="dxa"/>
        <w:jc w:val="center"/>
        <w:tblLook w:val="04A0" w:firstRow="1" w:lastRow="0" w:firstColumn="1" w:lastColumn="0" w:noHBand="0" w:noVBand="1"/>
      </w:tblPr>
      <w:tblGrid>
        <w:gridCol w:w="5349"/>
        <w:gridCol w:w="1880"/>
        <w:gridCol w:w="1920"/>
      </w:tblGrid>
      <w:tr w:rsidR="009E11B0" w14:paraId="2F285075" w14:textId="77777777" w:rsidTr="00224401">
        <w:trPr>
          <w:trHeight w:val="182"/>
          <w:jc w:val="center"/>
        </w:trPr>
        <w:tc>
          <w:tcPr>
            <w:tcW w:w="5349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E272B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Variables</w:t>
            </w:r>
          </w:p>
        </w:tc>
        <w:tc>
          <w:tcPr>
            <w:tcW w:w="1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16EF8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GECPER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AEB79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GECOTL</w:t>
            </w:r>
          </w:p>
        </w:tc>
      </w:tr>
      <w:tr w:rsidR="009E11B0" w14:paraId="299A6A7A" w14:textId="77777777" w:rsidTr="00224401">
        <w:trPr>
          <w:trHeight w:val="177"/>
          <w:jc w:val="center"/>
        </w:trPr>
        <w:tc>
          <w:tcPr>
            <w:tcW w:w="5349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8A367A1" w14:textId="77777777" w:rsidR="009E11B0" w:rsidRPr="004E13E8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B5E22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Coeff.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7259A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Coeff.</w:t>
            </w:r>
          </w:p>
        </w:tc>
      </w:tr>
      <w:tr w:rsidR="009E11B0" w14:paraId="5321CD5C" w14:textId="77777777" w:rsidTr="00224401">
        <w:trPr>
          <w:trHeight w:val="177"/>
          <w:jc w:val="center"/>
        </w:trPr>
        <w:tc>
          <w:tcPr>
            <w:tcW w:w="5349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3F38285" w14:textId="77777777" w:rsidR="009E11B0" w:rsidRPr="004E13E8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FE2E4A2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(S.E)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E69FD28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(S.E)</w:t>
            </w:r>
          </w:p>
        </w:tc>
      </w:tr>
      <w:tr w:rsidR="009E11B0" w14:paraId="7B97014B" w14:textId="77777777" w:rsidTr="00224401">
        <w:trPr>
          <w:trHeight w:val="182"/>
          <w:jc w:val="center"/>
        </w:trPr>
        <w:tc>
          <w:tcPr>
            <w:tcW w:w="53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167E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LFSI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B1F9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-0.022***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5AE6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-0.007</w:t>
            </w:r>
          </w:p>
        </w:tc>
      </w:tr>
      <w:tr w:rsidR="009E11B0" w14:paraId="0313DC7B" w14:textId="77777777" w:rsidTr="00224401">
        <w:trPr>
          <w:trHeight w:val="177"/>
          <w:jc w:val="center"/>
        </w:trPr>
        <w:tc>
          <w:tcPr>
            <w:tcW w:w="53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98EFB" w14:textId="77777777" w:rsidR="009E11B0" w:rsidRPr="004E13E8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3363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 (0.007)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2EB6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(0.005)</w:t>
            </w:r>
          </w:p>
        </w:tc>
      </w:tr>
      <w:tr w:rsidR="009E11B0" w14:paraId="13D7381F" w14:textId="77777777" w:rsidTr="00224401">
        <w:trPr>
          <w:trHeight w:val="177"/>
          <w:jc w:val="center"/>
        </w:trPr>
        <w:tc>
          <w:tcPr>
            <w:tcW w:w="53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FE6D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LFSI*INCOMEG2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67BA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-0.021***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2A07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-0.012* </w:t>
            </w:r>
          </w:p>
        </w:tc>
      </w:tr>
      <w:tr w:rsidR="009E11B0" w14:paraId="416C6032" w14:textId="77777777" w:rsidTr="00224401">
        <w:trPr>
          <w:trHeight w:val="177"/>
          <w:jc w:val="center"/>
        </w:trPr>
        <w:tc>
          <w:tcPr>
            <w:tcW w:w="53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0AE1D" w14:textId="77777777" w:rsidR="009E11B0" w:rsidRPr="004E13E8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78DC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(0.006)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6018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(0.006)</w:t>
            </w:r>
          </w:p>
        </w:tc>
      </w:tr>
      <w:tr w:rsidR="009E11B0" w14:paraId="56B73B8C" w14:textId="77777777" w:rsidTr="00224401">
        <w:trPr>
          <w:trHeight w:val="177"/>
          <w:jc w:val="center"/>
        </w:trPr>
        <w:tc>
          <w:tcPr>
            <w:tcW w:w="53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3215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LFSI*INCOMEG3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3A40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-0.030***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955F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-0.009</w:t>
            </w:r>
          </w:p>
        </w:tc>
      </w:tr>
      <w:tr w:rsidR="009E11B0" w14:paraId="1E9CD1D7" w14:textId="77777777" w:rsidTr="00224401">
        <w:trPr>
          <w:trHeight w:val="177"/>
          <w:jc w:val="center"/>
        </w:trPr>
        <w:tc>
          <w:tcPr>
            <w:tcW w:w="53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44220" w14:textId="77777777" w:rsidR="009E11B0" w:rsidRPr="004E13E8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9E6A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(0.007)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2BB7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(0.006)</w:t>
            </w:r>
          </w:p>
        </w:tc>
      </w:tr>
      <w:tr w:rsidR="009E11B0" w14:paraId="0694D42C" w14:textId="77777777" w:rsidTr="00224401">
        <w:trPr>
          <w:trHeight w:val="177"/>
          <w:jc w:val="center"/>
        </w:trPr>
        <w:tc>
          <w:tcPr>
            <w:tcW w:w="53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EE17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LFSI*INCOMEG4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98AF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-0.032***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517D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-0.002</w:t>
            </w:r>
          </w:p>
        </w:tc>
      </w:tr>
      <w:tr w:rsidR="009E11B0" w14:paraId="6F7D8103" w14:textId="77777777" w:rsidTr="00224401">
        <w:trPr>
          <w:trHeight w:val="177"/>
          <w:jc w:val="center"/>
        </w:trPr>
        <w:tc>
          <w:tcPr>
            <w:tcW w:w="53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C5276" w14:textId="77777777" w:rsidR="009E11B0" w:rsidRPr="004E13E8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2E5F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(0.006)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9A26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(0.009)</w:t>
            </w:r>
          </w:p>
        </w:tc>
      </w:tr>
      <w:tr w:rsidR="009E11B0" w14:paraId="3B018AE7" w14:textId="77777777" w:rsidTr="00224401">
        <w:trPr>
          <w:trHeight w:val="177"/>
          <w:jc w:val="center"/>
        </w:trPr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4ECB" w14:textId="77777777" w:rsidR="009E11B0" w:rsidRPr="004E13E8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871E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Household Controls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A194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90D1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es</w:t>
            </w:r>
          </w:p>
        </w:tc>
      </w:tr>
      <w:tr w:rsidR="009E11B0" w14:paraId="5E0C7687" w14:textId="77777777" w:rsidTr="00224401">
        <w:trPr>
          <w:trHeight w:val="177"/>
          <w:jc w:val="center"/>
        </w:trPr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85D3" w14:textId="77777777" w:rsidR="009E11B0" w:rsidRPr="004E13E8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City, Month, &amp;Year Fixed-Effects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DB8C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7947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es</w:t>
            </w:r>
          </w:p>
        </w:tc>
      </w:tr>
      <w:tr w:rsidR="009E11B0" w14:paraId="1888D225" w14:textId="77777777" w:rsidTr="00224401">
        <w:trPr>
          <w:trHeight w:val="182"/>
          <w:jc w:val="center"/>
        </w:trPr>
        <w:tc>
          <w:tcPr>
            <w:tcW w:w="53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BFBCD" w14:textId="77777777" w:rsidR="009E11B0" w:rsidRPr="004E13E8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Observations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7AA61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275763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0534F" w14:textId="77777777" w:rsidR="009E11B0" w:rsidRPr="004E13E8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4E13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275763</w:t>
            </w:r>
          </w:p>
        </w:tc>
      </w:tr>
    </w:tbl>
    <w:p w14:paraId="53F2A41D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0530D7">
        <w:rPr>
          <w:rFonts w:ascii="Times New Roman" w:hAnsi="Times New Roman" w:cs="Times New Roman"/>
          <w:sz w:val="20"/>
          <w:lang w:val="en-US"/>
        </w:rPr>
        <w:t xml:space="preserve">Note: This table presents the impact of financial stress on general </w:t>
      </w:r>
      <w:r w:rsidRPr="00C17683">
        <w:rPr>
          <w:rFonts w:ascii="Times New Roman" w:hAnsi="Times New Roman" w:cs="Times New Roman"/>
          <w:sz w:val="20"/>
          <w:szCs w:val="18"/>
          <w:lang w:val="en-US"/>
        </w:rPr>
        <w:t xml:space="preserve">economic </w:t>
      </w:r>
      <w:r>
        <w:rPr>
          <w:rFonts w:ascii="Times New Roman" w:hAnsi="Times New Roman" w:cs="Times New Roman"/>
          <w:sz w:val="20"/>
          <w:szCs w:val="18"/>
          <w:lang w:val="en-US"/>
        </w:rPr>
        <w:t>confidence</w:t>
      </w:r>
      <w:r w:rsidRPr="000530D7">
        <w:rPr>
          <w:rFonts w:ascii="Times New Roman" w:hAnsi="Times New Roman" w:cs="Times New Roman"/>
          <w:sz w:val="20"/>
          <w:lang w:val="en-US"/>
        </w:rPr>
        <w:t xml:space="preserve">. GECPER =1  if the respondent's perception towards their present general economic condition compared to a year ago has improved, 0 if it remained the same, and -1 if it worsened. Similarly,  GECOTL=1 if the respondent’s outlook on the future general economic condition a year ahead will improve, 0 if it will remain the same, and -1 if it will worsen. </w:t>
      </w:r>
      <w:r>
        <w:rPr>
          <w:rFonts w:ascii="Times New Roman" w:hAnsi="Times New Roman" w:cs="Times New Roman"/>
          <w:sz w:val="20"/>
          <w:szCs w:val="18"/>
          <w:lang w:val="en-US"/>
        </w:rPr>
        <w:t>LFSI</w:t>
      </w:r>
      <w:r w:rsidRPr="001E449B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18"/>
          <w:lang w:val="en-US"/>
        </w:rPr>
        <w:t>is the first lag of the financial stress index</w:t>
      </w:r>
      <w:r w:rsidRPr="000530D7">
        <w:rPr>
          <w:rFonts w:ascii="Times New Roman" w:hAnsi="Times New Roman" w:cs="Times New Roman"/>
          <w:sz w:val="20"/>
          <w:lang w:val="en-US"/>
        </w:rPr>
        <w:t xml:space="preserve">. The income categories are as follows: </w:t>
      </w:r>
      <w:r w:rsidRPr="000530D7">
        <w:rPr>
          <w:rFonts w:ascii="Times New Roman" w:hAnsi="Times New Roman" w:cs="Times New Roman"/>
          <w:sz w:val="20"/>
        </w:rPr>
        <w:t xml:space="preserve">INCOMEG1, households having annual income less than INR 100,000 (reference category); </w:t>
      </w:r>
      <w:r w:rsidRPr="000530D7">
        <w:rPr>
          <w:rFonts w:ascii="Times New Roman" w:hAnsi="Times New Roman" w:cs="Times New Roman"/>
          <w:sz w:val="20"/>
          <w:lang w:val="en-US"/>
        </w:rPr>
        <w:t xml:space="preserve">INCOMEG2 </w:t>
      </w:r>
      <w:r w:rsidRPr="000530D7">
        <w:rPr>
          <w:rFonts w:ascii="Times New Roman" w:hAnsi="Times New Roman" w:cs="Times New Roman"/>
          <w:sz w:val="20"/>
        </w:rPr>
        <w:t>captures the households having annual income between INR100,000 and INR3,00,000; INCOMEG3 is classified as households earning INR300,000 and INR500,000 a year and finally, INCOMEG4 are the households earning more than INR 500,000 a year. Standard errors clustered at the city level are reported in parentheses. *, **, and *** indicate significance at the 10%, 5%, and 1% , respectively.</w:t>
      </w:r>
    </w:p>
    <w:p w14:paraId="41735121" w14:textId="77777777" w:rsidR="00190A08" w:rsidRPr="005F344D" w:rsidRDefault="00190A08" w:rsidP="00190A08">
      <w:pPr>
        <w:spacing w:line="240" w:lineRule="auto"/>
        <w:jc w:val="both"/>
        <w:rPr>
          <w:rFonts w:ascii="Times New Roman" w:hAnsi="Times New Roman" w:cs="Times New Roman"/>
          <w:color w:val="00B0F0"/>
          <w:sz w:val="20"/>
          <w:lang w:val="en-US"/>
        </w:rPr>
      </w:pPr>
      <w:r w:rsidRPr="005F344D">
        <w:rPr>
          <w:rFonts w:ascii="Times New Roman" w:hAnsi="Times New Roman" w:cs="Times New Roman"/>
          <w:i/>
          <w:iCs/>
          <w:color w:val="00B0F0"/>
          <w:sz w:val="20"/>
        </w:rPr>
        <w:t>Source: Authors' own work.</w:t>
      </w:r>
    </w:p>
    <w:p w14:paraId="1E8EE21A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6A84B2B2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7FC839CA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3F5E0680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64954394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549B5A71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28A03188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1D70EF7A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5E34B520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7BBAECE1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2635A093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152C29C1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5A4A8F01" w14:textId="6EDCD818" w:rsidR="009E11B0" w:rsidRDefault="009E11B0" w:rsidP="009E11B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D69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C14470">
        <w:rPr>
          <w:rFonts w:ascii="Times New Roman" w:hAnsi="Times New Roman" w:cs="Times New Roman"/>
          <w:b/>
          <w:bCs/>
          <w:sz w:val="24"/>
          <w:szCs w:val="24"/>
        </w:rPr>
        <w:t>A3</w:t>
      </w:r>
      <w:r w:rsidRPr="00C45D69">
        <w:rPr>
          <w:rFonts w:ascii="Times New Roman" w:hAnsi="Times New Roman" w:cs="Times New Roman"/>
          <w:b/>
          <w:bCs/>
          <w:sz w:val="24"/>
          <w:szCs w:val="24"/>
        </w:rPr>
        <w:t xml:space="preserve">: Heterogeneity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45D69">
        <w:rPr>
          <w:rFonts w:ascii="Times New Roman" w:hAnsi="Times New Roman" w:cs="Times New Roman"/>
          <w:b/>
          <w:bCs/>
          <w:sz w:val="24"/>
          <w:szCs w:val="24"/>
        </w:rPr>
        <w:t>nalysis</w:t>
      </w:r>
      <w:r>
        <w:rPr>
          <w:rFonts w:ascii="Times New Roman" w:hAnsi="Times New Roman" w:cs="Times New Roman"/>
          <w:b/>
          <w:bCs/>
          <w:sz w:val="24"/>
          <w:szCs w:val="24"/>
        </w:rPr>
        <w:t>- E</w:t>
      </w:r>
      <w:r w:rsidRPr="00C45D69">
        <w:rPr>
          <w:rFonts w:ascii="Times New Roman" w:hAnsi="Times New Roman" w:cs="Times New Roman"/>
          <w:b/>
          <w:bCs/>
          <w:sz w:val="24"/>
          <w:szCs w:val="24"/>
        </w:rPr>
        <w:t>ducation</w:t>
      </w:r>
    </w:p>
    <w:tbl>
      <w:tblPr>
        <w:tblW w:w="8901" w:type="dxa"/>
        <w:jc w:val="center"/>
        <w:tblLook w:val="04A0" w:firstRow="1" w:lastRow="0" w:firstColumn="1" w:lastColumn="0" w:noHBand="0" w:noVBand="1"/>
      </w:tblPr>
      <w:tblGrid>
        <w:gridCol w:w="5203"/>
        <w:gridCol w:w="1830"/>
        <w:gridCol w:w="1868"/>
      </w:tblGrid>
      <w:tr w:rsidR="009E11B0" w14:paraId="72383F56" w14:textId="77777777" w:rsidTr="00224401">
        <w:trPr>
          <w:trHeight w:val="208"/>
          <w:jc w:val="center"/>
        </w:trPr>
        <w:tc>
          <w:tcPr>
            <w:tcW w:w="5203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CF48C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Variables</w:t>
            </w:r>
          </w:p>
        </w:tc>
        <w:tc>
          <w:tcPr>
            <w:tcW w:w="18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EA13B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GECPER</w:t>
            </w:r>
          </w:p>
        </w:tc>
        <w:tc>
          <w:tcPr>
            <w:tcW w:w="18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C56BB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GECOTL</w:t>
            </w:r>
          </w:p>
        </w:tc>
      </w:tr>
      <w:tr w:rsidR="009E11B0" w14:paraId="2AEDC6A0" w14:textId="77777777" w:rsidTr="00224401">
        <w:trPr>
          <w:trHeight w:val="202"/>
          <w:jc w:val="center"/>
        </w:trPr>
        <w:tc>
          <w:tcPr>
            <w:tcW w:w="5203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2E2CCBC" w14:textId="77777777" w:rsidR="009E11B0" w:rsidRPr="00074FE7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54A4D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Coeff.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02524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Coeff.</w:t>
            </w:r>
          </w:p>
        </w:tc>
      </w:tr>
      <w:tr w:rsidR="009E11B0" w14:paraId="1937E1D0" w14:textId="77777777" w:rsidTr="00224401">
        <w:trPr>
          <w:trHeight w:val="202"/>
          <w:jc w:val="center"/>
        </w:trPr>
        <w:tc>
          <w:tcPr>
            <w:tcW w:w="5203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EE9ABEE" w14:textId="77777777" w:rsidR="009E11B0" w:rsidRPr="00074FE7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75D86C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(S.E)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FC96F3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(S.E)</w:t>
            </w:r>
          </w:p>
        </w:tc>
      </w:tr>
      <w:tr w:rsidR="009E11B0" w14:paraId="431058C1" w14:textId="77777777" w:rsidTr="00224401">
        <w:trPr>
          <w:trHeight w:val="208"/>
          <w:jc w:val="center"/>
        </w:trPr>
        <w:tc>
          <w:tcPr>
            <w:tcW w:w="52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B405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LFSI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D3EB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-0.021***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CFBD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-0.003</w:t>
            </w:r>
          </w:p>
        </w:tc>
      </w:tr>
      <w:tr w:rsidR="009E11B0" w14:paraId="52930EFD" w14:textId="77777777" w:rsidTr="00224401">
        <w:trPr>
          <w:trHeight w:val="202"/>
          <w:jc w:val="center"/>
        </w:trPr>
        <w:tc>
          <w:tcPr>
            <w:tcW w:w="5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9CECF" w14:textId="77777777" w:rsidR="009E11B0" w:rsidRPr="00074FE7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CE38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</w:t>
            </w: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0.006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E6D9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</w:t>
            </w: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0.008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)</w:t>
            </w:r>
          </w:p>
        </w:tc>
      </w:tr>
      <w:tr w:rsidR="009E11B0" w14:paraId="120E5A53" w14:textId="77777777" w:rsidTr="00224401">
        <w:trPr>
          <w:trHeight w:val="202"/>
          <w:jc w:val="center"/>
        </w:trPr>
        <w:tc>
          <w:tcPr>
            <w:tcW w:w="52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D8FF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LFSI*EDUG2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ADB7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-0.022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21B8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-0.020*</w:t>
            </w:r>
          </w:p>
        </w:tc>
      </w:tr>
      <w:tr w:rsidR="009E11B0" w14:paraId="513188ED" w14:textId="77777777" w:rsidTr="00224401">
        <w:trPr>
          <w:trHeight w:val="202"/>
          <w:jc w:val="center"/>
        </w:trPr>
        <w:tc>
          <w:tcPr>
            <w:tcW w:w="5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BEAC2" w14:textId="77777777" w:rsidR="009E11B0" w:rsidRPr="00074FE7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EB1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</w:t>
            </w: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0.013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CA74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</w:t>
            </w: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0.010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)</w:t>
            </w:r>
          </w:p>
        </w:tc>
      </w:tr>
      <w:tr w:rsidR="009E11B0" w14:paraId="5EB9DF00" w14:textId="77777777" w:rsidTr="00224401">
        <w:trPr>
          <w:trHeight w:val="202"/>
          <w:jc w:val="center"/>
        </w:trPr>
        <w:tc>
          <w:tcPr>
            <w:tcW w:w="52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BC31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LFSI*EDUG3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AAAB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-0.008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6087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-0.005</w:t>
            </w:r>
          </w:p>
        </w:tc>
      </w:tr>
      <w:tr w:rsidR="009E11B0" w14:paraId="75768175" w14:textId="77777777" w:rsidTr="00224401">
        <w:trPr>
          <w:trHeight w:val="202"/>
          <w:jc w:val="center"/>
        </w:trPr>
        <w:tc>
          <w:tcPr>
            <w:tcW w:w="5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CF98A" w14:textId="77777777" w:rsidR="009E11B0" w:rsidRPr="00074FE7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E43F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</w:t>
            </w: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0.008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18CF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</w:t>
            </w: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0.006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)</w:t>
            </w:r>
          </w:p>
        </w:tc>
      </w:tr>
      <w:tr w:rsidR="009E11B0" w14:paraId="7AC52D85" w14:textId="77777777" w:rsidTr="00224401">
        <w:trPr>
          <w:trHeight w:val="202"/>
          <w:jc w:val="center"/>
        </w:trPr>
        <w:tc>
          <w:tcPr>
            <w:tcW w:w="52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518D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LFSI*EDUG4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655D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-0.012**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8425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-0.011</w:t>
            </w:r>
          </w:p>
        </w:tc>
      </w:tr>
      <w:tr w:rsidR="009E11B0" w14:paraId="0D028EA4" w14:textId="77777777" w:rsidTr="00224401">
        <w:trPr>
          <w:trHeight w:val="202"/>
          <w:jc w:val="center"/>
        </w:trPr>
        <w:tc>
          <w:tcPr>
            <w:tcW w:w="5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03C5A" w14:textId="77777777" w:rsidR="009E11B0" w:rsidRPr="00074FE7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3E68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</w:t>
            </w: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0.006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0368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</w:t>
            </w: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0.008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)</w:t>
            </w:r>
          </w:p>
        </w:tc>
      </w:tr>
      <w:tr w:rsidR="009E11B0" w14:paraId="142833FE" w14:textId="77777777" w:rsidTr="00224401">
        <w:trPr>
          <w:trHeight w:val="202"/>
          <w:jc w:val="center"/>
        </w:trPr>
        <w:tc>
          <w:tcPr>
            <w:tcW w:w="52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E599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LFSI*EDUG5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E505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-0.019**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9A66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-0.013* </w:t>
            </w:r>
          </w:p>
        </w:tc>
      </w:tr>
      <w:tr w:rsidR="009E11B0" w14:paraId="7B52A2C9" w14:textId="77777777" w:rsidTr="00224401">
        <w:trPr>
          <w:trHeight w:val="202"/>
          <w:jc w:val="center"/>
        </w:trPr>
        <w:tc>
          <w:tcPr>
            <w:tcW w:w="5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F5131" w14:textId="77777777" w:rsidR="009E11B0" w:rsidRPr="00074FE7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AE4E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</w:t>
            </w: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0.007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9038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</w:t>
            </w: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0.006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)</w:t>
            </w:r>
          </w:p>
        </w:tc>
      </w:tr>
      <w:tr w:rsidR="009E11B0" w14:paraId="585D106F" w14:textId="77777777" w:rsidTr="00224401">
        <w:trPr>
          <w:trHeight w:val="202"/>
          <w:jc w:val="center"/>
        </w:trPr>
        <w:tc>
          <w:tcPr>
            <w:tcW w:w="52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EF2F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LFSI*EDUG6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A2C9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 xml:space="preserve">-0.022**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C227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-0.013</w:t>
            </w:r>
          </w:p>
        </w:tc>
      </w:tr>
      <w:tr w:rsidR="009E11B0" w14:paraId="6B24728A" w14:textId="77777777" w:rsidTr="00224401">
        <w:trPr>
          <w:trHeight w:val="202"/>
          <w:jc w:val="center"/>
        </w:trPr>
        <w:tc>
          <w:tcPr>
            <w:tcW w:w="5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C49FF" w14:textId="77777777" w:rsidR="009E11B0" w:rsidRPr="00074FE7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5CAE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</w:t>
            </w: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0.009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5D05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</w:t>
            </w: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0.008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)</w:t>
            </w:r>
          </w:p>
        </w:tc>
      </w:tr>
      <w:tr w:rsidR="009E11B0" w14:paraId="1482660C" w14:textId="77777777" w:rsidTr="00224401">
        <w:trPr>
          <w:trHeight w:val="202"/>
          <w:jc w:val="center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FD5C" w14:textId="77777777" w:rsidR="009E11B0" w:rsidRPr="00074FE7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871E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Household Controls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69B8D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B7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Yes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A1DB5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B32AA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Yes</w:t>
            </w:r>
          </w:p>
        </w:tc>
      </w:tr>
      <w:tr w:rsidR="009E11B0" w14:paraId="630B8D34" w14:textId="77777777" w:rsidTr="00224401">
        <w:trPr>
          <w:trHeight w:val="202"/>
          <w:jc w:val="center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A429" w14:textId="77777777" w:rsidR="009E11B0" w:rsidRPr="00074FE7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City, Month, &amp;Year Fixed-Effects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3B5E1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9B7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Yes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52B51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B32AA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Yes</w:t>
            </w:r>
          </w:p>
        </w:tc>
      </w:tr>
      <w:tr w:rsidR="009E11B0" w14:paraId="7EE5250B" w14:textId="77777777" w:rsidTr="00224401">
        <w:trPr>
          <w:trHeight w:val="208"/>
          <w:jc w:val="center"/>
        </w:trPr>
        <w:tc>
          <w:tcPr>
            <w:tcW w:w="52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4E85E" w14:textId="77777777" w:rsidR="009E11B0" w:rsidRPr="00074FE7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Observations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34E3F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275763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D702C" w14:textId="77777777" w:rsidR="009E11B0" w:rsidRPr="00074FE7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074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275763</w:t>
            </w:r>
          </w:p>
        </w:tc>
      </w:tr>
    </w:tbl>
    <w:p w14:paraId="37CB1EC4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C45D69">
        <w:rPr>
          <w:rFonts w:ascii="Times New Roman" w:hAnsi="Times New Roman" w:cs="Times New Roman"/>
          <w:sz w:val="20"/>
          <w:lang w:val="en-US"/>
        </w:rPr>
        <w:t xml:space="preserve">Note: This table presents the impact of financial stress on general </w:t>
      </w:r>
      <w:r w:rsidRPr="00C17683">
        <w:rPr>
          <w:rFonts w:ascii="Times New Roman" w:hAnsi="Times New Roman" w:cs="Times New Roman"/>
          <w:sz w:val="20"/>
          <w:szCs w:val="18"/>
          <w:lang w:val="en-US"/>
        </w:rPr>
        <w:t xml:space="preserve">economic </w:t>
      </w:r>
      <w:r>
        <w:rPr>
          <w:rFonts w:ascii="Times New Roman" w:hAnsi="Times New Roman" w:cs="Times New Roman"/>
          <w:sz w:val="20"/>
          <w:szCs w:val="18"/>
          <w:lang w:val="en-US"/>
        </w:rPr>
        <w:t>confidence</w:t>
      </w:r>
      <w:r w:rsidRPr="00C45D69">
        <w:rPr>
          <w:rFonts w:ascii="Times New Roman" w:hAnsi="Times New Roman" w:cs="Times New Roman"/>
          <w:sz w:val="20"/>
          <w:lang w:val="en-US"/>
        </w:rPr>
        <w:t xml:space="preserve">. GECPER =1  if the respondent's perception towards their present general economic condition compared to a year ago has improved, 0 if it remained the same, and -1 if it worsened. Similarly, GECOTL=1 if the respondent's outlook on the future general economic condition a year ahead will improve, 0 if it will remain the same, and -1 if it will worsen. </w:t>
      </w:r>
      <w:r>
        <w:rPr>
          <w:rFonts w:ascii="Times New Roman" w:hAnsi="Times New Roman" w:cs="Times New Roman"/>
          <w:sz w:val="20"/>
          <w:szCs w:val="18"/>
          <w:lang w:val="en-US"/>
        </w:rPr>
        <w:t>LFSI</w:t>
      </w:r>
      <w:r w:rsidRPr="001E449B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18"/>
          <w:lang w:val="en-US"/>
        </w:rPr>
        <w:t>is the first lag of the financial stress index</w:t>
      </w:r>
      <w:r w:rsidRPr="00C45D69">
        <w:rPr>
          <w:rFonts w:ascii="Times New Roman" w:hAnsi="Times New Roman" w:cs="Times New Roman"/>
          <w:sz w:val="20"/>
          <w:lang w:val="en-US"/>
        </w:rPr>
        <w:t>. The educational categories are as follows: EDUG1= Illiterate</w:t>
      </w:r>
      <w:r>
        <w:rPr>
          <w:rFonts w:ascii="Times New Roman" w:hAnsi="Times New Roman" w:cs="Times New Roman"/>
          <w:sz w:val="20"/>
          <w:lang w:val="en-US"/>
        </w:rPr>
        <w:t xml:space="preserve"> (reference)</w:t>
      </w:r>
      <w:r w:rsidRPr="00C45D69">
        <w:rPr>
          <w:rFonts w:ascii="Times New Roman" w:hAnsi="Times New Roman" w:cs="Times New Roman"/>
          <w:sz w:val="20"/>
          <w:lang w:val="en-US"/>
        </w:rPr>
        <w:t xml:space="preserve">, </w:t>
      </w:r>
      <w:r w:rsidRPr="00C45D69">
        <w:rPr>
          <w:rFonts w:ascii="Times New Roman" w:hAnsi="Times New Roman" w:cs="Times New Roman"/>
          <w:sz w:val="20"/>
        </w:rPr>
        <w:t xml:space="preserve">EDUG2= Up to primary and below 5th </w:t>
      </w:r>
      <w:r>
        <w:rPr>
          <w:rFonts w:ascii="Times New Roman" w:hAnsi="Times New Roman" w:cs="Times New Roman"/>
          <w:sz w:val="20"/>
        </w:rPr>
        <w:t>grade</w:t>
      </w:r>
      <w:r w:rsidRPr="00C45D69">
        <w:rPr>
          <w:rFonts w:ascii="Times New Roman" w:hAnsi="Times New Roman" w:cs="Times New Roman"/>
          <w:sz w:val="20"/>
        </w:rPr>
        <w:t xml:space="preserve">, EDUG3=5th </w:t>
      </w:r>
      <w:r>
        <w:rPr>
          <w:rFonts w:ascii="Times New Roman" w:hAnsi="Times New Roman" w:cs="Times New Roman"/>
          <w:sz w:val="20"/>
        </w:rPr>
        <w:t>grade</w:t>
      </w:r>
      <w:r w:rsidRPr="00C45D69">
        <w:rPr>
          <w:rFonts w:ascii="Times New Roman" w:hAnsi="Times New Roman" w:cs="Times New Roman"/>
          <w:sz w:val="20"/>
        </w:rPr>
        <w:t xml:space="preserve">-below 10th </w:t>
      </w:r>
      <w:r>
        <w:rPr>
          <w:rFonts w:ascii="Times New Roman" w:hAnsi="Times New Roman" w:cs="Times New Roman"/>
          <w:sz w:val="20"/>
        </w:rPr>
        <w:t>grade</w:t>
      </w:r>
      <w:r w:rsidRPr="00C45D69">
        <w:rPr>
          <w:rFonts w:ascii="Times New Roman" w:hAnsi="Times New Roman" w:cs="Times New Roman"/>
          <w:sz w:val="20"/>
        </w:rPr>
        <w:t xml:space="preserve">, EDUG4 = 10th </w:t>
      </w:r>
      <w:r>
        <w:rPr>
          <w:rFonts w:ascii="Times New Roman" w:hAnsi="Times New Roman" w:cs="Times New Roman"/>
          <w:sz w:val="20"/>
        </w:rPr>
        <w:t>grade</w:t>
      </w:r>
      <w:r w:rsidRPr="00C45D69">
        <w:rPr>
          <w:rFonts w:ascii="Times New Roman" w:hAnsi="Times New Roman" w:cs="Times New Roman"/>
          <w:sz w:val="20"/>
        </w:rPr>
        <w:t xml:space="preserve"> but below 12th </w:t>
      </w:r>
      <w:r>
        <w:rPr>
          <w:rFonts w:ascii="Times New Roman" w:hAnsi="Times New Roman" w:cs="Times New Roman"/>
          <w:sz w:val="20"/>
        </w:rPr>
        <w:t>grade</w:t>
      </w:r>
      <w:r w:rsidRPr="00C45D69">
        <w:rPr>
          <w:rFonts w:ascii="Times New Roman" w:hAnsi="Times New Roman" w:cs="Times New Roman"/>
          <w:sz w:val="20"/>
        </w:rPr>
        <w:t xml:space="preserve">; EDUG5=12th </w:t>
      </w:r>
      <w:r>
        <w:rPr>
          <w:rFonts w:ascii="Times New Roman" w:hAnsi="Times New Roman" w:cs="Times New Roman"/>
          <w:sz w:val="20"/>
        </w:rPr>
        <w:t>grade</w:t>
      </w:r>
      <w:r w:rsidRPr="00C45D69">
        <w:rPr>
          <w:rFonts w:ascii="Times New Roman" w:hAnsi="Times New Roman" w:cs="Times New Roman"/>
          <w:sz w:val="20"/>
        </w:rPr>
        <w:t xml:space="preserve"> and below Graduate; EDUG6= Graduate, Graduate and above and Postgraduate. Standard errors clustered at the city level are reported in parentheses. *, **, and *** indicate significance at the 10%, 5%, and 1% , respectively.</w:t>
      </w:r>
    </w:p>
    <w:p w14:paraId="7FFC2604" w14:textId="77777777" w:rsidR="00190A08" w:rsidRPr="005F344D" w:rsidRDefault="00190A08" w:rsidP="00190A08">
      <w:pPr>
        <w:spacing w:line="240" w:lineRule="auto"/>
        <w:jc w:val="both"/>
        <w:rPr>
          <w:rFonts w:ascii="Times New Roman" w:hAnsi="Times New Roman" w:cs="Times New Roman"/>
          <w:color w:val="00B0F0"/>
          <w:sz w:val="20"/>
          <w:lang w:val="en-US"/>
        </w:rPr>
      </w:pPr>
      <w:r w:rsidRPr="005F344D">
        <w:rPr>
          <w:rFonts w:ascii="Times New Roman" w:hAnsi="Times New Roman" w:cs="Times New Roman"/>
          <w:i/>
          <w:iCs/>
          <w:color w:val="00B0F0"/>
          <w:sz w:val="20"/>
        </w:rPr>
        <w:t>Source: Authors' own work.</w:t>
      </w:r>
    </w:p>
    <w:p w14:paraId="06682424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643F31DF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67692C13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48CCBC9A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716C48C4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62308BD3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7B710AF8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3ABECCD2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44C47087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3F1DB586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  <w:sectPr w:rsidR="009E11B0" w:rsidSect="009E11B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1C99E48" w14:textId="7F3E6B0E" w:rsidR="009E11B0" w:rsidRDefault="009E11B0" w:rsidP="009E11B0">
      <w:pPr>
        <w:tabs>
          <w:tab w:val="left" w:pos="2530"/>
        </w:tabs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EB7DC2">
        <w:rPr>
          <w:rFonts w:ascii="Times New Roman" w:hAnsi="Times New Roman" w:cs="Times New Roman"/>
          <w:b/>
          <w:bCs/>
          <w:sz w:val="24"/>
          <w:szCs w:val="22"/>
        </w:rPr>
        <w:lastRenderedPageBreak/>
        <w:t xml:space="preserve">Table </w:t>
      </w:r>
      <w:r w:rsidR="00C14470">
        <w:rPr>
          <w:rFonts w:ascii="Times New Roman" w:hAnsi="Times New Roman" w:cs="Times New Roman"/>
          <w:b/>
          <w:bCs/>
          <w:sz w:val="24"/>
          <w:szCs w:val="22"/>
        </w:rPr>
        <w:t>A4</w:t>
      </w:r>
      <w:r w:rsidRPr="00EB7DC2">
        <w:rPr>
          <w:rFonts w:ascii="Times New Roman" w:hAnsi="Times New Roman" w:cs="Times New Roman"/>
          <w:b/>
          <w:bCs/>
          <w:sz w:val="24"/>
          <w:szCs w:val="22"/>
        </w:rPr>
        <w:t>: Exploring Potential Channels of Individual Survey Indicators</w:t>
      </w:r>
    </w:p>
    <w:tbl>
      <w:tblPr>
        <w:tblW w:w="16376" w:type="dxa"/>
        <w:jc w:val="center"/>
        <w:tblLook w:val="04A0" w:firstRow="1" w:lastRow="0" w:firstColumn="1" w:lastColumn="0" w:noHBand="0" w:noVBand="1"/>
      </w:tblPr>
      <w:tblGrid>
        <w:gridCol w:w="1476"/>
        <w:gridCol w:w="1035"/>
        <w:gridCol w:w="1036"/>
        <w:gridCol w:w="1036"/>
        <w:gridCol w:w="1044"/>
        <w:gridCol w:w="1036"/>
        <w:gridCol w:w="1018"/>
        <w:gridCol w:w="1161"/>
        <w:gridCol w:w="1188"/>
        <w:gridCol w:w="1083"/>
        <w:gridCol w:w="1109"/>
        <w:gridCol w:w="1188"/>
        <w:gridCol w:w="1057"/>
        <w:gridCol w:w="942"/>
        <w:gridCol w:w="967"/>
      </w:tblGrid>
      <w:tr w:rsidR="009E11B0" w14:paraId="0808B803" w14:textId="77777777" w:rsidTr="00224401">
        <w:trPr>
          <w:trHeight w:val="162"/>
          <w:jc w:val="center"/>
        </w:trPr>
        <w:tc>
          <w:tcPr>
            <w:tcW w:w="1476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A30BB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Variable</w:t>
            </w:r>
          </w:p>
        </w:tc>
        <w:tc>
          <w:tcPr>
            <w:tcW w:w="10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C6A73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HIPER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C8291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HIOTL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99E69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HSPER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F02A7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HSOTL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598B6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ESPER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04201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ESOTL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0E991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NESPER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D4B47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NESOTL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D8FFA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EMPER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93199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EMOTL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0BB3C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GPPER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BC1EB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GPOTL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B1509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IFPER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CABE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IFOTL</w:t>
            </w:r>
          </w:p>
        </w:tc>
      </w:tr>
      <w:tr w:rsidR="009E11B0" w14:paraId="449EF767" w14:textId="77777777" w:rsidTr="00224401">
        <w:trPr>
          <w:trHeight w:val="157"/>
          <w:jc w:val="center"/>
        </w:trPr>
        <w:tc>
          <w:tcPr>
            <w:tcW w:w="147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1880E86" w14:textId="77777777" w:rsidR="009E11B0" w:rsidRPr="006274C1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216CD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1946F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837C6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06B6B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59C19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235B6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35DAA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CEE5D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15B0D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EBF76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4057C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323F0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68960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103E4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</w:tr>
      <w:tr w:rsidR="009E11B0" w14:paraId="6201579A" w14:textId="77777777" w:rsidTr="00224401">
        <w:trPr>
          <w:trHeight w:val="157"/>
          <w:jc w:val="center"/>
        </w:trPr>
        <w:tc>
          <w:tcPr>
            <w:tcW w:w="147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185FF64" w14:textId="77777777" w:rsidR="009E11B0" w:rsidRPr="006274C1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CA3520E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08FBBCE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52483B5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4DDA799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6736157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36A0864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5D0D099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6DF697A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3DE5CBE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4989C53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DB1D194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9C1E1CB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E003072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4F3718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</w:tr>
      <w:tr w:rsidR="009E11B0" w14:paraId="1562A375" w14:textId="77777777" w:rsidTr="00224401">
        <w:trPr>
          <w:trHeight w:val="157"/>
          <w:jc w:val="center"/>
        </w:trPr>
        <w:tc>
          <w:tcPr>
            <w:tcW w:w="14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9E83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LFSI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F330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  <w:t>-0.040***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4BFC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  <w:t>-0.016***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CA55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  <w:t>-0.033***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D2CF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  <w:t>-0.020***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FDF4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  <w:t>-0.026***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77AC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  <w:t>-0.014*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C8E4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  <w:t>-0.040***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B0A3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  <w:t>-0.030***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46F0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  <w:t>-0.017***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4A56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  <w:t>-0.005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CDAF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  <w:t>-0.015*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A9EF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  <w:t>-0.002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1D4E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  <w:t>0.000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E6E4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 w:bidi="ar-SA"/>
                <w14:ligatures w14:val="none"/>
              </w:rPr>
              <w:t>0.002</w:t>
            </w:r>
          </w:p>
        </w:tc>
      </w:tr>
      <w:tr w:rsidR="009E11B0" w14:paraId="4664514C" w14:textId="77777777" w:rsidTr="00224401">
        <w:trPr>
          <w:trHeight w:val="152"/>
          <w:jc w:val="center"/>
        </w:trPr>
        <w:tc>
          <w:tcPr>
            <w:tcW w:w="14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575D5" w14:textId="77777777" w:rsidR="009E11B0" w:rsidRPr="006274C1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13F1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(0.007)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DACB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(0.005)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7A35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(0.006)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22A2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(0.006)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A9D2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(0.008)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B8A1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(0.007)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BC14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(0.003)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F899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(0.005)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DB4D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(0.004)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EB05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(0.004)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F4AF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(0.007)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BD90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(0.008)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E494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(0.005)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BC22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(0.005)</w:t>
            </w:r>
          </w:p>
        </w:tc>
      </w:tr>
      <w:tr w:rsidR="009E11B0" w14:paraId="601F9649" w14:textId="77777777" w:rsidTr="00224401">
        <w:trPr>
          <w:trHeight w:val="293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FAE7F" w14:textId="77777777" w:rsidR="009E11B0" w:rsidRPr="006274C1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871E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Household Controls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0877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9E43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52CB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2982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527D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85C3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6987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11CB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89F6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8DE3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3067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D1D6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C04D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47B4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</w:tr>
      <w:tr w:rsidR="009E11B0" w14:paraId="43F3B961" w14:textId="77777777" w:rsidTr="00224401">
        <w:trPr>
          <w:trHeight w:val="44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55CD1" w14:textId="77777777" w:rsidR="009E11B0" w:rsidRPr="006274C1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City, Month, &amp;Year Fixed-Effects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7FCA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3543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0CC2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118C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DBA4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CEE5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251D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7ECF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AAA8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D89A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899A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A3F4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744D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6B57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</w:tr>
      <w:tr w:rsidR="009E11B0" w14:paraId="557BC5D4" w14:textId="77777777" w:rsidTr="00224401">
        <w:trPr>
          <w:trHeight w:val="157"/>
          <w:jc w:val="center"/>
        </w:trPr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B90BB" w14:textId="77777777" w:rsidR="009E11B0" w:rsidRPr="006274C1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Observations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C559C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D2F4B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C201F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910DE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8D2B1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79310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1A095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A50D1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B2FDB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79470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66926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CB631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6320B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241380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AAB55" w14:textId="77777777" w:rsidR="009E11B0" w:rsidRPr="006274C1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6274C1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214252</w:t>
            </w:r>
          </w:p>
        </w:tc>
      </w:tr>
    </w:tbl>
    <w:p w14:paraId="086129B7" w14:textId="77777777" w:rsidR="009E11B0" w:rsidRPr="00C17683" w:rsidRDefault="009E11B0" w:rsidP="009E11B0">
      <w:pPr>
        <w:tabs>
          <w:tab w:val="left" w:pos="2530"/>
        </w:tabs>
        <w:jc w:val="both"/>
        <w:rPr>
          <w:rFonts w:ascii="Times New Roman" w:hAnsi="Times New Roman" w:cs="Times New Roman"/>
          <w:sz w:val="20"/>
          <w:szCs w:val="18"/>
        </w:rPr>
      </w:pPr>
      <w:r w:rsidRPr="00C17683">
        <w:rPr>
          <w:rFonts w:ascii="Times New Roman" w:hAnsi="Times New Roman" w:cs="Times New Roman"/>
          <w:sz w:val="20"/>
          <w:szCs w:val="18"/>
          <w:lang w:val="en-US"/>
        </w:rPr>
        <w:t xml:space="preserve">Note: This table presents the impact of financial stress on </w:t>
      </w:r>
      <w:r>
        <w:rPr>
          <w:rFonts w:ascii="Times New Roman" w:hAnsi="Times New Roman" w:cs="Times New Roman"/>
          <w:sz w:val="20"/>
          <w:szCs w:val="18"/>
          <w:lang w:val="en-US"/>
        </w:rPr>
        <w:t>other survey indicators in the CCS survey</w:t>
      </w:r>
      <w:r w:rsidRPr="00C17683">
        <w:rPr>
          <w:rFonts w:ascii="Times New Roman" w:hAnsi="Times New Roman" w:cs="Times New Roman"/>
          <w:sz w:val="20"/>
          <w:szCs w:val="18"/>
          <w:lang w:val="en-US"/>
        </w:rPr>
        <w:t xml:space="preserve">. </w:t>
      </w:r>
      <w:r>
        <w:rPr>
          <w:rFonts w:ascii="Times New Roman" w:hAnsi="Times New Roman" w:cs="Times New Roman"/>
          <w:sz w:val="20"/>
          <w:szCs w:val="18"/>
          <w:lang w:val="en-US"/>
        </w:rPr>
        <w:t>The definition of perception, as well as the outlook for each of the other survey indicators in the CCS survey, follows the same pattern as that of GECPER and GECOTL</w:t>
      </w:r>
      <w:r w:rsidRPr="00C17683">
        <w:rPr>
          <w:rFonts w:ascii="Times New Roman" w:hAnsi="Times New Roman" w:cs="Times New Roman"/>
          <w:sz w:val="20"/>
          <w:szCs w:val="18"/>
          <w:lang w:val="en-US"/>
        </w:rPr>
        <w:t xml:space="preserve">. </w:t>
      </w:r>
      <w:r>
        <w:rPr>
          <w:rFonts w:ascii="Times New Roman" w:hAnsi="Times New Roman" w:cs="Times New Roman"/>
          <w:sz w:val="20"/>
          <w:szCs w:val="18"/>
          <w:lang w:val="en-US"/>
        </w:rPr>
        <w:t>LFSI</w:t>
      </w:r>
      <w:r w:rsidRPr="001E449B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18"/>
          <w:lang w:val="en-US"/>
        </w:rPr>
        <w:t>is the first lag of the financial stress index</w:t>
      </w:r>
      <w:r w:rsidRPr="00C17683">
        <w:rPr>
          <w:rFonts w:ascii="Times New Roman" w:hAnsi="Times New Roman" w:cs="Times New Roman"/>
          <w:sz w:val="20"/>
          <w:szCs w:val="18"/>
          <w:lang w:val="en-US"/>
        </w:rPr>
        <w:t xml:space="preserve">. The categories of individual survey indicators are as follows: HIPER= Present Perception on household income; HIOTL= Outlook on household income; HSPER= Present perception on household spending; HSOTL= Outlook on household spending; ESPER= Present perception on essential spending; ESOTL= Outlook on essential spending; NESPER= Present perception on non-essential spending; NESOTL= Outlook on non-essential spending; EMPER= Present perception on employment; EMPTL= Outlook on employment; GPPER= Present perception towards general price levels; GPOTL= Outlook on general price levels; IFPER= Present perception towards inflation and IFOTL= Outlook on inflation. </w:t>
      </w:r>
      <w:r w:rsidRPr="00C17683">
        <w:rPr>
          <w:rFonts w:ascii="Times New Roman" w:hAnsi="Times New Roman" w:cs="Times New Roman"/>
          <w:sz w:val="20"/>
          <w:szCs w:val="18"/>
        </w:rPr>
        <w:t>Standard errors clustered at the city level are reported in parentheses. *, **, and *** indicate significance at the 10%, 5%, and 1% , respectively.</w:t>
      </w:r>
    </w:p>
    <w:p w14:paraId="459CF947" w14:textId="77777777" w:rsidR="002E0EBE" w:rsidRPr="005F344D" w:rsidRDefault="002E0EBE" w:rsidP="002E0EBE">
      <w:pPr>
        <w:spacing w:line="240" w:lineRule="auto"/>
        <w:jc w:val="both"/>
        <w:rPr>
          <w:rFonts w:ascii="Times New Roman" w:hAnsi="Times New Roman" w:cs="Times New Roman"/>
          <w:color w:val="00B0F0"/>
          <w:sz w:val="20"/>
          <w:lang w:val="en-US"/>
        </w:rPr>
      </w:pPr>
      <w:r w:rsidRPr="005F344D">
        <w:rPr>
          <w:rFonts w:ascii="Times New Roman" w:hAnsi="Times New Roman" w:cs="Times New Roman"/>
          <w:i/>
          <w:iCs/>
          <w:color w:val="00B0F0"/>
          <w:sz w:val="20"/>
        </w:rPr>
        <w:t>Source: Authors' own work.</w:t>
      </w:r>
    </w:p>
    <w:p w14:paraId="128A00D7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534EE3CA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14859241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6348813B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6F92A86C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685417F7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7D284BBF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0DEEE99B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2184A5AB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78D45A19" w14:textId="77777777" w:rsidR="009E11B0" w:rsidRDefault="009E11B0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05916E24" w14:textId="7FAE3D66" w:rsidR="009E11B0" w:rsidRDefault="009E11B0" w:rsidP="009E11B0">
      <w:pPr>
        <w:tabs>
          <w:tab w:val="left" w:pos="2530"/>
        </w:tabs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EB7DC2">
        <w:rPr>
          <w:rFonts w:ascii="Times New Roman" w:hAnsi="Times New Roman" w:cs="Times New Roman"/>
          <w:b/>
          <w:bCs/>
          <w:sz w:val="24"/>
          <w:szCs w:val="22"/>
        </w:rPr>
        <w:t xml:space="preserve">Table </w:t>
      </w:r>
      <w:r w:rsidR="00C14470">
        <w:rPr>
          <w:rFonts w:ascii="Times New Roman" w:hAnsi="Times New Roman" w:cs="Times New Roman"/>
          <w:b/>
          <w:bCs/>
          <w:sz w:val="24"/>
          <w:szCs w:val="22"/>
        </w:rPr>
        <w:t>A5</w:t>
      </w:r>
      <w:r w:rsidRPr="00EB7DC2">
        <w:rPr>
          <w:rFonts w:ascii="Times New Roman" w:hAnsi="Times New Roman" w:cs="Times New Roman"/>
          <w:b/>
          <w:bCs/>
          <w:sz w:val="24"/>
          <w:szCs w:val="22"/>
        </w:rPr>
        <w:t xml:space="preserve">: </w:t>
      </w:r>
      <w:r w:rsidRPr="001A3405">
        <w:rPr>
          <w:rFonts w:ascii="Times New Roman" w:hAnsi="Times New Roman" w:cs="Times New Roman"/>
          <w:b/>
          <w:bCs/>
          <w:sz w:val="24"/>
          <w:szCs w:val="22"/>
        </w:rPr>
        <w:t xml:space="preserve"> Impact of Individual Components of FSI on Perception and Expectations towards General Economic Conditions</w:t>
      </w:r>
    </w:p>
    <w:tbl>
      <w:tblPr>
        <w:tblW w:w="15977" w:type="dxa"/>
        <w:jc w:val="center"/>
        <w:tblLook w:val="04A0" w:firstRow="1" w:lastRow="0" w:firstColumn="1" w:lastColumn="0" w:noHBand="0" w:noVBand="1"/>
      </w:tblPr>
      <w:tblGrid>
        <w:gridCol w:w="1524"/>
        <w:gridCol w:w="1154"/>
        <w:gridCol w:w="1269"/>
        <w:gridCol w:w="1155"/>
        <w:gridCol w:w="1108"/>
        <w:gridCol w:w="1377"/>
        <w:gridCol w:w="1162"/>
        <w:gridCol w:w="1155"/>
        <w:gridCol w:w="1270"/>
        <w:gridCol w:w="1155"/>
        <w:gridCol w:w="1108"/>
        <w:gridCol w:w="1377"/>
        <w:gridCol w:w="1155"/>
        <w:gridCol w:w="8"/>
      </w:tblGrid>
      <w:tr w:rsidR="009E11B0" w14:paraId="432F2513" w14:textId="77777777" w:rsidTr="00224401">
        <w:trPr>
          <w:trHeight w:val="185"/>
          <w:jc w:val="center"/>
        </w:trPr>
        <w:tc>
          <w:tcPr>
            <w:tcW w:w="152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B14B3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Variables</w:t>
            </w:r>
          </w:p>
        </w:tc>
        <w:tc>
          <w:tcPr>
            <w:tcW w:w="722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5E4A7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GECPER</w:t>
            </w:r>
          </w:p>
        </w:tc>
        <w:tc>
          <w:tcPr>
            <w:tcW w:w="722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1BB67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GECOTL</w:t>
            </w:r>
          </w:p>
        </w:tc>
      </w:tr>
      <w:tr w:rsidR="009E11B0" w14:paraId="455EF89B" w14:textId="77777777" w:rsidTr="00224401">
        <w:trPr>
          <w:gridAfter w:val="1"/>
          <w:wAfter w:w="11" w:type="dxa"/>
          <w:trHeight w:val="179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AE2EC3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48EAF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Overall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2B0FC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BNKBTA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C8332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EQVT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1F239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EQRTN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6657A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DBTSPRD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FBAF6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EMPI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42757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Overall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60262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BNKBTA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631E9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EQVT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575FD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EQRTN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C232F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DBTSPRD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E855D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EMPI</w:t>
            </w:r>
          </w:p>
        </w:tc>
      </w:tr>
      <w:tr w:rsidR="009E11B0" w14:paraId="6BB187B7" w14:textId="77777777" w:rsidTr="00224401">
        <w:trPr>
          <w:gridAfter w:val="1"/>
          <w:wAfter w:w="11" w:type="dxa"/>
          <w:trHeight w:val="185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743882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8CA23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F84AC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179F2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03359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EAF88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0B1D9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3A993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D3AC7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4BDFC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93048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E1BCA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CE1DB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Coeff.</w:t>
            </w:r>
          </w:p>
        </w:tc>
      </w:tr>
      <w:tr w:rsidR="009E11B0" w14:paraId="6B6AE6B4" w14:textId="77777777" w:rsidTr="00224401">
        <w:trPr>
          <w:gridAfter w:val="1"/>
          <w:wAfter w:w="11" w:type="dxa"/>
          <w:trHeight w:val="179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B06CAC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4F45B942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40E0EA59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F8B3C37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B91C253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1D8DAC5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74D91B5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45DB93F0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3C72719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A339371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7AC3A15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53CFDE9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E5BC05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 w:bidi="ar-SA"/>
                <w14:ligatures w14:val="none"/>
              </w:rPr>
              <w:t>(S.E)</w:t>
            </w:r>
          </w:p>
        </w:tc>
      </w:tr>
      <w:tr w:rsidR="009E11B0" w14:paraId="318C0E2C" w14:textId="77777777" w:rsidTr="00224401">
        <w:trPr>
          <w:gridAfter w:val="1"/>
          <w:wAfter w:w="11" w:type="dxa"/>
          <w:trHeight w:val="185"/>
          <w:jc w:val="center"/>
        </w:trPr>
        <w:tc>
          <w:tcPr>
            <w:tcW w:w="15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6DE4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LFSI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B040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-0.036***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5ACB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0BE3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041D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C817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086E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10FE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-0.014***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C07C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1137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3F59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32DE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39F4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 </w:t>
            </w:r>
          </w:p>
        </w:tc>
      </w:tr>
      <w:tr w:rsidR="009E11B0" w14:paraId="67F3E402" w14:textId="77777777" w:rsidTr="00224401">
        <w:trPr>
          <w:gridAfter w:val="1"/>
          <w:wAfter w:w="11" w:type="dxa"/>
          <w:trHeight w:val="179"/>
          <w:jc w:val="center"/>
        </w:trPr>
        <w:tc>
          <w:tcPr>
            <w:tcW w:w="1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8813A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86B5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(0.006)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922B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28E1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0E7D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BE95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26A1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D9C9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(0.004)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D20D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3B6D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A46E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F604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BA11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9E11B0" w14:paraId="00A254FD" w14:textId="77777777" w:rsidTr="00224401">
        <w:trPr>
          <w:gridAfter w:val="1"/>
          <w:wAfter w:w="11" w:type="dxa"/>
          <w:trHeight w:val="179"/>
          <w:jc w:val="center"/>
        </w:trPr>
        <w:tc>
          <w:tcPr>
            <w:tcW w:w="15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05A8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LBNKBTA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CB35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8D8B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-0.041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C672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B8B0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1766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6745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72EB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E8BB1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-0.022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FBE9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082B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0A06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6F0E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9E11B0" w14:paraId="182C05FB" w14:textId="77777777" w:rsidTr="00224401">
        <w:trPr>
          <w:gridAfter w:val="1"/>
          <w:wAfter w:w="11" w:type="dxa"/>
          <w:trHeight w:val="179"/>
          <w:jc w:val="center"/>
        </w:trPr>
        <w:tc>
          <w:tcPr>
            <w:tcW w:w="1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32CC6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90FC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C585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(0.040)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8571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F8ED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4A67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3500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1AD6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7BC7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(0.037)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5AD5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798B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8D02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5275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9E11B0" w14:paraId="025997FC" w14:textId="77777777" w:rsidTr="00224401">
        <w:trPr>
          <w:gridAfter w:val="1"/>
          <w:wAfter w:w="11" w:type="dxa"/>
          <w:trHeight w:val="179"/>
          <w:jc w:val="center"/>
        </w:trPr>
        <w:tc>
          <w:tcPr>
            <w:tcW w:w="15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3FDA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LEQVT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8DF3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7193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0D7C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-0.072***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3C44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DDF5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F75E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9244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E843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169A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-0.026***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D7A1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127A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CE1A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9E11B0" w14:paraId="5E4B2BF7" w14:textId="77777777" w:rsidTr="00224401">
        <w:trPr>
          <w:gridAfter w:val="1"/>
          <w:wAfter w:w="11" w:type="dxa"/>
          <w:trHeight w:val="179"/>
          <w:jc w:val="center"/>
        </w:trPr>
        <w:tc>
          <w:tcPr>
            <w:tcW w:w="1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85E89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8C42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8C54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4FE1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(0.010)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2AA7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2030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8AE9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CC55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C1DA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B478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(0.005)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2521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2C0A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7FA9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9E11B0" w14:paraId="5A2D48A1" w14:textId="77777777" w:rsidTr="00224401">
        <w:trPr>
          <w:gridAfter w:val="1"/>
          <w:wAfter w:w="11" w:type="dxa"/>
          <w:trHeight w:val="179"/>
          <w:jc w:val="center"/>
        </w:trPr>
        <w:tc>
          <w:tcPr>
            <w:tcW w:w="15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9E11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LEQRTN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A4E8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0AA2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C517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CDD5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-0.024*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5359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578C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6402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8BE0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E078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6278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0.002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4745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0C50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9E11B0" w14:paraId="20F4695E" w14:textId="77777777" w:rsidTr="00224401">
        <w:trPr>
          <w:gridAfter w:val="1"/>
          <w:wAfter w:w="11" w:type="dxa"/>
          <w:trHeight w:val="179"/>
          <w:jc w:val="center"/>
        </w:trPr>
        <w:tc>
          <w:tcPr>
            <w:tcW w:w="1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83417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0389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8CE9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C772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438B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(0.012)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1141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915A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0004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5686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0794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9BBF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(0.011)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C634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8E3D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9E11B0" w14:paraId="0506FE23" w14:textId="77777777" w:rsidTr="00224401">
        <w:trPr>
          <w:gridAfter w:val="1"/>
          <w:wAfter w:w="11" w:type="dxa"/>
          <w:trHeight w:val="179"/>
          <w:jc w:val="center"/>
        </w:trPr>
        <w:tc>
          <w:tcPr>
            <w:tcW w:w="15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FF42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LDBTSPRD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6517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DC3A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71BE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433E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645B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-0.157***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F829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1589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FE0A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943C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8A08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0C47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-0.364***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E28C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</w:tr>
      <w:tr w:rsidR="009E11B0" w14:paraId="6FFFA074" w14:textId="77777777" w:rsidTr="00224401">
        <w:trPr>
          <w:gridAfter w:val="1"/>
          <w:wAfter w:w="11" w:type="dxa"/>
          <w:trHeight w:val="179"/>
          <w:jc w:val="center"/>
        </w:trPr>
        <w:tc>
          <w:tcPr>
            <w:tcW w:w="1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04021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33C4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B0C3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D20D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12D1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AA73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(0.041)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E567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8245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99CF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8712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9474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1AF4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(0.032)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E360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-0.221***</w:t>
            </w:r>
          </w:p>
        </w:tc>
      </w:tr>
      <w:tr w:rsidR="009E11B0" w14:paraId="53DAE4B0" w14:textId="77777777" w:rsidTr="00224401">
        <w:trPr>
          <w:gridAfter w:val="1"/>
          <w:wAfter w:w="11" w:type="dxa"/>
          <w:trHeight w:val="179"/>
          <w:jc w:val="center"/>
        </w:trPr>
        <w:tc>
          <w:tcPr>
            <w:tcW w:w="15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8664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LEMPI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74BC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11EF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DC29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EA2C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70F1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8C58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-0.442***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C7B1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7BDC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875A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8ABF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8F63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A62C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(0.045)</w:t>
            </w:r>
          </w:p>
        </w:tc>
      </w:tr>
      <w:tr w:rsidR="009E11B0" w14:paraId="21A5F242" w14:textId="77777777" w:rsidTr="00224401">
        <w:trPr>
          <w:gridAfter w:val="1"/>
          <w:wAfter w:w="11" w:type="dxa"/>
          <w:trHeight w:val="179"/>
          <w:jc w:val="center"/>
        </w:trPr>
        <w:tc>
          <w:tcPr>
            <w:tcW w:w="1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413C6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529E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6060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08B6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ECAF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C2C0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1D0A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(0.053)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C195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2668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1CE1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A6F3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8F7F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BF19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9E11B0" w14:paraId="5C518F64" w14:textId="77777777" w:rsidTr="00224401">
        <w:trPr>
          <w:gridAfter w:val="1"/>
          <w:wAfter w:w="11" w:type="dxa"/>
          <w:trHeight w:val="347"/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B8F16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 xml:space="preserve">Household </w:t>
            </w: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Controls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3946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1D0E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67C6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C790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8E5E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88AF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87EE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6D95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C8D7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C689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34DC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B383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</w:tr>
      <w:tr w:rsidR="009E11B0" w14:paraId="03BD5227" w14:textId="77777777" w:rsidTr="00224401">
        <w:trPr>
          <w:gridAfter w:val="1"/>
          <w:wAfter w:w="11" w:type="dxa"/>
          <w:trHeight w:val="521"/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6D142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City, Month, &amp;Year Fixed-Effects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BA53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EAD4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976B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9387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6999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FE55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BE25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8549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EE1B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F3834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1E26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7563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Yes</w:t>
            </w:r>
          </w:p>
        </w:tc>
      </w:tr>
      <w:tr w:rsidR="009E11B0" w14:paraId="56609EFD" w14:textId="77777777" w:rsidTr="00224401">
        <w:trPr>
          <w:gridAfter w:val="1"/>
          <w:wAfter w:w="11" w:type="dxa"/>
          <w:trHeight w:val="185"/>
          <w:jc w:val="center"/>
        </w:trPr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546F6" w14:textId="77777777" w:rsidR="009E11B0" w:rsidRPr="00441BD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Observations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005F7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189DB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26815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FB916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C3119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45715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DBA04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5E8D2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1910F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6E54F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7E104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01DB5" w14:textId="77777777" w:rsidR="009E11B0" w:rsidRPr="00441BD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441BD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275763</w:t>
            </w:r>
          </w:p>
        </w:tc>
      </w:tr>
    </w:tbl>
    <w:p w14:paraId="53C041E0" w14:textId="77777777" w:rsidR="009E11B0" w:rsidRDefault="009E11B0" w:rsidP="009E11B0">
      <w:pPr>
        <w:tabs>
          <w:tab w:val="left" w:pos="2530"/>
        </w:tabs>
        <w:jc w:val="both"/>
        <w:rPr>
          <w:rFonts w:ascii="Times New Roman" w:hAnsi="Times New Roman" w:cs="Times New Roman"/>
          <w:sz w:val="20"/>
          <w:szCs w:val="18"/>
        </w:rPr>
      </w:pPr>
      <w:r w:rsidRPr="00251C7D">
        <w:rPr>
          <w:rFonts w:ascii="Times New Roman" w:hAnsi="Times New Roman" w:cs="Times New Roman"/>
          <w:sz w:val="20"/>
          <w:szCs w:val="18"/>
          <w:lang w:val="en-US"/>
        </w:rPr>
        <w:t xml:space="preserve">Note: This table presents the impact of individual components of financial stress on general </w:t>
      </w:r>
      <w:r w:rsidRPr="00C17683">
        <w:rPr>
          <w:rFonts w:ascii="Times New Roman" w:hAnsi="Times New Roman" w:cs="Times New Roman"/>
          <w:sz w:val="20"/>
          <w:szCs w:val="18"/>
          <w:lang w:val="en-US"/>
        </w:rPr>
        <w:t xml:space="preserve">economic </w:t>
      </w:r>
      <w:r>
        <w:rPr>
          <w:rFonts w:ascii="Times New Roman" w:hAnsi="Times New Roman" w:cs="Times New Roman"/>
          <w:sz w:val="20"/>
          <w:szCs w:val="18"/>
          <w:lang w:val="en-US"/>
        </w:rPr>
        <w:t xml:space="preserve">confidence. </w:t>
      </w:r>
      <w:r w:rsidRPr="00251C7D">
        <w:rPr>
          <w:rFonts w:ascii="Times New Roman" w:hAnsi="Times New Roman" w:cs="Times New Roman"/>
          <w:sz w:val="20"/>
          <w:szCs w:val="18"/>
          <w:lang w:val="en-US"/>
        </w:rPr>
        <w:t xml:space="preserve">GECPER =1 if the respondent's perception towards their present general economic condition compared to a year ago has improved, 0 if it remained the same, and -1 if it worsened. Similarly, GECOTL=1 if the respondent's outlook on the future general economic condition a year ahead will improve, 0 if it will remain the same, and -1 if it will worsen. </w:t>
      </w:r>
      <w:r>
        <w:rPr>
          <w:rFonts w:ascii="Times New Roman" w:hAnsi="Times New Roman" w:cs="Times New Roman"/>
          <w:sz w:val="20"/>
          <w:szCs w:val="18"/>
          <w:lang w:val="en-US"/>
        </w:rPr>
        <w:t>LFSI</w:t>
      </w:r>
      <w:r w:rsidRPr="001E449B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18"/>
          <w:lang w:val="en-US"/>
        </w:rPr>
        <w:t>is the first lag of financial stress index</w:t>
      </w:r>
      <w:r w:rsidRPr="00251C7D">
        <w:rPr>
          <w:rFonts w:ascii="Times New Roman" w:hAnsi="Times New Roman" w:cs="Times New Roman"/>
          <w:sz w:val="20"/>
          <w:szCs w:val="18"/>
          <w:lang w:val="en-US"/>
        </w:rPr>
        <w:t>. LBNKBTA is the lag of banking sector beta (measuring bank-based crisis);</w:t>
      </w:r>
      <w:r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r w:rsidRPr="00251C7D">
        <w:rPr>
          <w:rFonts w:ascii="Times New Roman" w:hAnsi="Times New Roman" w:cs="Times New Roman"/>
          <w:sz w:val="20"/>
          <w:szCs w:val="18"/>
          <w:lang w:val="en-US"/>
        </w:rPr>
        <w:t>LEQRTN and LEQVT are the lag of equity market returns and lag of stock market volatility, respectively, measuring equity market stress</w:t>
      </w:r>
      <w:r>
        <w:rPr>
          <w:rFonts w:ascii="Times New Roman" w:hAnsi="Times New Roman" w:cs="Times New Roman"/>
          <w:sz w:val="20"/>
          <w:szCs w:val="18"/>
          <w:lang w:val="en-US"/>
        </w:rPr>
        <w:t xml:space="preserve">; </w:t>
      </w:r>
      <w:r w:rsidRPr="00251C7D">
        <w:rPr>
          <w:rFonts w:ascii="Times New Roman" w:hAnsi="Times New Roman" w:cs="Times New Roman"/>
          <w:sz w:val="20"/>
          <w:szCs w:val="18"/>
          <w:lang w:val="en-US"/>
        </w:rPr>
        <w:t>LDBTSPRD is the lag of sovereign debts spreads measuring sovereign debt stress</w:t>
      </w:r>
      <w:r>
        <w:rPr>
          <w:rFonts w:ascii="Times New Roman" w:hAnsi="Times New Roman" w:cs="Times New Roman"/>
          <w:sz w:val="20"/>
          <w:szCs w:val="18"/>
          <w:lang w:val="en-US"/>
        </w:rPr>
        <w:t xml:space="preserve">; </w:t>
      </w:r>
      <w:r w:rsidRPr="00251C7D">
        <w:rPr>
          <w:rFonts w:ascii="Times New Roman" w:hAnsi="Times New Roman" w:cs="Times New Roman"/>
          <w:sz w:val="20"/>
          <w:szCs w:val="18"/>
          <w:lang w:val="en-US"/>
        </w:rPr>
        <w:t xml:space="preserve">LEMPI is the lag of exchange market pressure index. </w:t>
      </w:r>
      <w:r w:rsidRPr="00251C7D">
        <w:rPr>
          <w:rFonts w:ascii="Times New Roman" w:hAnsi="Times New Roman" w:cs="Times New Roman"/>
          <w:sz w:val="20"/>
          <w:szCs w:val="18"/>
        </w:rPr>
        <w:t>Standard errors clustered at the city level are reported in parentheses. *, **, and *** indicate significance at the 10%, 5%, and 1% , respectively.</w:t>
      </w:r>
    </w:p>
    <w:p w14:paraId="3B346EA1" w14:textId="77777777" w:rsidR="001C5F39" w:rsidRPr="005F344D" w:rsidRDefault="001C5F39" w:rsidP="001C5F39">
      <w:pPr>
        <w:spacing w:line="240" w:lineRule="auto"/>
        <w:jc w:val="both"/>
        <w:rPr>
          <w:rFonts w:ascii="Times New Roman" w:hAnsi="Times New Roman" w:cs="Times New Roman"/>
          <w:color w:val="00B0F0"/>
          <w:sz w:val="20"/>
          <w:lang w:val="en-US"/>
        </w:rPr>
      </w:pPr>
      <w:r w:rsidRPr="005F344D">
        <w:rPr>
          <w:rFonts w:ascii="Times New Roman" w:hAnsi="Times New Roman" w:cs="Times New Roman"/>
          <w:i/>
          <w:iCs/>
          <w:color w:val="00B0F0"/>
          <w:sz w:val="20"/>
        </w:rPr>
        <w:t>Source: Authors' own work.</w:t>
      </w:r>
    </w:p>
    <w:p w14:paraId="11AC12C8" w14:textId="77777777" w:rsidR="001C5F39" w:rsidRDefault="001C5F39" w:rsidP="009E11B0">
      <w:pPr>
        <w:spacing w:line="240" w:lineRule="auto"/>
        <w:jc w:val="both"/>
        <w:rPr>
          <w:rFonts w:ascii="Times New Roman" w:hAnsi="Times New Roman" w:cs="Times New Roman"/>
          <w:sz w:val="20"/>
        </w:rPr>
        <w:sectPr w:rsidR="001C5F39" w:rsidSect="009E11B0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159456C" w14:textId="6E54921F" w:rsidR="009E11B0" w:rsidRDefault="009E11B0" w:rsidP="009E11B0">
      <w:pPr>
        <w:tabs>
          <w:tab w:val="left" w:pos="2530"/>
        </w:tabs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8812CA">
        <w:rPr>
          <w:rFonts w:ascii="Times New Roman" w:hAnsi="Times New Roman" w:cs="Times New Roman"/>
          <w:b/>
          <w:bCs/>
          <w:sz w:val="24"/>
          <w:szCs w:val="22"/>
        </w:rPr>
        <w:lastRenderedPageBreak/>
        <w:t xml:space="preserve">Table </w:t>
      </w:r>
      <w:r w:rsidR="00C14470">
        <w:rPr>
          <w:rFonts w:ascii="Times New Roman" w:hAnsi="Times New Roman" w:cs="Times New Roman"/>
          <w:b/>
          <w:bCs/>
          <w:sz w:val="24"/>
          <w:szCs w:val="22"/>
        </w:rPr>
        <w:t>A6</w:t>
      </w:r>
      <w:r w:rsidRPr="008812CA">
        <w:rPr>
          <w:rFonts w:ascii="Times New Roman" w:hAnsi="Times New Roman" w:cs="Times New Roman"/>
          <w:b/>
          <w:bCs/>
          <w:sz w:val="24"/>
          <w:szCs w:val="22"/>
        </w:rPr>
        <w:t>: Asymmetric Impact of Financial Stress Index</w:t>
      </w:r>
    </w:p>
    <w:tbl>
      <w:tblPr>
        <w:tblW w:w="9181" w:type="dxa"/>
        <w:jc w:val="center"/>
        <w:tblLook w:val="04A0" w:firstRow="1" w:lastRow="0" w:firstColumn="1" w:lastColumn="0" w:noHBand="0" w:noVBand="1"/>
      </w:tblPr>
      <w:tblGrid>
        <w:gridCol w:w="4954"/>
        <w:gridCol w:w="1919"/>
        <w:gridCol w:w="1960"/>
        <w:gridCol w:w="348"/>
      </w:tblGrid>
      <w:tr w:rsidR="009E11B0" w14:paraId="7C5CCDBA" w14:textId="77777777" w:rsidTr="00224401">
        <w:trPr>
          <w:gridAfter w:val="1"/>
          <w:wAfter w:w="348" w:type="dxa"/>
          <w:trHeight w:val="450"/>
          <w:jc w:val="center"/>
        </w:trPr>
        <w:tc>
          <w:tcPr>
            <w:tcW w:w="4954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8EDA5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Variables</w:t>
            </w:r>
          </w:p>
        </w:tc>
        <w:tc>
          <w:tcPr>
            <w:tcW w:w="1919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518944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GECPER</w:t>
            </w:r>
          </w:p>
        </w:tc>
        <w:tc>
          <w:tcPr>
            <w:tcW w:w="1960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BC3A1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GECOTL</w:t>
            </w:r>
          </w:p>
        </w:tc>
      </w:tr>
      <w:tr w:rsidR="009E11B0" w14:paraId="378784AB" w14:textId="77777777" w:rsidTr="00224401">
        <w:trPr>
          <w:trHeight w:val="181"/>
          <w:jc w:val="center"/>
        </w:trPr>
        <w:tc>
          <w:tcPr>
            <w:tcW w:w="4954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F4D5B66" w14:textId="77777777" w:rsidR="009E11B0" w:rsidRPr="00A23F60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1919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5B8113A" w14:textId="77777777" w:rsidR="009E11B0" w:rsidRPr="00A23F60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196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179A840" w14:textId="77777777" w:rsidR="009E11B0" w:rsidRPr="00A23F60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7258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</w:tr>
      <w:tr w:rsidR="009E11B0" w14:paraId="2660FD98" w14:textId="77777777" w:rsidTr="00224401">
        <w:trPr>
          <w:trHeight w:val="187"/>
          <w:jc w:val="center"/>
        </w:trPr>
        <w:tc>
          <w:tcPr>
            <w:tcW w:w="4954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4F960C5" w14:textId="77777777" w:rsidR="009E11B0" w:rsidRPr="00A23F60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25ECD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Coeff.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BB444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Coeff.</w:t>
            </w:r>
          </w:p>
        </w:tc>
        <w:tc>
          <w:tcPr>
            <w:tcW w:w="348" w:type="dxa"/>
            <w:vAlign w:val="center"/>
            <w:hideMark/>
          </w:tcPr>
          <w:p w14:paraId="123F6DB9" w14:textId="77777777" w:rsidR="009E11B0" w:rsidRPr="00A23F60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9E11B0" w14:paraId="546EEC03" w14:textId="77777777" w:rsidTr="00224401">
        <w:trPr>
          <w:trHeight w:val="187"/>
          <w:jc w:val="center"/>
        </w:trPr>
        <w:tc>
          <w:tcPr>
            <w:tcW w:w="4954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1ED6A36" w14:textId="77777777" w:rsidR="009E11B0" w:rsidRPr="00A23F60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C108A16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(S.E)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8E3A31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(S.E)</w:t>
            </w:r>
          </w:p>
        </w:tc>
        <w:tc>
          <w:tcPr>
            <w:tcW w:w="348" w:type="dxa"/>
            <w:vAlign w:val="center"/>
            <w:hideMark/>
          </w:tcPr>
          <w:p w14:paraId="285B5F97" w14:textId="77777777" w:rsidR="009E11B0" w:rsidRPr="00A23F60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9E11B0" w14:paraId="6D21DCDF" w14:textId="77777777" w:rsidTr="00224401">
        <w:trPr>
          <w:trHeight w:val="192"/>
          <w:jc w:val="center"/>
        </w:trPr>
        <w:tc>
          <w:tcPr>
            <w:tcW w:w="49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05DB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FSIH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8970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-0.039***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503A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-0.042***</w:t>
            </w:r>
          </w:p>
        </w:tc>
        <w:tc>
          <w:tcPr>
            <w:tcW w:w="348" w:type="dxa"/>
            <w:vAlign w:val="center"/>
            <w:hideMark/>
          </w:tcPr>
          <w:p w14:paraId="59FD7FEF" w14:textId="77777777" w:rsidR="009E11B0" w:rsidRPr="00A23F60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9E11B0" w14:paraId="189F91AD" w14:textId="77777777" w:rsidTr="00224401">
        <w:trPr>
          <w:trHeight w:val="187"/>
          <w:jc w:val="center"/>
        </w:trPr>
        <w:tc>
          <w:tcPr>
            <w:tcW w:w="4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34A2D" w14:textId="77777777" w:rsidR="009E11B0" w:rsidRPr="00A23F60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813B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(0.005)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88F3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-0.005</w:t>
            </w:r>
          </w:p>
        </w:tc>
        <w:tc>
          <w:tcPr>
            <w:tcW w:w="348" w:type="dxa"/>
            <w:vAlign w:val="center"/>
            <w:hideMark/>
          </w:tcPr>
          <w:p w14:paraId="7CBDCE48" w14:textId="77777777" w:rsidR="009E11B0" w:rsidRPr="00A23F60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9E11B0" w14:paraId="55C497E2" w14:textId="77777777" w:rsidTr="00224401">
        <w:trPr>
          <w:trHeight w:val="187"/>
          <w:jc w:val="center"/>
        </w:trPr>
        <w:tc>
          <w:tcPr>
            <w:tcW w:w="49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5484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FSIL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2E6A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-0.032**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3F8B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0.034**</w:t>
            </w:r>
          </w:p>
        </w:tc>
        <w:tc>
          <w:tcPr>
            <w:tcW w:w="348" w:type="dxa"/>
            <w:vAlign w:val="center"/>
            <w:hideMark/>
          </w:tcPr>
          <w:p w14:paraId="3DD2A9B0" w14:textId="77777777" w:rsidR="009E11B0" w:rsidRPr="00A23F60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9E11B0" w14:paraId="04C575BD" w14:textId="77777777" w:rsidTr="00224401">
        <w:trPr>
          <w:trHeight w:val="187"/>
          <w:jc w:val="center"/>
        </w:trPr>
        <w:tc>
          <w:tcPr>
            <w:tcW w:w="4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395DC" w14:textId="77777777" w:rsidR="009E11B0" w:rsidRPr="00A23F60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142F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(0.012)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FAE9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(0.014)</w:t>
            </w:r>
          </w:p>
        </w:tc>
        <w:tc>
          <w:tcPr>
            <w:tcW w:w="348" w:type="dxa"/>
            <w:vAlign w:val="center"/>
            <w:hideMark/>
          </w:tcPr>
          <w:p w14:paraId="44517A16" w14:textId="77777777" w:rsidR="009E11B0" w:rsidRPr="00A23F60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9E11B0" w14:paraId="68C2FFD0" w14:textId="77777777" w:rsidTr="00224401">
        <w:trPr>
          <w:trHeight w:val="187"/>
          <w:jc w:val="center"/>
        </w:trPr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7BAC" w14:textId="77777777" w:rsidR="009E11B0" w:rsidRPr="00A23F60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 xml:space="preserve">Household </w:t>
            </w:r>
            <w:r w:rsidRPr="00A23F6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Controls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4F2C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3516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Yes</w:t>
            </w:r>
          </w:p>
        </w:tc>
        <w:tc>
          <w:tcPr>
            <w:tcW w:w="348" w:type="dxa"/>
            <w:vAlign w:val="center"/>
            <w:hideMark/>
          </w:tcPr>
          <w:p w14:paraId="1C4A4843" w14:textId="77777777" w:rsidR="009E11B0" w:rsidRPr="00A23F60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9E11B0" w14:paraId="623DC3E6" w14:textId="77777777" w:rsidTr="00224401">
        <w:trPr>
          <w:trHeight w:val="187"/>
          <w:jc w:val="center"/>
        </w:trPr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C7B9" w14:textId="77777777" w:rsidR="009E11B0" w:rsidRPr="00A23F60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City, Month, &amp;Year Fixed-Effects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D307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B70B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Yes</w:t>
            </w:r>
          </w:p>
        </w:tc>
        <w:tc>
          <w:tcPr>
            <w:tcW w:w="348" w:type="dxa"/>
            <w:vAlign w:val="center"/>
            <w:hideMark/>
          </w:tcPr>
          <w:p w14:paraId="488CF271" w14:textId="77777777" w:rsidR="009E11B0" w:rsidRPr="00A23F60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9E11B0" w14:paraId="4D7F55D8" w14:textId="77777777" w:rsidTr="00224401">
        <w:trPr>
          <w:trHeight w:val="192"/>
          <w:jc w:val="center"/>
        </w:trPr>
        <w:tc>
          <w:tcPr>
            <w:tcW w:w="49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12924" w14:textId="77777777" w:rsidR="009E11B0" w:rsidRPr="00A23F60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Observations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43B12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275763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AF816" w14:textId="77777777" w:rsidR="009E11B0" w:rsidRPr="00A23F60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A23F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275763</w:t>
            </w:r>
          </w:p>
        </w:tc>
        <w:tc>
          <w:tcPr>
            <w:tcW w:w="348" w:type="dxa"/>
            <w:vAlign w:val="center"/>
            <w:hideMark/>
          </w:tcPr>
          <w:p w14:paraId="36CC0F9A" w14:textId="77777777" w:rsidR="009E11B0" w:rsidRPr="00A23F60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</w:tbl>
    <w:p w14:paraId="290D2393" w14:textId="77777777" w:rsidR="009E11B0" w:rsidRDefault="009E11B0" w:rsidP="009E11B0">
      <w:pPr>
        <w:tabs>
          <w:tab w:val="left" w:pos="2530"/>
        </w:tabs>
        <w:jc w:val="both"/>
        <w:rPr>
          <w:rFonts w:ascii="Times New Roman" w:hAnsi="Times New Roman" w:cs="Times New Roman"/>
          <w:sz w:val="20"/>
          <w:szCs w:val="18"/>
        </w:rPr>
      </w:pPr>
      <w:r w:rsidRPr="001E449B">
        <w:rPr>
          <w:rFonts w:ascii="Times New Roman" w:hAnsi="Times New Roman" w:cs="Times New Roman"/>
          <w:sz w:val="20"/>
          <w:szCs w:val="18"/>
          <w:lang w:val="en-US"/>
        </w:rPr>
        <w:t>Note:</w:t>
      </w:r>
      <w:r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r w:rsidRPr="00C17683">
        <w:rPr>
          <w:rFonts w:ascii="Times New Roman" w:hAnsi="Times New Roman" w:cs="Times New Roman"/>
          <w:sz w:val="20"/>
          <w:szCs w:val="18"/>
          <w:lang w:val="en-US"/>
        </w:rPr>
        <w:t xml:space="preserve">This table presents the impact of financial stress on general economic </w:t>
      </w:r>
      <w:r>
        <w:rPr>
          <w:rFonts w:ascii="Times New Roman" w:hAnsi="Times New Roman" w:cs="Times New Roman"/>
          <w:sz w:val="20"/>
          <w:szCs w:val="18"/>
          <w:lang w:val="en-US"/>
        </w:rPr>
        <w:t>confidence</w:t>
      </w:r>
      <w:r w:rsidRPr="00C17683">
        <w:rPr>
          <w:rFonts w:ascii="Times New Roman" w:hAnsi="Times New Roman" w:cs="Times New Roman"/>
          <w:sz w:val="20"/>
          <w:szCs w:val="18"/>
          <w:lang w:val="en-US"/>
        </w:rPr>
        <w:t>. GECPER =1 if the respondent's perception towards their present general economic condition compared to a year ago has improved, 0 if it remained the same, and -1 if it worsened. Similarly, GECOTL=1 if the respondent's outlook on the future general economic condition a year ahead will improve, 0 if it will remain the same, and -1 if it will worsen.</w:t>
      </w:r>
      <w:r w:rsidRPr="001E449B">
        <w:rPr>
          <w:rFonts w:ascii="Times New Roman" w:hAnsi="Times New Roman" w:cs="Times New Roman"/>
          <w:sz w:val="20"/>
          <w:szCs w:val="18"/>
          <w:lang w:val="en-US"/>
        </w:rPr>
        <w:t xml:space="preserve"> FSIH refers to the above-average FSI shock and FSIL refers to below-average FSI shocks. </w:t>
      </w:r>
      <w:r w:rsidRPr="001E449B">
        <w:rPr>
          <w:rFonts w:ascii="Times New Roman" w:hAnsi="Times New Roman" w:cs="Times New Roman"/>
          <w:sz w:val="20"/>
          <w:szCs w:val="18"/>
        </w:rPr>
        <w:t>Standard errors clustered at the city level are reported in parentheses. *, **, and *** indicate significance at the 10%, 5%, and 1% , respectively.</w:t>
      </w:r>
    </w:p>
    <w:p w14:paraId="6584F4E5" w14:textId="77777777" w:rsidR="001C5F39" w:rsidRPr="005F344D" w:rsidRDefault="001C5F39" w:rsidP="001C5F39">
      <w:pPr>
        <w:spacing w:line="240" w:lineRule="auto"/>
        <w:jc w:val="both"/>
        <w:rPr>
          <w:rFonts w:ascii="Times New Roman" w:hAnsi="Times New Roman" w:cs="Times New Roman"/>
          <w:color w:val="00B0F0"/>
          <w:sz w:val="20"/>
          <w:lang w:val="en-US"/>
        </w:rPr>
      </w:pPr>
      <w:r w:rsidRPr="005F344D">
        <w:rPr>
          <w:rFonts w:ascii="Times New Roman" w:hAnsi="Times New Roman" w:cs="Times New Roman"/>
          <w:i/>
          <w:iCs/>
          <w:color w:val="00B0F0"/>
          <w:sz w:val="20"/>
        </w:rPr>
        <w:t>Source: Authors' own work.</w:t>
      </w:r>
    </w:p>
    <w:p w14:paraId="2D6C69EC" w14:textId="77777777" w:rsidR="009E11B0" w:rsidRDefault="009E11B0" w:rsidP="009E11B0">
      <w:pPr>
        <w:tabs>
          <w:tab w:val="left" w:pos="2530"/>
        </w:tabs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14:paraId="33285E13" w14:textId="78E382F2" w:rsidR="009E11B0" w:rsidRDefault="009E11B0" w:rsidP="009E11B0">
      <w:pPr>
        <w:tabs>
          <w:tab w:val="left" w:pos="2530"/>
        </w:tabs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8812CA">
        <w:rPr>
          <w:rFonts w:ascii="Times New Roman" w:hAnsi="Times New Roman" w:cs="Times New Roman"/>
          <w:b/>
          <w:bCs/>
          <w:sz w:val="24"/>
          <w:szCs w:val="22"/>
        </w:rPr>
        <w:t xml:space="preserve">Table </w:t>
      </w:r>
      <w:r w:rsidR="00C14470">
        <w:rPr>
          <w:rFonts w:ascii="Times New Roman" w:hAnsi="Times New Roman" w:cs="Times New Roman"/>
          <w:b/>
          <w:bCs/>
          <w:sz w:val="24"/>
          <w:szCs w:val="22"/>
        </w:rPr>
        <w:t>A7</w:t>
      </w:r>
      <w:r w:rsidRPr="008812CA">
        <w:rPr>
          <w:rFonts w:ascii="Times New Roman" w:hAnsi="Times New Roman" w:cs="Times New Roman"/>
          <w:b/>
          <w:bCs/>
          <w:sz w:val="24"/>
          <w:szCs w:val="22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2"/>
        </w:rPr>
        <w:t>Robustness Check- Alternative Definition of Consumer Confidence</w:t>
      </w:r>
    </w:p>
    <w:tbl>
      <w:tblPr>
        <w:tblW w:w="9113" w:type="dxa"/>
        <w:jc w:val="center"/>
        <w:tblLook w:val="04A0" w:firstRow="1" w:lastRow="0" w:firstColumn="1" w:lastColumn="0" w:noHBand="0" w:noVBand="1"/>
      </w:tblPr>
      <w:tblGrid>
        <w:gridCol w:w="6395"/>
        <w:gridCol w:w="2270"/>
        <w:gridCol w:w="448"/>
      </w:tblGrid>
      <w:tr w:rsidR="009E11B0" w14:paraId="51692687" w14:textId="77777777" w:rsidTr="00224401">
        <w:trPr>
          <w:gridAfter w:val="1"/>
          <w:wAfter w:w="448" w:type="dxa"/>
          <w:trHeight w:val="450"/>
          <w:jc w:val="center"/>
        </w:trPr>
        <w:tc>
          <w:tcPr>
            <w:tcW w:w="6395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DC27D" w14:textId="77777777" w:rsidR="009E11B0" w:rsidRPr="005B64F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5B64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Variables</w:t>
            </w:r>
          </w:p>
        </w:tc>
        <w:tc>
          <w:tcPr>
            <w:tcW w:w="2270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B091B" w14:textId="77777777" w:rsidR="009E11B0" w:rsidRPr="005B64F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5B64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HHE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C</w:t>
            </w:r>
          </w:p>
        </w:tc>
      </w:tr>
      <w:tr w:rsidR="009E11B0" w14:paraId="328AA4ED" w14:textId="77777777" w:rsidTr="00224401">
        <w:trPr>
          <w:trHeight w:val="158"/>
          <w:jc w:val="center"/>
        </w:trPr>
        <w:tc>
          <w:tcPr>
            <w:tcW w:w="639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9F7DB17" w14:textId="77777777" w:rsidR="009E11B0" w:rsidRPr="005B64F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227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49CD739" w14:textId="77777777" w:rsidR="009E11B0" w:rsidRPr="005B64F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85B1" w14:textId="77777777" w:rsidR="009E11B0" w:rsidRPr="005B64F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</w:tr>
      <w:tr w:rsidR="009E11B0" w14:paraId="0EEB47F2" w14:textId="77777777" w:rsidTr="00224401">
        <w:trPr>
          <w:trHeight w:val="163"/>
          <w:jc w:val="center"/>
        </w:trPr>
        <w:tc>
          <w:tcPr>
            <w:tcW w:w="639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BE5F8D5" w14:textId="77777777" w:rsidR="009E11B0" w:rsidRPr="005B64F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7C9F7" w14:textId="77777777" w:rsidR="009E11B0" w:rsidRPr="005B64F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5B64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Coeff.</w:t>
            </w:r>
          </w:p>
        </w:tc>
        <w:tc>
          <w:tcPr>
            <w:tcW w:w="448" w:type="dxa"/>
            <w:vAlign w:val="center"/>
            <w:hideMark/>
          </w:tcPr>
          <w:p w14:paraId="445BC041" w14:textId="77777777" w:rsidR="009E11B0" w:rsidRPr="005B64F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9E11B0" w14:paraId="2B1DFAC3" w14:textId="77777777" w:rsidTr="00224401">
        <w:trPr>
          <w:trHeight w:val="163"/>
          <w:jc w:val="center"/>
        </w:trPr>
        <w:tc>
          <w:tcPr>
            <w:tcW w:w="639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333C995" w14:textId="77777777" w:rsidR="009E11B0" w:rsidRPr="005B64F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4C93B96" w14:textId="77777777" w:rsidR="009E11B0" w:rsidRPr="005B64F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5B64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(S.E)</w:t>
            </w:r>
          </w:p>
        </w:tc>
        <w:tc>
          <w:tcPr>
            <w:tcW w:w="448" w:type="dxa"/>
            <w:vAlign w:val="center"/>
            <w:hideMark/>
          </w:tcPr>
          <w:p w14:paraId="56FFB70B" w14:textId="77777777" w:rsidR="009E11B0" w:rsidRPr="005B64F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9E11B0" w14:paraId="32D95A0A" w14:textId="77777777" w:rsidTr="00224401">
        <w:trPr>
          <w:trHeight w:val="169"/>
          <w:jc w:val="center"/>
        </w:trPr>
        <w:tc>
          <w:tcPr>
            <w:tcW w:w="6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D58B" w14:textId="77777777" w:rsidR="009E11B0" w:rsidRPr="005B64F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5B64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LFSI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1302" w14:textId="77777777" w:rsidR="009E11B0" w:rsidRPr="005B64F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5B64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-0.048***</w:t>
            </w:r>
          </w:p>
        </w:tc>
        <w:tc>
          <w:tcPr>
            <w:tcW w:w="448" w:type="dxa"/>
            <w:vAlign w:val="center"/>
            <w:hideMark/>
          </w:tcPr>
          <w:p w14:paraId="5CD00193" w14:textId="77777777" w:rsidR="009E11B0" w:rsidRPr="005B64F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9E11B0" w14:paraId="5D932F36" w14:textId="77777777" w:rsidTr="00224401">
        <w:trPr>
          <w:trHeight w:val="163"/>
          <w:jc w:val="center"/>
        </w:trPr>
        <w:tc>
          <w:tcPr>
            <w:tcW w:w="6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01237" w14:textId="77777777" w:rsidR="009E11B0" w:rsidRPr="005B64F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A6FE" w14:textId="77777777" w:rsidR="009E11B0" w:rsidRPr="005B64F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5B64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(0.009)</w:t>
            </w:r>
          </w:p>
        </w:tc>
        <w:tc>
          <w:tcPr>
            <w:tcW w:w="448" w:type="dxa"/>
            <w:vAlign w:val="center"/>
            <w:hideMark/>
          </w:tcPr>
          <w:p w14:paraId="09BE1E0B" w14:textId="77777777" w:rsidR="009E11B0" w:rsidRPr="005B64F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9E11B0" w14:paraId="295E406A" w14:textId="77777777" w:rsidTr="00224401">
        <w:trPr>
          <w:trHeight w:val="163"/>
          <w:jc w:val="center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12B1" w14:textId="77777777" w:rsidR="009E11B0" w:rsidRPr="005B64F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Household</w:t>
            </w:r>
            <w:r w:rsidRPr="005B64F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 xml:space="preserve"> Controls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F59B" w14:textId="77777777" w:rsidR="009E11B0" w:rsidRPr="005B64F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5B64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Yes</w:t>
            </w:r>
          </w:p>
        </w:tc>
        <w:tc>
          <w:tcPr>
            <w:tcW w:w="448" w:type="dxa"/>
            <w:vAlign w:val="center"/>
            <w:hideMark/>
          </w:tcPr>
          <w:p w14:paraId="64AF04F6" w14:textId="77777777" w:rsidR="009E11B0" w:rsidRPr="005B64F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9E11B0" w14:paraId="1685FD65" w14:textId="77777777" w:rsidTr="00224401">
        <w:trPr>
          <w:trHeight w:val="163"/>
          <w:jc w:val="center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DD54" w14:textId="77777777" w:rsidR="009E11B0" w:rsidRPr="005B64F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</w:pPr>
            <w:r w:rsidRPr="005B64FD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 w:bidi="ar-SA"/>
                <w14:ligatures w14:val="none"/>
              </w:rPr>
              <w:t>City, Month, &amp;Year Fixed-Effects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A98C" w14:textId="77777777" w:rsidR="009E11B0" w:rsidRPr="005B64F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5B64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Yes</w:t>
            </w:r>
          </w:p>
        </w:tc>
        <w:tc>
          <w:tcPr>
            <w:tcW w:w="448" w:type="dxa"/>
            <w:vAlign w:val="center"/>
            <w:hideMark/>
          </w:tcPr>
          <w:p w14:paraId="74D12504" w14:textId="77777777" w:rsidR="009E11B0" w:rsidRPr="005B64F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  <w:tr w:rsidR="009E11B0" w14:paraId="4C705206" w14:textId="77777777" w:rsidTr="00224401">
        <w:trPr>
          <w:trHeight w:val="169"/>
          <w:jc w:val="center"/>
        </w:trPr>
        <w:tc>
          <w:tcPr>
            <w:tcW w:w="63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6D7BF" w14:textId="77777777" w:rsidR="009E11B0" w:rsidRPr="005B64F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5B64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Observations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F7BDF" w14:textId="77777777" w:rsidR="009E11B0" w:rsidRPr="005B64FD" w:rsidRDefault="009E11B0" w:rsidP="002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</w:pPr>
            <w:r w:rsidRPr="005B64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ar-SA"/>
                <w14:ligatures w14:val="none"/>
              </w:rPr>
              <w:t>275763</w:t>
            </w:r>
          </w:p>
        </w:tc>
        <w:tc>
          <w:tcPr>
            <w:tcW w:w="448" w:type="dxa"/>
            <w:vAlign w:val="center"/>
            <w:hideMark/>
          </w:tcPr>
          <w:p w14:paraId="3C6010C6" w14:textId="77777777" w:rsidR="009E11B0" w:rsidRPr="005B64FD" w:rsidRDefault="009E11B0" w:rsidP="00224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 w:bidi="ar-SA"/>
                <w14:ligatures w14:val="none"/>
              </w:rPr>
            </w:pPr>
          </w:p>
        </w:tc>
      </w:tr>
    </w:tbl>
    <w:p w14:paraId="0C077EB5" w14:textId="77777777" w:rsidR="009E11B0" w:rsidRPr="00DB0DA3" w:rsidRDefault="009E11B0" w:rsidP="009E11B0">
      <w:pPr>
        <w:tabs>
          <w:tab w:val="left" w:pos="2530"/>
        </w:tabs>
        <w:jc w:val="both"/>
        <w:rPr>
          <w:rFonts w:ascii="Times New Roman" w:hAnsi="Times New Roman" w:cs="Times New Roman"/>
          <w:sz w:val="20"/>
          <w:szCs w:val="18"/>
        </w:rPr>
      </w:pPr>
      <w:r w:rsidRPr="001E449B">
        <w:rPr>
          <w:rFonts w:ascii="Times New Roman" w:hAnsi="Times New Roman" w:cs="Times New Roman"/>
          <w:sz w:val="20"/>
          <w:szCs w:val="18"/>
          <w:lang w:val="en-US"/>
        </w:rPr>
        <w:t xml:space="preserve">Note: </w:t>
      </w:r>
      <w:r w:rsidRPr="00C17683">
        <w:rPr>
          <w:rFonts w:ascii="Times New Roman" w:hAnsi="Times New Roman" w:cs="Times New Roman"/>
          <w:sz w:val="20"/>
          <w:szCs w:val="18"/>
          <w:lang w:val="en-US"/>
        </w:rPr>
        <w:t>This table presents the impact of financial stress on</w:t>
      </w:r>
      <w:r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r w:rsidRPr="00C17683">
        <w:rPr>
          <w:rFonts w:ascii="Times New Roman" w:hAnsi="Times New Roman" w:cs="Times New Roman"/>
          <w:sz w:val="20"/>
          <w:szCs w:val="18"/>
          <w:lang w:val="en-US"/>
        </w:rPr>
        <w:t xml:space="preserve">economic </w:t>
      </w:r>
      <w:r>
        <w:rPr>
          <w:rFonts w:ascii="Times New Roman" w:hAnsi="Times New Roman" w:cs="Times New Roman"/>
          <w:sz w:val="20"/>
          <w:szCs w:val="18"/>
          <w:lang w:val="en-US"/>
        </w:rPr>
        <w:t>confidence based on an alternative definition of general economic confidence</w:t>
      </w:r>
      <w:r w:rsidRPr="00C17683">
        <w:rPr>
          <w:rFonts w:ascii="Times New Roman" w:hAnsi="Times New Roman" w:cs="Times New Roman"/>
          <w:sz w:val="20"/>
          <w:szCs w:val="18"/>
          <w:lang w:val="en-US"/>
        </w:rPr>
        <w:t>.</w:t>
      </w:r>
      <w:r>
        <w:rPr>
          <w:rFonts w:ascii="Times New Roman" w:hAnsi="Times New Roman" w:cs="Times New Roman"/>
          <w:sz w:val="20"/>
          <w:szCs w:val="18"/>
          <w:lang w:val="en-US"/>
        </w:rPr>
        <w:t xml:space="preserve"> HHEC is the aggregate of GECPER and GECOTL. LFSI</w:t>
      </w:r>
      <w:r w:rsidRPr="001E449B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18"/>
          <w:lang w:val="en-US"/>
        </w:rPr>
        <w:t>is the first lag of the financial stress index</w:t>
      </w:r>
      <w:r w:rsidRPr="001E449B">
        <w:rPr>
          <w:rFonts w:ascii="Times New Roman" w:hAnsi="Times New Roman" w:cs="Times New Roman"/>
          <w:sz w:val="20"/>
          <w:szCs w:val="18"/>
          <w:lang w:val="en-US"/>
        </w:rPr>
        <w:t>.</w:t>
      </w:r>
      <w:r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r w:rsidRPr="001E449B">
        <w:rPr>
          <w:rFonts w:ascii="Times New Roman" w:hAnsi="Times New Roman" w:cs="Times New Roman"/>
          <w:sz w:val="20"/>
          <w:szCs w:val="18"/>
        </w:rPr>
        <w:t>Standard errors clustered at the city level are reported in parentheses. *, **, and *** indicate significance at the 10%, 5%, and 1% , respectively.</w:t>
      </w:r>
    </w:p>
    <w:p w14:paraId="38B3F04D" w14:textId="77777777" w:rsidR="001C5F39" w:rsidRPr="005F344D" w:rsidRDefault="001C5F39" w:rsidP="001C5F39">
      <w:pPr>
        <w:spacing w:line="240" w:lineRule="auto"/>
        <w:jc w:val="both"/>
        <w:rPr>
          <w:rFonts w:ascii="Times New Roman" w:hAnsi="Times New Roman" w:cs="Times New Roman"/>
          <w:color w:val="00B0F0"/>
          <w:sz w:val="20"/>
          <w:lang w:val="en-US"/>
        </w:rPr>
      </w:pPr>
      <w:r w:rsidRPr="005F344D">
        <w:rPr>
          <w:rFonts w:ascii="Times New Roman" w:hAnsi="Times New Roman" w:cs="Times New Roman"/>
          <w:i/>
          <w:iCs/>
          <w:color w:val="00B0F0"/>
          <w:sz w:val="20"/>
        </w:rPr>
        <w:t>Source: Authors' own work.</w:t>
      </w:r>
    </w:p>
    <w:p w14:paraId="65AF6866" w14:textId="77777777" w:rsidR="006A466E" w:rsidRDefault="006A466E"/>
    <w:sectPr w:rsidR="006A46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00634" w14:textId="77777777" w:rsidR="00644EFA" w:rsidRDefault="00644EFA" w:rsidP="004031D9">
      <w:pPr>
        <w:spacing w:after="0" w:line="240" w:lineRule="auto"/>
      </w:pPr>
      <w:r>
        <w:separator/>
      </w:r>
    </w:p>
  </w:endnote>
  <w:endnote w:type="continuationSeparator" w:id="0">
    <w:p w14:paraId="0CB54F30" w14:textId="77777777" w:rsidR="00644EFA" w:rsidRDefault="00644EFA" w:rsidP="00403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97561" w14:textId="77777777" w:rsidR="00644EFA" w:rsidRDefault="00644EFA" w:rsidP="004031D9">
      <w:pPr>
        <w:spacing w:after="0" w:line="240" w:lineRule="auto"/>
      </w:pPr>
      <w:r>
        <w:separator/>
      </w:r>
    </w:p>
  </w:footnote>
  <w:footnote w:type="continuationSeparator" w:id="0">
    <w:p w14:paraId="66CF69CB" w14:textId="77777777" w:rsidR="00644EFA" w:rsidRDefault="00644EFA" w:rsidP="00403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6E"/>
    <w:rsid w:val="00093779"/>
    <w:rsid w:val="000B7822"/>
    <w:rsid w:val="00170D49"/>
    <w:rsid w:val="00190A08"/>
    <w:rsid w:val="001C5F39"/>
    <w:rsid w:val="00231C23"/>
    <w:rsid w:val="002E0EBE"/>
    <w:rsid w:val="004031D9"/>
    <w:rsid w:val="00554A66"/>
    <w:rsid w:val="005A68DC"/>
    <w:rsid w:val="00644EFA"/>
    <w:rsid w:val="00674A4F"/>
    <w:rsid w:val="006A466E"/>
    <w:rsid w:val="00703B0E"/>
    <w:rsid w:val="007834FE"/>
    <w:rsid w:val="0079667F"/>
    <w:rsid w:val="009E11B0"/>
    <w:rsid w:val="00AA0107"/>
    <w:rsid w:val="00B3103A"/>
    <w:rsid w:val="00B37994"/>
    <w:rsid w:val="00B706FD"/>
    <w:rsid w:val="00BD78C2"/>
    <w:rsid w:val="00C14470"/>
    <w:rsid w:val="00C43EE0"/>
    <w:rsid w:val="00D36FDE"/>
    <w:rsid w:val="00D40208"/>
    <w:rsid w:val="00DA2A31"/>
    <w:rsid w:val="00E51158"/>
    <w:rsid w:val="00E619F7"/>
    <w:rsid w:val="00F3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D36B7"/>
  <w15:chartTrackingRefBased/>
  <w15:docId w15:val="{7E05E299-FF5F-4C5F-AFA1-F573965E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66E"/>
  </w:style>
  <w:style w:type="paragraph" w:styleId="Heading1">
    <w:name w:val="heading 1"/>
    <w:basedOn w:val="Normal"/>
    <w:next w:val="Normal"/>
    <w:link w:val="Heading1Char"/>
    <w:uiPriority w:val="9"/>
    <w:qFormat/>
    <w:rsid w:val="006A4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66E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66E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66E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A466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A466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A4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66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96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03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1D9"/>
  </w:style>
  <w:style w:type="paragraph" w:styleId="Footer">
    <w:name w:val="footer"/>
    <w:basedOn w:val="Normal"/>
    <w:link w:val="FooterChar"/>
    <w:uiPriority w:val="99"/>
    <w:unhideWhenUsed/>
    <w:rsid w:val="00403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Banerjee</dc:creator>
  <cp:keywords/>
  <dc:description/>
  <cp:lastModifiedBy>Kevin Emerald</cp:lastModifiedBy>
  <cp:revision>8</cp:revision>
  <dcterms:created xsi:type="dcterms:W3CDTF">2025-01-07T03:52:00Z</dcterms:created>
  <dcterms:modified xsi:type="dcterms:W3CDTF">2025-01-10T17:15:00Z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8afd021f-ca4e-4113-ad3b-676b7445aaa1</vt:lpwstr>
  </property>
</Properties>
</file>