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7C7BC" w14:textId="17CADF6B" w:rsidR="00880747" w:rsidRDefault="002B233D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Online </w:t>
      </w:r>
      <w:r w:rsidR="009F4ADC">
        <w:rPr>
          <w:rFonts w:ascii="Times New Roman" w:hAnsi="Times New Roman" w:cs="Times New Roman"/>
          <w:b/>
          <w:sz w:val="24"/>
          <w:szCs w:val="24"/>
          <w:lang w:eastAsia="ja-JP"/>
        </w:rPr>
        <w:t>Appendix</w:t>
      </w:r>
    </w:p>
    <w:p w14:paraId="1A867002" w14:textId="77777777" w:rsidR="009F4ADC" w:rsidRDefault="009F4ADC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283C81B" w14:textId="60E0531C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Table </w:t>
      </w:r>
      <w:r w:rsidR="00880747">
        <w:rPr>
          <w:rFonts w:ascii="Times New Roman" w:hAnsi="Times New Roman" w:cs="Times New Roman"/>
          <w:b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1 </w:t>
      </w:r>
      <w:r w:rsidRPr="00D0005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Descriptive </w:t>
      </w:r>
      <w:r w:rsidR="00D552CA">
        <w:rPr>
          <w:rFonts w:ascii="Times New Roman" w:hAnsi="Times New Roman" w:cs="Times New Roman"/>
          <w:bCs/>
          <w:sz w:val="24"/>
          <w:szCs w:val="24"/>
          <w:lang w:eastAsia="ja-JP"/>
        </w:rPr>
        <w:t>s</w:t>
      </w:r>
      <w:r w:rsidRPr="00D00053">
        <w:rPr>
          <w:rFonts w:ascii="Times New Roman" w:hAnsi="Times New Roman" w:cs="Times New Roman"/>
          <w:bCs/>
          <w:sz w:val="24"/>
          <w:szCs w:val="24"/>
          <w:lang w:eastAsia="ja-JP"/>
        </w:rPr>
        <w:t>tatistics</w:t>
      </w:r>
    </w:p>
    <w:p w14:paraId="04A08350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3780"/>
        <w:gridCol w:w="1170"/>
        <w:gridCol w:w="1005"/>
        <w:gridCol w:w="1135"/>
        <w:gridCol w:w="1135"/>
        <w:gridCol w:w="1135"/>
      </w:tblGrid>
      <w:tr w:rsidR="006B6355" w:rsidRPr="00E9266A" w14:paraId="3FF76F1E" w14:textId="77777777" w:rsidTr="009425B1">
        <w:trPr>
          <w:trHeight w:val="264"/>
        </w:trPr>
        <w:tc>
          <w:tcPr>
            <w:tcW w:w="3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A3CD3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Variable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C3D4C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No. of obs.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873DD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Mean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1A474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STD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EAE56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Minimum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2FBEB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Maximum</w:t>
            </w:r>
          </w:p>
        </w:tc>
      </w:tr>
      <w:tr w:rsidR="006B6355" w:rsidRPr="00E9266A" w14:paraId="2E72B5DB" w14:textId="77777777" w:rsidTr="009425B1">
        <w:trPr>
          <w:trHeight w:val="264"/>
        </w:trPr>
        <w:tc>
          <w:tcPr>
            <w:tcW w:w="3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9869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Gini of per capita income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A4B3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435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357A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0.443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69FA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0.0586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81CD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0.2094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511D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0.6319</w:t>
            </w:r>
          </w:p>
        </w:tc>
      </w:tr>
      <w:tr w:rsidR="006B6355" w:rsidRPr="00E9266A" w14:paraId="6CC3DD81" w14:textId="77777777" w:rsidTr="009425B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50D4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Theil </w:t>
            </w:r>
            <w:r w:rsidRPr="00E926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L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of per capita income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8651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F32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0.333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D5FB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0.0911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B88E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0.0707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E62B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0.7129</w:t>
            </w:r>
          </w:p>
        </w:tc>
      </w:tr>
      <w:tr w:rsidR="006B6355" w:rsidRPr="00E9266A" w14:paraId="1AB151D4" w14:textId="77777777" w:rsidTr="009425B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8E8F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Theil </w:t>
            </w:r>
            <w:r w:rsidRPr="00E926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T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of per capita Income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BE9F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95DA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0.405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BFF6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0.1456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0C44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0.0751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8CFA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1.2478</w:t>
            </w:r>
          </w:p>
        </w:tc>
      </w:tr>
      <w:tr w:rsidR="006B6355" w:rsidRPr="00E9266A" w14:paraId="0B200822" w14:textId="77777777" w:rsidTr="009425B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E0EC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Mean per capita income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8C55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8779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0.455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0AB1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0.1884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0B0F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0.1525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15D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1.4271</w:t>
            </w:r>
          </w:p>
        </w:tc>
      </w:tr>
      <w:tr w:rsidR="006B6355" w:rsidRPr="00E9266A" w14:paraId="4CDF1D08" w14:textId="77777777" w:rsidTr="009425B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AE6E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Proportion of households in non-agriculture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A6FF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7A33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0.665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D038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0.2011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B815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0.1934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B8E6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1.0000</w:t>
            </w:r>
          </w:p>
        </w:tc>
      </w:tr>
      <w:tr w:rsidR="006B6355" w:rsidRPr="00E9266A" w14:paraId="046A4962" w14:textId="77777777" w:rsidTr="009425B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8EB4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Mean years of education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5E37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411D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7.523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ED45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1.2390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53F3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3.8110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49A0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11.2993</w:t>
            </w:r>
          </w:p>
        </w:tc>
      </w:tr>
      <w:tr w:rsidR="006B6355" w:rsidRPr="00E9266A" w14:paraId="1FCE5A3C" w14:textId="77777777" w:rsidTr="009425B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DE84C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Proportion of female-headed households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5B88C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435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5C653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0.177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6348B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0.0584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AA2E5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80254" w14:textId="77777777" w:rsidR="006B6355" w:rsidRPr="00E9266A" w:rsidRDefault="006B6355" w:rsidP="009425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0.3240</w:t>
            </w:r>
          </w:p>
        </w:tc>
      </w:tr>
    </w:tbl>
    <w:p w14:paraId="4A68843E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26A60D33" w14:textId="3A02BCE4" w:rsidR="006B6355" w:rsidRPr="00E9266A" w:rsidRDefault="006B6355" w:rsidP="006B6355">
      <w:pPr>
        <w:snapToGri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(s):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Constructed based on the FIES in 1997, 2000, 2006, 2012 and 2018 (PSA, 1998, 2001, 2007, 2013, and 2019).</w:t>
      </w:r>
    </w:p>
    <w:p w14:paraId="4B552CBA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1DA1B530" w14:textId="1BA48691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Table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2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Estimates of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ooled OLS and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f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ixed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e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ffects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anel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ata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m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odels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</w:p>
    <w:p w14:paraId="5FB0AF34" w14:textId="77777777" w:rsidR="006B6355" w:rsidRPr="00E9266A" w:rsidRDefault="006B6355" w:rsidP="006B6355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sz w:val="24"/>
          <w:szCs w:val="24"/>
          <w:lang w:eastAsia="ja-JP"/>
        </w:rPr>
        <w:t xml:space="preserve">Dependent variable: Income inequality measured by the Gini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780"/>
        <w:gridCol w:w="885"/>
        <w:gridCol w:w="1051"/>
        <w:gridCol w:w="276"/>
        <w:gridCol w:w="1194"/>
        <w:gridCol w:w="551"/>
        <w:gridCol w:w="1096"/>
        <w:gridCol w:w="527"/>
      </w:tblGrid>
      <w:tr w:rsidR="006B6355" w:rsidRPr="00E9266A" w14:paraId="6E51CF09" w14:textId="77777777" w:rsidTr="009425B1">
        <w:trPr>
          <w:trHeight w:val="20"/>
        </w:trPr>
        <w:tc>
          <w:tcPr>
            <w:tcW w:w="3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43A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5DE0B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Pooled OLS model</w:t>
            </w: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225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53A7E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Fixed effects models</w:t>
            </w:r>
          </w:p>
        </w:tc>
      </w:tr>
      <w:tr w:rsidR="006B6355" w:rsidRPr="00E9266A" w14:paraId="1CBCE9E9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06F4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hAnsi="Times New Roman" w:cs="Times New Roman"/>
                <w:sz w:val="20"/>
                <w:szCs w:val="20"/>
              </w:rPr>
              <w:t>Independent variables</w:t>
            </w:r>
          </w:p>
        </w:tc>
        <w:tc>
          <w:tcPr>
            <w:tcW w:w="19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8C225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CBB6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DBCC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FEE65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52D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BB3C9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B68F58D" w14:textId="77777777" w:rsidTr="009425B1">
        <w:trPr>
          <w:trHeight w:val="20"/>
        </w:trPr>
        <w:tc>
          <w:tcPr>
            <w:tcW w:w="3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497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22F0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1.707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4BE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649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D61D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0.778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E78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33CE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0.828</w:t>
            </w: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592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63E75866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E78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26EC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(0.210)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EF6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D05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04CE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(0.162)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3331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CF6C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15EF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9432DC0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347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C8C4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-2.511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C86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7F3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477C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-0.780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3D1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2593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-0.475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606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4542966E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12E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7D21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(0.321)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660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05B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4D7E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(0.231)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B8F5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7536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(0.238)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42CD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ECA82FD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C4B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6B24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1.120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0DC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8DD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9AE5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0.313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0D9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6838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0AAE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30C2D6D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EC3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DEB0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(0.153)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BE3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E0E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DC1A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(0.095)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B7A5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2BD9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(0.096)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2E3A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264B0CB0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9DF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households in non-agriculture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FD65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D32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23C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D572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3594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4D54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4BD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6C3AD086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7B6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F27D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779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591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8546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C32C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2275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DA8A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23C02FC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903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years of education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E78A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925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F61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B74E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1B3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7B13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51E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35B7A354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4A2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7987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09F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D4A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934A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2D2B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6F56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2739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F1A65FB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9D6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female-headed households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D0EF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0.206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1ED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ED6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A8EA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-0.082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F5B3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9299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-0.050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9E66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3D1618FF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12A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94C6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(0.079)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4FD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B1C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6AB2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(0.075)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F4DE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F06B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(0.064)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17CE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322BD633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BC5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16F2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046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B52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C687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0.427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CF1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2325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0.231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EEE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7B6256DB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53FA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82E21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E8BD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8A25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96DAE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15FE9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95439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(0.070)</w:t>
            </w: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0E732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BCA2D0C" w14:textId="77777777" w:rsidTr="009425B1">
        <w:trPr>
          <w:trHeight w:val="20"/>
        </w:trPr>
        <w:tc>
          <w:tcPr>
            <w:tcW w:w="3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0CC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Province-specific effects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82C2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383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C45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0B16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F76C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DF6C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1AE9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0FAC2B2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D50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Time-specific effects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C203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B27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AD7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87A9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66C4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3729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DE1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E5F0652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BCBD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No. of observations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76CF3" w14:textId="77777777" w:rsidR="006B6355" w:rsidRPr="00E9266A" w:rsidRDefault="006B6355" w:rsidP="009425B1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B8B2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6CD9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A9D1C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A00EE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2886C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86888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49BF1CD" w14:textId="77777777" w:rsidTr="009425B1">
        <w:trPr>
          <w:trHeight w:val="20"/>
        </w:trPr>
        <w:tc>
          <w:tcPr>
            <w:tcW w:w="3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344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91D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5C2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CC4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F17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4FB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946B" w14:textId="77777777" w:rsidR="006B6355" w:rsidRPr="00E9266A" w:rsidRDefault="006B6355" w:rsidP="009425B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C4D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3A831F5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817D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squared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69EAB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0.264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1D59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D03E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AEE1D" w14:textId="77777777" w:rsidR="006B6355" w:rsidRPr="00E9266A" w:rsidRDefault="006B6355" w:rsidP="009425B1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D8F6D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4079D" w14:textId="77777777" w:rsidR="006B6355" w:rsidRPr="00E9266A" w:rsidRDefault="006B6355" w:rsidP="009425B1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0.808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4E2A9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913F32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6D324E08" w14:textId="11CB2E96" w:rsidR="006B6355" w:rsidRPr="00E9266A" w:rsidRDefault="006B6355" w:rsidP="006B6355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Note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***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0.01, 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0.05, 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 xml:space="preserve">p 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&lt; 0.1. Values in parenthesis are robust standard errors. </w:t>
      </w:r>
    </w:p>
    <w:p w14:paraId="3DE88630" w14:textId="3AC6F607" w:rsidR="006B6355" w:rsidRPr="00E9266A" w:rsidRDefault="006B6355" w:rsidP="006B6355">
      <w:pPr>
        <w:snapToGri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Estimated based on the FIES in 1997, 2000, 2006, 2012 and 2018 (PSA, 1998, 2001, 2007, 2013, and 2019).</w:t>
      </w:r>
    </w:p>
    <w:p w14:paraId="1C70ADE4" w14:textId="77777777" w:rsidR="006B6355" w:rsidRPr="00E9266A" w:rsidRDefault="006B6355" w:rsidP="006B6355">
      <w:pPr>
        <w:snapToGri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29CBBE20" w14:textId="4648F1FB" w:rsidR="006B6355" w:rsidRPr="00E9266A" w:rsidRDefault="006B6355" w:rsidP="009F4AD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br w:type="page"/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lastRenderedPageBreak/>
        <w:t xml:space="preserve">Table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Estimates of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s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patial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anel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ata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m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odels</w:t>
      </w:r>
    </w:p>
    <w:p w14:paraId="0849913E" w14:textId="77777777" w:rsidR="006B6355" w:rsidRPr="00E9266A" w:rsidRDefault="006B6355" w:rsidP="006B635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955B32C" w14:textId="77777777" w:rsidR="006B6355" w:rsidRPr="00E9266A" w:rsidRDefault="006B6355" w:rsidP="006B6355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sz w:val="24"/>
          <w:szCs w:val="24"/>
          <w:lang w:eastAsia="ja-JP"/>
        </w:rPr>
        <w:t xml:space="preserve">Dependent variable: Income inequality measured by the Gini 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3780"/>
        <w:gridCol w:w="1367"/>
        <w:gridCol w:w="787"/>
        <w:gridCol w:w="276"/>
        <w:gridCol w:w="1643"/>
        <w:gridCol w:w="787"/>
      </w:tblGrid>
      <w:tr w:rsidR="006B6355" w:rsidRPr="00E9266A" w14:paraId="5D3CF5F8" w14:textId="77777777" w:rsidTr="009425B1">
        <w:trPr>
          <w:trHeight w:val="20"/>
        </w:trPr>
        <w:tc>
          <w:tcPr>
            <w:tcW w:w="3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7429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1E5F4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Spatial Durbin model</w:t>
            </w: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FB8B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9CFE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Spatial Durbin model</w:t>
            </w:r>
          </w:p>
          <w:p w14:paraId="78CCA0AD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with time-specific effects</w:t>
            </w:r>
          </w:p>
        </w:tc>
      </w:tr>
      <w:tr w:rsidR="006B6355" w:rsidRPr="00E9266A" w14:paraId="1BE7CE19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254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hAnsi="Times New Roman" w:cs="Times New Roman"/>
                <w:sz w:val="20"/>
                <w:szCs w:val="20"/>
              </w:rPr>
              <w:t>Independent variables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4DEA0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4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904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563F0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5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6355" w:rsidRPr="00E9266A" w14:paraId="0D2655A0" w14:textId="77777777" w:rsidTr="009425B1">
        <w:trPr>
          <w:trHeight w:val="20"/>
        </w:trPr>
        <w:tc>
          <w:tcPr>
            <w:tcW w:w="37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DA5BBE" w14:textId="77777777" w:rsidR="006B6355" w:rsidRPr="00E9266A" w:rsidRDefault="006B6355" w:rsidP="00942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M</w:t>
            </w:r>
            <w:r w:rsidRPr="00E9266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ain effects</w:t>
            </w:r>
            <w:r w:rsidRPr="00E9266A">
              <w:t xml:space="preserve"> </w:t>
            </w:r>
            <w:r w:rsidRPr="00E9266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of independent variables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FE4684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E3FC2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4D924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F272E9" w14:textId="77777777" w:rsidR="006B6355" w:rsidRPr="00E9266A" w:rsidRDefault="006B6355" w:rsidP="009425B1">
            <w:pPr>
              <w:spacing w:after="0" w:line="240" w:lineRule="auto"/>
              <w:ind w:right="-1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2F0D8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4ACF9A4" w14:textId="77777777" w:rsidTr="009425B1">
        <w:trPr>
          <w:trHeight w:val="20"/>
        </w:trPr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985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2ACD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FB94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0F0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EE43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0.902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754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01C0EB18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ED4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C1CB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4C09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AD1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318F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(0.183)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0B7F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438C496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B70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9A69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-0.763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52DB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9BE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271D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-0.580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6BD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19FD26AC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922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859B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(0.256)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8849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57D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0482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(0.257)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B44F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7622291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649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88A3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0.284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AD42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80D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677E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290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B6355" w:rsidRPr="00E9266A" w14:paraId="1BD93EB2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03A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AB28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(0.108)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EBAF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5D5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6286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(0.105)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68D4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7D1FAF6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F68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households in non-agriculture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486D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-0.056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6945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569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55CA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-0.089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010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041896B4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5B6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36F2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AD5D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C59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098E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472F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67570A9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313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years of education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3D65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0EFB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6B0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EB91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EA3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5372FE7D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E93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03C7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BBA3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4DF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7FA6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06BA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2C653A7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D0F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female-headed households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29A5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-0.104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472D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77F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3648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-0.056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715A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C54B13A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3EBD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C27A0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(0.076)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8E14B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7CE9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E4B1B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41E22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545C869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1FE4B8" w14:textId="77777777" w:rsidR="006B6355" w:rsidRPr="00E9266A" w:rsidRDefault="006B6355" w:rsidP="00942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S</w:t>
            </w:r>
            <w:r w:rsidRPr="00E9266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patial effects</w:t>
            </w:r>
            <w:r w:rsidRPr="00E9266A">
              <w:t xml:space="preserve"> </w:t>
            </w:r>
            <w:r w:rsidRPr="00E9266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of independent variables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966134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1BD31E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7F0DD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422F05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12A4B6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E67F383" w14:textId="77777777" w:rsidTr="009425B1">
        <w:trPr>
          <w:trHeight w:val="20"/>
        </w:trPr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64C5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A563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-0.603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AEBD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9787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D447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-0.155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955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9011024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B85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B917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(0.266)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9401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AC6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B9B0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(0.278)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747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D57E06B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E1C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7ACE5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0.310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C035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843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754A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6CC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FBEB1B9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1F5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44ED5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(0.400)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0F87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993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ABCE6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(0.412)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A42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8FB13C6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EC5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B68E6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-0.083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4083D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DDF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CD83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E0A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37326C3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27A1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3C38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(0.165)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0516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078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1E5C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(0.170)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987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CB7D886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2C14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households in non-agriculture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DB12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A1B4E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64A0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3F25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A3C4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3A0DA5C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470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4844E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(0.037)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48238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8F0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2D4D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(0.043)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C56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34ADE77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ED9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years of education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972FA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CE3F1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8FF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8A0F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5C6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5A468E02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6F8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4178E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A56A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8CA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963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046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AA7F5A9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B65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female-headed households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4315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52CD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1319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8C472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520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53E6E71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88338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2E9C4A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(0.113)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2E844C" w14:textId="77777777" w:rsidR="006B6355" w:rsidRPr="00E9266A" w:rsidRDefault="006B6355" w:rsidP="009425B1">
            <w:pPr>
              <w:spacing w:after="0" w:line="240" w:lineRule="auto"/>
              <w:ind w:leftChars="-12" w:left="-26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96210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7E56C6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(0.108)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D3B11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2D8897BC" w14:textId="77777777" w:rsidTr="009425B1">
        <w:trPr>
          <w:trHeight w:val="20"/>
        </w:trPr>
        <w:tc>
          <w:tcPr>
            <w:tcW w:w="3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B4C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Province-specific effects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F3F6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EAA7" w14:textId="77777777" w:rsidR="006B6355" w:rsidRPr="00E9266A" w:rsidRDefault="006B6355" w:rsidP="009425B1">
            <w:pPr>
              <w:spacing w:after="0" w:line="240" w:lineRule="auto"/>
              <w:ind w:left="-35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CAAE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5005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D5B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6AC8C80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E15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Time-specific effects</w:t>
            </w: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6CFF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661B" w14:textId="77777777" w:rsidR="006B6355" w:rsidRPr="00E9266A" w:rsidRDefault="006B6355" w:rsidP="009425B1">
            <w:pPr>
              <w:spacing w:after="0" w:line="240" w:lineRule="auto"/>
              <w:ind w:left="-35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C9C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2146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2F5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3AD31A4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96BC06" w14:textId="77777777" w:rsidR="006B6355" w:rsidRPr="00E9266A" w:rsidRDefault="006B6355" w:rsidP="00942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Spatial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eastAsia="ja-JP"/>
                </w:rPr>
                <m:t>ρ</m:t>
              </m:r>
            </m:oMath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B834DB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0.302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D08702" w14:textId="77777777" w:rsidR="006B6355" w:rsidRPr="00E9266A" w:rsidRDefault="006B6355" w:rsidP="009425B1">
            <w:pPr>
              <w:spacing w:after="0" w:line="240" w:lineRule="auto"/>
              <w:ind w:left="-35"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D81C3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BF1E34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0.036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F6A1E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616B160" w14:textId="77777777" w:rsidTr="009425B1">
        <w:trPr>
          <w:trHeight w:val="20"/>
        </w:trPr>
        <w:tc>
          <w:tcPr>
            <w:tcW w:w="3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5658E9" w14:textId="77777777" w:rsidR="006B6355" w:rsidRPr="00E9266A" w:rsidRDefault="006B6355" w:rsidP="00942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9DD80F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(0.044)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768320" w14:textId="77777777" w:rsidR="006B6355" w:rsidRPr="00E9266A" w:rsidRDefault="006B6355" w:rsidP="009425B1">
            <w:pPr>
              <w:spacing w:after="0" w:line="240" w:lineRule="auto"/>
              <w:ind w:left="-35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914E0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6A14A3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(0.056)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A6ABB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29316816" w14:textId="77777777" w:rsidTr="009425B1">
        <w:trPr>
          <w:trHeight w:val="20"/>
        </w:trPr>
        <w:tc>
          <w:tcPr>
            <w:tcW w:w="37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F693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No. of observations</w:t>
            </w:r>
          </w:p>
        </w:tc>
        <w:tc>
          <w:tcPr>
            <w:tcW w:w="13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37B48" w14:textId="77777777" w:rsidR="006B6355" w:rsidRPr="00E9266A" w:rsidRDefault="006B6355" w:rsidP="009425B1">
            <w:pPr>
              <w:spacing w:after="0" w:line="240" w:lineRule="auto"/>
              <w:ind w:right="-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7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D4402" w14:textId="77777777" w:rsidR="006B6355" w:rsidRPr="00E9266A" w:rsidRDefault="006B6355" w:rsidP="009425B1">
            <w:pPr>
              <w:spacing w:after="0" w:line="240" w:lineRule="auto"/>
              <w:ind w:left="-35" w:firstLine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6EC2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F3FF5" w14:textId="77777777" w:rsidR="006B6355" w:rsidRPr="00E9266A" w:rsidRDefault="006B6355" w:rsidP="009425B1">
            <w:pPr>
              <w:spacing w:after="0" w:line="240" w:lineRule="auto"/>
              <w:ind w:right="-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78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56A0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72C9DD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39B71421" w14:textId="777810D5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Note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***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0.01, 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0.05, 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0.1. Values in parenthesis are robust standard errors. </w:t>
      </w:r>
    </w:p>
    <w:p w14:paraId="3F8BFE98" w14:textId="542AB5BC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Same as Table </w:t>
      </w:r>
      <w:r w:rsidR="00BC4F46">
        <w:rPr>
          <w:rFonts w:ascii="Times New Roman" w:hAnsi="Times New Roman" w:cs="Times New Roman"/>
          <w:sz w:val="20"/>
          <w:szCs w:val="20"/>
          <w:lang w:eastAsia="ja-JP"/>
        </w:rPr>
        <w:t>A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>2.</w:t>
      </w:r>
    </w:p>
    <w:p w14:paraId="78B2E76E" w14:textId="77777777" w:rsidR="006B6355" w:rsidRPr="00E9266A" w:rsidRDefault="006B6355" w:rsidP="006B635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2655B7B" w14:textId="77777777" w:rsidR="006B6355" w:rsidRPr="00E9266A" w:rsidRDefault="006B6355" w:rsidP="006B6355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05731C2F" w14:textId="77777777" w:rsidR="006B6355" w:rsidRPr="00E9266A" w:rsidRDefault="006B6355" w:rsidP="006B6355">
      <w:pPr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2C0CE7C8" w14:textId="766B7E9C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Table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4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Estimates of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ynamic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anel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ata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m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odels</w:t>
      </w:r>
    </w:p>
    <w:p w14:paraId="0624B0AD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89A9CF3" w14:textId="77777777" w:rsidR="006B6355" w:rsidRPr="00E9266A" w:rsidRDefault="006B6355" w:rsidP="006B6355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sz w:val="24"/>
          <w:szCs w:val="24"/>
          <w:lang w:eastAsia="ja-JP"/>
        </w:rPr>
        <w:t xml:space="preserve">Dependent variable: Income inequality measured by the Gini </w:t>
      </w: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3870"/>
        <w:gridCol w:w="1620"/>
        <w:gridCol w:w="608"/>
        <w:gridCol w:w="202"/>
        <w:gridCol w:w="1620"/>
        <w:gridCol w:w="900"/>
      </w:tblGrid>
      <w:tr w:rsidR="006B6355" w:rsidRPr="00E9266A" w14:paraId="267C3DD3" w14:textId="77777777" w:rsidTr="009425B1">
        <w:trPr>
          <w:trHeight w:val="20"/>
        </w:trPr>
        <w:tc>
          <w:tcPr>
            <w:tcW w:w="38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EC08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180254870"/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D7A8" w14:textId="77777777" w:rsidR="006B6355" w:rsidRPr="00E9266A" w:rsidRDefault="006B6355" w:rsidP="009425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Dynamic model (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difference 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GMM estimation)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1F79" w14:textId="77777777" w:rsidR="006B6355" w:rsidRPr="00E9266A" w:rsidRDefault="006B6355" w:rsidP="009425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Dynamic model (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system 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GMM estimation)</w:t>
            </w:r>
          </w:p>
        </w:tc>
      </w:tr>
      <w:tr w:rsidR="006B6355" w:rsidRPr="00E9266A" w14:paraId="125CB773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C8B77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hAnsi="Times New Roman" w:cs="Times New Roman"/>
                <w:sz w:val="20"/>
                <w:szCs w:val="20"/>
              </w:rPr>
              <w:t>Independent variables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F1679" w14:textId="77777777" w:rsidR="006B6355" w:rsidRPr="00E9266A" w:rsidRDefault="006B6355" w:rsidP="009425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6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C2F3" w14:textId="77777777" w:rsidR="006B6355" w:rsidRPr="00E9266A" w:rsidRDefault="006B6355" w:rsidP="009425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7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6355" w:rsidRPr="00E9266A" w14:paraId="34B92B6E" w14:textId="77777777" w:rsidTr="009425B1">
        <w:trPr>
          <w:trHeight w:val="20"/>
        </w:trPr>
        <w:tc>
          <w:tcPr>
            <w:tcW w:w="38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8215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Income inequality measured by Gini (-1)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2829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0.360</w:t>
            </w:r>
          </w:p>
        </w:tc>
        <w:tc>
          <w:tcPr>
            <w:tcW w:w="6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8024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8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B759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BC1B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6409DE86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E9B6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C148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(0.168)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E304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CDAC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(0.125)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0253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2A7A7ED3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B99B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63F9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1.674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1A2D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1E92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1.764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81EF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17C5D5A0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25B1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C440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(0.407)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B9FF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30F2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(0.369)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8E6E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B40718B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0F6D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9A33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-1.875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4297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46D7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-2.058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717B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64F97465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D6FC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5432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(0.610)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C30D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AF1B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(0.559)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6013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2F33E466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2913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9B57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1F7C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D1CE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AC1F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0976DF65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ED4D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916B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(0.284)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85D2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9BDD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(0.262)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2735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D4D21DE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CF94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households in non-agriculture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28D9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-0.377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DCA2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F77C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-0.331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3893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5ACEAEFB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F98B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36AA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(0.064)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0A8B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8131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(0.056)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F0AB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F55CBB0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AB60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years of education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53B3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BAFE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6841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787B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26B82A65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2A4F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C67C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35DA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A584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9111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40F5042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29C8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female-headed households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7CE7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-0.220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79F2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0318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82D1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7693CC21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E6FD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7125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(0.078)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6E3C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CCCF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(0.075)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194F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5D72F0D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056D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EEC2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38E2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F69D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CDEF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1C00B87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4EEC5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8EEBB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(0.110)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B5CD2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9272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(0.091)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2F50E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36719ADC" w14:textId="77777777" w:rsidTr="009425B1">
        <w:trPr>
          <w:trHeight w:val="20"/>
        </w:trPr>
        <w:tc>
          <w:tcPr>
            <w:tcW w:w="387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1409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Province-specific effects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5684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0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D719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CF6B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2717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D4F95A6" w14:textId="77777777" w:rsidTr="009425B1">
        <w:trPr>
          <w:trHeight w:val="20"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4ECD47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Sargan test p-value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25F116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0.000</w:t>
            </w:r>
          </w:p>
        </w:tc>
        <w:tc>
          <w:tcPr>
            <w:tcW w:w="60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9EC018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3C3029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0.000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106DC2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B46D004" w14:textId="77777777" w:rsidTr="009425B1">
        <w:trPr>
          <w:trHeight w:val="20"/>
        </w:trPr>
        <w:tc>
          <w:tcPr>
            <w:tcW w:w="38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CE9FC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AR(1) test p-value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91282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0.000</w:t>
            </w:r>
          </w:p>
        </w:tc>
        <w:tc>
          <w:tcPr>
            <w:tcW w:w="6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D446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7EF9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0.000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EA14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8CF26E4" w14:textId="77777777" w:rsidTr="009425B1">
        <w:trPr>
          <w:trHeight w:val="20"/>
        </w:trPr>
        <w:tc>
          <w:tcPr>
            <w:tcW w:w="38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6FF9F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AR(2) test p-value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94C42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0.805</w:t>
            </w:r>
          </w:p>
        </w:tc>
        <w:tc>
          <w:tcPr>
            <w:tcW w:w="6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3D1E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88A21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0.837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F2EC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9BB7475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ECE5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CE87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F9DE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97FC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6C52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8661CD1" w14:textId="77777777" w:rsidTr="009425B1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F9149" w14:textId="77777777" w:rsidR="006B6355" w:rsidRPr="00E9266A" w:rsidRDefault="006B6355" w:rsidP="009425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No. of observations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55CC2" w14:textId="77777777" w:rsidR="006B6355" w:rsidRPr="00E9266A" w:rsidRDefault="006B6355" w:rsidP="009425B1">
            <w:pPr>
              <w:snapToGrid w:val="0"/>
              <w:spacing w:after="0" w:line="240" w:lineRule="auto"/>
              <w:ind w:right="-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46402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D58EC" w14:textId="77777777" w:rsidR="006B6355" w:rsidRPr="00E9266A" w:rsidRDefault="006B6355" w:rsidP="009425B1">
            <w:pPr>
              <w:snapToGrid w:val="0"/>
              <w:spacing w:after="0" w:line="240" w:lineRule="auto"/>
              <w:ind w:right="-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9386A" w14:textId="77777777" w:rsidR="006B6355" w:rsidRPr="00E9266A" w:rsidRDefault="006B6355" w:rsidP="009425B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506C3D64" w14:textId="77777777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637BF965" w14:textId="14E520A8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Notes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***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0.01, 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0.05, 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0.1. Values in parenthesis are robust standard errors. </w:t>
      </w:r>
    </w:p>
    <w:p w14:paraId="261B9041" w14:textId="35229BC8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Same as Table </w:t>
      </w:r>
      <w:r w:rsidR="00BC4F46">
        <w:rPr>
          <w:rFonts w:ascii="Times New Roman" w:hAnsi="Times New Roman" w:cs="Times New Roman"/>
          <w:sz w:val="20"/>
          <w:szCs w:val="20"/>
          <w:lang w:eastAsia="ja-JP"/>
        </w:rPr>
        <w:t>A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>2.</w:t>
      </w:r>
    </w:p>
    <w:p w14:paraId="0A79CB0F" w14:textId="77777777" w:rsidR="006B6355" w:rsidRPr="00E9266A" w:rsidRDefault="006B6355" w:rsidP="006B6355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7D6FAFD3" w14:textId="77777777" w:rsidR="006B6355" w:rsidRPr="00E9266A" w:rsidRDefault="006B6355" w:rsidP="006B6355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40B92664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1A02A42B" w14:textId="41A66D2A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Table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5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Estimates of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ynamic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anel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ata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m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odels (Theil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ndices)</w:t>
      </w:r>
    </w:p>
    <w:p w14:paraId="7260D74A" w14:textId="77777777" w:rsidR="006B6355" w:rsidRPr="00E9266A" w:rsidRDefault="006B6355" w:rsidP="006B63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83031A4" w14:textId="77777777" w:rsidR="006B6355" w:rsidRPr="00E9266A" w:rsidRDefault="006B6355" w:rsidP="006B635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sz w:val="24"/>
          <w:szCs w:val="24"/>
          <w:lang w:eastAsia="ja-JP"/>
        </w:rPr>
        <w:t>Dependent variable: Income inequality measured by the Theil Indices</w:t>
      </w:r>
    </w:p>
    <w:p w14:paraId="3BED0884" w14:textId="77777777" w:rsidR="006B6355" w:rsidRPr="00E9266A" w:rsidRDefault="006B6355" w:rsidP="006B635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640"/>
        <w:gridCol w:w="1147"/>
        <w:gridCol w:w="691"/>
        <w:gridCol w:w="288"/>
        <w:gridCol w:w="1147"/>
        <w:gridCol w:w="727"/>
      </w:tblGrid>
      <w:tr w:rsidR="006B6355" w:rsidRPr="00E9266A" w14:paraId="6D1B50A5" w14:textId="77777777" w:rsidTr="009425B1">
        <w:trPr>
          <w:trHeight w:val="20"/>
        </w:trPr>
        <w:tc>
          <w:tcPr>
            <w:tcW w:w="42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82A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DEEB4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Dynamic panel model (Arellano-Bover/Blundell-Bond 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system 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estimation)</w:t>
            </w:r>
          </w:p>
        </w:tc>
      </w:tr>
      <w:tr w:rsidR="006B6355" w:rsidRPr="00E9266A" w14:paraId="2D584491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C14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8E74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Theil </w:t>
            </w:r>
            <w:r w:rsidRPr="00E926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index</w:t>
            </w: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A5B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8849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Theil </w:t>
            </w:r>
            <w:r w:rsidRPr="00E926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index</w:t>
            </w:r>
          </w:p>
        </w:tc>
      </w:tr>
      <w:tr w:rsidR="006B6355" w:rsidRPr="00E9266A" w14:paraId="79D9552D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B45D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variables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24649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F0C7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D7EE2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(9)</w:t>
            </w:r>
          </w:p>
        </w:tc>
      </w:tr>
      <w:tr w:rsidR="006B6355" w:rsidRPr="00E9266A" w14:paraId="17A1F0D3" w14:textId="77777777" w:rsidTr="009425B1">
        <w:trPr>
          <w:trHeight w:val="20"/>
        </w:trPr>
        <w:tc>
          <w:tcPr>
            <w:tcW w:w="42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9E9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Income inequality measured by Theil indices (-1)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57B9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4ABF" w14:textId="77777777" w:rsidR="006B6355" w:rsidRPr="00E9266A" w:rsidRDefault="006B6355" w:rsidP="009425B1">
            <w:pPr>
              <w:spacing w:after="0" w:line="240" w:lineRule="auto"/>
              <w:ind w:left="-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428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FC6B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7F7F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14B0799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7F4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C293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(0.110)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5DF0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A68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DA9F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(0.093)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BB1D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99EDF0E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750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CF3B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3.207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F908" w14:textId="77777777" w:rsidR="006B6355" w:rsidRPr="00E9266A" w:rsidRDefault="006B6355" w:rsidP="009425B1">
            <w:pPr>
              <w:spacing w:after="0" w:line="240" w:lineRule="auto"/>
              <w:ind w:left="-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F4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098D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5.032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2923" w14:textId="77777777" w:rsidR="006B6355" w:rsidRPr="00E9266A" w:rsidRDefault="006B6355" w:rsidP="009425B1">
            <w:pPr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46C058A6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16E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1DDE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(0.716)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9CDA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0A7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9A8C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(1.449)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340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4FD784D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AF7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8BC5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-3.791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D8DC" w14:textId="77777777" w:rsidR="006B6355" w:rsidRPr="00E9266A" w:rsidRDefault="006B6355" w:rsidP="009425B1">
            <w:pPr>
              <w:spacing w:after="0" w:line="240" w:lineRule="auto"/>
              <w:ind w:left="-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570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89E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-5.784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A4A0" w14:textId="77777777" w:rsidR="006B6355" w:rsidRPr="00E9266A" w:rsidRDefault="006B6355" w:rsidP="009425B1">
            <w:pPr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59F178AA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E43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B4F9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(1.070)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87A0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F6C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925B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(2.123)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0FC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415755F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F8C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077F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1.493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49C2" w14:textId="77777777" w:rsidR="006B6355" w:rsidRPr="00E9266A" w:rsidRDefault="006B6355" w:rsidP="009425B1">
            <w:pPr>
              <w:spacing w:after="0" w:line="240" w:lineRule="auto"/>
              <w:ind w:left="-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814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468E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2.308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D2E" w14:textId="77777777" w:rsidR="006B6355" w:rsidRPr="00E9266A" w:rsidRDefault="006B6355" w:rsidP="009425B1">
            <w:pPr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6393B65E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9A6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0411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(0.499)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CA0F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58A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934E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(0.980)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E27D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C6949DD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0FC9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households in non-agriculture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717A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-0.561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3EE5" w14:textId="77777777" w:rsidR="006B6355" w:rsidRPr="00E9266A" w:rsidRDefault="006B6355" w:rsidP="009425B1">
            <w:pPr>
              <w:spacing w:after="0" w:line="240" w:lineRule="auto"/>
              <w:ind w:left="-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AE7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95FA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-0.693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63E0" w14:textId="77777777" w:rsidR="006B6355" w:rsidRPr="00E9266A" w:rsidRDefault="006B6355" w:rsidP="009425B1">
            <w:pPr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4883394C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73A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D697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(0.094)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4CC8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33C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3533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(0.134)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D2CF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2E7E448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FA3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years of education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E9FF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D4F2" w14:textId="77777777" w:rsidR="006B6355" w:rsidRPr="00E9266A" w:rsidRDefault="006B6355" w:rsidP="009425B1">
            <w:pPr>
              <w:spacing w:after="0" w:line="240" w:lineRule="auto"/>
              <w:ind w:left="-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24A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D5BD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AC24" w14:textId="77777777" w:rsidR="006B6355" w:rsidRPr="00E9266A" w:rsidRDefault="006B6355" w:rsidP="009425B1">
            <w:pPr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57058543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53B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01E8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D402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297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B049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D16F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F186237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317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female-headed households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3DD9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-0.317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9575" w14:textId="77777777" w:rsidR="006B6355" w:rsidRPr="00E9266A" w:rsidRDefault="006B6355" w:rsidP="009425B1">
            <w:pPr>
              <w:spacing w:after="0" w:line="240" w:lineRule="auto"/>
              <w:ind w:left="-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8B7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0AAD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-0.492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5128" w14:textId="77777777" w:rsidR="006B6355" w:rsidRPr="00E9266A" w:rsidRDefault="006B6355" w:rsidP="009425B1">
            <w:pPr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0C6821E9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CD6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6771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(0.125)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4C65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795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A0E1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(0.230)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A523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9525010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943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51D5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-0.408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2D47" w14:textId="77777777" w:rsidR="006B6355" w:rsidRPr="00E9266A" w:rsidRDefault="006B6355" w:rsidP="009425B1">
            <w:pPr>
              <w:spacing w:after="0" w:line="240" w:lineRule="auto"/>
              <w:ind w:left="-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A88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060F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-0.528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4950" w14:textId="77777777" w:rsidR="006B6355" w:rsidRPr="00E9266A" w:rsidRDefault="006B6355" w:rsidP="009425B1">
            <w:pPr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6D821DDF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6530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BE585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(0.146)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0FF27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93AD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3CC89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(0.256)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A699B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4C43D68" w14:textId="77777777" w:rsidTr="009425B1">
        <w:trPr>
          <w:trHeight w:val="20"/>
        </w:trPr>
        <w:tc>
          <w:tcPr>
            <w:tcW w:w="42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E78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Province-specific effects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E9A9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BF46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DA31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43A5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F379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AE1B0EB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746717" w14:textId="77777777" w:rsidR="006B6355" w:rsidRPr="00E9266A" w:rsidRDefault="006B6355" w:rsidP="00942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Sargan test p-value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A3D2EB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0.000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DF5B0F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B5388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47347E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B59353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06054745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4CF213" w14:textId="77777777" w:rsidR="006B6355" w:rsidRPr="00E9266A" w:rsidRDefault="006B6355" w:rsidP="00942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AR(1) test p-value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EFA069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0.000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E9D05B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EB28B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85153E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0.000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8CF0F9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B6355" w:rsidRPr="00E9266A" w14:paraId="5E491793" w14:textId="77777777" w:rsidTr="009425B1">
        <w:trPr>
          <w:trHeight w:val="20"/>
        </w:trPr>
        <w:tc>
          <w:tcPr>
            <w:tcW w:w="4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8BC822" w14:textId="77777777" w:rsidR="006B6355" w:rsidRPr="00E9266A" w:rsidRDefault="006B6355" w:rsidP="00942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AR(2) test p-value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897E50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0.98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BFCB95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F1EB2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D7BADF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0.57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28C637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273F6C48" w14:textId="77777777" w:rsidTr="009425B1">
        <w:trPr>
          <w:trHeight w:val="20"/>
        </w:trPr>
        <w:tc>
          <w:tcPr>
            <w:tcW w:w="425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A5C5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No. of observations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430D8" w14:textId="77777777" w:rsidR="006B6355" w:rsidRPr="00E9266A" w:rsidRDefault="006B6355" w:rsidP="009425B1">
            <w:pPr>
              <w:spacing w:after="0" w:line="240" w:lineRule="auto"/>
              <w:ind w:right="-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63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2A8C1" w14:textId="77777777" w:rsidR="006B6355" w:rsidRPr="00E9266A" w:rsidRDefault="006B6355" w:rsidP="009425B1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0EF9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48140" w14:textId="77777777" w:rsidR="006B6355" w:rsidRPr="00E9266A" w:rsidRDefault="006B6355" w:rsidP="009425B1">
            <w:pPr>
              <w:spacing w:after="0" w:line="240" w:lineRule="auto"/>
              <w:ind w:right="-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1E70" w14:textId="77777777" w:rsidR="006B6355" w:rsidRPr="00E9266A" w:rsidRDefault="006B6355" w:rsidP="009425B1">
            <w:pPr>
              <w:spacing w:after="0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29C578" w14:textId="77777777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28897917" w14:textId="28B6B615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Notes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***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0.01, 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0.05, 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0.1. Values in parenthesis are robust standard errors. </w:t>
      </w:r>
    </w:p>
    <w:p w14:paraId="3CF741CB" w14:textId="04740498" w:rsidR="006B6355" w:rsidRPr="00E9266A" w:rsidRDefault="006B6355" w:rsidP="006B6355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Same as Table </w:t>
      </w:r>
      <w:r w:rsidR="00BC4F46">
        <w:rPr>
          <w:rFonts w:ascii="Times New Roman" w:hAnsi="Times New Roman" w:cs="Times New Roman"/>
          <w:sz w:val="20"/>
          <w:szCs w:val="20"/>
          <w:lang w:eastAsia="ja-JP"/>
        </w:rPr>
        <w:t>A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>2.</w:t>
      </w:r>
    </w:p>
    <w:p w14:paraId="74A3EBCC" w14:textId="77777777" w:rsidR="006B6355" w:rsidRPr="00E9266A" w:rsidRDefault="006B6355" w:rsidP="006B6355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4F99F642" w14:textId="77777777" w:rsidR="006B6355" w:rsidRPr="00E9266A" w:rsidRDefault="006B6355" w:rsidP="006B6355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60891346" w14:textId="46D685E3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lastRenderedPageBreak/>
        <w:t xml:space="preserve">Table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6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Estimates of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s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patial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anel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ata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m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odels (Theil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ndices)</w:t>
      </w:r>
    </w:p>
    <w:p w14:paraId="05B54158" w14:textId="77777777" w:rsidR="006B6355" w:rsidRPr="00E9266A" w:rsidRDefault="006B6355" w:rsidP="006B63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15988970" w14:textId="77777777" w:rsidR="006B6355" w:rsidRPr="00E9266A" w:rsidRDefault="006B6355" w:rsidP="006B635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sz w:val="24"/>
          <w:szCs w:val="24"/>
          <w:lang w:eastAsia="ja-JP"/>
        </w:rPr>
        <w:t>Dependent variable: Income inequality measured by the Theil Indices</w:t>
      </w:r>
    </w:p>
    <w:p w14:paraId="17DD5792" w14:textId="77777777" w:rsidR="006B6355" w:rsidRPr="00E9266A" w:rsidRDefault="006B6355" w:rsidP="006B635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084"/>
        <w:gridCol w:w="1500"/>
        <w:gridCol w:w="649"/>
        <w:gridCol w:w="259"/>
        <w:gridCol w:w="1499"/>
        <w:gridCol w:w="649"/>
      </w:tblGrid>
      <w:tr w:rsidR="006B6355" w:rsidRPr="00E9266A" w14:paraId="750845E9" w14:textId="77777777" w:rsidTr="009425B1">
        <w:trPr>
          <w:trHeight w:val="20"/>
        </w:trPr>
        <w:tc>
          <w:tcPr>
            <w:tcW w:w="35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334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6629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Theil </w:t>
            </w:r>
            <w:r w:rsidRPr="00E9266A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  <w:lang w:eastAsia="ja-JP"/>
              </w:rPr>
              <w:t>L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index</w:t>
            </w: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27FE0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F352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Theil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r w:rsidRPr="00E9266A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  <w:lang w:eastAsia="ja-JP"/>
              </w:rPr>
              <w:t>T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index</w:t>
            </w:r>
          </w:p>
        </w:tc>
      </w:tr>
      <w:tr w:rsidR="006B6355" w:rsidRPr="00E9266A" w14:paraId="2B26D7E7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EF38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variables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173DD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46956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DE855" w14:textId="77777777" w:rsidR="006B6355" w:rsidRPr="00E9266A" w:rsidRDefault="006B6355" w:rsidP="0094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(11)</w:t>
            </w:r>
          </w:p>
        </w:tc>
      </w:tr>
      <w:tr w:rsidR="006B6355" w:rsidRPr="00E9266A" w14:paraId="0B9512B4" w14:textId="77777777" w:rsidTr="009425B1">
        <w:trPr>
          <w:trHeight w:val="20"/>
        </w:trPr>
        <w:tc>
          <w:tcPr>
            <w:tcW w:w="350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5764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Main effects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of independent variables</w:t>
            </w: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79F4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6D2B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67F9C6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05CB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2640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29BD1B1" w14:textId="77777777" w:rsidTr="009425B1">
        <w:trPr>
          <w:trHeight w:val="20"/>
        </w:trPr>
        <w:tc>
          <w:tcPr>
            <w:tcW w:w="35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3E0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A7E7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1.660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E3CD6" w14:textId="77777777" w:rsidR="006B6355" w:rsidRPr="00E9266A" w:rsidRDefault="006B6355" w:rsidP="009425B1">
            <w:pPr>
              <w:spacing w:after="0" w:line="240" w:lineRule="auto"/>
              <w:ind w:left="-144" w:firstLine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90913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FE304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4E9D8" w14:textId="77777777" w:rsidR="006B6355" w:rsidRPr="00E9266A" w:rsidRDefault="006B6355" w:rsidP="009425B1">
            <w:pPr>
              <w:spacing w:after="0" w:line="240" w:lineRule="auto"/>
              <w:ind w:left="-158"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6CB3AF9A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656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85EC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(0.308)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695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E2C8E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1A8EC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(0.637)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3442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BDB3F76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88E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3E2CC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-1.216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09BC1" w14:textId="77777777" w:rsidR="006B6355" w:rsidRPr="00E9266A" w:rsidRDefault="006B6355" w:rsidP="009425B1">
            <w:pPr>
              <w:spacing w:after="0" w:line="240" w:lineRule="auto"/>
              <w:ind w:left="-144" w:firstLine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E4075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7DDA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-2.638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DC5B" w14:textId="77777777" w:rsidR="006B6355" w:rsidRPr="00E9266A" w:rsidRDefault="006B6355" w:rsidP="009425B1">
            <w:pPr>
              <w:spacing w:after="0" w:line="240" w:lineRule="auto"/>
              <w:ind w:left="-158"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6FBE87FF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78B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AF9EC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(0.421)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2B7F6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3F8417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5528C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(0.876)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C7B2F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382391A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3E3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4AD10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0.418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FEE0" w14:textId="77777777" w:rsidR="006B6355" w:rsidRPr="00E9266A" w:rsidRDefault="006B6355" w:rsidP="009425B1">
            <w:pPr>
              <w:spacing w:after="0" w:line="240" w:lineRule="auto"/>
              <w:ind w:left="-144" w:firstLine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11BCD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5E89C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0.967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9691C" w14:textId="77777777" w:rsidR="006B6355" w:rsidRPr="00E9266A" w:rsidRDefault="006B6355" w:rsidP="009425B1">
            <w:pPr>
              <w:spacing w:after="0" w:line="240" w:lineRule="auto"/>
              <w:ind w:left="-158"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38A79929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83C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EB92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31E4D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19E36C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6316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(0.373)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E00F6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5309176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91C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 of households in non-agriculture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4A855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-0.176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A9653" w14:textId="77777777" w:rsidR="006B6355" w:rsidRPr="00E9266A" w:rsidRDefault="006B6355" w:rsidP="009425B1">
            <w:pPr>
              <w:spacing w:after="0" w:line="240" w:lineRule="auto"/>
              <w:ind w:left="-144" w:firstLine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25D8F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2AF9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-0.335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6FE90" w14:textId="77777777" w:rsidR="006B6355" w:rsidRPr="00E9266A" w:rsidRDefault="006B6355" w:rsidP="009425B1">
            <w:pPr>
              <w:spacing w:after="0" w:line="240" w:lineRule="auto"/>
              <w:ind w:left="-158"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2CF1CCE5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29B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2471E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(0.064)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F2AA2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9134F6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B3335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(0.119)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86906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BD5A10F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2C2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years of education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FDE01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-0.028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4BB69" w14:textId="77777777" w:rsidR="006B6355" w:rsidRPr="00E9266A" w:rsidRDefault="006B6355" w:rsidP="009425B1">
            <w:pPr>
              <w:spacing w:after="0" w:line="240" w:lineRule="auto"/>
              <w:ind w:left="-144" w:firstLine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C6661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83E7F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-0.072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297C8" w14:textId="77777777" w:rsidR="006B6355" w:rsidRPr="00E9266A" w:rsidRDefault="006B6355" w:rsidP="009425B1">
            <w:pPr>
              <w:spacing w:after="0" w:line="240" w:lineRule="auto"/>
              <w:ind w:left="-158"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B6355" w:rsidRPr="00E9266A" w14:paraId="03F84FF6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884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8DEBD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5D580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AC44F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FDF00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AE037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8B8748A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49C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female-headed households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A9CED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-0.116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F6D4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3640ED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A1031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-0.309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C0995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38D83302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BC30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656994B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(0.107)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343CEB4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5D9DE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18001A2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(0.202)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6CB85C9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ECEFAC6" w14:textId="77777777" w:rsidTr="009425B1">
        <w:trPr>
          <w:trHeight w:val="20"/>
        </w:trPr>
        <w:tc>
          <w:tcPr>
            <w:tcW w:w="350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99609" w14:textId="77777777" w:rsidR="006B6355" w:rsidRPr="00E9266A" w:rsidRDefault="006B6355" w:rsidP="00942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Spatial effects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of independent variables</w:t>
            </w: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6DCDF5" w14:textId="77777777" w:rsidR="006B6355" w:rsidRPr="00E9266A" w:rsidRDefault="006B6355" w:rsidP="009425B1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82FF0E" w14:textId="77777777" w:rsidR="006B6355" w:rsidRPr="00E9266A" w:rsidRDefault="006B6355" w:rsidP="009425B1">
            <w:pPr>
              <w:spacing w:after="0" w:line="240" w:lineRule="auto"/>
              <w:ind w:left="-144" w:firstLine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27F87C3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882F3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880FB3" w14:textId="77777777" w:rsidR="006B6355" w:rsidRPr="00E9266A" w:rsidRDefault="006B6355" w:rsidP="009425B1">
            <w:pPr>
              <w:spacing w:after="0" w:line="240" w:lineRule="auto"/>
              <w:ind w:left="-158"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9A4DC12" w14:textId="77777777" w:rsidTr="009425B1">
        <w:trPr>
          <w:trHeight w:val="20"/>
        </w:trPr>
        <w:tc>
          <w:tcPr>
            <w:tcW w:w="35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795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C3EA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-0.164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C285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A1525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0AE5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D3E88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A824B0B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714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4DF32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(0.472)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626C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39A3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0B0D6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(0.784)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CCEB1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5F959028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D0D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2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8CA60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A6A7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ECE5671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1DF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-0.509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582BE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1DEA73B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464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C8296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(0.701)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A6CD7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DE3E5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B297B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(1.127)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3609F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37EA14E5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327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per capita income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6C344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DDED8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6AE7D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C5DF2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0.304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CF404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73DE9E04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6E0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AF943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(0.288)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94194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895941F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03C6E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(0.463)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B39A0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3E90B4F7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F910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Prop. of households in non-agriculture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FAD29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-0.134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C947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95051E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3E696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-0.182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1DB23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2078A74B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4D1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9FBCC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(0.078)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D85AC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0DD2AE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823B9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(0.156)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F20C3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6ABDB5E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A28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Mean years of education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66E1D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B0A2E" w14:textId="77777777" w:rsidR="006B6355" w:rsidRPr="00E9266A" w:rsidRDefault="006B6355" w:rsidP="009425B1">
            <w:pPr>
              <w:spacing w:after="0" w:line="240" w:lineRule="auto"/>
              <w:ind w:left="-144" w:firstLine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250A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D6E50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C3C2" w14:textId="77777777" w:rsidR="006B6355" w:rsidRPr="00E9266A" w:rsidRDefault="006B6355" w:rsidP="009425B1">
            <w:pPr>
              <w:spacing w:after="0" w:line="240" w:lineRule="auto"/>
              <w:ind w:left="-158"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B6355" w:rsidRPr="00E9266A" w14:paraId="0775065F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829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D7B60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2E544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684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27F6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(0.028)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4DCBD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4493896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1778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of female-headed households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B2FD6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0.165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E509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BD37E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66425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0.280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CC75D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B7D05FD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D1CB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ED949E3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(0.176)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0F46DF3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2AA6A5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B47D79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(0.3019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E26A462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32A1E99E" w14:textId="77777777" w:rsidTr="009425B1">
        <w:trPr>
          <w:trHeight w:val="20"/>
        </w:trPr>
        <w:tc>
          <w:tcPr>
            <w:tcW w:w="35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9234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Province-specific effects</w:t>
            </w: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9FD1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40758" w14:textId="77777777" w:rsidR="006B6355" w:rsidRPr="00E9266A" w:rsidRDefault="006B6355" w:rsidP="009425B1">
            <w:pPr>
              <w:spacing w:after="0" w:line="240" w:lineRule="auto"/>
              <w:ind w:left="-144" w:firstLine="11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4A7C74" w14:textId="77777777" w:rsidR="006B6355" w:rsidRPr="00E9266A" w:rsidRDefault="006B6355" w:rsidP="009425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64E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C804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B6355" w:rsidRPr="00E9266A" w14:paraId="20EB6AB4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13A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Time-specific effects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1C41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7A5A1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9FE4A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D1201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A841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1AE1B24F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951DD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Spatial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eastAsia="ja-JP"/>
                </w:rPr>
                <m:t>ρ</m:t>
              </m:r>
            </m:oMath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62FED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.025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6A1F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08FBA2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A3D8F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0</w:t>
            </w: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.036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6A45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667274F1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40FC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3FDE8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(0</w:t>
            </w:r>
            <w:r w:rsidRPr="00E9266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.061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07882" w14:textId="77777777" w:rsidR="006B6355" w:rsidRPr="00E9266A" w:rsidRDefault="006B6355" w:rsidP="009425B1">
            <w:pPr>
              <w:spacing w:after="0" w:line="240" w:lineRule="auto"/>
              <w:ind w:left="-144" w:firstLine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8BFB27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DE9C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(0</w:t>
            </w:r>
            <w:r w:rsidRPr="00E9266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.062</w:t>
            </w:r>
            <w:r w:rsidRPr="00E9266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DF8A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355" w:rsidRPr="00E9266A" w14:paraId="43B7D370" w14:textId="77777777" w:rsidTr="009425B1">
        <w:trPr>
          <w:trHeight w:val="20"/>
        </w:trPr>
        <w:tc>
          <w:tcPr>
            <w:tcW w:w="35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D2A26" w14:textId="77777777" w:rsidR="006B6355" w:rsidRPr="00E9266A" w:rsidRDefault="006B6355" w:rsidP="0094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No. of observations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46E386" w14:textId="77777777" w:rsidR="006B6355" w:rsidRPr="00E9266A" w:rsidRDefault="006B6355" w:rsidP="009425B1">
            <w:pPr>
              <w:spacing w:after="0" w:line="240" w:lineRule="auto"/>
              <w:ind w:right="-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0935EDA" w14:textId="77777777" w:rsidR="006B6355" w:rsidRPr="00E9266A" w:rsidRDefault="006B6355" w:rsidP="009425B1">
            <w:pPr>
              <w:spacing w:after="0" w:line="240" w:lineRule="auto"/>
              <w:ind w:left="-144" w:firstLine="11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AA9C7F" w14:textId="77777777" w:rsidR="006B6355" w:rsidRPr="00E9266A" w:rsidRDefault="006B6355" w:rsidP="009425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42A307" w14:textId="77777777" w:rsidR="006B6355" w:rsidRPr="00E9266A" w:rsidRDefault="006B6355" w:rsidP="00942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753D28" w14:textId="77777777" w:rsidR="006B6355" w:rsidRPr="00E9266A" w:rsidRDefault="006B6355" w:rsidP="009425B1">
            <w:pPr>
              <w:spacing w:after="0" w:line="240" w:lineRule="auto"/>
              <w:ind w:left="-158" w:firstLine="2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6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7E375A75" w14:textId="77777777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2C96347D" w14:textId="2EDB3526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Notes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***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0.01, **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0.05, * </w:t>
      </w:r>
      <w:r w:rsidRPr="00E9266A">
        <w:rPr>
          <w:rFonts w:ascii="Times New Roman" w:hAnsi="Times New Roman" w:cs="Times New Roman"/>
          <w:i/>
          <w:sz w:val="20"/>
          <w:szCs w:val="20"/>
          <w:lang w:eastAsia="ja-JP"/>
        </w:rPr>
        <w:t>p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&lt; 0.1. Values in parenthesis are robust standard errors. </w:t>
      </w:r>
    </w:p>
    <w:p w14:paraId="19686E2A" w14:textId="2A92CAEC" w:rsidR="006B6355" w:rsidRPr="00E9266A" w:rsidRDefault="006B6355" w:rsidP="006B635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Same as Table </w:t>
      </w:r>
      <w:r w:rsidR="00BC4F46">
        <w:rPr>
          <w:rFonts w:ascii="Times New Roman" w:hAnsi="Times New Roman" w:cs="Times New Roman"/>
          <w:sz w:val="20"/>
          <w:szCs w:val="20"/>
          <w:lang w:eastAsia="ja-JP"/>
        </w:rPr>
        <w:t>A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>2.</w:t>
      </w:r>
    </w:p>
    <w:p w14:paraId="5656F110" w14:textId="77777777" w:rsidR="006B6355" w:rsidRPr="00E9266A" w:rsidRDefault="006B6355" w:rsidP="006B6355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606AC84E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7B933BD6" w14:textId="77777777" w:rsidR="006B6355" w:rsidRPr="00E9266A" w:rsidRDefault="006B6355" w:rsidP="006B6355">
      <w:pPr>
        <w:tabs>
          <w:tab w:val="left" w:pos="1504"/>
          <w:tab w:val="center" w:pos="4529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5A6B8956" w14:textId="23F487F1" w:rsidR="006B6355" w:rsidRPr="00E9266A" w:rsidRDefault="006B6355" w:rsidP="006B6355">
      <w:pPr>
        <w:tabs>
          <w:tab w:val="left" w:pos="1504"/>
          <w:tab w:val="center" w:pos="4529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1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Augmented Kuznets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c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urve</w:t>
      </w:r>
    </w:p>
    <w:p w14:paraId="6A80872D" w14:textId="77777777" w:rsidR="006B6355" w:rsidRPr="00E9266A" w:rsidRDefault="006B6355" w:rsidP="006B6355">
      <w:pPr>
        <w:tabs>
          <w:tab w:val="left" w:pos="1504"/>
          <w:tab w:val="center" w:pos="452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FCEA881" w14:textId="77777777" w:rsidR="006B6355" w:rsidRPr="00E9266A" w:rsidRDefault="006B6355" w:rsidP="006B6355">
      <w:pPr>
        <w:tabs>
          <w:tab w:val="left" w:pos="1504"/>
          <w:tab w:val="center" w:pos="452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162350EE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noProof/>
          <w:lang w:val="en-IN" w:eastAsia="en-IN"/>
        </w:rPr>
        <w:drawing>
          <wp:inline distT="0" distB="0" distL="0" distR="0" wp14:anchorId="4080B695" wp14:editId="24E938A3">
            <wp:extent cx="5093594" cy="2176530"/>
            <wp:effectExtent l="0" t="0" r="0" b="0"/>
            <wp:docPr id="818184595" name="グラフ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5DBC1AA-354C-3324-9236-A7C3B07C7F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3E47BCC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F6E29EF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504B9415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7E7CD6CC" w14:textId="118292EA" w:rsidR="006B6355" w:rsidRPr="00D00053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2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Three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sland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g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roups</w:t>
      </w:r>
    </w:p>
    <w:p w14:paraId="164942E7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139855E3" w14:textId="77777777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222E9C22" wp14:editId="712892CC">
            <wp:extent cx="2204720" cy="2960776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 three region Philippin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095" cy="301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3A142" w14:textId="77777777" w:rsidR="006B6355" w:rsidRPr="00E9266A" w:rsidRDefault="006B6355" w:rsidP="006B635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2FEE38DE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</w:p>
    <w:p w14:paraId="610878F5" w14:textId="77777777" w:rsidR="006B6355" w:rsidRPr="00E9266A" w:rsidRDefault="006B6355" w:rsidP="006B6355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sz w:val="24"/>
          <w:szCs w:val="24"/>
          <w:lang w:eastAsia="ja-JP"/>
        </w:rPr>
        <w:br w:type="page"/>
      </w:r>
    </w:p>
    <w:p w14:paraId="1D1546D1" w14:textId="77777777" w:rsidR="006B6355" w:rsidRPr="00E9266A" w:rsidRDefault="006B6355" w:rsidP="006B6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44A8469" w14:textId="77777777" w:rsidR="006B6355" w:rsidRPr="00E9266A" w:rsidRDefault="006B6355" w:rsidP="006B6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49C68ABC" w14:textId="6C65DA4E" w:rsidR="006B6355" w:rsidRPr="00E9266A" w:rsidRDefault="006B6355" w:rsidP="006B6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3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Semi-N-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s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haped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a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ugmented Kuznets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c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urve</w:t>
      </w:r>
    </w:p>
    <w:p w14:paraId="60C518EC" w14:textId="77777777" w:rsidR="006B6355" w:rsidRPr="00E9266A" w:rsidRDefault="006B6355" w:rsidP="006B6355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45A12A5" w14:textId="77777777" w:rsidR="006B6355" w:rsidRPr="00E9266A" w:rsidRDefault="006B6355" w:rsidP="006B6355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noProof/>
          <w:lang w:val="en-IN" w:eastAsia="en-IN"/>
        </w:rPr>
        <w:drawing>
          <wp:inline distT="0" distB="0" distL="0" distR="0" wp14:anchorId="3C94A321" wp14:editId="406172C0">
            <wp:extent cx="3812146" cy="2780030"/>
            <wp:effectExtent l="0" t="0" r="0" b="1270"/>
            <wp:docPr id="1479564733" name="グラフ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9A5F257-19E7-DDA4-04B8-47FD86B897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89EF8E" w14:textId="08ADB68F" w:rsidR="006B6355" w:rsidRPr="00E9266A" w:rsidRDefault="006B6355" w:rsidP="006B6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4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Relationship between the Gini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c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oefficient of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e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ducational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nequality and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m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ean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y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ears of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e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ducation</w:t>
      </w:r>
    </w:p>
    <w:p w14:paraId="5CB7C31F" w14:textId="77777777" w:rsidR="006B6355" w:rsidRPr="00E9266A" w:rsidRDefault="006B6355" w:rsidP="006B6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10C5605E" w14:textId="77777777" w:rsidR="006B6355" w:rsidRPr="00E9266A" w:rsidRDefault="006B6355" w:rsidP="006B6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00A7BB7B" wp14:editId="3DD01F65">
            <wp:extent cx="3596185" cy="2617974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atter graph gini_educ m_edu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395" cy="26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EC365" w14:textId="0B412FC5" w:rsidR="006B6355" w:rsidRPr="00E9266A" w:rsidRDefault="006B6355" w:rsidP="006B6355">
      <w:pPr>
        <w:snapToGri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Constructed based on the FIES in 1997, 2000, 2006, 2012 and 2018 (PSA, 1998, 2001, 2007, 2013, and 2019).</w:t>
      </w:r>
    </w:p>
    <w:p w14:paraId="746B044E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48912609" w14:textId="77777777" w:rsidR="006B6355" w:rsidRPr="00E9266A" w:rsidRDefault="006B6355" w:rsidP="006B6355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036D114C" w14:textId="03EE1D92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lastRenderedPageBreak/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5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Gini of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ncome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nequality by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rovince in 2018</w:t>
      </w:r>
    </w:p>
    <w:p w14:paraId="0A3D44EA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74514AFE" wp14:editId="6DB6EDC1">
            <wp:extent cx="2999983" cy="4028028"/>
            <wp:effectExtent l="0" t="0" r="0" b="0"/>
            <wp:docPr id="2545246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24654" name="図 2545246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288" cy="436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703D" w14:textId="60F11978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Constructed based on the 2018 FIES (PSA, 2019).</w:t>
      </w:r>
    </w:p>
    <w:p w14:paraId="12A3CCF3" w14:textId="77777777" w:rsidR="006B6355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30FA3243" w14:textId="77777777" w:rsidR="00880747" w:rsidRDefault="00880747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0966FFB9" w14:textId="77777777" w:rsidR="00880747" w:rsidRDefault="00880747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4F6D0558" w14:textId="77777777" w:rsidR="00880747" w:rsidRPr="00E9266A" w:rsidRDefault="00880747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2472D018" w14:textId="34CB4547" w:rsidR="006B6355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6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Provinces in the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t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op 20% (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eveloped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rovinces) and the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b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ottom 80% (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eveloping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rovinces)</w:t>
      </w:r>
    </w:p>
    <w:p w14:paraId="63A5FB5D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Cs/>
          <w:noProof/>
          <w:sz w:val="24"/>
          <w:szCs w:val="24"/>
          <w:lang w:val="en-IN" w:eastAsia="en-IN"/>
        </w:rPr>
        <w:drawing>
          <wp:inline distT="0" distB="0" distL="0" distR="0" wp14:anchorId="1DCBEC24" wp14:editId="332EF1A1">
            <wp:extent cx="2916382" cy="3913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 top 20% mean per capita incom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932" cy="396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90609" w14:textId="752D8B8F" w:rsidR="006B6355" w:rsidRPr="00E9266A" w:rsidRDefault="006B6355" w:rsidP="00D00053">
      <w:pPr>
        <w:snapToGrid w:val="0"/>
        <w:spacing w:after="0" w:line="360" w:lineRule="auto"/>
        <w:ind w:left="2160" w:firstLine="720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Same as Figure </w:t>
      </w:r>
      <w:r w:rsidR="00BC4F46">
        <w:rPr>
          <w:rFonts w:ascii="Times New Roman" w:hAnsi="Times New Roman" w:cs="Times New Roman"/>
          <w:sz w:val="20"/>
          <w:szCs w:val="20"/>
          <w:lang w:eastAsia="ja-JP"/>
        </w:rPr>
        <w:t>A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>5.</w:t>
      </w:r>
    </w:p>
    <w:p w14:paraId="7C596CA5" w14:textId="77777777" w:rsidR="00880747" w:rsidRDefault="00880747" w:rsidP="006B6355">
      <w:pPr>
        <w:snapToGrid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0DA9ED02" w14:textId="77777777" w:rsidR="00880747" w:rsidRDefault="00880747">
      <w:pPr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4AF60AF7" w14:textId="77777777" w:rsidR="00880747" w:rsidRDefault="00880747" w:rsidP="006B6355">
      <w:pPr>
        <w:snapToGrid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5C0F8A22" w14:textId="3A95FBE9" w:rsidR="006B6355" w:rsidRPr="00E9266A" w:rsidRDefault="006B6355" w:rsidP="006B6355">
      <w:pPr>
        <w:snapToGrid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7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Relationship between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ncome Gini and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m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ean per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c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apita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ncome</w:t>
      </w:r>
    </w:p>
    <w:p w14:paraId="5B33237A" w14:textId="2673D75D" w:rsidR="006B6355" w:rsidRPr="00E9266A" w:rsidRDefault="006B6355" w:rsidP="00D00053">
      <w:pPr>
        <w:snapToGrid w:val="0"/>
        <w:spacing w:after="120"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7A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Provinces in the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b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ottom 80% (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eveloping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rovinces)</w:t>
      </w:r>
    </w:p>
    <w:p w14:paraId="53E4D317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2AF86B15" wp14:editId="1730C3F2">
            <wp:extent cx="3574962" cy="2602523"/>
            <wp:effectExtent l="0" t="0" r="698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atter graph Gini against m_pcinc bottom8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148" cy="262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2F60C" w14:textId="07B7DDA9" w:rsidR="006B6355" w:rsidRPr="00E9266A" w:rsidRDefault="006B6355" w:rsidP="00D00053">
      <w:pPr>
        <w:snapToGrid w:val="0"/>
        <w:spacing w:after="120"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7B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Provinces in the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t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op 20% (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eveloped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p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rovinces)</w:t>
      </w:r>
    </w:p>
    <w:p w14:paraId="1725D1ED" w14:textId="77777777" w:rsidR="006B6355" w:rsidRPr="00E9266A" w:rsidRDefault="006B6355" w:rsidP="006B6355">
      <w:pPr>
        <w:snapToGrid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44D9E10C" wp14:editId="759B63CB">
            <wp:extent cx="3587039" cy="26113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atter graph Gini against m_pcinc top2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734" cy="26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320FB" w14:textId="33BF4D19" w:rsidR="006B6355" w:rsidRPr="00E9266A" w:rsidRDefault="006B6355" w:rsidP="00D00053">
      <w:pPr>
        <w:snapToGrid w:val="0"/>
        <w:spacing w:after="0" w:line="360" w:lineRule="auto"/>
        <w:ind w:left="1440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Same as Figure </w:t>
      </w:r>
      <w:r w:rsidR="00BC4F46">
        <w:rPr>
          <w:rFonts w:ascii="Times New Roman" w:hAnsi="Times New Roman" w:cs="Times New Roman"/>
          <w:sz w:val="20"/>
          <w:szCs w:val="20"/>
          <w:lang w:eastAsia="ja-JP"/>
        </w:rPr>
        <w:t>A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>4.</w:t>
      </w:r>
    </w:p>
    <w:p w14:paraId="2A44F349" w14:textId="77777777" w:rsidR="006B6355" w:rsidRPr="00E9266A" w:rsidRDefault="006B6355" w:rsidP="006B6355">
      <w:pPr>
        <w:pStyle w:val="ListParagraph"/>
        <w:snapToGrid w:val="0"/>
        <w:spacing w:after="0" w:line="360" w:lineRule="auto"/>
        <w:ind w:left="5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3235F08B" w14:textId="77777777" w:rsidR="006B6355" w:rsidRPr="00E9266A" w:rsidRDefault="006B6355" w:rsidP="006B6355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sz w:val="24"/>
          <w:szCs w:val="24"/>
          <w:lang w:eastAsia="ja-JP"/>
        </w:rPr>
        <w:br w:type="page"/>
      </w:r>
    </w:p>
    <w:p w14:paraId="5A59C0BD" w14:textId="77777777" w:rsidR="006B6355" w:rsidRPr="00E9266A" w:rsidRDefault="006B6355" w:rsidP="006B6355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E9266A">
        <w:rPr>
          <w:rFonts w:ascii="Times New Roman" w:hAnsi="Times New Roman" w:cs="Times New Roman"/>
          <w:b/>
          <w:sz w:val="24"/>
          <w:szCs w:val="24"/>
          <w:lang w:eastAsia="ja-JP"/>
        </w:rPr>
        <w:lastRenderedPageBreak/>
        <w:t xml:space="preserve"> </w:t>
      </w:r>
    </w:p>
    <w:p w14:paraId="4043EE00" w14:textId="35EAFEEB" w:rsidR="006B6355" w:rsidRPr="00E9266A" w:rsidRDefault="006B6355" w:rsidP="006B635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E9266A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 xml:space="preserve">Figure </w:t>
      </w:r>
      <w:r w:rsidR="00880747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A</w:t>
      </w:r>
      <w:r w:rsidRPr="00E9266A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8</w:t>
      </w:r>
      <w:r w:rsidRPr="00E9266A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 xml:space="preserve"> 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Changes in the GDP Shares of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a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griculture,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m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anufacturing, and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h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 xml:space="preserve">igh-productivity </w:t>
      </w:r>
      <w:r w:rsidR="00D552CA">
        <w:rPr>
          <w:rFonts w:ascii="Times New Roman" w:hAnsi="Times New Roman" w:cs="Times New Roman"/>
          <w:sz w:val="24"/>
          <w:szCs w:val="24"/>
          <w:lang w:eastAsia="ja-JP"/>
        </w:rPr>
        <w:t>s</w:t>
      </w:r>
      <w:r w:rsidRPr="00D00053">
        <w:rPr>
          <w:rFonts w:ascii="Times New Roman" w:hAnsi="Times New Roman" w:cs="Times New Roman"/>
          <w:sz w:val="24"/>
          <w:szCs w:val="24"/>
          <w:lang w:eastAsia="ja-JP"/>
        </w:rPr>
        <w:t>ervices, 2000 – 2020</w:t>
      </w:r>
    </w:p>
    <w:p w14:paraId="090E3997" w14:textId="77777777" w:rsidR="006B6355" w:rsidRPr="00E9266A" w:rsidRDefault="006B6355" w:rsidP="006B6355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E9266A">
        <w:rPr>
          <w:noProof/>
          <w:lang w:val="en-IN" w:eastAsia="en-IN"/>
        </w:rPr>
        <w:drawing>
          <wp:inline distT="0" distB="0" distL="0" distR="0" wp14:anchorId="65506C2A" wp14:editId="59526631">
            <wp:extent cx="4437380" cy="3255264"/>
            <wp:effectExtent l="0" t="0" r="1270" b="2540"/>
            <wp:docPr id="4" name="Chart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ED36D13-FD3F-67E0-41AD-9CAE452E3C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1C40331" w14:textId="24D9F127" w:rsidR="006B6355" w:rsidRPr="00E9266A" w:rsidRDefault="006B6355" w:rsidP="006B6355">
      <w:pPr>
        <w:snapToGrid w:val="0"/>
        <w:spacing w:after="0" w:line="360" w:lineRule="auto"/>
        <w:ind w:firstLine="720"/>
        <w:rPr>
          <w:rFonts w:ascii="Times New Roman" w:hAnsi="Times New Roman" w:cs="Times New Roman"/>
          <w:sz w:val="20"/>
          <w:szCs w:val="20"/>
          <w:lang w:eastAsia="ja-JP"/>
        </w:rPr>
      </w:pP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Source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(s</w:t>
      </w:r>
      <w:r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)</w:t>
      </w:r>
      <w:r w:rsidR="006D42CC" w:rsidRPr="00D00053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: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 Constructed based on </w:t>
      </w:r>
      <w:r w:rsidR="00D552CA">
        <w:rPr>
          <w:rFonts w:ascii="Times New Roman" w:hAnsi="Times New Roman" w:cs="Times New Roman"/>
          <w:sz w:val="20"/>
          <w:szCs w:val="20"/>
          <w:lang w:eastAsia="ja-JP"/>
        </w:rPr>
        <w:t>r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 xml:space="preserve">egional GDP by </w:t>
      </w:r>
      <w:r w:rsidR="00D552CA">
        <w:rPr>
          <w:rFonts w:ascii="Times New Roman" w:hAnsi="Times New Roman" w:cs="Times New Roman"/>
          <w:sz w:val="20"/>
          <w:szCs w:val="20"/>
          <w:lang w:eastAsia="ja-JP"/>
        </w:rPr>
        <w:t>i</w:t>
      </w:r>
      <w:r w:rsidRPr="00E9266A">
        <w:rPr>
          <w:rFonts w:ascii="Times New Roman" w:hAnsi="Times New Roman" w:cs="Times New Roman"/>
          <w:sz w:val="20"/>
          <w:szCs w:val="20"/>
          <w:lang w:eastAsia="ja-JP"/>
        </w:rPr>
        <w:t>ndustry, 2000-2020 (PSA, 2024).</w:t>
      </w:r>
    </w:p>
    <w:bookmarkEnd w:id="0"/>
    <w:p w14:paraId="57BB1E28" w14:textId="77777777" w:rsidR="00EB0501" w:rsidRDefault="00EB0501"/>
    <w:sectPr w:rsidR="00EB0501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505F8" w14:textId="77777777" w:rsidR="00484CCD" w:rsidRDefault="00484CCD" w:rsidP="009F4ADC">
      <w:pPr>
        <w:spacing w:after="0" w:line="240" w:lineRule="auto"/>
      </w:pPr>
      <w:r>
        <w:separator/>
      </w:r>
    </w:p>
  </w:endnote>
  <w:endnote w:type="continuationSeparator" w:id="0">
    <w:p w14:paraId="0A5B3063" w14:textId="77777777" w:rsidR="00484CCD" w:rsidRDefault="00484CCD" w:rsidP="009F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337AA" w14:textId="77777777" w:rsidR="00484CCD" w:rsidRDefault="00484CCD" w:rsidP="009F4ADC">
      <w:pPr>
        <w:spacing w:after="0" w:line="240" w:lineRule="auto"/>
      </w:pPr>
      <w:r>
        <w:separator/>
      </w:r>
    </w:p>
  </w:footnote>
  <w:footnote w:type="continuationSeparator" w:id="0">
    <w:p w14:paraId="0FC180EA" w14:textId="77777777" w:rsidR="00484CCD" w:rsidRDefault="00484CCD" w:rsidP="009F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19F1"/>
    <w:multiLevelType w:val="multilevel"/>
    <w:tmpl w:val="4DD41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90"/>
    <w:rsid w:val="00142790"/>
    <w:rsid w:val="002B233D"/>
    <w:rsid w:val="00484CCD"/>
    <w:rsid w:val="006B6355"/>
    <w:rsid w:val="006D42CC"/>
    <w:rsid w:val="00880747"/>
    <w:rsid w:val="009C640C"/>
    <w:rsid w:val="009F4ADC"/>
    <w:rsid w:val="00BC4F46"/>
    <w:rsid w:val="00D00053"/>
    <w:rsid w:val="00D552CA"/>
    <w:rsid w:val="00E04D87"/>
    <w:rsid w:val="00E11526"/>
    <w:rsid w:val="00EB0501"/>
    <w:rsid w:val="00F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92753"/>
  <w15:chartTrackingRefBased/>
  <w15:docId w15:val="{AAF2EB57-AA18-4586-AD65-F82CE95E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5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35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6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355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6B63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635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B635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63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635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63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3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5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6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35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35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462361751139129E-2"/>
          <c:y val="5.0925925925925923E-2"/>
          <c:w val="0.95515233678957823"/>
          <c:h val="0.89360141834428986"/>
        </c:manualLayout>
      </c:layout>
      <c:scatterChart>
        <c:scatterStyle val="smoothMarker"/>
        <c:varyColors val="0"/>
        <c:ser>
          <c:idx val="0"/>
          <c:order val="0"/>
          <c:spPr>
            <a:ln w="317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Sheet1!$C$12:$AD$12</c:f>
              <c:numCache>
                <c:formatCode>General</c:formatCode>
                <c:ptCount val="28"/>
                <c:pt idx="0">
                  <c:v>5.0000000000000001E-3</c:v>
                </c:pt>
                <c:pt idx="1">
                  <c:v>0.01</c:v>
                </c:pt>
                <c:pt idx="2">
                  <c:v>1.4999999999999999E-2</c:v>
                </c:pt>
                <c:pt idx="3">
                  <c:v>0.02</c:v>
                </c:pt>
                <c:pt idx="4">
                  <c:v>2.5000000000000001E-2</c:v>
                </c:pt>
                <c:pt idx="5">
                  <c:v>0.03</c:v>
                </c:pt>
                <c:pt idx="6">
                  <c:v>3.5000000000000003E-2</c:v>
                </c:pt>
                <c:pt idx="7">
                  <c:v>0.04</c:v>
                </c:pt>
                <c:pt idx="8">
                  <c:v>4.4999999999999998E-2</c:v>
                </c:pt>
                <c:pt idx="9">
                  <c:v>0.05</c:v>
                </c:pt>
                <c:pt idx="10">
                  <c:v>5.5E-2</c:v>
                </c:pt>
                <c:pt idx="11">
                  <c:v>0.06</c:v>
                </c:pt>
                <c:pt idx="12">
                  <c:v>6.5000000000000002E-2</c:v>
                </c:pt>
                <c:pt idx="13">
                  <c:v>7.0000000000000007E-2</c:v>
                </c:pt>
                <c:pt idx="14">
                  <c:v>7.4999999999999997E-2</c:v>
                </c:pt>
                <c:pt idx="15">
                  <c:v>0.08</c:v>
                </c:pt>
                <c:pt idx="16">
                  <c:v>8.5000000000000006E-2</c:v>
                </c:pt>
                <c:pt idx="17">
                  <c:v>9.0000000000000094E-2</c:v>
                </c:pt>
                <c:pt idx="18">
                  <c:v>9.5000000000000098E-2</c:v>
                </c:pt>
                <c:pt idx="19">
                  <c:v>0.1</c:v>
                </c:pt>
                <c:pt idx="20">
                  <c:v>0.105</c:v>
                </c:pt>
                <c:pt idx="21">
                  <c:v>0.11</c:v>
                </c:pt>
                <c:pt idx="22">
                  <c:v>0.115</c:v>
                </c:pt>
                <c:pt idx="23">
                  <c:v>0.12</c:v>
                </c:pt>
                <c:pt idx="24">
                  <c:v>0.125</c:v>
                </c:pt>
                <c:pt idx="25">
                  <c:v>0.13</c:v>
                </c:pt>
                <c:pt idx="26">
                  <c:v>0.13500000000000001</c:v>
                </c:pt>
                <c:pt idx="27">
                  <c:v>0.14000000000000001</c:v>
                </c:pt>
              </c:numCache>
            </c:numRef>
          </c:xVal>
          <c:yVal>
            <c:numRef>
              <c:f>Sheet1!$C$13:$AD$13</c:f>
              <c:numCache>
                <c:formatCode>0.00</c:formatCode>
                <c:ptCount val="28"/>
                <c:pt idx="0">
                  <c:v>0.14374374999999998</c:v>
                </c:pt>
                <c:pt idx="1">
                  <c:v>0.25595000000000001</c:v>
                </c:pt>
                <c:pt idx="2">
                  <c:v>0.34808125000000001</c:v>
                </c:pt>
                <c:pt idx="3">
                  <c:v>0.42159999999999997</c:v>
                </c:pt>
                <c:pt idx="4">
                  <c:v>0.47796875000000005</c:v>
                </c:pt>
                <c:pt idx="5">
                  <c:v>0.51865000000000006</c:v>
                </c:pt>
                <c:pt idx="6">
                  <c:v>0.54510625000000001</c:v>
                </c:pt>
                <c:pt idx="7">
                  <c:v>0.55879999999999996</c:v>
                </c:pt>
                <c:pt idx="8">
                  <c:v>0.56119374999999994</c:v>
                </c:pt>
                <c:pt idx="9">
                  <c:v>0.55375000000000008</c:v>
                </c:pt>
                <c:pt idx="10">
                  <c:v>0.53793124999999997</c:v>
                </c:pt>
                <c:pt idx="11">
                  <c:v>0.5152000000000001</c:v>
                </c:pt>
                <c:pt idx="12">
                  <c:v>0.48701874999999983</c:v>
                </c:pt>
                <c:pt idx="13">
                  <c:v>0.45484999999999975</c:v>
                </c:pt>
                <c:pt idx="14">
                  <c:v>0.42015624999999968</c:v>
                </c:pt>
                <c:pt idx="15">
                  <c:v>0.38439999999999985</c:v>
                </c:pt>
                <c:pt idx="16">
                  <c:v>0.34904374999999987</c:v>
                </c:pt>
                <c:pt idx="17">
                  <c:v>0.31554999999999889</c:v>
                </c:pt>
                <c:pt idx="18">
                  <c:v>0.28538124999999948</c:v>
                </c:pt>
                <c:pt idx="19">
                  <c:v>0.26</c:v>
                </c:pt>
                <c:pt idx="20">
                  <c:v>0.24086874999999974</c:v>
                </c:pt>
                <c:pt idx="21">
                  <c:v>0.22944999999999993</c:v>
                </c:pt>
                <c:pt idx="22">
                  <c:v>0.22720625000000005</c:v>
                </c:pt>
                <c:pt idx="23">
                  <c:v>0.23559999999999981</c:v>
                </c:pt>
                <c:pt idx="24">
                  <c:v>0.25609374999999979</c:v>
                </c:pt>
                <c:pt idx="25">
                  <c:v>0.29014999999999924</c:v>
                </c:pt>
                <c:pt idx="26">
                  <c:v>0.33923124999999921</c:v>
                </c:pt>
                <c:pt idx="27">
                  <c:v>0.40479999999999983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4C2-4965-ABFD-6A4A9C7D1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4964800"/>
        <c:axId val="-94966432"/>
      </c:scatterChart>
      <c:valAx>
        <c:axId val="-94964800"/>
        <c:scaling>
          <c:orientation val="minMax"/>
          <c:max val="0.15000000000000002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94966432"/>
        <c:crosses val="autoZero"/>
        <c:crossBetween val="midCat"/>
      </c:valAx>
      <c:valAx>
        <c:axId val="-9496643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-949648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28575" cap="flat" cmpd="sng" algn="ctr">
      <a:noFill/>
      <a:round/>
    </a:ln>
    <a:effectLst/>
  </c:spPr>
  <c:txPr>
    <a:bodyPr/>
    <a:lstStyle/>
    <a:p>
      <a:pPr>
        <a:defRPr sz="1000">
          <a:ln w="6350" cmpd="sng">
            <a:noFill/>
          </a:ln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370426134357203E-2"/>
          <c:y val="5.8140163991053824E-2"/>
          <c:w val="0.89042867048905627"/>
          <c:h val="0.8837196720178923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Sheet1!$D$10:$R$10</c:f>
              <c:numCache>
                <c:formatCode>0.00</c:formatCode>
                <c:ptCount val="15"/>
                <c:pt idx="0">
                  <c:v>0.7</c:v>
                </c:pt>
                <c:pt idx="1">
                  <c:v>0.72</c:v>
                </c:pt>
                <c:pt idx="2">
                  <c:v>0.74</c:v>
                </c:pt>
                <c:pt idx="3">
                  <c:v>0.76</c:v>
                </c:pt>
                <c:pt idx="4">
                  <c:v>0.78</c:v>
                </c:pt>
                <c:pt idx="5">
                  <c:v>0.8</c:v>
                </c:pt>
                <c:pt idx="6">
                  <c:v>0.82</c:v>
                </c:pt>
                <c:pt idx="7">
                  <c:v>0.84</c:v>
                </c:pt>
                <c:pt idx="8">
                  <c:v>0.86</c:v>
                </c:pt>
                <c:pt idx="9">
                  <c:v>0.88</c:v>
                </c:pt>
                <c:pt idx="10">
                  <c:v>0.9</c:v>
                </c:pt>
                <c:pt idx="11">
                  <c:v>0.92</c:v>
                </c:pt>
                <c:pt idx="12">
                  <c:v>0.94</c:v>
                </c:pt>
                <c:pt idx="13">
                  <c:v>0.96</c:v>
                </c:pt>
                <c:pt idx="14">
                  <c:v>0.98</c:v>
                </c:pt>
              </c:numCache>
            </c:numRef>
          </c:cat>
          <c:val>
            <c:numRef>
              <c:f>Sheet1!$D$15:$R$15</c:f>
              <c:numCache>
                <c:formatCode>General</c:formatCode>
                <c:ptCount val="15"/>
                <c:pt idx="0">
                  <c:v>0.50146599999999997</c:v>
                </c:pt>
                <c:pt idx="1">
                  <c:v>0.502557696</c:v>
                </c:pt>
                <c:pt idx="2">
                  <c:v>0.50338884800000039</c:v>
                </c:pt>
                <c:pt idx="3">
                  <c:v>0.50399795200000019</c:v>
                </c:pt>
                <c:pt idx="4">
                  <c:v>0.50442350400000002</c:v>
                </c:pt>
                <c:pt idx="5">
                  <c:v>0.50470400000000004</c:v>
                </c:pt>
                <c:pt idx="6">
                  <c:v>0.50487793600000019</c:v>
                </c:pt>
                <c:pt idx="7">
                  <c:v>0.5049838080000002</c:v>
                </c:pt>
                <c:pt idx="8">
                  <c:v>0.50506011200000023</c:v>
                </c:pt>
                <c:pt idx="9">
                  <c:v>0.505145344</c:v>
                </c:pt>
                <c:pt idx="10">
                  <c:v>0.50527800000000034</c:v>
                </c:pt>
                <c:pt idx="11">
                  <c:v>0.5054965760000002</c:v>
                </c:pt>
                <c:pt idx="12">
                  <c:v>0.50583956800000018</c:v>
                </c:pt>
                <c:pt idx="13">
                  <c:v>0.50634547200000024</c:v>
                </c:pt>
                <c:pt idx="14" formatCode="0.000">
                  <c:v>0.50705278400000042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55F-48E6-8F69-23B48293AA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4969152"/>
        <c:axId val="-94963168"/>
      </c:lineChart>
      <c:catAx>
        <c:axId val="-94969152"/>
        <c:scaling>
          <c:orientation val="minMax"/>
        </c:scaling>
        <c:delete val="1"/>
        <c:axPos val="b"/>
        <c:numFmt formatCode="0.00" sourceLinked="1"/>
        <c:majorTickMark val="none"/>
        <c:minorTickMark val="none"/>
        <c:tickLblPos val="nextTo"/>
        <c:crossAx val="-94963168"/>
        <c:crosses val="autoZero"/>
        <c:auto val="1"/>
        <c:lblAlgn val="ctr"/>
        <c:lblOffset val="100"/>
        <c:noMultiLvlLbl val="0"/>
      </c:catAx>
      <c:valAx>
        <c:axId val="-94963168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9496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2857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758382038517769E-2"/>
          <c:y val="3.4211422885035425E-2"/>
          <c:w val="0.87535767042385493"/>
          <c:h val="0.89777365469575898"/>
        </c:manualLayout>
      </c:layout>
      <c:lineChart>
        <c:grouping val="standard"/>
        <c:varyColors val="0"/>
        <c:ser>
          <c:idx val="2"/>
          <c:order val="0"/>
          <c:tx>
            <c:strRef>
              <c:f>sum!$M$24</c:f>
              <c:strCache>
                <c:ptCount val="1"/>
                <c:pt idx="0">
                  <c:v>Agriculture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sum!$L$25:$L$41</c:f>
              <c:strCache>
                <c:ptCount val="17"/>
                <c:pt idx="0">
                  <c:v>NCR</c:v>
                </c:pt>
                <c:pt idx="1">
                  <c:v>CAR</c:v>
                </c:pt>
                <c:pt idx="2">
                  <c:v>Ilocos Region (I)</c:v>
                </c:pt>
                <c:pt idx="3">
                  <c:v>Cagayan Valley (II)</c:v>
                </c:pt>
                <c:pt idx="4">
                  <c:v>Central Luzon (III)</c:v>
                </c:pt>
                <c:pt idx="5">
                  <c:v>Calabarzon (IV-A)</c:v>
                </c:pt>
                <c:pt idx="6">
                  <c:v>Mimaropa (IV-B)</c:v>
                </c:pt>
                <c:pt idx="7">
                  <c:v>Bicol Region (V)</c:v>
                </c:pt>
                <c:pt idx="8">
                  <c:v>Western Visayas (VI)</c:v>
                </c:pt>
                <c:pt idx="9">
                  <c:v>Central Visayas (VII)</c:v>
                </c:pt>
                <c:pt idx="10">
                  <c:v>Eastern Visayas (VIII)</c:v>
                </c:pt>
                <c:pt idx="11">
                  <c:v>Zamboanga Peninsula (IX)</c:v>
                </c:pt>
                <c:pt idx="12">
                  <c:v>Northern Mindanao (X)</c:v>
                </c:pt>
                <c:pt idx="13">
                  <c:v>Davao Region (XI)</c:v>
                </c:pt>
                <c:pt idx="14">
                  <c:v>Soccsksargen (XII)</c:v>
                </c:pt>
                <c:pt idx="15">
                  <c:v>Caraga (XIII)</c:v>
                </c:pt>
                <c:pt idx="16">
                  <c:v>BARMM</c:v>
                </c:pt>
              </c:strCache>
            </c:strRef>
          </c:cat>
          <c:val>
            <c:numRef>
              <c:f>sum!$M$25:$M$41</c:f>
              <c:numCache>
                <c:formatCode>0.0%</c:formatCode>
                <c:ptCount val="17"/>
                <c:pt idx="0">
                  <c:v>-1.3970303359676873E-4</c:v>
                </c:pt>
                <c:pt idx="1">
                  <c:v>-2.9297623231430966E-2</c:v>
                </c:pt>
                <c:pt idx="2">
                  <c:v>-7.0185531087107789E-2</c:v>
                </c:pt>
                <c:pt idx="3">
                  <c:v>-0.12174501231181079</c:v>
                </c:pt>
                <c:pt idx="4">
                  <c:v>-5.2250751467919382E-2</c:v>
                </c:pt>
                <c:pt idx="5">
                  <c:v>-4.4316306182248244E-2</c:v>
                </c:pt>
                <c:pt idx="6">
                  <c:v>-0.20111396629804429</c:v>
                </c:pt>
                <c:pt idx="7">
                  <c:v>-9.6041836050584334E-2</c:v>
                </c:pt>
                <c:pt idx="8">
                  <c:v>-9.4576203973871981E-2</c:v>
                </c:pt>
                <c:pt idx="9">
                  <c:v>-6.7609584158597733E-2</c:v>
                </c:pt>
                <c:pt idx="10">
                  <c:v>-8.9703828787880246E-2</c:v>
                </c:pt>
                <c:pt idx="11">
                  <c:v>-0.17121962240089078</c:v>
                </c:pt>
                <c:pt idx="12">
                  <c:v>-8.0200826932010277E-2</c:v>
                </c:pt>
                <c:pt idx="13">
                  <c:v>-0.15655958246411497</c:v>
                </c:pt>
                <c:pt idx="14">
                  <c:v>-0.12053395492000418</c:v>
                </c:pt>
                <c:pt idx="15">
                  <c:v>-0.15245036467096212</c:v>
                </c:pt>
                <c:pt idx="16">
                  <c:v>-0.20330983335131458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C22-4773-9085-4E0670F67D67}"/>
            </c:ext>
          </c:extLst>
        </c:ser>
        <c:ser>
          <c:idx val="0"/>
          <c:order val="1"/>
          <c:tx>
            <c:v>Manufacturing</c:v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sum!$L$25:$L$41</c:f>
              <c:strCache>
                <c:ptCount val="17"/>
                <c:pt idx="0">
                  <c:v>NCR</c:v>
                </c:pt>
                <c:pt idx="1">
                  <c:v>CAR</c:v>
                </c:pt>
                <c:pt idx="2">
                  <c:v>Ilocos Region (I)</c:v>
                </c:pt>
                <c:pt idx="3">
                  <c:v>Cagayan Valley (II)</c:v>
                </c:pt>
                <c:pt idx="4">
                  <c:v>Central Luzon (III)</c:v>
                </c:pt>
                <c:pt idx="5">
                  <c:v>Calabarzon (IV-A)</c:v>
                </c:pt>
                <c:pt idx="6">
                  <c:v>Mimaropa (IV-B)</c:v>
                </c:pt>
                <c:pt idx="7">
                  <c:v>Bicol Region (V)</c:v>
                </c:pt>
                <c:pt idx="8">
                  <c:v>Western Visayas (VI)</c:v>
                </c:pt>
                <c:pt idx="9">
                  <c:v>Central Visayas (VII)</c:v>
                </c:pt>
                <c:pt idx="10">
                  <c:v>Eastern Visayas (VIII)</c:v>
                </c:pt>
                <c:pt idx="11">
                  <c:v>Zamboanga Peninsula (IX)</c:v>
                </c:pt>
                <c:pt idx="12">
                  <c:v>Northern Mindanao (X)</c:v>
                </c:pt>
                <c:pt idx="13">
                  <c:v>Davao Region (XI)</c:v>
                </c:pt>
                <c:pt idx="14">
                  <c:v>Soccsksargen (XII)</c:v>
                </c:pt>
                <c:pt idx="15">
                  <c:v>Caraga (XIII)</c:v>
                </c:pt>
                <c:pt idx="16">
                  <c:v>BARMM</c:v>
                </c:pt>
              </c:strCache>
            </c:strRef>
          </c:cat>
          <c:val>
            <c:numRef>
              <c:f>sum!$N$25:$N$41</c:f>
              <c:numCache>
                <c:formatCode>0.0%</c:formatCode>
                <c:ptCount val="17"/>
                <c:pt idx="0">
                  <c:v>-7.0490300297769259E-2</c:v>
                </c:pt>
                <c:pt idx="1">
                  <c:v>-0.19092483525762338</c:v>
                </c:pt>
                <c:pt idx="2">
                  <c:v>-3.7408586278856376E-2</c:v>
                </c:pt>
                <c:pt idx="3">
                  <c:v>-1.9985815192345976E-2</c:v>
                </c:pt>
                <c:pt idx="4">
                  <c:v>-5.9990062598849425E-2</c:v>
                </c:pt>
                <c:pt idx="5">
                  <c:v>-3.5649469415768964E-2</c:v>
                </c:pt>
                <c:pt idx="6">
                  <c:v>4.1248213881484336E-2</c:v>
                </c:pt>
                <c:pt idx="7">
                  <c:v>-9.6336063254134907E-3</c:v>
                </c:pt>
                <c:pt idx="8">
                  <c:v>-7.0134581756103875E-3</c:v>
                </c:pt>
                <c:pt idx="9">
                  <c:v>-7.6228259210334715E-3</c:v>
                </c:pt>
                <c:pt idx="10">
                  <c:v>-6.4994366328586267E-2</c:v>
                </c:pt>
                <c:pt idx="11">
                  <c:v>9.3663255835724782E-2</c:v>
                </c:pt>
                <c:pt idx="12">
                  <c:v>4.6388992638007845E-2</c:v>
                </c:pt>
                <c:pt idx="13">
                  <c:v>-1.200623013973344E-2</c:v>
                </c:pt>
                <c:pt idx="14">
                  <c:v>4.0402207371016324E-2</c:v>
                </c:pt>
                <c:pt idx="15">
                  <c:v>2.065536050099348E-2</c:v>
                </c:pt>
                <c:pt idx="16">
                  <c:v>7.1736964149130139E-2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FCB-47B4-8CE5-238C9BC73748}"/>
            </c:ext>
          </c:extLst>
        </c:ser>
        <c:ser>
          <c:idx val="1"/>
          <c:order val="2"/>
          <c:tx>
            <c:v>High productivity services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sum!$L$25:$L$41</c:f>
              <c:strCache>
                <c:ptCount val="17"/>
                <c:pt idx="0">
                  <c:v>NCR</c:v>
                </c:pt>
                <c:pt idx="1">
                  <c:v>CAR</c:v>
                </c:pt>
                <c:pt idx="2">
                  <c:v>Ilocos Region (I)</c:v>
                </c:pt>
                <c:pt idx="3">
                  <c:v>Cagayan Valley (II)</c:v>
                </c:pt>
                <c:pt idx="4">
                  <c:v>Central Luzon (III)</c:v>
                </c:pt>
                <c:pt idx="5">
                  <c:v>Calabarzon (IV-A)</c:v>
                </c:pt>
                <c:pt idx="6">
                  <c:v>Mimaropa (IV-B)</c:v>
                </c:pt>
                <c:pt idx="7">
                  <c:v>Bicol Region (V)</c:v>
                </c:pt>
                <c:pt idx="8">
                  <c:v>Western Visayas (VI)</c:v>
                </c:pt>
                <c:pt idx="9">
                  <c:v>Central Visayas (VII)</c:v>
                </c:pt>
                <c:pt idx="10">
                  <c:v>Eastern Visayas (VIII)</c:v>
                </c:pt>
                <c:pt idx="11">
                  <c:v>Zamboanga Peninsula (IX)</c:v>
                </c:pt>
                <c:pt idx="12">
                  <c:v>Northern Mindanao (X)</c:v>
                </c:pt>
                <c:pt idx="13">
                  <c:v>Davao Region (XI)</c:v>
                </c:pt>
                <c:pt idx="14">
                  <c:v>Soccsksargen (XII)</c:v>
                </c:pt>
                <c:pt idx="15">
                  <c:v>Caraga (XIII)</c:v>
                </c:pt>
                <c:pt idx="16">
                  <c:v>BARMM</c:v>
                </c:pt>
              </c:strCache>
            </c:strRef>
          </c:cat>
          <c:val>
            <c:numRef>
              <c:f>sum!$O$25:$O$41</c:f>
              <c:numCache>
                <c:formatCode>0.0%</c:formatCode>
                <c:ptCount val="17"/>
                <c:pt idx="0">
                  <c:v>0.16397343922180843</c:v>
                </c:pt>
                <c:pt idx="1">
                  <c:v>0.20565898948339648</c:v>
                </c:pt>
                <c:pt idx="2">
                  <c:v>5.2534924099014099E-2</c:v>
                </c:pt>
                <c:pt idx="3">
                  <c:v>3.4287764456564812E-2</c:v>
                </c:pt>
                <c:pt idx="4">
                  <c:v>0.10028260807751084</c:v>
                </c:pt>
                <c:pt idx="5">
                  <c:v>6.1733229109288718E-2</c:v>
                </c:pt>
                <c:pt idx="6">
                  <c:v>3.2658673681298503E-2</c:v>
                </c:pt>
                <c:pt idx="7">
                  <c:v>3.9563567337281974E-2</c:v>
                </c:pt>
                <c:pt idx="8">
                  <c:v>5.643605259050305E-2</c:v>
                </c:pt>
                <c:pt idx="9">
                  <c:v>0.15211279595839777</c:v>
                </c:pt>
                <c:pt idx="10">
                  <c:v>6.6456998280419524E-2</c:v>
                </c:pt>
                <c:pt idx="11">
                  <c:v>1.1053025469313568E-2</c:v>
                </c:pt>
                <c:pt idx="12">
                  <c:v>3.4621938253894452E-2</c:v>
                </c:pt>
                <c:pt idx="13">
                  <c:v>8.2873833952999798E-2</c:v>
                </c:pt>
                <c:pt idx="14">
                  <c:v>6.60150419237331E-2</c:v>
                </c:pt>
                <c:pt idx="15">
                  <c:v>0.12444469903235827</c:v>
                </c:pt>
                <c:pt idx="16">
                  <c:v>1.189814988609831E-2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CB-47B4-8CE5-238C9BC737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4964256"/>
        <c:axId val="-94960992"/>
      </c:lineChart>
      <c:catAx>
        <c:axId val="-9496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94960992"/>
        <c:crosses val="autoZero"/>
        <c:auto val="1"/>
        <c:lblAlgn val="ctr"/>
        <c:lblOffset val="100"/>
        <c:noMultiLvlLbl val="0"/>
      </c:catAx>
      <c:valAx>
        <c:axId val="-94960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9496425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0.08333</cdr:x>
      <cdr:y>0.06439</cdr:y>
    </cdr:from>
    <cdr:to>
      <cdr:x>0.08461</cdr:x>
      <cdr:y>0.95482</cdr:y>
    </cdr:to>
    <cdr:cxnSp macro="">
      <cdr:nvCxnSpPr>
        <cdr:cNvPr id="3" name="直線矢印コネクタ 2">
          <a:extLst xmlns:a="http://schemas.openxmlformats.org/drawingml/2006/main">
            <a:ext uri="{FF2B5EF4-FFF2-40B4-BE49-F238E27FC236}">
              <a16:creationId xmlns="" xmlns:a16="http://schemas.microsoft.com/office/drawing/2014/main" id="{73F19924-1F7D-8C82-B3EA-A8BDBC064471}"/>
            </a:ext>
          </a:extLst>
        </cdr:cNvPr>
        <cdr:cNvCxnSpPr/>
      </cdr:nvCxnSpPr>
      <cdr:spPr>
        <a:xfrm xmlns:a="http://schemas.openxmlformats.org/drawingml/2006/main" flipV="1">
          <a:off x="437286" y="145073"/>
          <a:ext cx="6726" cy="2006117"/>
        </a:xfrm>
        <a:prstGeom xmlns:a="http://schemas.openxmlformats.org/drawingml/2006/main" prst="straightConnector1">
          <a:avLst/>
        </a:prstGeom>
        <a:ln xmlns:a="http://schemas.openxmlformats.org/drawingml/2006/main" w="12700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0.08199</cdr:x>
      <cdr:y>0.94261</cdr:y>
    </cdr:from>
    <cdr:to>
      <cdr:x>0.97581</cdr:x>
      <cdr:y>0.95177</cdr:y>
    </cdr:to>
    <cdr:cxnSp macro="">
      <cdr:nvCxnSpPr>
        <cdr:cNvPr id="14" name="直線矢印コネクタ 13">
          <a:extLst xmlns:a="http://schemas.openxmlformats.org/drawingml/2006/main">
            <a:ext uri="{FF2B5EF4-FFF2-40B4-BE49-F238E27FC236}">
              <a16:creationId xmlns="" xmlns:a16="http://schemas.microsoft.com/office/drawing/2014/main" id="{DEF91102-0B5A-CCBA-611F-67EB7DB3C674}"/>
            </a:ext>
          </a:extLst>
        </cdr:cNvPr>
        <cdr:cNvCxnSpPr/>
      </cdr:nvCxnSpPr>
      <cdr:spPr>
        <a:xfrm xmlns:a="http://schemas.openxmlformats.org/drawingml/2006/main" flipV="1">
          <a:off x="510792" y="2585775"/>
          <a:ext cx="5568462" cy="25121"/>
        </a:xfrm>
        <a:prstGeom xmlns:a="http://schemas.openxmlformats.org/drawingml/2006/main" prst="straightConnector1">
          <a:avLst/>
        </a:prstGeom>
        <a:ln xmlns:a="http://schemas.openxmlformats.org/drawingml/2006/main" w="12700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0.10349</cdr:x>
      <cdr:y>0.08791</cdr:y>
    </cdr:from>
    <cdr:to>
      <cdr:x>0.25027</cdr:x>
      <cdr:y>0.43651</cdr:y>
    </cdr:to>
    <cdr:sp macro="" textlink="">
      <cdr:nvSpPr>
        <cdr:cNvPr id="22" name="テキスト ボックス 21">
          <a:extLst xmlns:a="http://schemas.openxmlformats.org/drawingml/2006/main">
            <a:ext uri="{FF2B5EF4-FFF2-40B4-BE49-F238E27FC236}">
              <a16:creationId xmlns="" xmlns:a16="http://schemas.microsoft.com/office/drawing/2014/main" id="{FE762CDF-A879-B016-E534-0FDE25487567}"/>
            </a:ext>
          </a:extLst>
        </cdr:cNvPr>
        <cdr:cNvSpPr txBox="1"/>
      </cdr:nvSpPr>
      <cdr:spPr>
        <a:xfrm xmlns:a="http://schemas.openxmlformats.org/drawingml/2006/main">
          <a:off x="644770" y="241160"/>
          <a:ext cx="914400" cy="9562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ja-JP" altLang="en-US" sz="1100"/>
        </a:p>
      </cdr:txBody>
    </cdr:sp>
  </cdr:relSizeAnchor>
  <cdr:relSizeAnchor xmlns:cdr="http://schemas.openxmlformats.org/drawingml/2006/chartDrawing">
    <cdr:from>
      <cdr:x>0.07796</cdr:x>
      <cdr:y>0</cdr:y>
    </cdr:from>
    <cdr:to>
      <cdr:x>0.31859</cdr:x>
      <cdr:y>0.11905</cdr:y>
    </cdr:to>
    <cdr:sp macro="" textlink="">
      <cdr:nvSpPr>
        <cdr:cNvPr id="23" name="テキスト ボックス 22">
          <a:extLst xmlns:a="http://schemas.openxmlformats.org/drawingml/2006/main">
            <a:ext uri="{FF2B5EF4-FFF2-40B4-BE49-F238E27FC236}">
              <a16:creationId xmlns="" xmlns:a16="http://schemas.microsoft.com/office/drawing/2014/main" id="{22869162-0D02-277F-3981-C5AFCFB962FE}"/>
            </a:ext>
          </a:extLst>
        </cdr:cNvPr>
        <cdr:cNvSpPr txBox="1"/>
      </cdr:nvSpPr>
      <cdr:spPr>
        <a:xfrm xmlns:a="http://schemas.openxmlformats.org/drawingml/2006/main">
          <a:off x="409106" y="0"/>
          <a:ext cx="1262745" cy="2682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altLang="ja-JP" sz="1000">
              <a:latin typeface="Times New Roman" panose="02020603050405020304" pitchFamily="18" charset="0"/>
              <a:cs typeface="Times New Roman" panose="02020603050405020304" pitchFamily="18" charset="0"/>
            </a:rPr>
            <a:t>Income inequality</a:t>
          </a:r>
          <a:endParaRPr lang="ja-JP" alt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0.71371</cdr:x>
      <cdr:y>0.66667</cdr:y>
    </cdr:from>
    <cdr:to>
      <cdr:x>0.9371</cdr:x>
      <cdr:y>1</cdr:y>
    </cdr:to>
    <cdr:sp macro="" textlink="">
      <cdr:nvSpPr>
        <cdr:cNvPr id="24" name="テキスト ボックス 23">
          <a:extLst xmlns:a="http://schemas.openxmlformats.org/drawingml/2006/main">
            <a:ext uri="{FF2B5EF4-FFF2-40B4-BE49-F238E27FC236}">
              <a16:creationId xmlns="" xmlns:a16="http://schemas.microsoft.com/office/drawing/2014/main" id="{7C832A47-8182-21B8-AE32-D5B4D6EB5193}"/>
            </a:ext>
          </a:extLst>
        </cdr:cNvPr>
        <cdr:cNvSpPr txBox="1"/>
      </cdr:nvSpPr>
      <cdr:spPr>
        <a:xfrm xmlns:a="http://schemas.openxmlformats.org/drawingml/2006/main">
          <a:off x="4446397" y="1828800"/>
          <a:ext cx="1391696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ja-JP" altLang="en-US" sz="1100"/>
        </a:p>
      </cdr:txBody>
    </cdr:sp>
  </cdr:relSizeAnchor>
  <cdr:relSizeAnchor xmlns:cdr="http://schemas.openxmlformats.org/drawingml/2006/chartDrawing">
    <cdr:from>
      <cdr:x>0.63138</cdr:x>
      <cdr:y>0.83758</cdr:y>
    </cdr:from>
    <cdr:to>
      <cdr:x>1</cdr:x>
      <cdr:y>0.95052</cdr:y>
    </cdr:to>
    <cdr:sp macro="" textlink="">
      <cdr:nvSpPr>
        <cdr:cNvPr id="25" name="テキスト ボックス 24">
          <a:extLst xmlns:a="http://schemas.openxmlformats.org/drawingml/2006/main">
            <a:ext uri="{FF2B5EF4-FFF2-40B4-BE49-F238E27FC236}">
              <a16:creationId xmlns="" xmlns:a16="http://schemas.microsoft.com/office/drawing/2014/main" id="{9FA7C352-4EED-FD05-ECB7-7C4AD2508DB2}"/>
            </a:ext>
          </a:extLst>
        </cdr:cNvPr>
        <cdr:cNvSpPr txBox="1"/>
      </cdr:nvSpPr>
      <cdr:spPr>
        <a:xfrm xmlns:a="http://schemas.openxmlformats.org/drawingml/2006/main">
          <a:off x="3313265" y="1887051"/>
          <a:ext cx="1934375" cy="2544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ja-JP" sz="1000">
              <a:latin typeface="Times New Roman" panose="02020603050405020304" pitchFamily="18" charset="0"/>
              <a:cs typeface="Times New Roman" panose="02020603050405020304" pitchFamily="18" charset="0"/>
            </a:rPr>
            <a:t>Level</a:t>
          </a:r>
          <a:r>
            <a:rPr lang="en-US" altLang="ja-JP" sz="1000" baseline="0">
              <a:latin typeface="Times New Roman" panose="02020603050405020304" pitchFamily="18" charset="0"/>
              <a:cs typeface="Times New Roman" panose="02020603050405020304" pitchFamily="18" charset="0"/>
            </a:rPr>
            <a:t> of economic development</a:t>
          </a:r>
          <a:endParaRPr lang="ja-JP" alt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0.2332</cdr:x>
      <cdr:y>0.50037</cdr:y>
    </cdr:from>
    <cdr:to>
      <cdr:x>0.49933</cdr:x>
      <cdr:y>0.63163</cdr:y>
    </cdr:to>
    <cdr:sp macro="" textlink="">
      <cdr:nvSpPr>
        <cdr:cNvPr id="28" name="テキスト ボックス 27">
          <a:extLst xmlns:a="http://schemas.openxmlformats.org/drawingml/2006/main">
            <a:ext uri="{FF2B5EF4-FFF2-40B4-BE49-F238E27FC236}">
              <a16:creationId xmlns="" xmlns:a16="http://schemas.microsoft.com/office/drawing/2014/main" id="{C2C7EDBF-26C1-D527-0D29-F986C9FF5D05}"/>
            </a:ext>
          </a:extLst>
        </cdr:cNvPr>
        <cdr:cNvSpPr txBox="1"/>
      </cdr:nvSpPr>
      <cdr:spPr>
        <a:xfrm xmlns:a="http://schemas.openxmlformats.org/drawingml/2006/main">
          <a:off x="1341342" y="1274129"/>
          <a:ext cx="1530734" cy="3342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altLang="ja-JP" sz="1400">
              <a:latin typeface="Times New Roman" panose="02020603050405020304" pitchFamily="18" charset="0"/>
              <a:cs typeface="Times New Roman" panose="02020603050405020304" pitchFamily="18" charset="0"/>
            </a:rPr>
            <a:t>First Kuznets wave</a:t>
          </a:r>
          <a:endParaRPr lang="ja-JP" alt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0.60268</cdr:x>
      <cdr:y>0.15492</cdr:y>
    </cdr:from>
    <cdr:to>
      <cdr:x>0.90875</cdr:x>
      <cdr:y>0.28313</cdr:y>
    </cdr:to>
    <cdr:sp macro="" textlink="">
      <cdr:nvSpPr>
        <cdr:cNvPr id="29" name="テキスト ボックス 1">
          <a:extLst xmlns:a="http://schemas.openxmlformats.org/drawingml/2006/main">
            <a:ext uri="{FF2B5EF4-FFF2-40B4-BE49-F238E27FC236}">
              <a16:creationId xmlns="" xmlns:a16="http://schemas.microsoft.com/office/drawing/2014/main" id="{B1266A31-914E-D9F9-CF9A-CC58073BFFD9}"/>
            </a:ext>
          </a:extLst>
        </cdr:cNvPr>
        <cdr:cNvSpPr txBox="1"/>
      </cdr:nvSpPr>
      <cdr:spPr>
        <a:xfrm xmlns:a="http://schemas.openxmlformats.org/drawingml/2006/main">
          <a:off x="3162658" y="349029"/>
          <a:ext cx="1606145" cy="2888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ja-JP" sz="1400">
              <a:latin typeface="Times New Roman" panose="02020603050405020304" pitchFamily="18" charset="0"/>
              <a:cs typeface="Times New Roman" panose="02020603050405020304" pitchFamily="18" charset="0"/>
            </a:rPr>
            <a:t>Second Kuznets wave</a:t>
          </a:r>
          <a:endParaRPr lang="ja-JP" alt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0.04868</cdr:x>
      <cdr:y>0.03524</cdr:y>
    </cdr:from>
    <cdr:to>
      <cdr:x>0.0513</cdr:x>
      <cdr:y>0.85381</cdr:y>
    </cdr:to>
    <cdr:cxnSp macro="">
      <cdr:nvCxnSpPr>
        <cdr:cNvPr id="7" name="直線矢印コネクタ 6">
          <a:extLst xmlns:a="http://schemas.openxmlformats.org/drawingml/2006/main">
            <a:ext uri="{FF2B5EF4-FFF2-40B4-BE49-F238E27FC236}">
              <a16:creationId xmlns="" xmlns:a16="http://schemas.microsoft.com/office/drawing/2014/main" id="{F6FE9C19-EFC4-57A6-0587-BAC116D4BF40}"/>
            </a:ext>
          </a:extLst>
        </cdr:cNvPr>
        <cdr:cNvCxnSpPr/>
      </cdr:nvCxnSpPr>
      <cdr:spPr>
        <a:xfrm xmlns:a="http://schemas.openxmlformats.org/drawingml/2006/main" flipV="1">
          <a:off x="242635" y="84666"/>
          <a:ext cx="13026" cy="1966872"/>
        </a:xfrm>
        <a:prstGeom xmlns:a="http://schemas.openxmlformats.org/drawingml/2006/main" prst="straightConnector1">
          <a:avLst/>
        </a:prstGeom>
        <a:ln xmlns:a="http://schemas.openxmlformats.org/drawingml/2006/main" w="12700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0.05068</cdr:x>
      <cdr:y>0.84839</cdr:y>
    </cdr:from>
    <cdr:to>
      <cdr:x>0.96602</cdr:x>
      <cdr:y>0.85652</cdr:y>
    </cdr:to>
    <cdr:cxnSp macro="">
      <cdr:nvCxnSpPr>
        <cdr:cNvPr id="23" name="直線矢印コネクタ 22">
          <a:extLst xmlns:a="http://schemas.openxmlformats.org/drawingml/2006/main">
            <a:ext uri="{FF2B5EF4-FFF2-40B4-BE49-F238E27FC236}">
              <a16:creationId xmlns="" xmlns:a16="http://schemas.microsoft.com/office/drawing/2014/main" id="{703281FD-2A82-8DBF-8278-ADDBCD0508C0}"/>
            </a:ext>
          </a:extLst>
        </cdr:cNvPr>
        <cdr:cNvCxnSpPr/>
      </cdr:nvCxnSpPr>
      <cdr:spPr>
        <a:xfrm xmlns:a="http://schemas.openxmlformats.org/drawingml/2006/main">
          <a:off x="240974" y="2038512"/>
          <a:ext cx="4351853" cy="19538"/>
        </a:xfrm>
        <a:prstGeom xmlns:a="http://schemas.openxmlformats.org/drawingml/2006/main" prst="straightConnector1">
          <a:avLst/>
        </a:prstGeom>
        <a:ln xmlns:a="http://schemas.openxmlformats.org/drawingml/2006/main" w="12700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0.11663</cdr:x>
      <cdr:y>0.08674</cdr:y>
    </cdr:from>
    <cdr:to>
      <cdr:x>0.3001</cdr:x>
      <cdr:y>0.46729</cdr:y>
    </cdr:to>
    <cdr:sp macro="" textlink="">
      <cdr:nvSpPr>
        <cdr:cNvPr id="47" name="テキスト ボックス 46">
          <a:extLst xmlns:a="http://schemas.openxmlformats.org/drawingml/2006/main">
            <a:ext uri="{FF2B5EF4-FFF2-40B4-BE49-F238E27FC236}">
              <a16:creationId xmlns="" xmlns:a16="http://schemas.microsoft.com/office/drawing/2014/main" id="{F942E4A7-E047-A55B-1A6C-18BBCFB9B8B8}"/>
            </a:ext>
          </a:extLst>
        </cdr:cNvPr>
        <cdr:cNvSpPr txBox="1"/>
      </cdr:nvSpPr>
      <cdr:spPr>
        <a:xfrm xmlns:a="http://schemas.openxmlformats.org/drawingml/2006/main">
          <a:off x="581302" y="20840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ja-JP" altLang="en-US" sz="1100"/>
        </a:p>
      </cdr:txBody>
    </cdr:sp>
  </cdr:relSizeAnchor>
  <cdr:relSizeAnchor xmlns:cdr="http://schemas.openxmlformats.org/drawingml/2006/chartDrawing">
    <cdr:from>
      <cdr:x>0.05743</cdr:x>
      <cdr:y>0.05188</cdr:y>
    </cdr:from>
    <cdr:to>
      <cdr:x>0.39196</cdr:x>
      <cdr:y>0.13713</cdr:y>
    </cdr:to>
    <cdr:sp macro="" textlink="">
      <cdr:nvSpPr>
        <cdr:cNvPr id="48" name="テキスト ボックス 3">
          <a:extLst xmlns:a="http://schemas.openxmlformats.org/drawingml/2006/main">
            <a:ext uri="{FF2B5EF4-FFF2-40B4-BE49-F238E27FC236}">
              <a16:creationId xmlns="" xmlns:a16="http://schemas.microsoft.com/office/drawing/2014/main" id="{D2140D10-9CFE-52BD-2AEF-9D9F2CA0C5D1}"/>
            </a:ext>
          </a:extLst>
        </cdr:cNvPr>
        <cdr:cNvSpPr txBox="1"/>
      </cdr:nvSpPr>
      <cdr:spPr>
        <a:xfrm xmlns:a="http://schemas.openxmlformats.org/drawingml/2006/main">
          <a:off x="273017" y="145949"/>
          <a:ext cx="1590437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kumimoji="1" lang="en-US" altLang="ja-JP" sz="1000">
              <a:latin typeface="Times New Roman" panose="02020603050405020304" pitchFamily="18" charset="0"/>
              <a:cs typeface="Times New Roman" panose="02020603050405020304" pitchFamily="18" charset="0"/>
            </a:rPr>
            <a:t>Income inequality</a:t>
          </a:r>
          <a:endParaRPr kumimoji="1" lang="ja-JP" alt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0.51711</cdr:x>
      <cdr:y>0.77051</cdr:y>
    </cdr:from>
    <cdr:to>
      <cdr:x>1</cdr:x>
      <cdr:y>0.85677</cdr:y>
    </cdr:to>
    <cdr:sp macro="" textlink="">
      <cdr:nvSpPr>
        <cdr:cNvPr id="2" name="テキスト ボックス 3"/>
        <cdr:cNvSpPr txBox="1"/>
      </cdr:nvSpPr>
      <cdr:spPr>
        <a:xfrm xmlns:a="http://schemas.openxmlformats.org/drawingml/2006/main">
          <a:off x="1971183" y="2142037"/>
          <a:ext cx="1840722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kumimoji="1" lang="en-US" altLang="ja-JP" sz="1000">
              <a:latin typeface="Times New Roman" panose="02020603050405020304" pitchFamily="18" charset="0"/>
              <a:cs typeface="Times New Roman" panose="02020603050405020304" pitchFamily="18" charset="0"/>
            </a:rPr>
            <a:t>Level of economic development</a:t>
          </a:r>
          <a:endParaRPr kumimoji="1" lang="ja-JP" alt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0.4379</cdr:x>
      <cdr:y>0.84288</cdr:y>
    </cdr:from>
    <cdr:to>
      <cdr:x>0.65713</cdr:x>
      <cdr:y>0.88604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42807C08-4B4C-DF1D-35B1-0754D9557904}"/>
            </a:ext>
          </a:extLst>
        </cdr:cNvPr>
        <cdr:cNvSpPr txBox="1"/>
      </cdr:nvSpPr>
      <cdr:spPr>
        <a:xfrm xmlns:a="http://schemas.openxmlformats.org/drawingml/2006/main">
          <a:off x="1943110" y="2743568"/>
          <a:ext cx="972806" cy="140486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Visayas</a:t>
          </a:r>
        </a:p>
      </cdr:txBody>
    </cdr:sp>
  </cdr:relSizeAnchor>
  <cdr:relSizeAnchor xmlns:cdr="http://schemas.openxmlformats.org/drawingml/2006/chartDrawing">
    <cdr:from>
      <cdr:x>0.66127</cdr:x>
      <cdr:y>0.8344</cdr:y>
    </cdr:from>
    <cdr:to>
      <cdr:x>0.91631</cdr:x>
      <cdr:y>0.88898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="" xmlns:a16="http://schemas.microsoft.com/office/drawing/2014/main" id="{25DB0ACF-F3FF-DC11-0966-1E47208BFA36}"/>
            </a:ext>
          </a:extLst>
        </cdr:cNvPr>
        <cdr:cNvSpPr txBox="1"/>
      </cdr:nvSpPr>
      <cdr:spPr>
        <a:xfrm xmlns:a="http://schemas.openxmlformats.org/drawingml/2006/main">
          <a:off x="2934306" y="2715991"/>
          <a:ext cx="1131710" cy="177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Mindanao</a:t>
          </a:r>
        </a:p>
      </cdr:txBody>
    </cdr:sp>
  </cdr:relSizeAnchor>
  <cdr:relSizeAnchor xmlns:cdr="http://schemas.openxmlformats.org/drawingml/2006/chartDrawing">
    <cdr:from>
      <cdr:x>0.16787</cdr:x>
      <cdr:y>0.84023</cdr:y>
    </cdr:from>
    <cdr:to>
      <cdr:x>0.42291</cdr:x>
      <cdr:y>0.89481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842CD0EF-FEF6-F81B-8F52-3C19FF87E983}"/>
            </a:ext>
          </a:extLst>
        </cdr:cNvPr>
        <cdr:cNvSpPr txBox="1"/>
      </cdr:nvSpPr>
      <cdr:spPr>
        <a:xfrm xmlns:a="http://schemas.openxmlformats.org/drawingml/2006/main">
          <a:off x="744920" y="2734957"/>
          <a:ext cx="1131709" cy="177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Luzon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秋田隆裕</dc:creator>
  <cp:keywords/>
  <dc:description/>
  <cp:lastModifiedBy>Kevin Emerald</cp:lastModifiedBy>
  <cp:revision>9</cp:revision>
  <dcterms:created xsi:type="dcterms:W3CDTF">2025-09-11T08:36:00Z</dcterms:created>
  <dcterms:modified xsi:type="dcterms:W3CDTF">2025-11-19T13:05:00Z</dcterms:modified>
</cp:coreProperties>
</file>