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1013" w:tblpY="31"/>
        <w:tblW w:w="5745" w:type="pct"/>
        <w:tblLayout w:type="fixed"/>
        <w:tblLook w:val="04A0" w:firstRow="1" w:lastRow="0" w:firstColumn="1" w:lastColumn="0" w:noHBand="0" w:noVBand="1"/>
      </w:tblPr>
      <w:tblGrid>
        <w:gridCol w:w="562"/>
        <w:gridCol w:w="1417"/>
        <w:gridCol w:w="1985"/>
        <w:gridCol w:w="1476"/>
        <w:gridCol w:w="2140"/>
        <w:gridCol w:w="5172"/>
        <w:gridCol w:w="2128"/>
      </w:tblGrid>
      <w:tr w:rsidR="00AB676F" w:rsidRPr="006F6BBE" w14:paraId="68DE9E44" w14:textId="77777777" w:rsidTr="00857063">
        <w:tc>
          <w:tcPr>
            <w:tcW w:w="189" w:type="pct"/>
          </w:tcPr>
          <w:p w14:paraId="6CDAE969" w14:textId="77777777" w:rsidR="0014415B" w:rsidRPr="006F6BBE" w:rsidRDefault="0014415B" w:rsidP="00364E5A">
            <w:pPr>
              <w:rPr>
                <w:rFonts w:ascii="Times New Roman" w:hAnsi="Times New Roman" w:cs="Times New Roman"/>
                <w:sz w:val="20"/>
                <w:szCs w:val="20"/>
              </w:rPr>
            </w:pPr>
            <w:r w:rsidRPr="006F6BBE">
              <w:rPr>
                <w:rFonts w:ascii="Times New Roman" w:hAnsi="Times New Roman" w:cs="Times New Roman"/>
                <w:sz w:val="20"/>
                <w:szCs w:val="20"/>
              </w:rPr>
              <w:t>#</w:t>
            </w:r>
          </w:p>
        </w:tc>
        <w:tc>
          <w:tcPr>
            <w:tcW w:w="476" w:type="pct"/>
          </w:tcPr>
          <w:p w14:paraId="25395BF4" w14:textId="77777777" w:rsidR="0014415B" w:rsidRPr="006F6BBE" w:rsidRDefault="0014415B" w:rsidP="00EE3815">
            <w:pPr>
              <w:jc w:val="center"/>
              <w:rPr>
                <w:rFonts w:ascii="Times New Roman" w:hAnsi="Times New Roman" w:cs="Times New Roman"/>
                <w:b/>
                <w:bCs/>
                <w:sz w:val="22"/>
                <w:szCs w:val="22"/>
              </w:rPr>
            </w:pPr>
            <w:r w:rsidRPr="006F6BBE">
              <w:rPr>
                <w:rFonts w:ascii="Times New Roman" w:hAnsi="Times New Roman" w:cs="Times New Roman"/>
                <w:b/>
                <w:bCs/>
                <w:sz w:val="22"/>
                <w:szCs w:val="22"/>
              </w:rPr>
              <w:t>Authors</w:t>
            </w:r>
          </w:p>
        </w:tc>
        <w:tc>
          <w:tcPr>
            <w:tcW w:w="667" w:type="pct"/>
          </w:tcPr>
          <w:p w14:paraId="24896E64" w14:textId="77777777" w:rsidR="0014415B" w:rsidRPr="006F6BBE" w:rsidRDefault="0014415B" w:rsidP="00EE3815">
            <w:pPr>
              <w:jc w:val="center"/>
              <w:rPr>
                <w:rFonts w:ascii="Times New Roman" w:hAnsi="Times New Roman" w:cs="Times New Roman"/>
                <w:b/>
                <w:bCs/>
                <w:sz w:val="22"/>
                <w:szCs w:val="22"/>
              </w:rPr>
            </w:pPr>
            <w:r w:rsidRPr="006F6BBE">
              <w:rPr>
                <w:rFonts w:ascii="Times New Roman" w:hAnsi="Times New Roman" w:cs="Times New Roman"/>
                <w:b/>
                <w:bCs/>
                <w:sz w:val="22"/>
                <w:szCs w:val="22"/>
              </w:rPr>
              <w:t>Title</w:t>
            </w:r>
          </w:p>
        </w:tc>
        <w:tc>
          <w:tcPr>
            <w:tcW w:w="496" w:type="pct"/>
          </w:tcPr>
          <w:p w14:paraId="475CC87F" w14:textId="385E24D8" w:rsidR="0014415B" w:rsidRPr="006F6BBE" w:rsidRDefault="0014415B" w:rsidP="00EE3815">
            <w:pPr>
              <w:jc w:val="center"/>
              <w:rPr>
                <w:rFonts w:ascii="Times New Roman" w:hAnsi="Times New Roman" w:cs="Times New Roman"/>
                <w:b/>
                <w:bCs/>
                <w:sz w:val="22"/>
                <w:szCs w:val="22"/>
              </w:rPr>
            </w:pPr>
            <w:r w:rsidRPr="006F6BBE">
              <w:rPr>
                <w:rFonts w:ascii="Times New Roman" w:hAnsi="Times New Roman" w:cs="Times New Roman"/>
                <w:b/>
                <w:bCs/>
                <w:sz w:val="22"/>
                <w:szCs w:val="22"/>
              </w:rPr>
              <w:t>Source</w:t>
            </w:r>
          </w:p>
        </w:tc>
        <w:tc>
          <w:tcPr>
            <w:tcW w:w="719" w:type="pct"/>
          </w:tcPr>
          <w:p w14:paraId="4D8485A1" w14:textId="5BDE1863" w:rsidR="0014415B" w:rsidRPr="006F6BBE" w:rsidRDefault="0014415B" w:rsidP="00EE3815">
            <w:pPr>
              <w:jc w:val="center"/>
              <w:rPr>
                <w:rFonts w:ascii="Times New Roman" w:hAnsi="Times New Roman" w:cs="Times New Roman"/>
                <w:b/>
                <w:bCs/>
                <w:sz w:val="22"/>
                <w:szCs w:val="22"/>
              </w:rPr>
            </w:pPr>
            <w:r w:rsidRPr="006F6BBE">
              <w:rPr>
                <w:rFonts w:ascii="Times New Roman" w:hAnsi="Times New Roman" w:cs="Times New Roman"/>
                <w:b/>
                <w:bCs/>
                <w:sz w:val="22"/>
                <w:szCs w:val="22"/>
              </w:rPr>
              <w:t>Methods with empirical context</w:t>
            </w:r>
          </w:p>
        </w:tc>
        <w:tc>
          <w:tcPr>
            <w:tcW w:w="1738" w:type="pct"/>
          </w:tcPr>
          <w:p w14:paraId="64547681" w14:textId="45969498" w:rsidR="0014415B" w:rsidRPr="006F6BBE" w:rsidRDefault="0014415B" w:rsidP="00EE3815">
            <w:pPr>
              <w:jc w:val="center"/>
              <w:rPr>
                <w:rFonts w:ascii="Times New Roman" w:hAnsi="Times New Roman" w:cs="Times New Roman"/>
                <w:b/>
                <w:bCs/>
                <w:sz w:val="22"/>
                <w:szCs w:val="22"/>
              </w:rPr>
            </w:pPr>
            <w:r w:rsidRPr="006F6BBE">
              <w:rPr>
                <w:rFonts w:ascii="Times New Roman" w:hAnsi="Times New Roman" w:cs="Times New Roman"/>
                <w:b/>
                <w:bCs/>
                <w:sz w:val="22"/>
                <w:szCs w:val="22"/>
              </w:rPr>
              <w:t xml:space="preserve">Key </w:t>
            </w:r>
            <w:r w:rsidR="00D06EA5" w:rsidRPr="006F6BBE">
              <w:rPr>
                <w:rFonts w:ascii="Times New Roman" w:hAnsi="Times New Roman" w:cs="Times New Roman"/>
                <w:b/>
                <w:bCs/>
                <w:sz w:val="22"/>
                <w:szCs w:val="22"/>
              </w:rPr>
              <w:t xml:space="preserve">Contributions </w:t>
            </w:r>
          </w:p>
        </w:tc>
        <w:tc>
          <w:tcPr>
            <w:tcW w:w="715" w:type="pct"/>
          </w:tcPr>
          <w:p w14:paraId="175311CD" w14:textId="758DE685" w:rsidR="0014415B" w:rsidRPr="006F6BBE" w:rsidRDefault="00CC7282" w:rsidP="00EE3815">
            <w:pPr>
              <w:jc w:val="center"/>
              <w:rPr>
                <w:rFonts w:ascii="Times New Roman" w:hAnsi="Times New Roman" w:cs="Times New Roman"/>
                <w:b/>
                <w:bCs/>
                <w:sz w:val="22"/>
                <w:szCs w:val="22"/>
              </w:rPr>
            </w:pPr>
            <w:r w:rsidRPr="006F6BBE">
              <w:rPr>
                <w:rFonts w:ascii="Times New Roman" w:hAnsi="Times New Roman" w:cs="Times New Roman"/>
                <w:b/>
                <w:bCs/>
                <w:sz w:val="22"/>
                <w:szCs w:val="22"/>
              </w:rPr>
              <w:t xml:space="preserve">Contribution to </w:t>
            </w:r>
            <w:r w:rsidR="00D06EA5" w:rsidRPr="006F6BBE">
              <w:rPr>
                <w:rFonts w:ascii="Times New Roman" w:hAnsi="Times New Roman" w:cs="Times New Roman"/>
                <w:b/>
                <w:bCs/>
                <w:sz w:val="22"/>
                <w:szCs w:val="22"/>
              </w:rPr>
              <w:t xml:space="preserve">CBM Practices </w:t>
            </w:r>
          </w:p>
        </w:tc>
      </w:tr>
      <w:tr w:rsidR="00256BA3" w:rsidRPr="006F6BBE" w14:paraId="76114711" w14:textId="77777777" w:rsidTr="00256BA3">
        <w:tc>
          <w:tcPr>
            <w:tcW w:w="189" w:type="pct"/>
          </w:tcPr>
          <w:p w14:paraId="531E1521" w14:textId="77777777" w:rsidR="00256BA3" w:rsidRPr="006F6BBE" w:rsidRDefault="00256BA3" w:rsidP="00364E5A">
            <w:pPr>
              <w:rPr>
                <w:rFonts w:ascii="Times New Roman" w:hAnsi="Times New Roman" w:cs="Times New Roman"/>
                <w:sz w:val="20"/>
                <w:szCs w:val="20"/>
              </w:rPr>
            </w:pPr>
          </w:p>
        </w:tc>
        <w:tc>
          <w:tcPr>
            <w:tcW w:w="4811" w:type="pct"/>
            <w:gridSpan w:val="6"/>
            <w:shd w:val="clear" w:color="auto" w:fill="ADADAD" w:themeFill="background2" w:themeFillShade="BF"/>
          </w:tcPr>
          <w:p w14:paraId="7A825C06" w14:textId="1A1C30B9" w:rsidR="00256BA3" w:rsidRPr="006F6BBE" w:rsidRDefault="00256BA3" w:rsidP="00256BA3">
            <w:pPr>
              <w:jc w:val="center"/>
              <w:rPr>
                <w:rFonts w:ascii="Times New Roman" w:hAnsi="Times New Roman" w:cs="Times New Roman"/>
                <w:b/>
                <w:bCs/>
                <w:sz w:val="22"/>
                <w:szCs w:val="22"/>
              </w:rPr>
            </w:pPr>
            <w:r w:rsidRPr="006F6BBE">
              <w:rPr>
                <w:rFonts w:ascii="Times New Roman" w:hAnsi="Times New Roman" w:cs="Times New Roman"/>
                <w:b/>
                <w:bCs/>
                <w:sz w:val="22"/>
                <w:szCs w:val="22"/>
              </w:rPr>
              <w:t>Academic literature</w:t>
            </w:r>
          </w:p>
        </w:tc>
      </w:tr>
      <w:tr w:rsidR="00B72EB9" w:rsidRPr="006F6BBE" w14:paraId="50F95D8B" w14:textId="77777777" w:rsidTr="00857063">
        <w:tc>
          <w:tcPr>
            <w:tcW w:w="189" w:type="pct"/>
          </w:tcPr>
          <w:p w14:paraId="52C0C679" w14:textId="4008BA1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1</w:t>
            </w:r>
          </w:p>
        </w:tc>
        <w:tc>
          <w:tcPr>
            <w:tcW w:w="476" w:type="pct"/>
          </w:tcPr>
          <w:p w14:paraId="488AF243" w14:textId="1E4810D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Dhanaraj &amp; Parkhe, 2006</w:t>
            </w:r>
          </w:p>
        </w:tc>
        <w:tc>
          <w:tcPr>
            <w:tcW w:w="667" w:type="pct"/>
          </w:tcPr>
          <w:p w14:paraId="157CDA2C" w14:textId="4CBBAB0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Orchestrating innovation networks.</w:t>
            </w:r>
          </w:p>
        </w:tc>
        <w:tc>
          <w:tcPr>
            <w:tcW w:w="496" w:type="pct"/>
          </w:tcPr>
          <w:p w14:paraId="71CA77B0" w14:textId="27BB669C"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The Academy of Management Review</w:t>
            </w:r>
          </w:p>
        </w:tc>
        <w:tc>
          <w:tcPr>
            <w:tcW w:w="719" w:type="pct"/>
          </w:tcPr>
          <w:p w14:paraId="7F5E937E" w14:textId="51C68E3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Conceptual paper</w:t>
            </w:r>
          </w:p>
        </w:tc>
        <w:tc>
          <w:tcPr>
            <w:tcW w:w="1738" w:type="pct"/>
          </w:tcPr>
          <w:p w14:paraId="33769F3D" w14:textId="31D543D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-Orchestration processes such as knowledge mobility, innovation appropriability, and network stability help hub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align partners, ensure transparency, and limit opportunism for business model innovation.</w:t>
            </w:r>
          </w:p>
        </w:tc>
        <w:tc>
          <w:tcPr>
            <w:tcW w:w="715" w:type="pct"/>
          </w:tcPr>
          <w:p w14:paraId="68C7B861" w14:textId="5B9DA9AD" w:rsidR="00B72EB9" w:rsidRPr="006F6BBE" w:rsidRDefault="00B72EB9" w:rsidP="00987550">
            <w:pPr>
              <w:rPr>
                <w:rFonts w:ascii="Times New Roman" w:hAnsi="Times New Roman" w:cs="Times New Roman"/>
                <w:sz w:val="20"/>
                <w:szCs w:val="20"/>
              </w:rPr>
            </w:pPr>
            <w:r w:rsidRPr="006F6BBE">
              <w:rPr>
                <w:rFonts w:ascii="Times New Roman" w:hAnsi="Times New Roman" w:cs="Times New Roman"/>
                <w:sz w:val="20"/>
                <w:szCs w:val="20"/>
              </w:rPr>
              <w:t>-Orchestrating and aligning with ecosystem partners practice.</w:t>
            </w:r>
          </w:p>
        </w:tc>
      </w:tr>
      <w:tr w:rsidR="00B72EB9" w:rsidRPr="006F6BBE" w14:paraId="13AA10B9" w14:textId="77777777" w:rsidTr="00857063">
        <w:tc>
          <w:tcPr>
            <w:tcW w:w="189" w:type="pct"/>
          </w:tcPr>
          <w:p w14:paraId="0414AD5D" w14:textId="31A6913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2</w:t>
            </w:r>
          </w:p>
        </w:tc>
        <w:tc>
          <w:tcPr>
            <w:tcW w:w="476" w:type="pct"/>
          </w:tcPr>
          <w:p w14:paraId="284B7033" w14:textId="0C06873E" w:rsidR="00B72EB9" w:rsidRPr="006F6BBE" w:rsidRDefault="00B72EB9" w:rsidP="00B72EB9">
            <w:pPr>
              <w:rPr>
                <w:rFonts w:ascii="Times New Roman" w:hAnsi="Times New Roman" w:cs="Times New Roman"/>
                <w:sz w:val="20"/>
                <w:szCs w:val="20"/>
                <w:lang w:val="sv-SE"/>
              </w:rPr>
            </w:pPr>
            <w:r w:rsidRPr="006F6BBE">
              <w:rPr>
                <w:rFonts w:ascii="Times New Roman" w:hAnsi="Times New Roman" w:cs="Times New Roman"/>
                <w:sz w:val="20"/>
                <w:szCs w:val="20"/>
              </w:rPr>
              <w:t>Dahan et al., 2010</w:t>
            </w:r>
          </w:p>
        </w:tc>
        <w:tc>
          <w:tcPr>
            <w:tcW w:w="667" w:type="pct"/>
          </w:tcPr>
          <w:p w14:paraId="711C1CD5" w14:textId="717F1F7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Corporate-NGO collaboration: Co-creating new business models for developing markets. </w:t>
            </w:r>
          </w:p>
        </w:tc>
        <w:tc>
          <w:tcPr>
            <w:tcW w:w="496" w:type="pct"/>
          </w:tcPr>
          <w:p w14:paraId="5E8AFC15" w14:textId="4F6E85C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i/>
                <w:iCs/>
                <w:sz w:val="20"/>
                <w:szCs w:val="20"/>
              </w:rPr>
              <w:t>Long Range Planning</w:t>
            </w:r>
          </w:p>
        </w:tc>
        <w:tc>
          <w:tcPr>
            <w:tcW w:w="719" w:type="pct"/>
          </w:tcPr>
          <w:p w14:paraId="14F59044" w14:textId="6A63157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Literature-based framework development with industrial cases. </w:t>
            </w:r>
          </w:p>
        </w:tc>
        <w:tc>
          <w:tcPr>
            <w:tcW w:w="1738" w:type="pct"/>
          </w:tcPr>
          <w:p w14:paraId="6A22A139" w14:textId="45A5234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-Extending revenue models requires co-creation with ecosystem partners (e.g., NGOs) that provide complementary assets (legitimacy, access, local knowledge).</w:t>
            </w:r>
          </w:p>
          <w:p w14:paraId="4D8FF567" w14:textId="3A9B638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-Partnerships enable shared resource mobilization (R&amp;D, finance, distribution, training), reducing cost and risk.</w:t>
            </w:r>
          </w:p>
          <w:p w14:paraId="1B1E4B49" w14:textId="06EA385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-Revenue model innovation can create economic and social value simultaneously.</w:t>
            </w:r>
          </w:p>
        </w:tc>
        <w:tc>
          <w:tcPr>
            <w:tcW w:w="715" w:type="pct"/>
          </w:tcPr>
          <w:p w14:paraId="2AC6757D"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-Extending circular revenue models practice.</w:t>
            </w:r>
          </w:p>
          <w:p w14:paraId="743AED2F" w14:textId="5DFEA136" w:rsidR="00B72EB9" w:rsidRPr="006F6BBE" w:rsidRDefault="00B72EB9" w:rsidP="00B72EB9">
            <w:pPr>
              <w:rPr>
                <w:rFonts w:ascii="Times New Roman" w:hAnsi="Times New Roman" w:cs="Times New Roman"/>
                <w:sz w:val="20"/>
                <w:szCs w:val="20"/>
              </w:rPr>
            </w:pPr>
          </w:p>
        </w:tc>
      </w:tr>
      <w:tr w:rsidR="00B72EB9" w:rsidRPr="006F6BBE" w14:paraId="3B7B5C25" w14:textId="77777777" w:rsidTr="00857063">
        <w:tc>
          <w:tcPr>
            <w:tcW w:w="189" w:type="pct"/>
          </w:tcPr>
          <w:p w14:paraId="51A9020D" w14:textId="62550BC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3</w:t>
            </w:r>
          </w:p>
        </w:tc>
        <w:tc>
          <w:tcPr>
            <w:tcW w:w="476" w:type="pct"/>
          </w:tcPr>
          <w:p w14:paraId="5BC08F67" w14:textId="5BE47C84" w:rsidR="00B72EB9" w:rsidRPr="006F6BBE" w:rsidRDefault="00B72EB9" w:rsidP="00B72EB9">
            <w:pPr>
              <w:rPr>
                <w:rFonts w:ascii="Times New Roman" w:hAnsi="Times New Roman" w:cs="Times New Roman"/>
                <w:sz w:val="20"/>
                <w:szCs w:val="20"/>
                <w:lang w:val="sv-SE"/>
              </w:rPr>
            </w:pPr>
            <w:r w:rsidRPr="006F6BBE">
              <w:rPr>
                <w:rFonts w:ascii="Times New Roman" w:hAnsi="Times New Roman" w:cs="Times New Roman"/>
                <w:sz w:val="20"/>
                <w:szCs w:val="20"/>
                <w:lang w:val="sv-SE"/>
              </w:rPr>
              <w:t>Egels-Zandén  &amp; Rosén, 2015.</w:t>
            </w:r>
          </w:p>
        </w:tc>
        <w:tc>
          <w:tcPr>
            <w:tcW w:w="667" w:type="pct"/>
          </w:tcPr>
          <w:p w14:paraId="054A44BA" w14:textId="54F6B19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Sustainable strategy formation at a Swedish industrial company: bridging the strategy-as-practice and sustainability gap.</w:t>
            </w:r>
          </w:p>
        </w:tc>
        <w:tc>
          <w:tcPr>
            <w:tcW w:w="496" w:type="pct"/>
          </w:tcPr>
          <w:p w14:paraId="0D3B530A" w14:textId="17084E32"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Cleaner Production</w:t>
            </w:r>
          </w:p>
        </w:tc>
        <w:tc>
          <w:tcPr>
            <w:tcW w:w="719" w:type="pct"/>
          </w:tcPr>
          <w:p w14:paraId="37ED5457" w14:textId="06903B3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Ethnographic research on one Swedish company</w:t>
            </w:r>
          </w:p>
        </w:tc>
        <w:tc>
          <w:tcPr>
            <w:tcW w:w="1738" w:type="pct"/>
          </w:tcPr>
          <w:p w14:paraId="17427AB5" w14:textId="2309A8D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-Four strategic activity types shaping sustainable strategies: visionary (top-level intention setting), prescribed (top-down implementation and signaling), autonomous (bottom-up operational work unintentionally shaping strategy), and evaluative (intermediate activities linking intentions and actions).</w:t>
            </w:r>
          </w:p>
          <w:p w14:paraId="166D1F48" w14:textId="0F270B2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-Evaluative activities are central, as middle managers, governance members, and corporate staff act as change intermediaries by translating abstract intentions into day-to-day work, enabling bottom-up initiatives, and feeding learning upward to refine strategic intentions.</w:t>
            </w:r>
          </w:p>
        </w:tc>
        <w:tc>
          <w:tcPr>
            <w:tcW w:w="715" w:type="pct"/>
          </w:tcPr>
          <w:p w14:paraId="6B1CDD91"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-Experimenting with diverse circular value logics practice.</w:t>
            </w:r>
          </w:p>
          <w:p w14:paraId="7355BE88" w14:textId="55C29CFC" w:rsidR="00B72EB9" w:rsidRPr="006F6BBE" w:rsidRDefault="00B72EB9" w:rsidP="00B72EB9">
            <w:pPr>
              <w:rPr>
                <w:rFonts w:ascii="Times New Roman" w:hAnsi="Times New Roman" w:cs="Times New Roman"/>
                <w:sz w:val="20"/>
                <w:szCs w:val="20"/>
              </w:rPr>
            </w:pPr>
          </w:p>
        </w:tc>
      </w:tr>
      <w:tr w:rsidR="00B72EB9" w:rsidRPr="006F6BBE" w14:paraId="2E68EA05" w14:textId="77777777" w:rsidTr="00857063">
        <w:tc>
          <w:tcPr>
            <w:tcW w:w="189" w:type="pct"/>
          </w:tcPr>
          <w:p w14:paraId="27BC3EF6" w14:textId="18D7CEF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4</w:t>
            </w:r>
          </w:p>
        </w:tc>
        <w:tc>
          <w:tcPr>
            <w:tcW w:w="476" w:type="pct"/>
          </w:tcPr>
          <w:p w14:paraId="7BC81887" w14:textId="214DF3CE" w:rsidR="00B72EB9" w:rsidRPr="006F6BBE" w:rsidRDefault="00B72EB9" w:rsidP="00B72EB9">
            <w:pPr>
              <w:rPr>
                <w:rFonts w:ascii="Times New Roman" w:hAnsi="Times New Roman" w:cs="Times New Roman"/>
                <w:sz w:val="20"/>
                <w:szCs w:val="20"/>
                <w:lang w:val="sv-SE"/>
              </w:rPr>
            </w:pPr>
            <w:r w:rsidRPr="006F6BBE">
              <w:rPr>
                <w:rFonts w:ascii="Times New Roman" w:hAnsi="Times New Roman" w:cs="Times New Roman"/>
                <w:sz w:val="20"/>
                <w:szCs w:val="20"/>
              </w:rPr>
              <w:t>Linder &amp; Williander, 2015</w:t>
            </w:r>
          </w:p>
        </w:tc>
        <w:tc>
          <w:tcPr>
            <w:tcW w:w="667" w:type="pct"/>
          </w:tcPr>
          <w:p w14:paraId="4661DB3B" w14:textId="5225271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Circular business model innovation: inherent uncertainties. </w:t>
            </w:r>
          </w:p>
        </w:tc>
        <w:tc>
          <w:tcPr>
            <w:tcW w:w="496" w:type="pct"/>
          </w:tcPr>
          <w:p w14:paraId="3324431F" w14:textId="2223B99A"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Business Strategy and the Environment</w:t>
            </w:r>
          </w:p>
        </w:tc>
        <w:tc>
          <w:tcPr>
            <w:tcW w:w="719" w:type="pct"/>
          </w:tcPr>
          <w:p w14:paraId="112FCA31" w14:textId="431BF06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Longitudinal action research single-case study</w:t>
            </w:r>
          </w:p>
        </w:tc>
        <w:tc>
          <w:tcPr>
            <w:tcW w:w="1738" w:type="pct"/>
          </w:tcPr>
          <w:p w14:paraId="19D3F299" w14:textId="7F72049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-Although product–service systems help secure return flows, they significantly increase financial exposure and investment risk, especially before the business model is fully validated.</w:t>
            </w:r>
          </w:p>
          <w:p w14:paraId="716C69AD" w14:textId="089385D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delay or limit scaling due to uncertainty rather than lack of circular intent. Even when operational challenges (e.g., partners, return logistics) are manageable,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hesitate because future product attractiveness, remanufacturing costs, and demand cannot be reliably predicted early on.</w:t>
            </w:r>
          </w:p>
        </w:tc>
        <w:tc>
          <w:tcPr>
            <w:tcW w:w="715" w:type="pct"/>
          </w:tcPr>
          <w:p w14:paraId="342F9003"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-Experimenting with diverse circular value logics practice.</w:t>
            </w:r>
          </w:p>
          <w:p w14:paraId="671F14AC" w14:textId="77777777" w:rsidR="00B72EB9" w:rsidRPr="006F6BBE" w:rsidRDefault="00B72EB9" w:rsidP="00B72EB9">
            <w:pPr>
              <w:rPr>
                <w:rFonts w:ascii="Times New Roman" w:hAnsi="Times New Roman" w:cs="Times New Roman"/>
                <w:sz w:val="20"/>
                <w:szCs w:val="20"/>
              </w:rPr>
            </w:pPr>
          </w:p>
        </w:tc>
      </w:tr>
      <w:tr w:rsidR="00B72EB9" w:rsidRPr="006F6BBE" w14:paraId="0A348135" w14:textId="77777777" w:rsidTr="00857063">
        <w:tc>
          <w:tcPr>
            <w:tcW w:w="189" w:type="pct"/>
          </w:tcPr>
          <w:p w14:paraId="42DFC5E8" w14:textId="2A2AC05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5</w:t>
            </w:r>
          </w:p>
        </w:tc>
        <w:tc>
          <w:tcPr>
            <w:tcW w:w="476" w:type="pct"/>
          </w:tcPr>
          <w:p w14:paraId="1DB826CE" w14:textId="1EB2F495" w:rsidR="00B72EB9" w:rsidRPr="006F6BBE" w:rsidRDefault="00B72EB9" w:rsidP="00B72EB9">
            <w:pPr>
              <w:rPr>
                <w:rFonts w:ascii="Times New Roman" w:hAnsi="Times New Roman" w:cs="Times New Roman"/>
                <w:sz w:val="20"/>
                <w:szCs w:val="20"/>
                <w:lang w:val="sv-SE"/>
              </w:rPr>
            </w:pPr>
            <w:r w:rsidRPr="006F6BBE">
              <w:rPr>
                <w:rFonts w:ascii="Times New Roman" w:hAnsi="Times New Roman" w:cs="Times New Roman"/>
                <w:sz w:val="20"/>
                <w:szCs w:val="20"/>
              </w:rPr>
              <w:t xml:space="preserve">Westblom, 2015. </w:t>
            </w:r>
          </w:p>
        </w:tc>
        <w:tc>
          <w:tcPr>
            <w:tcW w:w="667" w:type="pct"/>
          </w:tcPr>
          <w:p w14:paraId="3CB5784A" w14:textId="4194503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Toward a circular economy in Sweden – Barriers for new business models and </w:t>
            </w:r>
            <w:r w:rsidRPr="006F6BBE">
              <w:rPr>
                <w:rFonts w:ascii="Times New Roman" w:hAnsi="Times New Roman" w:cs="Times New Roman"/>
                <w:sz w:val="20"/>
                <w:szCs w:val="20"/>
              </w:rPr>
              <w:lastRenderedPageBreak/>
              <w:t>the need for policy intervention. </w:t>
            </w:r>
          </w:p>
        </w:tc>
        <w:tc>
          <w:tcPr>
            <w:tcW w:w="496" w:type="pct"/>
          </w:tcPr>
          <w:p w14:paraId="18D4855A" w14:textId="525DBE1C"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lastRenderedPageBreak/>
              <w:t>IIIEE Master thesis</w:t>
            </w:r>
            <w:r w:rsidRPr="006F6BBE">
              <w:rPr>
                <w:rFonts w:ascii="Times New Roman" w:hAnsi="Times New Roman" w:cs="Times New Roman"/>
                <w:sz w:val="20"/>
                <w:szCs w:val="20"/>
              </w:rPr>
              <w:t>.</w:t>
            </w:r>
          </w:p>
        </w:tc>
        <w:tc>
          <w:tcPr>
            <w:tcW w:w="719" w:type="pct"/>
          </w:tcPr>
          <w:p w14:paraId="2C0C98B3" w14:textId="4D7AFE6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case-based study</w:t>
            </w:r>
          </w:p>
        </w:tc>
        <w:tc>
          <w:tcPr>
            <w:tcW w:w="1738" w:type="pct"/>
          </w:tcPr>
          <w:p w14:paraId="7A4ADE0B" w14:textId="6EB7F68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-Circularity should not be treated as a peripheral sustainability initiative; instead, it should be integrated into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core strategy and decision-making processes.</w:t>
            </w:r>
          </w:p>
        </w:tc>
        <w:tc>
          <w:tcPr>
            <w:tcW w:w="715" w:type="pct"/>
          </w:tcPr>
          <w:p w14:paraId="6AEDF731"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-Transforming organizational processes practice.</w:t>
            </w:r>
          </w:p>
          <w:p w14:paraId="25355617" w14:textId="77777777" w:rsidR="00B72EB9" w:rsidRPr="006F6BBE" w:rsidRDefault="00B72EB9" w:rsidP="00B72EB9">
            <w:pPr>
              <w:rPr>
                <w:rFonts w:ascii="Times New Roman" w:hAnsi="Times New Roman" w:cs="Times New Roman"/>
                <w:sz w:val="20"/>
                <w:szCs w:val="20"/>
              </w:rPr>
            </w:pPr>
          </w:p>
        </w:tc>
      </w:tr>
      <w:tr w:rsidR="00B72EB9" w:rsidRPr="006F6BBE" w14:paraId="78D50750" w14:textId="77777777" w:rsidTr="00857063">
        <w:tc>
          <w:tcPr>
            <w:tcW w:w="189" w:type="pct"/>
          </w:tcPr>
          <w:p w14:paraId="7E504B5E" w14:textId="4427CAC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6</w:t>
            </w:r>
          </w:p>
        </w:tc>
        <w:tc>
          <w:tcPr>
            <w:tcW w:w="476" w:type="pct"/>
          </w:tcPr>
          <w:p w14:paraId="69683DE5" w14:textId="064F69BB" w:rsidR="00B72EB9" w:rsidRPr="006F6BBE" w:rsidRDefault="00B72EB9" w:rsidP="00B72EB9">
            <w:pPr>
              <w:rPr>
                <w:rFonts w:ascii="Times New Roman" w:hAnsi="Times New Roman" w:cs="Times New Roman"/>
                <w:sz w:val="20"/>
                <w:szCs w:val="20"/>
              </w:rPr>
            </w:pPr>
            <w:bookmarkStart w:id="0" w:name="_Hlk220651210"/>
            <w:r w:rsidRPr="006F6BBE">
              <w:rPr>
                <w:rFonts w:ascii="Times New Roman" w:hAnsi="Times New Roman" w:cs="Times New Roman"/>
                <w:sz w:val="20"/>
                <w:szCs w:val="20"/>
              </w:rPr>
              <w:t>Bocken et al., 2016</w:t>
            </w:r>
            <w:bookmarkEnd w:id="0"/>
          </w:p>
        </w:tc>
        <w:tc>
          <w:tcPr>
            <w:tcW w:w="667" w:type="pct"/>
          </w:tcPr>
          <w:p w14:paraId="5F1B77FF" w14:textId="4B30B11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Product design and business model strategies for a circular economy</w:t>
            </w:r>
            <w:r w:rsidRPr="006F6BBE">
              <w:rPr>
                <w:rFonts w:ascii="Times New Roman" w:hAnsi="Times New Roman" w:cs="Times New Roman"/>
                <w:i/>
                <w:iCs/>
                <w:sz w:val="20"/>
                <w:szCs w:val="20"/>
              </w:rPr>
              <w:t xml:space="preserve"> </w:t>
            </w:r>
          </w:p>
        </w:tc>
        <w:tc>
          <w:tcPr>
            <w:tcW w:w="496" w:type="pct"/>
          </w:tcPr>
          <w:p w14:paraId="3BD74A81" w14:textId="23EB80E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i/>
                <w:iCs/>
                <w:sz w:val="20"/>
                <w:szCs w:val="20"/>
              </w:rPr>
              <w:t>Journal of Industrial and Production Engineering</w:t>
            </w:r>
          </w:p>
        </w:tc>
        <w:tc>
          <w:tcPr>
            <w:tcW w:w="719" w:type="pct"/>
          </w:tcPr>
          <w:p w14:paraId="4D51FAAC" w14:textId="1D072FD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Literature-based framework development approach with illustrative cases  operating all over Europe including Sweden and the UK. </w:t>
            </w:r>
          </w:p>
        </w:tc>
        <w:tc>
          <w:tcPr>
            <w:tcW w:w="1738" w:type="pct"/>
          </w:tcPr>
          <w:p w14:paraId="4004FC4A" w14:textId="2E44232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-Circular value propositions follow three strategic logics: slowing resource loops, closing resource loops, and narrowing resource flows.</w:t>
            </w:r>
          </w:p>
          <w:p w14:paraId="754E43F0" w14:textId="5F1AF1A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-Such logics link to six CBMs: access/performance, extending product value, classic long life, sufficiency, extending resource value, and industrial symbiosis.</w:t>
            </w:r>
          </w:p>
          <w:p w14:paraId="1BA0C9AE"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-Slowing fits durable products; closing fits take-back systems; narrowing supports both but risks rebound consumption effects.</w:t>
            </w:r>
          </w:p>
          <w:p w14:paraId="7706F258" w14:textId="1FE439C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-CBM design requires experimenting with diverse circular value logics where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iteratively explore and refine alternative value propositions by aligning “what is offered” with “how resources flow” across the ecosystem.</w:t>
            </w:r>
          </w:p>
        </w:tc>
        <w:tc>
          <w:tcPr>
            <w:tcW w:w="715" w:type="pct"/>
          </w:tcPr>
          <w:p w14:paraId="358BD486"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-Experimenting with diverse circular value logics practice.</w:t>
            </w:r>
          </w:p>
          <w:p w14:paraId="608C1380" w14:textId="7760D6F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 </w:t>
            </w:r>
          </w:p>
        </w:tc>
      </w:tr>
      <w:tr w:rsidR="00B72EB9" w:rsidRPr="006F6BBE" w14:paraId="33E3DA12" w14:textId="77777777" w:rsidTr="00857063">
        <w:tc>
          <w:tcPr>
            <w:tcW w:w="189" w:type="pct"/>
          </w:tcPr>
          <w:p w14:paraId="6CC40AA6" w14:textId="4E1CAFA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7</w:t>
            </w:r>
          </w:p>
        </w:tc>
        <w:tc>
          <w:tcPr>
            <w:tcW w:w="476" w:type="pct"/>
          </w:tcPr>
          <w:p w14:paraId="37D97ADD" w14:textId="4A01578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Kiron, 2017</w:t>
            </w:r>
          </w:p>
        </w:tc>
        <w:tc>
          <w:tcPr>
            <w:tcW w:w="667" w:type="pct"/>
          </w:tcPr>
          <w:p w14:paraId="2D4B542B" w14:textId="6C0B3CE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Lessons from becoming a data-driven organization</w:t>
            </w:r>
          </w:p>
        </w:tc>
        <w:tc>
          <w:tcPr>
            <w:tcW w:w="496" w:type="pct"/>
          </w:tcPr>
          <w:p w14:paraId="3DE8ADF8" w14:textId="4742106E"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MIT Sloan Management Review</w:t>
            </w:r>
          </w:p>
        </w:tc>
        <w:tc>
          <w:tcPr>
            <w:tcW w:w="719" w:type="pct"/>
          </w:tcPr>
          <w:p w14:paraId="2266CD5A" w14:textId="5924667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Case study-oriented practitioner paper</w:t>
            </w:r>
          </w:p>
        </w:tc>
        <w:tc>
          <w:tcPr>
            <w:tcW w:w="1738" w:type="pct"/>
          </w:tcPr>
          <w:p w14:paraId="6A2D8F49" w14:textId="0BA8FD7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increasingly use data and analytics not only to achieve operational efficiency but also to transform their offerings and innovative business models.</w:t>
            </w:r>
          </w:p>
          <w:p w14:paraId="31CF6E45" w14:textId="1E00330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-Becoming a data-driven organization requires data governance, partnerships, and leadership commitment to enable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move toward digitally powered business models.</w:t>
            </w:r>
          </w:p>
        </w:tc>
        <w:tc>
          <w:tcPr>
            <w:tcW w:w="715" w:type="pct"/>
          </w:tcPr>
          <w:p w14:paraId="1033DB02" w14:textId="77777777"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sz w:val="20"/>
                <w:szCs w:val="20"/>
              </w:rPr>
              <w:t>-Building competency through digital analytics practice.</w:t>
            </w:r>
          </w:p>
          <w:p w14:paraId="7DC61A17" w14:textId="78CA26DF" w:rsidR="00B72EB9" w:rsidRPr="006F6BBE" w:rsidRDefault="00B72EB9" w:rsidP="00B72EB9">
            <w:pPr>
              <w:rPr>
                <w:rFonts w:ascii="Times New Roman" w:hAnsi="Times New Roman" w:cs="Times New Roman"/>
                <w:sz w:val="20"/>
                <w:szCs w:val="20"/>
              </w:rPr>
            </w:pPr>
          </w:p>
        </w:tc>
      </w:tr>
      <w:tr w:rsidR="00B72EB9" w:rsidRPr="006F6BBE" w14:paraId="53A0A21C" w14:textId="77777777" w:rsidTr="00857063">
        <w:tc>
          <w:tcPr>
            <w:tcW w:w="189" w:type="pct"/>
          </w:tcPr>
          <w:p w14:paraId="40DDBAF4" w14:textId="3D8C884B" w:rsidR="00B72EB9" w:rsidRPr="006F6BBE" w:rsidRDefault="00B72EB9" w:rsidP="00B72EB9">
            <w:pPr>
              <w:rPr>
                <w:rFonts w:ascii="Times New Roman" w:hAnsi="Times New Roman" w:cs="Times New Roman"/>
                <w:sz w:val="20"/>
                <w:szCs w:val="20"/>
              </w:rPr>
            </w:pPr>
            <w:bookmarkStart w:id="1" w:name="_Hlk220651223"/>
            <w:r w:rsidRPr="006F6BBE">
              <w:rPr>
                <w:rFonts w:ascii="Times New Roman" w:hAnsi="Times New Roman" w:cs="Times New Roman"/>
                <w:sz w:val="20"/>
                <w:szCs w:val="20"/>
              </w:rPr>
              <w:t>8</w:t>
            </w:r>
          </w:p>
        </w:tc>
        <w:tc>
          <w:tcPr>
            <w:tcW w:w="476" w:type="pct"/>
          </w:tcPr>
          <w:p w14:paraId="1559FD62" w14:textId="24C51F9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Mont et al., 2017</w:t>
            </w:r>
          </w:p>
        </w:tc>
        <w:tc>
          <w:tcPr>
            <w:tcW w:w="667" w:type="pct"/>
          </w:tcPr>
          <w:p w14:paraId="385A4ACE" w14:textId="2111D82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Business model innovation for a circular economy: Drivers and barriers for the Swedish industry – the voice of REES companies.</w:t>
            </w:r>
          </w:p>
        </w:tc>
        <w:tc>
          <w:tcPr>
            <w:tcW w:w="496" w:type="pct"/>
          </w:tcPr>
          <w:p w14:paraId="7AF48F22" w14:textId="1ADEE602"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Mistra REES.</w:t>
            </w:r>
          </w:p>
        </w:tc>
        <w:tc>
          <w:tcPr>
            <w:tcW w:w="719" w:type="pct"/>
          </w:tcPr>
          <w:p w14:paraId="2D19F77D" w14:textId="5A976E3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research combining interviews and workshops</w:t>
            </w:r>
          </w:p>
          <w:p w14:paraId="13240470" w14:textId="77777777" w:rsidR="00B72EB9" w:rsidRPr="006F6BBE" w:rsidRDefault="00B72EB9" w:rsidP="00B72EB9">
            <w:pPr>
              <w:rPr>
                <w:rFonts w:ascii="Times New Roman" w:hAnsi="Times New Roman" w:cs="Times New Roman"/>
                <w:sz w:val="20"/>
                <w:szCs w:val="20"/>
              </w:rPr>
            </w:pPr>
          </w:p>
        </w:tc>
        <w:tc>
          <w:tcPr>
            <w:tcW w:w="1738" w:type="pct"/>
          </w:tcPr>
          <w:p w14:paraId="126E1D63" w14:textId="3702C30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-Industrial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face significant organizational and structural barriers when moving from circular ideas to implementation, particularly siloed departments, misaligned incentives, and lack of cross-functional coordination.</w:t>
            </w:r>
          </w:p>
          <w:p w14:paraId="256A2B8B" w14:textId="376E2A4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-Business model innovation toward circularity requires simultaneous changes across value proposition, value creation, and value capture, reinforcing the need for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actively transform internal processes rather than relying solely on incremental product improvements.</w:t>
            </w:r>
          </w:p>
          <w:p w14:paraId="67CB048B" w14:textId="19EB8C4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-Financial uncertainty, high upfront investments, and revenue model misalignment hinder CBM development, pushing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experiment with new governance arrangements and shared revenue models to make circular offerings viable.</w:t>
            </w:r>
          </w:p>
        </w:tc>
        <w:tc>
          <w:tcPr>
            <w:tcW w:w="715" w:type="pct"/>
          </w:tcPr>
          <w:p w14:paraId="27BB0D21" w14:textId="77777777"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sz w:val="20"/>
                <w:szCs w:val="20"/>
              </w:rPr>
              <w:t>-Transforming organizational processes  practice.</w:t>
            </w:r>
          </w:p>
          <w:p w14:paraId="727A29C0" w14:textId="7E5ED7AB" w:rsidR="00B72EB9" w:rsidRPr="006F6BBE" w:rsidRDefault="00B72EB9" w:rsidP="00B72EB9">
            <w:pPr>
              <w:rPr>
                <w:rFonts w:ascii="Times New Roman" w:hAnsi="Times New Roman" w:cs="Times New Roman"/>
                <w:sz w:val="20"/>
                <w:szCs w:val="20"/>
              </w:rPr>
            </w:pPr>
          </w:p>
        </w:tc>
      </w:tr>
      <w:bookmarkEnd w:id="1"/>
      <w:tr w:rsidR="00B72EB9" w:rsidRPr="006F6BBE" w14:paraId="186CA962" w14:textId="77777777" w:rsidTr="00857063">
        <w:tc>
          <w:tcPr>
            <w:tcW w:w="189" w:type="pct"/>
          </w:tcPr>
          <w:p w14:paraId="1F878F49" w14:textId="5355762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9</w:t>
            </w:r>
          </w:p>
        </w:tc>
        <w:tc>
          <w:tcPr>
            <w:tcW w:w="476" w:type="pct"/>
          </w:tcPr>
          <w:p w14:paraId="2E90A7A1" w14:textId="147FC33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Aboulamer, 2018</w:t>
            </w:r>
          </w:p>
        </w:tc>
        <w:tc>
          <w:tcPr>
            <w:tcW w:w="667" w:type="pct"/>
          </w:tcPr>
          <w:p w14:paraId="7E7BA998" w14:textId="0471F81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Adopting a circular business model improves market equity value.</w:t>
            </w:r>
          </w:p>
        </w:tc>
        <w:tc>
          <w:tcPr>
            <w:tcW w:w="496" w:type="pct"/>
          </w:tcPr>
          <w:p w14:paraId="692631D0" w14:textId="23467626"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Thunderbird International Business Review</w:t>
            </w:r>
          </w:p>
        </w:tc>
        <w:tc>
          <w:tcPr>
            <w:tcW w:w="719" w:type="pct"/>
          </w:tcPr>
          <w:p w14:paraId="7951F3AB" w14:textId="46575C9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Conceptual review based on global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with operations in Europe, including Sweden.</w:t>
            </w:r>
          </w:p>
        </w:tc>
        <w:tc>
          <w:tcPr>
            <w:tcW w:w="1738" w:type="pct"/>
          </w:tcPr>
          <w:p w14:paraId="7151037E"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-CBM adoption can create shareholder value, not just environmental gains, by strengthening customer relationships.</w:t>
            </w:r>
          </w:p>
          <w:p w14:paraId="4BFFEC63" w14:textId="3B11801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 xml:space="preserve">-Product-as-a-service extends customer interaction since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control servicing, upgrades, and end-of-life handling.</w:t>
            </w:r>
          </w:p>
          <w:p w14:paraId="57FDD1AB" w14:textId="3E54394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-CBMs stabilize cash flows through retention and recurring services, reducing volatility and improving valuation.</w:t>
            </w:r>
          </w:p>
        </w:tc>
        <w:tc>
          <w:tcPr>
            <w:tcW w:w="715" w:type="pct"/>
          </w:tcPr>
          <w:p w14:paraId="1B7978B7"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-Reconfiguring ecosystem partners practice.</w:t>
            </w:r>
          </w:p>
          <w:p w14:paraId="3F617259" w14:textId="6251AF57" w:rsidR="00B72EB9" w:rsidRPr="006F6BBE" w:rsidRDefault="00B72EB9" w:rsidP="00B72EB9">
            <w:pPr>
              <w:rPr>
                <w:rFonts w:ascii="Times New Roman" w:hAnsi="Times New Roman" w:cs="Times New Roman"/>
                <w:sz w:val="20"/>
                <w:szCs w:val="20"/>
              </w:rPr>
            </w:pPr>
          </w:p>
        </w:tc>
      </w:tr>
      <w:tr w:rsidR="00B72EB9" w:rsidRPr="006F6BBE" w14:paraId="219D7269" w14:textId="77777777" w:rsidTr="00857063">
        <w:tc>
          <w:tcPr>
            <w:tcW w:w="189" w:type="pct"/>
          </w:tcPr>
          <w:p w14:paraId="67CBDC2D" w14:textId="5F775A2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10</w:t>
            </w:r>
          </w:p>
        </w:tc>
        <w:tc>
          <w:tcPr>
            <w:tcW w:w="476" w:type="pct"/>
          </w:tcPr>
          <w:p w14:paraId="27539BDD" w14:textId="5763C65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Junnila et al., 2018</w:t>
            </w:r>
          </w:p>
          <w:p w14:paraId="12CAA5AF" w14:textId="77777777" w:rsidR="00B72EB9" w:rsidRPr="006F6BBE" w:rsidRDefault="00B72EB9" w:rsidP="00B72EB9">
            <w:pPr>
              <w:rPr>
                <w:rFonts w:ascii="Times New Roman" w:hAnsi="Times New Roman" w:cs="Times New Roman"/>
                <w:sz w:val="20"/>
                <w:szCs w:val="20"/>
              </w:rPr>
            </w:pPr>
          </w:p>
        </w:tc>
        <w:tc>
          <w:tcPr>
            <w:tcW w:w="667" w:type="pct"/>
          </w:tcPr>
          <w:p w14:paraId="0342DD4E" w14:textId="0765687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Influence of reduced ownership on the environmental benefits of the circular economy</w:t>
            </w:r>
          </w:p>
        </w:tc>
        <w:tc>
          <w:tcPr>
            <w:tcW w:w="496" w:type="pct"/>
          </w:tcPr>
          <w:p w14:paraId="3730ABB0" w14:textId="3EF9FE32"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Sustainability</w:t>
            </w:r>
          </w:p>
        </w:tc>
        <w:tc>
          <w:tcPr>
            <w:tcW w:w="719" w:type="pct"/>
          </w:tcPr>
          <w:p w14:paraId="61375B2D" w14:textId="29083DF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Quantitative empirical analysis</w:t>
            </w:r>
          </w:p>
        </w:tc>
        <w:tc>
          <w:tcPr>
            <w:tcW w:w="1738" w:type="pct"/>
          </w:tcPr>
          <w:p w14:paraId="60010EB4" w14:textId="1B25BA5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-Service-based and reduced-ownership business models do not automatically reduce environmental impact because incentives and spending behaviors can trigger rebound effects;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should design safeguards such as usage caps, green default options, and reinvestment mechanisms to protect circular gains.</w:t>
            </w:r>
          </w:p>
          <w:p w14:paraId="23B1AED5" w14:textId="5EF4EF9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-Value capture mechanisms shape actor behavior: when households redirect savings to carbon-intensive activities, circular benefits decline – showing the need for aligned, coordinated incentives and responsibility-sharing across the value chain.</w:t>
            </w:r>
          </w:p>
        </w:tc>
        <w:tc>
          <w:tcPr>
            <w:tcW w:w="715" w:type="pct"/>
          </w:tcPr>
          <w:p w14:paraId="3780750D"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-Transforming organizational processes  practice.</w:t>
            </w:r>
          </w:p>
          <w:p w14:paraId="728CE0EA" w14:textId="5B4862D6" w:rsidR="00B72EB9" w:rsidRPr="006F6BBE" w:rsidRDefault="00B72EB9" w:rsidP="00B72EB9">
            <w:pPr>
              <w:rPr>
                <w:rFonts w:ascii="Times New Roman" w:hAnsi="Times New Roman" w:cs="Times New Roman"/>
                <w:sz w:val="20"/>
                <w:szCs w:val="20"/>
              </w:rPr>
            </w:pPr>
          </w:p>
        </w:tc>
      </w:tr>
      <w:tr w:rsidR="00B72EB9" w:rsidRPr="006F6BBE" w14:paraId="5E6E9023" w14:textId="77777777" w:rsidTr="00857063">
        <w:tc>
          <w:tcPr>
            <w:tcW w:w="189" w:type="pct"/>
          </w:tcPr>
          <w:p w14:paraId="3AD3AD80" w14:textId="783ECCB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11</w:t>
            </w:r>
          </w:p>
        </w:tc>
        <w:tc>
          <w:tcPr>
            <w:tcW w:w="476" w:type="pct"/>
          </w:tcPr>
          <w:p w14:paraId="65B3EC34" w14:textId="66F6762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Ramadoss et al., 2018</w:t>
            </w:r>
          </w:p>
        </w:tc>
        <w:tc>
          <w:tcPr>
            <w:tcW w:w="667" w:type="pct"/>
          </w:tcPr>
          <w:p w14:paraId="42796586" w14:textId="589240D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Artificial intelligence and Internet of things enabled circular economy.</w:t>
            </w:r>
          </w:p>
        </w:tc>
        <w:tc>
          <w:tcPr>
            <w:tcW w:w="496" w:type="pct"/>
          </w:tcPr>
          <w:p w14:paraId="4638AF54" w14:textId="295B7212"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The International Journal of Engineering and Science</w:t>
            </w:r>
          </w:p>
        </w:tc>
        <w:tc>
          <w:tcPr>
            <w:tcW w:w="719" w:type="pct"/>
          </w:tcPr>
          <w:p w14:paraId="07AB07B4" w14:textId="4F84092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Conceptual article building of industrial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as cases.</w:t>
            </w:r>
          </w:p>
        </w:tc>
        <w:tc>
          <w:tcPr>
            <w:tcW w:w="1738" w:type="pct"/>
          </w:tcPr>
          <w:p w14:paraId="4418EB9B" w14:textId="7DCE4B1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-AI and IoT enable real-time lifecycle monitoring by turning continuous device data into actionable circular insights.</w:t>
            </w:r>
          </w:p>
          <w:p w14:paraId="4753443B" w14:textId="4A8332CE" w:rsidR="00B72EB9" w:rsidRPr="006F6BBE" w:rsidRDefault="00B72EB9" w:rsidP="00987550">
            <w:pPr>
              <w:rPr>
                <w:rFonts w:ascii="Times New Roman" w:hAnsi="Times New Roman" w:cs="Times New Roman"/>
                <w:sz w:val="20"/>
                <w:szCs w:val="20"/>
              </w:rPr>
            </w:pPr>
            <w:r w:rsidRPr="006F6BBE">
              <w:rPr>
                <w:rFonts w:ascii="Times New Roman" w:hAnsi="Times New Roman" w:cs="Times New Roman"/>
                <w:sz w:val="20"/>
                <w:szCs w:val="20"/>
              </w:rPr>
              <w:t>-Circular economy increases reverse-flow and asset complexity, making digital analytics essential for scalable circular operations.</w:t>
            </w:r>
          </w:p>
        </w:tc>
        <w:tc>
          <w:tcPr>
            <w:tcW w:w="715" w:type="pct"/>
          </w:tcPr>
          <w:p w14:paraId="6D64A176"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-Building competency through digital analytics practice. </w:t>
            </w:r>
          </w:p>
          <w:p w14:paraId="606D5BFB" w14:textId="146F1A98" w:rsidR="00B72EB9" w:rsidRPr="006F6BBE" w:rsidRDefault="00B72EB9" w:rsidP="00B72EB9">
            <w:pPr>
              <w:rPr>
                <w:rFonts w:ascii="Times New Roman" w:hAnsi="Times New Roman" w:cs="Times New Roman"/>
                <w:sz w:val="20"/>
                <w:szCs w:val="20"/>
              </w:rPr>
            </w:pPr>
          </w:p>
        </w:tc>
      </w:tr>
      <w:tr w:rsidR="00B72EB9" w:rsidRPr="006F6BBE" w14:paraId="26BD67E9" w14:textId="77777777" w:rsidTr="00857063">
        <w:tc>
          <w:tcPr>
            <w:tcW w:w="189" w:type="pct"/>
          </w:tcPr>
          <w:p w14:paraId="41E67351" w14:textId="409F8E5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12</w:t>
            </w:r>
          </w:p>
        </w:tc>
        <w:tc>
          <w:tcPr>
            <w:tcW w:w="476" w:type="pct"/>
          </w:tcPr>
          <w:p w14:paraId="40E2CB29" w14:textId="7DEA30C7" w:rsidR="00B72EB9" w:rsidRPr="006F6BBE" w:rsidRDefault="00B72EB9" w:rsidP="00B72EB9">
            <w:pPr>
              <w:rPr>
                <w:rFonts w:ascii="Times New Roman" w:hAnsi="Times New Roman" w:cs="Times New Roman"/>
                <w:sz w:val="20"/>
                <w:szCs w:val="20"/>
              </w:rPr>
            </w:pPr>
            <w:bookmarkStart w:id="2" w:name="_Hlk220652003"/>
            <w:r w:rsidRPr="006F6BBE">
              <w:rPr>
                <w:rFonts w:ascii="Times New Roman" w:hAnsi="Times New Roman" w:cs="Times New Roman"/>
                <w:sz w:val="20"/>
                <w:szCs w:val="20"/>
              </w:rPr>
              <w:t>Stål &amp; Corvellec, 2018</w:t>
            </w:r>
            <w:bookmarkEnd w:id="2"/>
          </w:p>
        </w:tc>
        <w:tc>
          <w:tcPr>
            <w:tcW w:w="667" w:type="pct"/>
          </w:tcPr>
          <w:p w14:paraId="5798AA7A" w14:textId="3B1FD18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 decoupling perspective on circular business model implementation: Illustrations from Swedish apparel</w:t>
            </w:r>
          </w:p>
        </w:tc>
        <w:tc>
          <w:tcPr>
            <w:tcW w:w="496" w:type="pct"/>
          </w:tcPr>
          <w:p w14:paraId="16D0E835" w14:textId="1B1E2394"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Cleaner Production</w:t>
            </w:r>
          </w:p>
        </w:tc>
        <w:tc>
          <w:tcPr>
            <w:tcW w:w="719" w:type="pct"/>
          </w:tcPr>
          <w:p w14:paraId="67690395" w14:textId="33E4B46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Qualitative case study research on seven Swedish apparel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w:t>
            </w:r>
          </w:p>
        </w:tc>
        <w:tc>
          <w:tcPr>
            <w:tcW w:w="1738" w:type="pct"/>
          </w:tcPr>
          <w:p w14:paraId="0DAB3C3E" w14:textId="0150FA4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adopt circular activities through two implementation patterns, decoupling by outsourcing and decoupling by internal separation.</w:t>
            </w:r>
          </w:p>
          <w:p w14:paraId="2665A35A" w14:textId="63AA0C6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-Take-back systems are often framed as part of sustainability strategy, with goals focusing more on availability/communication than measurable loop-closing outcomes, reinforcing partial integration into organizational processes.</w:t>
            </w:r>
          </w:p>
        </w:tc>
        <w:tc>
          <w:tcPr>
            <w:tcW w:w="715" w:type="pct"/>
          </w:tcPr>
          <w:p w14:paraId="16079AF3" w14:textId="77777777"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sz w:val="20"/>
                <w:szCs w:val="20"/>
              </w:rPr>
              <w:t>-Transforming organizational processes practice.</w:t>
            </w:r>
          </w:p>
          <w:p w14:paraId="24388119" w14:textId="5B9D42F4" w:rsidR="00B72EB9" w:rsidRPr="006F6BBE" w:rsidRDefault="00B72EB9" w:rsidP="00B72EB9">
            <w:pPr>
              <w:rPr>
                <w:rFonts w:ascii="Times New Roman" w:hAnsi="Times New Roman" w:cs="Times New Roman"/>
                <w:sz w:val="20"/>
                <w:szCs w:val="20"/>
              </w:rPr>
            </w:pPr>
          </w:p>
        </w:tc>
      </w:tr>
      <w:tr w:rsidR="00B72EB9" w:rsidRPr="006F6BBE" w14:paraId="1307A8C5" w14:textId="77777777" w:rsidTr="00857063">
        <w:tc>
          <w:tcPr>
            <w:tcW w:w="189" w:type="pct"/>
          </w:tcPr>
          <w:p w14:paraId="77D97698" w14:textId="2BEA535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13</w:t>
            </w:r>
          </w:p>
        </w:tc>
        <w:tc>
          <w:tcPr>
            <w:tcW w:w="476" w:type="pct"/>
          </w:tcPr>
          <w:p w14:paraId="6CA79AA1" w14:textId="2D84D7B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Veleva, &amp; Bodkin, 2018</w:t>
            </w:r>
          </w:p>
        </w:tc>
        <w:tc>
          <w:tcPr>
            <w:tcW w:w="667" w:type="pct"/>
          </w:tcPr>
          <w:p w14:paraId="74E4049A" w14:textId="646EF38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Corporate-entrepreneur collaborations to advance a circular economy. </w:t>
            </w:r>
          </w:p>
        </w:tc>
        <w:tc>
          <w:tcPr>
            <w:tcW w:w="496" w:type="pct"/>
          </w:tcPr>
          <w:p w14:paraId="6A917A5C" w14:textId="1A2456DB"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Cleaner Production.</w:t>
            </w:r>
          </w:p>
        </w:tc>
        <w:tc>
          <w:tcPr>
            <w:tcW w:w="719" w:type="pct"/>
          </w:tcPr>
          <w:p w14:paraId="6A100358" w14:textId="1A7A853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Qualitative multiple case study on industrial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w:t>
            </w:r>
          </w:p>
        </w:tc>
        <w:tc>
          <w:tcPr>
            <w:tcW w:w="1738" w:type="pct"/>
          </w:tcPr>
          <w:p w14:paraId="16B217B6" w14:textId="6CD2D5C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-Corporate–entrepreneur collaborations enable circular offerings by valorizing waste and surplus via reverse supply chains.</w:t>
            </w:r>
          </w:p>
          <w:p w14:paraId="2C2158ED" w14:textId="2640E453" w:rsidR="00B72EB9" w:rsidRPr="006F6BBE" w:rsidRDefault="00B72EB9" w:rsidP="00987550">
            <w:pPr>
              <w:rPr>
                <w:rFonts w:ascii="Times New Roman" w:hAnsi="Times New Roman" w:cs="Times New Roman"/>
                <w:sz w:val="20"/>
                <w:szCs w:val="20"/>
              </w:rPr>
            </w:pPr>
            <w:r w:rsidRPr="006F6BBE">
              <w:rPr>
                <w:rFonts w:ascii="Times New Roman" w:hAnsi="Times New Roman" w:cs="Times New Roman"/>
                <w:sz w:val="20"/>
                <w:szCs w:val="20"/>
              </w:rPr>
              <w:t>-Circular concepts require long-term partnerships that jointly secure waste inputs and market demand.</w:t>
            </w:r>
          </w:p>
        </w:tc>
        <w:tc>
          <w:tcPr>
            <w:tcW w:w="715" w:type="pct"/>
          </w:tcPr>
          <w:p w14:paraId="4A92F9A8"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-Experimenting with diverse circular value logics practice.</w:t>
            </w:r>
          </w:p>
          <w:p w14:paraId="165D4408" w14:textId="6AC0F8C1" w:rsidR="00B72EB9" w:rsidRPr="006F6BBE" w:rsidRDefault="00B72EB9" w:rsidP="00B72EB9">
            <w:pPr>
              <w:rPr>
                <w:rFonts w:ascii="Times New Roman" w:hAnsi="Times New Roman" w:cs="Times New Roman"/>
                <w:sz w:val="20"/>
                <w:szCs w:val="20"/>
              </w:rPr>
            </w:pPr>
          </w:p>
        </w:tc>
      </w:tr>
      <w:tr w:rsidR="00B72EB9" w:rsidRPr="006F6BBE" w14:paraId="3A115363" w14:textId="77777777" w:rsidTr="00857063">
        <w:tc>
          <w:tcPr>
            <w:tcW w:w="189" w:type="pct"/>
          </w:tcPr>
          <w:p w14:paraId="7F4AB9F8" w14:textId="483CEAD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14</w:t>
            </w:r>
          </w:p>
        </w:tc>
        <w:tc>
          <w:tcPr>
            <w:tcW w:w="476" w:type="pct"/>
          </w:tcPr>
          <w:p w14:paraId="70CD5DCB" w14:textId="7A2B8B7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Brown et al., 2019</w:t>
            </w:r>
          </w:p>
        </w:tc>
        <w:tc>
          <w:tcPr>
            <w:tcW w:w="667" w:type="pct"/>
          </w:tcPr>
          <w:p w14:paraId="11943AF2" w14:textId="08444C6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Why do companies pursue collaborative circular-oriented innovation?</w:t>
            </w:r>
          </w:p>
        </w:tc>
        <w:tc>
          <w:tcPr>
            <w:tcW w:w="496" w:type="pct"/>
          </w:tcPr>
          <w:p w14:paraId="7EA615AD" w14:textId="56EEE96E"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Sustainability</w:t>
            </w:r>
          </w:p>
        </w:tc>
        <w:tc>
          <w:tcPr>
            <w:tcW w:w="719" w:type="pct"/>
          </w:tcPr>
          <w:p w14:paraId="449A7DCA" w14:textId="66299D1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Exploratory multiple case study of industrial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w:t>
            </w:r>
          </w:p>
        </w:tc>
        <w:tc>
          <w:tcPr>
            <w:tcW w:w="1738" w:type="pct"/>
          </w:tcPr>
          <w:p w14:paraId="463D31A3" w14:textId="6963F1C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-Circular innovation often starts with entrepreneurial actors sharing a strong circular vision and credible proposition.</w:t>
            </w:r>
          </w:p>
          <w:p w14:paraId="33BB068E" w14:textId="76E168F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collaborate early to co-shape problem–solution </w:t>
            </w:r>
          </w:p>
          <w:p w14:paraId="34A60F69" w14:textId="2F35884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spaces and integrate knowledge across the value network.</w:t>
            </w:r>
          </w:p>
          <w:p w14:paraId="1116AB8D" w14:textId="3041AFD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-Cultural misfit and weak risk–reward sharing can stall collaborations beyond experimentation into market-ready CBMs.</w:t>
            </w:r>
          </w:p>
        </w:tc>
        <w:tc>
          <w:tcPr>
            <w:tcW w:w="715" w:type="pct"/>
          </w:tcPr>
          <w:p w14:paraId="5DBD7DB7" w14:textId="77777777"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sz w:val="20"/>
                <w:szCs w:val="20"/>
              </w:rPr>
              <w:lastRenderedPageBreak/>
              <w:t>-Transforming organizational processes practice.</w:t>
            </w:r>
          </w:p>
          <w:p w14:paraId="2DC001C9" w14:textId="6C5838F3" w:rsidR="00B72EB9" w:rsidRPr="006F6BBE" w:rsidRDefault="00B72EB9" w:rsidP="00B72EB9">
            <w:pPr>
              <w:rPr>
                <w:rFonts w:ascii="Times New Roman" w:hAnsi="Times New Roman" w:cs="Times New Roman"/>
                <w:sz w:val="20"/>
                <w:szCs w:val="20"/>
              </w:rPr>
            </w:pPr>
          </w:p>
        </w:tc>
      </w:tr>
      <w:tr w:rsidR="00B72EB9" w:rsidRPr="006F6BBE" w14:paraId="33BF2044" w14:textId="77777777" w:rsidTr="00857063">
        <w:tc>
          <w:tcPr>
            <w:tcW w:w="189" w:type="pct"/>
          </w:tcPr>
          <w:p w14:paraId="6F4C1F3A" w14:textId="0F4DC74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15</w:t>
            </w:r>
          </w:p>
        </w:tc>
        <w:tc>
          <w:tcPr>
            <w:tcW w:w="476" w:type="pct"/>
          </w:tcPr>
          <w:p w14:paraId="5656D45A" w14:textId="19F7852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Frishammar &amp; Parida, 2019</w:t>
            </w:r>
          </w:p>
        </w:tc>
        <w:tc>
          <w:tcPr>
            <w:tcW w:w="667" w:type="pct"/>
          </w:tcPr>
          <w:p w14:paraId="5C1D6A45" w14:textId="18210DB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Circular business model transformation: A roadmap for incumbent </w:t>
            </w:r>
            <w:r w:rsidR="00FC7662" w:rsidRPr="006F6BBE">
              <w:rPr>
                <w:rFonts w:ascii="Times New Roman" w:hAnsi="Times New Roman" w:cs="Times New Roman"/>
                <w:sz w:val="20"/>
                <w:szCs w:val="20"/>
              </w:rPr>
              <w:t>firms</w:t>
            </w:r>
            <w:r w:rsidRPr="006F6BBE">
              <w:rPr>
                <w:rFonts w:ascii="Times New Roman" w:hAnsi="Times New Roman" w:cs="Times New Roman"/>
                <w:sz w:val="20"/>
                <w:szCs w:val="20"/>
              </w:rPr>
              <w:t>. </w:t>
            </w:r>
          </w:p>
        </w:tc>
        <w:tc>
          <w:tcPr>
            <w:tcW w:w="496" w:type="pct"/>
          </w:tcPr>
          <w:p w14:paraId="6F82B048" w14:textId="4900B689"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California Management Review</w:t>
            </w:r>
          </w:p>
        </w:tc>
        <w:tc>
          <w:tcPr>
            <w:tcW w:w="719" w:type="pct"/>
          </w:tcPr>
          <w:p w14:paraId="03B1A47C" w14:textId="2D8F7F7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Multiple case study primarily focused on Swedish context.</w:t>
            </w:r>
          </w:p>
        </w:tc>
        <w:tc>
          <w:tcPr>
            <w:tcW w:w="1738" w:type="pct"/>
          </w:tcPr>
          <w:p w14:paraId="69EE8757" w14:textId="52C76A2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-CBM design is capability- and context-dependent;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vary in readiness, making “right” value logic selection difficult.</w:t>
            </w:r>
          </w:p>
          <w:p w14:paraId="014BE2E9" w14:textId="228415AD" w:rsidR="00B72EB9" w:rsidRPr="006F6BBE" w:rsidRDefault="00B72EB9" w:rsidP="00987550">
            <w:pPr>
              <w:rPr>
                <w:rFonts w:ascii="Times New Roman" w:hAnsi="Times New Roman" w:cs="Times New Roman"/>
                <w:sz w:val="20"/>
                <w:szCs w:val="20"/>
              </w:rPr>
            </w:pPr>
            <w:r w:rsidRPr="006F6BBE">
              <w:rPr>
                <w:rFonts w:ascii="Times New Roman" w:hAnsi="Times New Roman" w:cs="Times New Roman"/>
                <w:sz w:val="20"/>
                <w:szCs w:val="20"/>
              </w:rPr>
              <w:t>-CBMs are ecosystem-based, requiring partner collaboration and active alignment beyond the focal firm.</w:t>
            </w:r>
          </w:p>
        </w:tc>
        <w:tc>
          <w:tcPr>
            <w:tcW w:w="715" w:type="pct"/>
          </w:tcPr>
          <w:p w14:paraId="307FEEBC"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-Experimenting with diverse circular value logics practice.</w:t>
            </w:r>
          </w:p>
          <w:p w14:paraId="574CAE14" w14:textId="4A81629B" w:rsidR="00B72EB9" w:rsidRPr="006F6BBE" w:rsidRDefault="00B72EB9" w:rsidP="00B72EB9">
            <w:pPr>
              <w:rPr>
                <w:rFonts w:ascii="Times New Roman" w:hAnsi="Times New Roman" w:cs="Times New Roman"/>
                <w:sz w:val="20"/>
                <w:szCs w:val="20"/>
              </w:rPr>
            </w:pPr>
          </w:p>
        </w:tc>
      </w:tr>
      <w:tr w:rsidR="00B72EB9" w:rsidRPr="006F6BBE" w14:paraId="7D60858F" w14:textId="77777777" w:rsidTr="00857063">
        <w:tc>
          <w:tcPr>
            <w:tcW w:w="189" w:type="pct"/>
          </w:tcPr>
          <w:p w14:paraId="20C490FA" w14:textId="7219766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16</w:t>
            </w:r>
          </w:p>
        </w:tc>
        <w:tc>
          <w:tcPr>
            <w:tcW w:w="476" w:type="pct"/>
          </w:tcPr>
          <w:p w14:paraId="2FFA8011" w14:textId="10355E23" w:rsidR="00B72EB9" w:rsidRPr="006F6BBE" w:rsidRDefault="00B72EB9" w:rsidP="00B72EB9">
            <w:pPr>
              <w:rPr>
                <w:rFonts w:ascii="Times New Roman" w:hAnsi="Times New Roman" w:cs="Times New Roman"/>
                <w:sz w:val="20"/>
                <w:szCs w:val="20"/>
              </w:rPr>
            </w:pPr>
            <w:bookmarkStart w:id="3" w:name="_Hlk220641505"/>
            <w:r w:rsidRPr="006F6BBE">
              <w:rPr>
                <w:rFonts w:ascii="Times New Roman" w:hAnsi="Times New Roman" w:cs="Times New Roman"/>
                <w:sz w:val="20"/>
                <w:szCs w:val="20"/>
              </w:rPr>
              <w:t>Jabbour et al., 2019</w:t>
            </w:r>
            <w:bookmarkEnd w:id="3"/>
          </w:p>
        </w:tc>
        <w:tc>
          <w:tcPr>
            <w:tcW w:w="667" w:type="pct"/>
          </w:tcPr>
          <w:p w14:paraId="380FDD53" w14:textId="3604239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Unlocking the circular economy through new business models based on large-scale data: an integrative framework and research agenda. </w:t>
            </w:r>
          </w:p>
        </w:tc>
        <w:tc>
          <w:tcPr>
            <w:tcW w:w="496" w:type="pct"/>
          </w:tcPr>
          <w:p w14:paraId="53AA8820" w14:textId="48821DCC"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Technological Forecasting and Social Change</w:t>
            </w:r>
          </w:p>
        </w:tc>
        <w:tc>
          <w:tcPr>
            <w:tcW w:w="719" w:type="pct"/>
          </w:tcPr>
          <w:p w14:paraId="50351EB2" w14:textId="6447B90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Conceptual study and integrative literature review</w:t>
            </w:r>
          </w:p>
        </w:tc>
        <w:tc>
          <w:tcPr>
            <w:tcW w:w="1738" w:type="pct"/>
          </w:tcPr>
          <w:p w14:paraId="20E78229" w14:textId="189901C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-Data integration across departments and stakeholders is a critical enabler of commercialization, as real-time information on material flows, product conditions, and end-of-life options allows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standardize circular practices and roll them out consistently across markets and business units.</w:t>
            </w:r>
          </w:p>
        </w:tc>
        <w:tc>
          <w:tcPr>
            <w:tcW w:w="715" w:type="pct"/>
          </w:tcPr>
          <w:p w14:paraId="6C791D28" w14:textId="263F9A3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-Customer and market scaling practice.</w:t>
            </w:r>
          </w:p>
        </w:tc>
      </w:tr>
      <w:tr w:rsidR="00B72EB9" w:rsidRPr="006F6BBE" w14:paraId="2F2D8A5C" w14:textId="77777777" w:rsidTr="00857063">
        <w:tc>
          <w:tcPr>
            <w:tcW w:w="189" w:type="pct"/>
          </w:tcPr>
          <w:p w14:paraId="24988238" w14:textId="37FDDA4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17</w:t>
            </w:r>
          </w:p>
        </w:tc>
        <w:tc>
          <w:tcPr>
            <w:tcW w:w="476" w:type="pct"/>
          </w:tcPr>
          <w:p w14:paraId="09C86395" w14:textId="2C1BB947" w:rsidR="00B72EB9" w:rsidRPr="006F6BBE" w:rsidRDefault="00B72EB9" w:rsidP="00B72EB9">
            <w:pPr>
              <w:rPr>
                <w:rFonts w:ascii="Times New Roman" w:hAnsi="Times New Roman" w:cs="Times New Roman"/>
                <w:sz w:val="20"/>
                <w:szCs w:val="20"/>
              </w:rPr>
            </w:pPr>
            <w:bookmarkStart w:id="4" w:name="_Hlk220641535"/>
            <w:r w:rsidRPr="006F6BBE">
              <w:rPr>
                <w:rFonts w:ascii="Times New Roman" w:hAnsi="Times New Roman" w:cs="Times New Roman"/>
                <w:sz w:val="20"/>
                <w:szCs w:val="20"/>
              </w:rPr>
              <w:t>Lüdeke‐Freund et al., 2019</w:t>
            </w:r>
            <w:bookmarkEnd w:id="4"/>
          </w:p>
        </w:tc>
        <w:tc>
          <w:tcPr>
            <w:tcW w:w="667" w:type="pct"/>
          </w:tcPr>
          <w:p w14:paraId="67A0F84F" w14:textId="2D8C561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 review and typology of circular economy business model patterns.</w:t>
            </w:r>
          </w:p>
        </w:tc>
        <w:tc>
          <w:tcPr>
            <w:tcW w:w="496" w:type="pct"/>
          </w:tcPr>
          <w:p w14:paraId="2562DCD9" w14:textId="17C8585B"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Industrial Ecology</w:t>
            </w:r>
          </w:p>
        </w:tc>
        <w:tc>
          <w:tcPr>
            <w:tcW w:w="719" w:type="pct"/>
          </w:tcPr>
          <w:p w14:paraId="5CBF24C2" w14:textId="44C23A7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Systematic literature review</w:t>
            </w:r>
          </w:p>
        </w:tc>
        <w:tc>
          <w:tcPr>
            <w:tcW w:w="1738" w:type="pct"/>
          </w:tcPr>
          <w:p w14:paraId="2C23DFED" w14:textId="2AB120D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-Circular offerings require adapting product frameworks to reduce customer risk, for example by providing longer warranties, guaranteed spare-part availability, and maintenance support, thereby making circular products credible and attractive to new customer segments.</w:t>
            </w:r>
          </w:p>
          <w:p w14:paraId="2BF1FB99" w14:textId="3981FFD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-Circular value propositions aimed at longevity, reliability, and service continuity enable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move beyond niche or early adopters and reach broader markets, supporting expansion across customer groups without relying solely on internal operational growth.</w:t>
            </w:r>
          </w:p>
        </w:tc>
        <w:tc>
          <w:tcPr>
            <w:tcW w:w="715" w:type="pct"/>
          </w:tcPr>
          <w:p w14:paraId="7D4DDD3E" w14:textId="6F4080F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-Customer and market scaling practice.</w:t>
            </w:r>
          </w:p>
        </w:tc>
      </w:tr>
      <w:tr w:rsidR="00B72EB9" w:rsidRPr="006F6BBE" w14:paraId="5B2D6200" w14:textId="77777777" w:rsidTr="00857063">
        <w:tc>
          <w:tcPr>
            <w:tcW w:w="189" w:type="pct"/>
          </w:tcPr>
          <w:p w14:paraId="265C31A6" w14:textId="090FEA1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18</w:t>
            </w:r>
          </w:p>
        </w:tc>
        <w:tc>
          <w:tcPr>
            <w:tcW w:w="476" w:type="pct"/>
          </w:tcPr>
          <w:p w14:paraId="39E9734A" w14:textId="166F37C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Milios &amp; Matsumoto, 2019</w:t>
            </w:r>
          </w:p>
        </w:tc>
        <w:tc>
          <w:tcPr>
            <w:tcW w:w="667" w:type="pct"/>
          </w:tcPr>
          <w:p w14:paraId="4BF8AA62" w14:textId="4DA390A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Consumer perception of remanufactured automotive parts and policy implications for transitioning to a circular economy in Sweden.</w:t>
            </w:r>
          </w:p>
        </w:tc>
        <w:tc>
          <w:tcPr>
            <w:tcW w:w="496" w:type="pct"/>
          </w:tcPr>
          <w:p w14:paraId="1DAD5CE7" w14:textId="2DB64289"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Sustainability</w:t>
            </w:r>
          </w:p>
        </w:tc>
        <w:tc>
          <w:tcPr>
            <w:tcW w:w="719" w:type="pct"/>
          </w:tcPr>
          <w:p w14:paraId="1ED1C198" w14:textId="27D599A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Quantitative empirical study</w:t>
            </w:r>
          </w:p>
        </w:tc>
        <w:tc>
          <w:tcPr>
            <w:tcW w:w="1738" w:type="pct"/>
          </w:tcPr>
          <w:p w14:paraId="60F5F39C" w14:textId="00BDD73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-Consumers have limited prior knowledge of remanufactured parts, highlighting the importance of early customer engagement and education when designing circular value propositions based on reuse and remanufacturing.</w:t>
            </w:r>
          </w:p>
          <w:p w14:paraId="568F8568" w14:textId="74BB15B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-Perceived benefits (e.g., cost savings, environmental benefits) positively influence purchase intentions, while perceived risks do not significantly deter Swedish consumers, pointing to latent market acceptance of circular value logics.</w:t>
            </w:r>
          </w:p>
          <w:p w14:paraId="6FFC961E" w14:textId="13358B5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-Customer trust and perceived product performance are critical for acceptance, reinforcing the need for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co-develop and validate circular offerings with lead customers before market rollout.</w:t>
            </w:r>
          </w:p>
        </w:tc>
        <w:tc>
          <w:tcPr>
            <w:tcW w:w="715" w:type="pct"/>
          </w:tcPr>
          <w:p w14:paraId="30F1782A"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-Experimenting with diverse circular value logics practice.</w:t>
            </w:r>
          </w:p>
          <w:p w14:paraId="4817FC0D" w14:textId="7DA6F44B" w:rsidR="00B72EB9" w:rsidRPr="006F6BBE" w:rsidRDefault="00B72EB9" w:rsidP="00B72EB9">
            <w:pPr>
              <w:rPr>
                <w:rFonts w:ascii="Times New Roman" w:hAnsi="Times New Roman" w:cs="Times New Roman"/>
                <w:i/>
                <w:iCs/>
                <w:sz w:val="20"/>
                <w:szCs w:val="20"/>
              </w:rPr>
            </w:pPr>
          </w:p>
        </w:tc>
      </w:tr>
      <w:tr w:rsidR="00B72EB9" w:rsidRPr="006F6BBE" w14:paraId="1DC2C653" w14:textId="77777777" w:rsidTr="00857063">
        <w:tc>
          <w:tcPr>
            <w:tcW w:w="189" w:type="pct"/>
          </w:tcPr>
          <w:p w14:paraId="5EF09D95" w14:textId="69DA4B2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19</w:t>
            </w:r>
          </w:p>
        </w:tc>
        <w:tc>
          <w:tcPr>
            <w:tcW w:w="476" w:type="pct"/>
          </w:tcPr>
          <w:p w14:paraId="4FDA3C5D" w14:textId="7A7EC5E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Pedersen et al., 2019</w:t>
            </w:r>
          </w:p>
        </w:tc>
        <w:tc>
          <w:tcPr>
            <w:tcW w:w="667" w:type="pct"/>
          </w:tcPr>
          <w:p w14:paraId="024A9075" w14:textId="6B15EDA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From singular to plural: exploring organizational complexities and circular business model design.</w:t>
            </w:r>
          </w:p>
        </w:tc>
        <w:tc>
          <w:tcPr>
            <w:tcW w:w="496" w:type="pct"/>
          </w:tcPr>
          <w:p w14:paraId="019495B9" w14:textId="61FE56FD"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Fashion Marketing and Management: An International Journal.</w:t>
            </w:r>
          </w:p>
        </w:tc>
        <w:tc>
          <w:tcPr>
            <w:tcW w:w="719" w:type="pct"/>
          </w:tcPr>
          <w:p w14:paraId="3C409D0C" w14:textId="434AB3A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Case study-based approach  developed through Swedish design-science research programme</w:t>
            </w:r>
          </w:p>
        </w:tc>
        <w:tc>
          <w:tcPr>
            <w:tcW w:w="1738" w:type="pct"/>
          </w:tcPr>
          <w:p w14:paraId="756E7F50" w14:textId="229D5F0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-Circular solutions span interconnected stakeholders, requiring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experiment with business model combinations.</w:t>
            </w:r>
          </w:p>
          <w:p w14:paraId="2B17195F" w14:textId="55E8959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-Extended lifecycles create cross-actor complexity, distributing value creation, delivery, and capture across time.</w:t>
            </w:r>
          </w:p>
          <w:p w14:paraId="3F8408B0" w14:textId="5D1E6F6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-Circularity demands rethinking boundaries, temporality, and value definitions through long-term coordination and new capabilities.</w:t>
            </w:r>
          </w:p>
        </w:tc>
        <w:tc>
          <w:tcPr>
            <w:tcW w:w="715" w:type="pct"/>
          </w:tcPr>
          <w:p w14:paraId="3BE050DD"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-Reconfiguring ecosystem partners practice.</w:t>
            </w:r>
          </w:p>
          <w:p w14:paraId="474E3136" w14:textId="7BAECAEE" w:rsidR="00B72EB9" w:rsidRPr="006F6BBE" w:rsidRDefault="00B72EB9" w:rsidP="00B72EB9">
            <w:pPr>
              <w:rPr>
                <w:rFonts w:ascii="Times New Roman" w:hAnsi="Times New Roman" w:cs="Times New Roman"/>
                <w:sz w:val="20"/>
                <w:szCs w:val="20"/>
              </w:rPr>
            </w:pPr>
          </w:p>
        </w:tc>
      </w:tr>
      <w:tr w:rsidR="00B72EB9" w:rsidRPr="006F6BBE" w14:paraId="6A9A05E4" w14:textId="77777777" w:rsidTr="00857063">
        <w:tc>
          <w:tcPr>
            <w:tcW w:w="189" w:type="pct"/>
          </w:tcPr>
          <w:p w14:paraId="11568781" w14:textId="23A60FE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20</w:t>
            </w:r>
          </w:p>
        </w:tc>
        <w:tc>
          <w:tcPr>
            <w:tcW w:w="476" w:type="pct"/>
          </w:tcPr>
          <w:p w14:paraId="3F991FED" w14:textId="0C94B04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Parida et al., 2019a</w:t>
            </w:r>
          </w:p>
        </w:tc>
        <w:tc>
          <w:tcPr>
            <w:tcW w:w="667" w:type="pct"/>
          </w:tcPr>
          <w:p w14:paraId="706AAC8C" w14:textId="5949B78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Orchestrating industrial ecosystem in the circular economy: A two-stage transformation model for large manufacturing companies.</w:t>
            </w:r>
          </w:p>
        </w:tc>
        <w:tc>
          <w:tcPr>
            <w:tcW w:w="496" w:type="pct"/>
          </w:tcPr>
          <w:p w14:paraId="476A74D0" w14:textId="602A00FD"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Business Research</w:t>
            </w:r>
          </w:p>
        </w:tc>
        <w:tc>
          <w:tcPr>
            <w:tcW w:w="719" w:type="pct"/>
          </w:tcPr>
          <w:p w14:paraId="5A103670" w14:textId="154D4F7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Qualitative multiple case study on industrial </w:t>
            </w:r>
            <w:r w:rsidR="00FC7662" w:rsidRPr="006F6BBE">
              <w:rPr>
                <w:rFonts w:ascii="Times New Roman" w:hAnsi="Times New Roman" w:cs="Times New Roman"/>
                <w:sz w:val="20"/>
                <w:szCs w:val="20"/>
              </w:rPr>
              <w:t>companies</w:t>
            </w:r>
          </w:p>
        </w:tc>
        <w:tc>
          <w:tcPr>
            <w:tcW w:w="1738" w:type="pct"/>
          </w:tcPr>
          <w:p w14:paraId="545AB0A0" w14:textId="2155C9E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-Two-stage ecosystem transformation model for circularity: (1) ecosystem readiness assessment (external trends, business model assessment, ecosystem partner assessment), followed by (2) ecosystem transformation, where orchestrators deploy mechanisms to shift partners toward CBMs.</w:t>
            </w:r>
          </w:p>
          <w:p w14:paraId="3B054F96" w14:textId="1D215DB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-Three complementary orchestration mechanisms used by large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reconfigure ecosystems for circularity:</w:t>
            </w:r>
            <w:r w:rsidRPr="006F6BBE">
              <w:rPr>
                <w:rFonts w:ascii="Times New Roman" w:hAnsi="Times New Roman" w:cs="Times New Roman"/>
                <w:sz w:val="20"/>
                <w:szCs w:val="20"/>
              </w:rPr>
              <w:br/>
              <w:t>standardization (shaping standards/certifications), nurturing (bearing early investments, competence development, sharing knowledge/IP), and negotiation (risk–revenue sharing, give-and-take rules, controlled inclusion of new partners).</w:t>
            </w:r>
          </w:p>
        </w:tc>
        <w:tc>
          <w:tcPr>
            <w:tcW w:w="715" w:type="pct"/>
          </w:tcPr>
          <w:p w14:paraId="2677A71C"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-Reconfiguring ecosystem partners practice.</w:t>
            </w:r>
          </w:p>
          <w:p w14:paraId="5752937E" w14:textId="77777777" w:rsidR="00B72EB9" w:rsidRPr="006F6BBE" w:rsidRDefault="00B72EB9" w:rsidP="00B72EB9">
            <w:pPr>
              <w:rPr>
                <w:rFonts w:ascii="Times New Roman" w:hAnsi="Times New Roman" w:cs="Times New Roman"/>
                <w:sz w:val="20"/>
                <w:szCs w:val="20"/>
              </w:rPr>
            </w:pPr>
          </w:p>
          <w:p w14:paraId="55CB12B8" w14:textId="7E269126" w:rsidR="00B72EB9" w:rsidRPr="006F6BBE" w:rsidRDefault="00B72EB9" w:rsidP="00B72EB9">
            <w:pPr>
              <w:rPr>
                <w:rFonts w:ascii="Times New Roman" w:hAnsi="Times New Roman" w:cs="Times New Roman"/>
                <w:sz w:val="20"/>
                <w:szCs w:val="20"/>
              </w:rPr>
            </w:pPr>
          </w:p>
        </w:tc>
      </w:tr>
      <w:tr w:rsidR="00B72EB9" w:rsidRPr="006F6BBE" w14:paraId="4B7B7E0B" w14:textId="77777777" w:rsidTr="00857063">
        <w:tc>
          <w:tcPr>
            <w:tcW w:w="189" w:type="pct"/>
          </w:tcPr>
          <w:p w14:paraId="14CA3356" w14:textId="55F5D08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21</w:t>
            </w:r>
          </w:p>
        </w:tc>
        <w:tc>
          <w:tcPr>
            <w:tcW w:w="476" w:type="pct"/>
          </w:tcPr>
          <w:p w14:paraId="2C2024EA" w14:textId="43F92A0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Parida et al., 2019b</w:t>
            </w:r>
          </w:p>
        </w:tc>
        <w:tc>
          <w:tcPr>
            <w:tcW w:w="667" w:type="pct"/>
          </w:tcPr>
          <w:p w14:paraId="6834E119" w14:textId="48CDAF4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Reviewing literature on digitalization, business model innovation, and sustainable industry: Past achievements and future promises.</w:t>
            </w:r>
          </w:p>
        </w:tc>
        <w:tc>
          <w:tcPr>
            <w:tcW w:w="496" w:type="pct"/>
          </w:tcPr>
          <w:p w14:paraId="4FAC6FD8" w14:textId="15CADA44"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Sustainability</w:t>
            </w:r>
          </w:p>
        </w:tc>
        <w:tc>
          <w:tcPr>
            <w:tcW w:w="719" w:type="pct"/>
          </w:tcPr>
          <w:p w14:paraId="254BA3A9" w14:textId="747E9A7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Systematic literature review on industrial </w:t>
            </w:r>
            <w:r w:rsidR="00FC7662" w:rsidRPr="006F6BBE">
              <w:rPr>
                <w:rFonts w:ascii="Times New Roman" w:hAnsi="Times New Roman" w:cs="Times New Roman"/>
                <w:sz w:val="20"/>
                <w:szCs w:val="20"/>
              </w:rPr>
              <w:t>companies</w:t>
            </w:r>
          </w:p>
        </w:tc>
        <w:tc>
          <w:tcPr>
            <w:tcW w:w="1738" w:type="pct"/>
          </w:tcPr>
          <w:p w14:paraId="60CC4DD8" w14:textId="15091AC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-Digital business models increase interdependence, requiring partner reconfiguration and assessment to deliver value through complementary ecosystem actors and enhance sustainability.</w:t>
            </w:r>
          </w:p>
          <w:p w14:paraId="61D25D57" w14:textId="77777777" w:rsidR="00B72EB9" w:rsidRPr="006F6BBE" w:rsidRDefault="00B72EB9" w:rsidP="00B72EB9">
            <w:pPr>
              <w:rPr>
                <w:rFonts w:ascii="Times New Roman" w:hAnsi="Times New Roman" w:cs="Times New Roman"/>
                <w:sz w:val="20"/>
                <w:szCs w:val="20"/>
              </w:rPr>
            </w:pPr>
          </w:p>
        </w:tc>
        <w:tc>
          <w:tcPr>
            <w:tcW w:w="715" w:type="pct"/>
          </w:tcPr>
          <w:p w14:paraId="7BBC8E53"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-Customer and market scaling practice.</w:t>
            </w:r>
          </w:p>
          <w:p w14:paraId="5E53AF5D" w14:textId="4AEBDAD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 </w:t>
            </w:r>
          </w:p>
        </w:tc>
      </w:tr>
      <w:tr w:rsidR="00B72EB9" w:rsidRPr="006F6BBE" w14:paraId="0B2469DA" w14:textId="77777777" w:rsidTr="00857063">
        <w:tc>
          <w:tcPr>
            <w:tcW w:w="189" w:type="pct"/>
          </w:tcPr>
          <w:p w14:paraId="5BC5C12B" w14:textId="76F4C6A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22</w:t>
            </w:r>
          </w:p>
        </w:tc>
        <w:tc>
          <w:tcPr>
            <w:tcW w:w="476" w:type="pct"/>
          </w:tcPr>
          <w:p w14:paraId="4C9064F0" w14:textId="617DA304" w:rsidR="00B72EB9" w:rsidRPr="006F6BBE" w:rsidRDefault="00B72EB9" w:rsidP="00B72EB9">
            <w:pPr>
              <w:rPr>
                <w:rFonts w:ascii="Times New Roman" w:hAnsi="Times New Roman" w:cs="Times New Roman"/>
                <w:sz w:val="20"/>
                <w:szCs w:val="20"/>
                <w:lang w:val="sv-SE"/>
              </w:rPr>
            </w:pPr>
            <w:r w:rsidRPr="006F6BBE">
              <w:rPr>
                <w:rFonts w:ascii="Times New Roman" w:hAnsi="Times New Roman" w:cs="Times New Roman"/>
                <w:sz w:val="20"/>
                <w:szCs w:val="20"/>
                <w:lang w:val="sv-SE"/>
              </w:rPr>
              <w:t>Svensson &amp; Funck, 2019</w:t>
            </w:r>
          </w:p>
        </w:tc>
        <w:tc>
          <w:tcPr>
            <w:tcW w:w="667" w:type="pct"/>
          </w:tcPr>
          <w:p w14:paraId="5A7D2E9E" w14:textId="77E8624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Management control in the circular economy. Exploring and theorizing the adaptation of management control to circular business models.</w:t>
            </w:r>
          </w:p>
        </w:tc>
        <w:tc>
          <w:tcPr>
            <w:tcW w:w="496" w:type="pct"/>
          </w:tcPr>
          <w:p w14:paraId="0F723EAA" w14:textId="1C748524"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Cleaner Production</w:t>
            </w:r>
          </w:p>
        </w:tc>
        <w:tc>
          <w:tcPr>
            <w:tcW w:w="719" w:type="pct"/>
          </w:tcPr>
          <w:p w14:paraId="2CDABC60" w14:textId="4F04604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Qualitative case study of Swedish industrial </w:t>
            </w:r>
            <w:r w:rsidR="00D60579">
              <w:rPr>
                <w:rFonts w:ascii="Times New Roman" w:hAnsi="Times New Roman" w:cs="Times New Roman"/>
                <w:sz w:val="20"/>
                <w:szCs w:val="20"/>
              </w:rPr>
              <w:t>company</w:t>
            </w:r>
            <w:r w:rsidRPr="006F6BBE">
              <w:rPr>
                <w:rFonts w:ascii="Times New Roman" w:hAnsi="Times New Roman" w:cs="Times New Roman"/>
                <w:sz w:val="20"/>
                <w:szCs w:val="20"/>
              </w:rPr>
              <w:t xml:space="preserve"> and support systems such as the municipality. </w:t>
            </w:r>
          </w:p>
        </w:tc>
        <w:tc>
          <w:tcPr>
            <w:tcW w:w="1738" w:type="pct"/>
          </w:tcPr>
          <w:p w14:paraId="3D6C9181" w14:textId="55D83D6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-While adopting CBMs for industrial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management control systems need to be adapted.</w:t>
            </w:r>
          </w:p>
          <w:p w14:paraId="44F973D7" w14:textId="0CF8CCE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-The study finds that cultural control (communicating circular values, socializing employees) is especially important for embedding circularity into organizational direction and day-to-day operations.</w:t>
            </w:r>
          </w:p>
          <w:p w14:paraId="773109A4" w14:textId="1426FEF5" w:rsidR="00B72EB9" w:rsidRPr="006F6BBE" w:rsidRDefault="00B72EB9" w:rsidP="00B72EB9">
            <w:pPr>
              <w:rPr>
                <w:rFonts w:ascii="Times New Roman" w:hAnsi="Times New Roman" w:cs="Times New Roman"/>
                <w:sz w:val="20"/>
                <w:szCs w:val="20"/>
              </w:rPr>
            </w:pPr>
          </w:p>
        </w:tc>
        <w:tc>
          <w:tcPr>
            <w:tcW w:w="715" w:type="pct"/>
          </w:tcPr>
          <w:p w14:paraId="2F4BD483" w14:textId="0AE3129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-Transforming organizational processes practice.</w:t>
            </w:r>
          </w:p>
        </w:tc>
      </w:tr>
      <w:tr w:rsidR="00B72EB9" w:rsidRPr="006F6BBE" w14:paraId="0D68688E" w14:textId="77777777" w:rsidTr="00857063">
        <w:tc>
          <w:tcPr>
            <w:tcW w:w="189" w:type="pct"/>
          </w:tcPr>
          <w:p w14:paraId="5B4980DC" w14:textId="076A787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23</w:t>
            </w:r>
          </w:p>
        </w:tc>
        <w:tc>
          <w:tcPr>
            <w:tcW w:w="476" w:type="pct"/>
          </w:tcPr>
          <w:p w14:paraId="2DE14C11" w14:textId="7556C8DC" w:rsidR="00B72EB9" w:rsidRPr="006F6BBE" w:rsidRDefault="00B72EB9" w:rsidP="00B72EB9">
            <w:pPr>
              <w:rPr>
                <w:rFonts w:ascii="Times New Roman" w:hAnsi="Times New Roman" w:cs="Times New Roman"/>
                <w:sz w:val="20"/>
                <w:szCs w:val="20"/>
                <w:lang w:val="sv-SE"/>
              </w:rPr>
            </w:pPr>
            <w:bookmarkStart w:id="5" w:name="_Hlk220652040"/>
            <w:r w:rsidRPr="006F6BBE">
              <w:rPr>
                <w:rFonts w:ascii="Times New Roman" w:hAnsi="Times New Roman" w:cs="Times New Roman"/>
                <w:sz w:val="20"/>
                <w:szCs w:val="20"/>
              </w:rPr>
              <w:t>Chen et al., 2020</w:t>
            </w:r>
            <w:bookmarkEnd w:id="5"/>
          </w:p>
        </w:tc>
        <w:tc>
          <w:tcPr>
            <w:tcW w:w="667" w:type="pct"/>
          </w:tcPr>
          <w:p w14:paraId="37300157" w14:textId="1D64A3F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Integrating circular business models and development tools in the circular economy transition process: A </w:t>
            </w:r>
            <w:r w:rsidRPr="006F6BBE">
              <w:rPr>
                <w:rFonts w:ascii="Times New Roman" w:hAnsi="Times New Roman" w:cs="Times New Roman"/>
                <w:sz w:val="20"/>
                <w:szCs w:val="20"/>
              </w:rPr>
              <w:lastRenderedPageBreak/>
              <w:t>firm‐level framework.</w:t>
            </w:r>
          </w:p>
        </w:tc>
        <w:tc>
          <w:tcPr>
            <w:tcW w:w="496" w:type="pct"/>
          </w:tcPr>
          <w:p w14:paraId="47B0464A" w14:textId="38F256DA"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lastRenderedPageBreak/>
              <w:t>Business Strategy and the Environment</w:t>
            </w:r>
          </w:p>
        </w:tc>
        <w:tc>
          <w:tcPr>
            <w:tcW w:w="719" w:type="pct"/>
          </w:tcPr>
          <w:p w14:paraId="50855CFF" w14:textId="43FABE2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Conceptual, framework-building paper using a qualitative thematic analysis of prior </w:t>
            </w:r>
            <w:r w:rsidRPr="006F6BBE">
              <w:rPr>
                <w:rFonts w:ascii="Times New Roman" w:hAnsi="Times New Roman" w:cs="Times New Roman"/>
                <w:sz w:val="20"/>
                <w:szCs w:val="20"/>
              </w:rPr>
              <w:lastRenderedPageBreak/>
              <w:t>literature and institutional reports.</w:t>
            </w:r>
          </w:p>
        </w:tc>
        <w:tc>
          <w:tcPr>
            <w:tcW w:w="1738" w:type="pct"/>
          </w:tcPr>
          <w:p w14:paraId="055E2A5A" w14:textId="569148B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 xml:space="preserve">-CBM implementation requires structured governance and operational coordination because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must translate circular intentions into defined roles, processes, and execution routines. </w:t>
            </w:r>
          </w:p>
          <w:p w14:paraId="274D93DB" w14:textId="2F2E7C5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-CBM transitions rely on formal mechanisms and tools to evaluate, control, and improve implementation performance rather than on ad-hoc collaboration.</w:t>
            </w:r>
          </w:p>
        </w:tc>
        <w:tc>
          <w:tcPr>
            <w:tcW w:w="715" w:type="pct"/>
          </w:tcPr>
          <w:p w14:paraId="662DFDA4" w14:textId="775DB86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-Orchestrating and aligning with ecosystem partners practice.</w:t>
            </w:r>
          </w:p>
        </w:tc>
      </w:tr>
      <w:tr w:rsidR="00B72EB9" w:rsidRPr="006F6BBE" w14:paraId="3AD4DBEE" w14:textId="77777777" w:rsidTr="00857063">
        <w:tc>
          <w:tcPr>
            <w:tcW w:w="189" w:type="pct"/>
          </w:tcPr>
          <w:p w14:paraId="2520A155" w14:textId="1C3F520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24</w:t>
            </w:r>
          </w:p>
        </w:tc>
        <w:tc>
          <w:tcPr>
            <w:tcW w:w="476" w:type="pct"/>
          </w:tcPr>
          <w:p w14:paraId="6FD9FC1D" w14:textId="6422E3C1" w:rsidR="00B72EB9" w:rsidRPr="006F6BBE" w:rsidRDefault="00B72EB9" w:rsidP="00B72EB9">
            <w:pPr>
              <w:rPr>
                <w:rFonts w:ascii="Times New Roman" w:hAnsi="Times New Roman" w:cs="Times New Roman"/>
                <w:sz w:val="20"/>
                <w:szCs w:val="20"/>
                <w:lang w:val="sv-SE"/>
              </w:rPr>
            </w:pPr>
            <w:r w:rsidRPr="006F6BBE">
              <w:rPr>
                <w:rFonts w:ascii="Times New Roman" w:hAnsi="Times New Roman" w:cs="Times New Roman"/>
                <w:sz w:val="20"/>
                <w:szCs w:val="20"/>
              </w:rPr>
              <w:t>Elzinga et al., 2020</w:t>
            </w:r>
          </w:p>
        </w:tc>
        <w:tc>
          <w:tcPr>
            <w:tcW w:w="667" w:type="pct"/>
          </w:tcPr>
          <w:p w14:paraId="18A9D442" w14:textId="298855F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Consumer acceptance of circular business models. </w:t>
            </w:r>
          </w:p>
        </w:tc>
        <w:tc>
          <w:tcPr>
            <w:tcW w:w="496" w:type="pct"/>
          </w:tcPr>
          <w:p w14:paraId="464094DC" w14:textId="6E57431D"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Cleaner Production</w:t>
            </w:r>
          </w:p>
        </w:tc>
        <w:tc>
          <w:tcPr>
            <w:tcW w:w="719" w:type="pct"/>
          </w:tcPr>
          <w:p w14:paraId="369B8E32" w14:textId="24B6B3E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Quantitative study  </w:t>
            </w:r>
          </w:p>
        </w:tc>
        <w:tc>
          <w:tcPr>
            <w:tcW w:w="1738" w:type="pct"/>
          </w:tcPr>
          <w:p w14:paraId="1021B02B" w14:textId="6177F5C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-Consumer preferences vary across CBMs depending on ownership, responsibility allocation, and payment structure, shaping willingness to participate.</w:t>
            </w:r>
          </w:p>
          <w:p w14:paraId="08AAD894" w14:textId="7FA142B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-Payment structure and customer habits strongly shape participation, meaning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must redesign pricing gradually and communicate benefits clearly to shift habits.</w:t>
            </w:r>
          </w:p>
        </w:tc>
        <w:tc>
          <w:tcPr>
            <w:tcW w:w="715" w:type="pct"/>
          </w:tcPr>
          <w:p w14:paraId="2139713B"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-Extending circular revenue models practice. </w:t>
            </w:r>
          </w:p>
          <w:p w14:paraId="1D435306" w14:textId="79B20B0B" w:rsidR="00B72EB9" w:rsidRPr="006F6BBE" w:rsidRDefault="00B72EB9" w:rsidP="00B72EB9">
            <w:pPr>
              <w:rPr>
                <w:rFonts w:ascii="Times New Roman" w:hAnsi="Times New Roman" w:cs="Times New Roman"/>
                <w:sz w:val="20"/>
                <w:szCs w:val="20"/>
              </w:rPr>
            </w:pPr>
          </w:p>
        </w:tc>
      </w:tr>
      <w:tr w:rsidR="00B72EB9" w:rsidRPr="006F6BBE" w14:paraId="20E2A833" w14:textId="77777777" w:rsidTr="00857063">
        <w:tc>
          <w:tcPr>
            <w:tcW w:w="189" w:type="pct"/>
          </w:tcPr>
          <w:p w14:paraId="5A4662BB" w14:textId="0803A6C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25</w:t>
            </w:r>
          </w:p>
        </w:tc>
        <w:tc>
          <w:tcPr>
            <w:tcW w:w="476" w:type="pct"/>
          </w:tcPr>
          <w:p w14:paraId="5946805D" w14:textId="5C6817D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Hofmann &amp; Jaeger‐Erben, 2020</w:t>
            </w:r>
          </w:p>
        </w:tc>
        <w:tc>
          <w:tcPr>
            <w:tcW w:w="667" w:type="pct"/>
          </w:tcPr>
          <w:p w14:paraId="00B7673A" w14:textId="51FEE57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Organizational transition management of circular business model innovations.</w:t>
            </w:r>
          </w:p>
        </w:tc>
        <w:tc>
          <w:tcPr>
            <w:tcW w:w="496" w:type="pct"/>
          </w:tcPr>
          <w:p w14:paraId="16FFBDB7" w14:textId="690B6D3B"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Business Strategy and the Environment</w:t>
            </w:r>
          </w:p>
        </w:tc>
        <w:tc>
          <w:tcPr>
            <w:tcW w:w="719" w:type="pct"/>
          </w:tcPr>
          <w:p w14:paraId="6C1DDE4F" w14:textId="3A02FE6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multiple case study</w:t>
            </w:r>
          </w:p>
        </w:tc>
        <w:tc>
          <w:tcPr>
            <w:tcW w:w="1738" w:type="pct"/>
          </w:tcPr>
          <w:p w14:paraId="454FC43D" w14:textId="6BE9DE0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-CBM development is associated with interdisciplinary teams, newly created roles, and coordination units that span functional boundaries. These organizational arrangements reduce silo thinking, integrate diverse expertise, and enable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manage the complexity of circular value creation.</w:t>
            </w:r>
          </w:p>
          <w:p w14:paraId="50E67752" w14:textId="506786FE" w:rsidR="00B72EB9" w:rsidRPr="006F6BBE" w:rsidRDefault="00B72EB9" w:rsidP="006F6BBE">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establish semi-autonomous units or pilot teams to experiment with circular practices. These protected spaces allow learning, adaptation, and process innovation.</w:t>
            </w:r>
          </w:p>
        </w:tc>
        <w:tc>
          <w:tcPr>
            <w:tcW w:w="715" w:type="pct"/>
          </w:tcPr>
          <w:p w14:paraId="2103AE65"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-Transforming organizational processes practice. </w:t>
            </w:r>
          </w:p>
          <w:p w14:paraId="347C5557" w14:textId="77777777" w:rsidR="00B72EB9" w:rsidRPr="006F6BBE" w:rsidRDefault="00B72EB9" w:rsidP="00B72EB9">
            <w:pPr>
              <w:rPr>
                <w:rFonts w:ascii="Times New Roman" w:hAnsi="Times New Roman" w:cs="Times New Roman"/>
                <w:sz w:val="20"/>
                <w:szCs w:val="20"/>
              </w:rPr>
            </w:pPr>
          </w:p>
        </w:tc>
      </w:tr>
      <w:tr w:rsidR="00B72EB9" w:rsidRPr="006F6BBE" w14:paraId="66A7D749" w14:textId="77777777" w:rsidTr="00857063">
        <w:tc>
          <w:tcPr>
            <w:tcW w:w="189" w:type="pct"/>
          </w:tcPr>
          <w:p w14:paraId="027D698A" w14:textId="38BBFEB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26</w:t>
            </w:r>
          </w:p>
        </w:tc>
        <w:tc>
          <w:tcPr>
            <w:tcW w:w="476" w:type="pct"/>
          </w:tcPr>
          <w:p w14:paraId="204697D8" w14:textId="6B63DDD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Johansson &amp; Henriksson, 2020b</w:t>
            </w:r>
          </w:p>
        </w:tc>
        <w:tc>
          <w:tcPr>
            <w:tcW w:w="667" w:type="pct"/>
          </w:tcPr>
          <w:p w14:paraId="4F3C029A" w14:textId="714253E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Circular economy running in circles? A discourse analysis of shifts in ideas of circularity in Swedish environmental policy. </w:t>
            </w:r>
          </w:p>
        </w:tc>
        <w:tc>
          <w:tcPr>
            <w:tcW w:w="496" w:type="pct"/>
          </w:tcPr>
          <w:p w14:paraId="4C3CA337" w14:textId="189993D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i/>
                <w:iCs/>
                <w:sz w:val="20"/>
                <w:szCs w:val="20"/>
              </w:rPr>
              <w:t>Sustainable Production and Consumption</w:t>
            </w:r>
          </w:p>
        </w:tc>
        <w:tc>
          <w:tcPr>
            <w:tcW w:w="719" w:type="pct"/>
          </w:tcPr>
          <w:p w14:paraId="4D4E4394" w14:textId="56C89D1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discourse analysis</w:t>
            </w:r>
          </w:p>
        </w:tc>
        <w:tc>
          <w:tcPr>
            <w:tcW w:w="1738" w:type="pct"/>
          </w:tcPr>
          <w:p w14:paraId="693FE907"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Circularity can be framed in different ways: either as real resource substitution or as efficiency improvements alongside continued extraction.</w:t>
            </w:r>
          </w:p>
          <w:p w14:paraId="3C972A80" w14:textId="10A3F82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-Circularity transitions also involve shifts in responsibility and governance, changing who is expected to drive coordination and implementation. </w:t>
            </w:r>
          </w:p>
          <w:p w14:paraId="4E83735C" w14:textId="3D89777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-CBMs require aligning the “what” (customer-facing value propositions) with the “how” (operational resource-flow changes and responsibility allocation).</w:t>
            </w:r>
          </w:p>
        </w:tc>
        <w:tc>
          <w:tcPr>
            <w:tcW w:w="715" w:type="pct"/>
          </w:tcPr>
          <w:p w14:paraId="028C04D7"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-Experimenting with diverse circular value logics practice.</w:t>
            </w:r>
          </w:p>
          <w:p w14:paraId="50A26F8A" w14:textId="77777777" w:rsidR="00B72EB9" w:rsidRPr="006F6BBE" w:rsidRDefault="00B72EB9" w:rsidP="00B72EB9">
            <w:pPr>
              <w:rPr>
                <w:rFonts w:ascii="Times New Roman" w:hAnsi="Times New Roman" w:cs="Times New Roman"/>
                <w:sz w:val="20"/>
                <w:szCs w:val="20"/>
              </w:rPr>
            </w:pPr>
          </w:p>
          <w:p w14:paraId="23ED6E29" w14:textId="7F46BA34" w:rsidR="00B72EB9" w:rsidRPr="006F6BBE" w:rsidRDefault="00B72EB9" w:rsidP="00B72EB9">
            <w:pPr>
              <w:rPr>
                <w:rFonts w:ascii="Times New Roman" w:hAnsi="Times New Roman" w:cs="Times New Roman"/>
                <w:sz w:val="20"/>
                <w:szCs w:val="20"/>
              </w:rPr>
            </w:pPr>
          </w:p>
        </w:tc>
      </w:tr>
      <w:tr w:rsidR="00B72EB9" w:rsidRPr="006F6BBE" w14:paraId="1B1ACBA1" w14:textId="77777777" w:rsidTr="00857063">
        <w:tc>
          <w:tcPr>
            <w:tcW w:w="189" w:type="pct"/>
          </w:tcPr>
          <w:p w14:paraId="24028636" w14:textId="7A53B93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27</w:t>
            </w:r>
          </w:p>
        </w:tc>
        <w:tc>
          <w:tcPr>
            <w:tcW w:w="476" w:type="pct"/>
          </w:tcPr>
          <w:p w14:paraId="0FE39066" w14:textId="48CB606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Khan et al., 2020</w:t>
            </w:r>
          </w:p>
        </w:tc>
        <w:tc>
          <w:tcPr>
            <w:tcW w:w="667" w:type="pct"/>
          </w:tcPr>
          <w:p w14:paraId="2827572C" w14:textId="3D3EE01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Microfoundations of dynamic capabilities: Insights from circular economy business cases.</w:t>
            </w:r>
          </w:p>
        </w:tc>
        <w:tc>
          <w:tcPr>
            <w:tcW w:w="496" w:type="pct"/>
          </w:tcPr>
          <w:p w14:paraId="0847FCB8" w14:textId="30275F1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i/>
                <w:iCs/>
                <w:sz w:val="20"/>
                <w:szCs w:val="20"/>
              </w:rPr>
              <w:t>Business Strategy and the Environment</w:t>
            </w:r>
          </w:p>
        </w:tc>
        <w:tc>
          <w:tcPr>
            <w:tcW w:w="719" w:type="pct"/>
          </w:tcPr>
          <w:p w14:paraId="4CB6C821" w14:textId="5181312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Multiple case study based on qualitative interviews</w:t>
            </w:r>
          </w:p>
        </w:tc>
        <w:tc>
          <w:tcPr>
            <w:tcW w:w="1738" w:type="pct"/>
          </w:tcPr>
          <w:p w14:paraId="663F01F0" w14:textId="6446684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-Success for CBMs depends on knowledge creation and experiential learning (e.g., R&amp;D, LCA-based learning, and technical training) to improve processes and develop circular offerings.</w:t>
            </w:r>
          </w:p>
          <w:p w14:paraId="1B28770D" w14:textId="2B3657A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operationalize CE by reconfiguring resources, including technology upgrades and workforce capability development (training, new work methods, and integration of sustainability culture).</w:t>
            </w:r>
          </w:p>
        </w:tc>
        <w:tc>
          <w:tcPr>
            <w:tcW w:w="715" w:type="pct"/>
          </w:tcPr>
          <w:p w14:paraId="7A6BF820" w14:textId="6A782FC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-Building competency through digital analytics practice.</w:t>
            </w:r>
          </w:p>
        </w:tc>
      </w:tr>
      <w:tr w:rsidR="00B72EB9" w:rsidRPr="006F6BBE" w14:paraId="767245EB" w14:textId="77777777" w:rsidTr="00857063">
        <w:tc>
          <w:tcPr>
            <w:tcW w:w="189" w:type="pct"/>
          </w:tcPr>
          <w:p w14:paraId="7CBC6EFB" w14:textId="5C16AB8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28</w:t>
            </w:r>
          </w:p>
        </w:tc>
        <w:tc>
          <w:tcPr>
            <w:tcW w:w="476" w:type="pct"/>
          </w:tcPr>
          <w:p w14:paraId="63FA86F2" w14:textId="01240D8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Kristoffersen et al., 2020</w:t>
            </w:r>
          </w:p>
        </w:tc>
        <w:tc>
          <w:tcPr>
            <w:tcW w:w="667" w:type="pct"/>
          </w:tcPr>
          <w:p w14:paraId="1D17E42F" w14:textId="5F279EA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The smart circular economy: A digital-enabled circular strategies framework </w:t>
            </w:r>
            <w:r w:rsidRPr="006F6BBE">
              <w:rPr>
                <w:rFonts w:ascii="Times New Roman" w:hAnsi="Times New Roman" w:cs="Times New Roman"/>
                <w:sz w:val="20"/>
                <w:szCs w:val="20"/>
              </w:rPr>
              <w:lastRenderedPageBreak/>
              <w:t>for manufacturing companies.</w:t>
            </w:r>
          </w:p>
        </w:tc>
        <w:tc>
          <w:tcPr>
            <w:tcW w:w="496" w:type="pct"/>
          </w:tcPr>
          <w:p w14:paraId="389992A0" w14:textId="702E3686"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lastRenderedPageBreak/>
              <w:t>Journal of Business Research</w:t>
            </w:r>
          </w:p>
        </w:tc>
        <w:tc>
          <w:tcPr>
            <w:tcW w:w="719" w:type="pct"/>
          </w:tcPr>
          <w:p w14:paraId="769ADCC3" w14:textId="1FCE2C9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Systematic literature review and practice/grey literature cases</w:t>
            </w:r>
          </w:p>
        </w:tc>
        <w:tc>
          <w:tcPr>
            <w:tcW w:w="1738" w:type="pct"/>
          </w:tcPr>
          <w:p w14:paraId="2E142079" w14:textId="74DDE6B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-Digital analytics capability-building is essential for circular strategy execution, enabling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monitor resource flows, improve decisions, and progressively scale smarter circular operations through increasing analytics maturity.</w:t>
            </w:r>
          </w:p>
        </w:tc>
        <w:tc>
          <w:tcPr>
            <w:tcW w:w="715" w:type="pct"/>
          </w:tcPr>
          <w:p w14:paraId="552E90B5" w14:textId="0E25B9B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-Building competency through digital analytics practice.</w:t>
            </w:r>
          </w:p>
        </w:tc>
      </w:tr>
      <w:tr w:rsidR="00B72EB9" w:rsidRPr="006F6BBE" w14:paraId="3D95F086" w14:textId="77777777" w:rsidTr="00857063">
        <w:tc>
          <w:tcPr>
            <w:tcW w:w="189" w:type="pct"/>
          </w:tcPr>
          <w:p w14:paraId="79577A4F" w14:textId="63CF076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29</w:t>
            </w:r>
          </w:p>
        </w:tc>
        <w:tc>
          <w:tcPr>
            <w:tcW w:w="476" w:type="pct"/>
          </w:tcPr>
          <w:p w14:paraId="2BFC1BA4" w14:textId="65D81EE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Ranta et al., 2020</w:t>
            </w:r>
          </w:p>
        </w:tc>
        <w:tc>
          <w:tcPr>
            <w:tcW w:w="667" w:type="pct"/>
          </w:tcPr>
          <w:p w14:paraId="01BD2EA2" w14:textId="04E2CF6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How B2B suppliers articulate customer value propositions in the circular economy: Four innovation-driven value creation logics.</w:t>
            </w:r>
          </w:p>
        </w:tc>
        <w:tc>
          <w:tcPr>
            <w:tcW w:w="496" w:type="pct"/>
          </w:tcPr>
          <w:p w14:paraId="51B2BE57" w14:textId="44098AC5"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Industrial Marketing Management</w:t>
            </w:r>
          </w:p>
        </w:tc>
        <w:tc>
          <w:tcPr>
            <w:tcW w:w="719" w:type="pct"/>
          </w:tcPr>
          <w:p w14:paraId="513CE001" w14:textId="08D9E2F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Multiple case studies based on industrial </w:t>
            </w:r>
            <w:r w:rsidR="00FC7662" w:rsidRPr="006F6BBE">
              <w:rPr>
                <w:rFonts w:ascii="Times New Roman" w:hAnsi="Times New Roman" w:cs="Times New Roman"/>
                <w:sz w:val="20"/>
                <w:szCs w:val="20"/>
              </w:rPr>
              <w:t>companies</w:t>
            </w:r>
          </w:p>
        </w:tc>
        <w:tc>
          <w:tcPr>
            <w:tcW w:w="1738" w:type="pct"/>
          </w:tcPr>
          <w:p w14:paraId="0B63661A" w14:textId="5853795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-Circular Value Propositions (CVP) in the circular economy reflect four value creation logics: resurrect </w:t>
            </w:r>
            <w:r w:rsidRPr="006F6BBE">
              <w:rPr>
                <w:rFonts w:ascii="Times New Roman" w:hAnsi="Times New Roman" w:cs="Times New Roman"/>
                <w:i/>
                <w:iCs/>
                <w:sz w:val="20"/>
                <w:szCs w:val="20"/>
              </w:rPr>
              <w:t>(repair/refurbish/recycle)</w:t>
            </w:r>
            <w:r w:rsidRPr="006F6BBE">
              <w:rPr>
                <w:rFonts w:ascii="Times New Roman" w:hAnsi="Times New Roman" w:cs="Times New Roman"/>
                <w:sz w:val="20"/>
                <w:szCs w:val="20"/>
              </w:rPr>
              <w:t xml:space="preserve">, share </w:t>
            </w:r>
            <w:r w:rsidRPr="006F6BBE">
              <w:rPr>
                <w:rFonts w:ascii="Times New Roman" w:hAnsi="Times New Roman" w:cs="Times New Roman"/>
                <w:i/>
                <w:iCs/>
                <w:sz w:val="20"/>
                <w:szCs w:val="20"/>
              </w:rPr>
              <w:t>(access/use idle assets)</w:t>
            </w:r>
            <w:r w:rsidRPr="006F6BBE">
              <w:rPr>
                <w:rFonts w:ascii="Times New Roman" w:hAnsi="Times New Roman" w:cs="Times New Roman"/>
                <w:sz w:val="20"/>
                <w:szCs w:val="20"/>
              </w:rPr>
              <w:t xml:space="preserve">, optimize </w:t>
            </w:r>
            <w:r w:rsidRPr="006F6BBE">
              <w:rPr>
                <w:rFonts w:ascii="Times New Roman" w:hAnsi="Times New Roman" w:cs="Times New Roman"/>
                <w:i/>
                <w:iCs/>
                <w:sz w:val="20"/>
                <w:szCs w:val="20"/>
              </w:rPr>
              <w:t>(efficiency/resource maximization)</w:t>
            </w:r>
            <w:r w:rsidRPr="006F6BBE">
              <w:rPr>
                <w:rFonts w:ascii="Times New Roman" w:hAnsi="Times New Roman" w:cs="Times New Roman"/>
                <w:sz w:val="20"/>
                <w:szCs w:val="20"/>
              </w:rPr>
              <w:t xml:space="preserve">, and replace </w:t>
            </w:r>
            <w:r w:rsidRPr="006F6BBE">
              <w:rPr>
                <w:rFonts w:ascii="Times New Roman" w:hAnsi="Times New Roman" w:cs="Times New Roman"/>
                <w:i/>
                <w:iCs/>
                <w:sz w:val="20"/>
                <w:szCs w:val="20"/>
              </w:rPr>
              <w:t>(substitute with better alternatives)</w:t>
            </w:r>
            <w:r w:rsidRPr="006F6BBE">
              <w:rPr>
                <w:rFonts w:ascii="Times New Roman" w:hAnsi="Times New Roman" w:cs="Times New Roman"/>
                <w:sz w:val="20"/>
                <w:szCs w:val="20"/>
              </w:rPr>
              <w:t>.</w:t>
            </w:r>
          </w:p>
          <w:p w14:paraId="39D95B75" w14:textId="746CEFA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-CVPs require a comprehensive architecture redesign, not merely communicating benefits; multiple design elements are essential for </w:t>
            </w:r>
            <w:r w:rsidRPr="006F6BBE">
              <w:rPr>
                <w:rFonts w:ascii="Times New Roman" w:eastAsia="Times New Roman" w:hAnsi="Times New Roman" w:cs="Times New Roman"/>
                <w:kern w:val="0"/>
                <w:sz w:val="20"/>
                <w:szCs w:val="20"/>
                <w14:ligatures w14:val="none"/>
              </w:rPr>
              <w:t>articulating</w:t>
            </w:r>
            <w:r w:rsidRPr="006F6BBE">
              <w:rPr>
                <w:rFonts w:ascii="Times New Roman" w:hAnsi="Times New Roman" w:cs="Times New Roman"/>
                <w:sz w:val="20"/>
                <w:szCs w:val="20"/>
              </w:rPr>
              <w:t xml:space="preserve"> economic, functional, environmental, and social benefits for stakeholders. </w:t>
            </w:r>
          </w:p>
        </w:tc>
        <w:tc>
          <w:tcPr>
            <w:tcW w:w="715" w:type="pct"/>
          </w:tcPr>
          <w:p w14:paraId="62965DB6" w14:textId="67730C4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-Experimenting with diverse circular value logics practice.</w:t>
            </w:r>
          </w:p>
        </w:tc>
      </w:tr>
      <w:tr w:rsidR="00B72EB9" w:rsidRPr="006F6BBE" w14:paraId="5B178634" w14:textId="77777777" w:rsidTr="00857063">
        <w:tc>
          <w:tcPr>
            <w:tcW w:w="189" w:type="pct"/>
          </w:tcPr>
          <w:p w14:paraId="1897AD8D" w14:textId="5012D35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30</w:t>
            </w:r>
          </w:p>
        </w:tc>
        <w:tc>
          <w:tcPr>
            <w:tcW w:w="476" w:type="pct"/>
          </w:tcPr>
          <w:p w14:paraId="0DE9B917" w14:textId="3D3F4799" w:rsidR="00B72EB9" w:rsidRPr="006F6BBE" w:rsidRDefault="00B72EB9" w:rsidP="00B72EB9">
            <w:pPr>
              <w:rPr>
                <w:rFonts w:ascii="Times New Roman" w:hAnsi="Times New Roman" w:cs="Times New Roman"/>
                <w:sz w:val="20"/>
                <w:szCs w:val="20"/>
              </w:rPr>
            </w:pPr>
            <w:bookmarkStart w:id="6" w:name="_Hlk220652439"/>
            <w:r w:rsidRPr="006F6BBE">
              <w:rPr>
                <w:rFonts w:ascii="Times New Roman" w:hAnsi="Times New Roman" w:cs="Times New Roman"/>
                <w:sz w:val="20"/>
                <w:szCs w:val="20"/>
              </w:rPr>
              <w:t>Schwanholz &amp;  Leipold, 2020</w:t>
            </w:r>
            <w:bookmarkEnd w:id="6"/>
          </w:p>
        </w:tc>
        <w:tc>
          <w:tcPr>
            <w:tcW w:w="667" w:type="pct"/>
          </w:tcPr>
          <w:p w14:paraId="5A6E6A0A" w14:textId="093FDEA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Sharing for a circular economy? An analysis of digital sharing platforms’ principles and business models.</w:t>
            </w:r>
          </w:p>
        </w:tc>
        <w:tc>
          <w:tcPr>
            <w:tcW w:w="496" w:type="pct"/>
          </w:tcPr>
          <w:p w14:paraId="58E6F4CC" w14:textId="623BE9D5"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Cleaner Production</w:t>
            </w:r>
          </w:p>
        </w:tc>
        <w:tc>
          <w:tcPr>
            <w:tcW w:w="719" w:type="pct"/>
          </w:tcPr>
          <w:p w14:paraId="2F4A16EB" w14:textId="1ECF6BB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Empirical mixed-method study</w:t>
            </w:r>
          </w:p>
        </w:tc>
        <w:tc>
          <w:tcPr>
            <w:tcW w:w="1738" w:type="pct"/>
          </w:tcPr>
          <w:p w14:paraId="13198018" w14:textId="32235B1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-Circular outcomes depend on whether platforms translate intentions into clear governance and collaboration principles, including transparency on how resources and knowledge are exchanged.</w:t>
            </w:r>
          </w:p>
          <w:p w14:paraId="485E02EC" w14:textId="116B6DC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-Sharing platforms operationalize circularity primarily through access-based models, which require trust and openness among participating actors to enable sharing and coordination.</w:t>
            </w:r>
          </w:p>
        </w:tc>
        <w:tc>
          <w:tcPr>
            <w:tcW w:w="715" w:type="pct"/>
          </w:tcPr>
          <w:p w14:paraId="59A2F17F" w14:textId="5038B9A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-Orchestrating and aligning with ecosystem partners practice. </w:t>
            </w:r>
          </w:p>
        </w:tc>
      </w:tr>
      <w:tr w:rsidR="00B72EB9" w:rsidRPr="006F6BBE" w14:paraId="49AF99A9" w14:textId="77777777" w:rsidTr="00857063">
        <w:tc>
          <w:tcPr>
            <w:tcW w:w="189" w:type="pct"/>
          </w:tcPr>
          <w:p w14:paraId="545EE215" w14:textId="607D2ED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31</w:t>
            </w:r>
          </w:p>
        </w:tc>
        <w:tc>
          <w:tcPr>
            <w:tcW w:w="476" w:type="pct"/>
          </w:tcPr>
          <w:p w14:paraId="57142382" w14:textId="2B26915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Abideen et al., 2021</w:t>
            </w:r>
          </w:p>
        </w:tc>
        <w:tc>
          <w:tcPr>
            <w:tcW w:w="667" w:type="pct"/>
          </w:tcPr>
          <w:p w14:paraId="3AA310F0" w14:textId="01A1A3E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Leveraging capabilities of technology into a circular supply chain to build circular business models: A state-of-the-art systematic review. </w:t>
            </w:r>
          </w:p>
        </w:tc>
        <w:tc>
          <w:tcPr>
            <w:tcW w:w="496" w:type="pct"/>
          </w:tcPr>
          <w:p w14:paraId="1CCD9172" w14:textId="31196F5E"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Sustainability</w:t>
            </w:r>
          </w:p>
        </w:tc>
        <w:tc>
          <w:tcPr>
            <w:tcW w:w="719" w:type="pct"/>
          </w:tcPr>
          <w:p w14:paraId="1551761E" w14:textId="37D2478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Systematic literature review combined with bibliometric analysis.</w:t>
            </w:r>
          </w:p>
        </w:tc>
        <w:tc>
          <w:tcPr>
            <w:tcW w:w="1738" w:type="pct"/>
          </w:tcPr>
          <w:p w14:paraId="19101933"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-Digital technologies enable circular supply chains by improving operational visibility, coordination, and decision quality across actors.</w:t>
            </w:r>
          </w:p>
          <w:p w14:paraId="712D1D1C" w14:textId="19A3660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-Data-driven platforms and analytics reduce inefficiencies and uncertainty in logistics and reverse flows, strengthening ecosystem coordination.</w:t>
            </w:r>
          </w:p>
        </w:tc>
        <w:tc>
          <w:tcPr>
            <w:tcW w:w="715" w:type="pct"/>
          </w:tcPr>
          <w:p w14:paraId="6AC2AE8F" w14:textId="5D1160B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-Expanding CBM through digital technology practice.</w:t>
            </w:r>
          </w:p>
        </w:tc>
      </w:tr>
      <w:tr w:rsidR="00B72EB9" w:rsidRPr="006F6BBE" w14:paraId="3B0AB0DA" w14:textId="77777777" w:rsidTr="00857063">
        <w:tc>
          <w:tcPr>
            <w:tcW w:w="189" w:type="pct"/>
          </w:tcPr>
          <w:p w14:paraId="0AB94104" w14:textId="44B2B0E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32</w:t>
            </w:r>
          </w:p>
        </w:tc>
        <w:tc>
          <w:tcPr>
            <w:tcW w:w="476" w:type="pct"/>
          </w:tcPr>
          <w:p w14:paraId="7FFFF7F0" w14:textId="67629ED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Brydges, 2021</w:t>
            </w:r>
          </w:p>
        </w:tc>
        <w:tc>
          <w:tcPr>
            <w:tcW w:w="667" w:type="pct"/>
          </w:tcPr>
          <w:p w14:paraId="19D7A8F4" w14:textId="655156F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Closing the loop on take, make, waste: Investigating circular economy practices in the Swedish fashion industry. </w:t>
            </w:r>
          </w:p>
        </w:tc>
        <w:tc>
          <w:tcPr>
            <w:tcW w:w="496" w:type="pct"/>
          </w:tcPr>
          <w:p w14:paraId="01794860" w14:textId="66A78724"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Cleaner Production</w:t>
            </w:r>
          </w:p>
        </w:tc>
        <w:tc>
          <w:tcPr>
            <w:tcW w:w="719" w:type="pct"/>
          </w:tcPr>
          <w:p w14:paraId="24DA330A" w14:textId="60DC976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case study</w:t>
            </w:r>
          </w:p>
        </w:tc>
        <w:tc>
          <w:tcPr>
            <w:tcW w:w="1738" w:type="pct"/>
          </w:tcPr>
          <w:p w14:paraId="07DD4B02" w14:textId="69214C0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-Circular value propositions are unevenly distributed across value chain stages, with industrial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concentrating primarily on waste-related initiatives (e.g., take-back, recycling, resale) rather than rethinking resource extraction and production practices.</w:t>
            </w:r>
          </w:p>
          <w:p w14:paraId="61E4C7E5" w14:textId="1E7E981A" w:rsidR="00B72EB9" w:rsidRPr="006F6BBE" w:rsidRDefault="00B72EB9" w:rsidP="00B72EB9">
            <w:pPr>
              <w:rPr>
                <w:rFonts w:ascii="Times New Roman" w:hAnsi="Times New Roman" w:cs="Times New Roman"/>
                <w:sz w:val="20"/>
                <w:szCs w:val="20"/>
              </w:rPr>
            </w:pPr>
          </w:p>
        </w:tc>
        <w:tc>
          <w:tcPr>
            <w:tcW w:w="715" w:type="pct"/>
          </w:tcPr>
          <w:p w14:paraId="20D5898D" w14:textId="61723A3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-Experimenting with diverse circular value logics practice. </w:t>
            </w:r>
          </w:p>
        </w:tc>
      </w:tr>
      <w:tr w:rsidR="00B72EB9" w:rsidRPr="006F6BBE" w14:paraId="3AC68A7D" w14:textId="77777777" w:rsidTr="00857063">
        <w:tc>
          <w:tcPr>
            <w:tcW w:w="189" w:type="pct"/>
          </w:tcPr>
          <w:p w14:paraId="58D5A4D9" w14:textId="5546705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33</w:t>
            </w:r>
          </w:p>
        </w:tc>
        <w:tc>
          <w:tcPr>
            <w:tcW w:w="476" w:type="pct"/>
          </w:tcPr>
          <w:p w14:paraId="1721FA2B" w14:textId="0D06A49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Henry et al., 2021</w:t>
            </w:r>
          </w:p>
        </w:tc>
        <w:tc>
          <w:tcPr>
            <w:tcW w:w="667" w:type="pct"/>
          </w:tcPr>
          <w:p w14:paraId="0D86F53A" w14:textId="5859F70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The battle of the buzzwords: A comparative review of the circular economy and the sharing economy concepts.</w:t>
            </w:r>
          </w:p>
        </w:tc>
        <w:tc>
          <w:tcPr>
            <w:tcW w:w="496" w:type="pct"/>
          </w:tcPr>
          <w:p w14:paraId="0D7A6EFE" w14:textId="0CE7FB8E"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Environmental Innovation and Societal Transitions</w:t>
            </w:r>
          </w:p>
        </w:tc>
        <w:tc>
          <w:tcPr>
            <w:tcW w:w="719" w:type="pct"/>
          </w:tcPr>
          <w:p w14:paraId="2D00AD3D" w14:textId="7B083D9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Comparative bibliometric review</w:t>
            </w:r>
          </w:p>
        </w:tc>
        <w:tc>
          <w:tcPr>
            <w:tcW w:w="1738" w:type="pct"/>
          </w:tcPr>
          <w:p w14:paraId="30C376C4" w14:textId="762FAAF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-CBMs face adoption barriers due to information gaps and missing independent facilitation for regulation/governance, limiting coordinated implementation.</w:t>
            </w:r>
          </w:p>
          <w:p w14:paraId="0E02C206" w14:textId="368923F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-Agreed partner models (suppliers, recyclers, service providers) are essential to coordinate resource sharing and circular value creation.</w:t>
            </w:r>
          </w:p>
        </w:tc>
        <w:tc>
          <w:tcPr>
            <w:tcW w:w="715" w:type="pct"/>
          </w:tcPr>
          <w:p w14:paraId="220200BF"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-Extending circular revenue models practice. </w:t>
            </w:r>
          </w:p>
          <w:p w14:paraId="1ADA10E3" w14:textId="0E75DC4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 </w:t>
            </w:r>
          </w:p>
        </w:tc>
      </w:tr>
      <w:tr w:rsidR="00B72EB9" w:rsidRPr="006F6BBE" w14:paraId="02A41E79" w14:textId="77777777" w:rsidTr="00857063">
        <w:tc>
          <w:tcPr>
            <w:tcW w:w="189" w:type="pct"/>
          </w:tcPr>
          <w:p w14:paraId="0FE79C36" w14:textId="777C49B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34</w:t>
            </w:r>
          </w:p>
        </w:tc>
        <w:tc>
          <w:tcPr>
            <w:tcW w:w="476" w:type="pct"/>
          </w:tcPr>
          <w:p w14:paraId="436071B3" w14:textId="2CA0974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Heshmati &amp; Rashidghalam, 2021</w:t>
            </w:r>
          </w:p>
        </w:tc>
        <w:tc>
          <w:tcPr>
            <w:tcW w:w="667" w:type="pct"/>
          </w:tcPr>
          <w:p w14:paraId="65F6AEB3" w14:textId="43EB701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Assessment of the urban circular economy in Sweden.</w:t>
            </w:r>
          </w:p>
        </w:tc>
        <w:tc>
          <w:tcPr>
            <w:tcW w:w="496" w:type="pct"/>
          </w:tcPr>
          <w:p w14:paraId="4398FE97" w14:textId="4D6DFEFF"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Cleaner Production</w:t>
            </w:r>
          </w:p>
        </w:tc>
        <w:tc>
          <w:tcPr>
            <w:tcW w:w="719" w:type="pct"/>
          </w:tcPr>
          <w:p w14:paraId="5F6BC078" w14:textId="77E4CF1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Quantitative study</w:t>
            </w:r>
          </w:p>
        </w:tc>
        <w:tc>
          <w:tcPr>
            <w:tcW w:w="1738" w:type="pct"/>
          </w:tcPr>
          <w:p w14:paraId="75E8D0D2" w14:textId="27B0790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-Scaling circular solutions in complex markets involves higher coordination and governance challenges.</w:t>
            </w:r>
          </w:p>
          <w:p w14:paraId="43C39EB9" w14:textId="3C421DD2" w:rsidR="00B72EB9" w:rsidRPr="006F6BBE" w:rsidRDefault="00B72EB9" w:rsidP="00B72EB9">
            <w:pPr>
              <w:rPr>
                <w:rFonts w:ascii="Times New Roman" w:hAnsi="Times New Roman" w:cs="Times New Roman"/>
                <w:sz w:val="20"/>
                <w:szCs w:val="20"/>
              </w:rPr>
            </w:pPr>
          </w:p>
        </w:tc>
        <w:tc>
          <w:tcPr>
            <w:tcW w:w="715" w:type="pct"/>
          </w:tcPr>
          <w:p w14:paraId="4B5518D9"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-Customer and market scaling practice.</w:t>
            </w:r>
          </w:p>
          <w:p w14:paraId="42AD04F6" w14:textId="45279CDA" w:rsidR="00B72EB9" w:rsidRPr="006F6BBE" w:rsidRDefault="00B72EB9" w:rsidP="00B72EB9">
            <w:pPr>
              <w:rPr>
                <w:rFonts w:ascii="Times New Roman" w:hAnsi="Times New Roman" w:cs="Times New Roman"/>
                <w:sz w:val="20"/>
                <w:szCs w:val="20"/>
              </w:rPr>
            </w:pPr>
          </w:p>
        </w:tc>
      </w:tr>
      <w:tr w:rsidR="00B72EB9" w:rsidRPr="006F6BBE" w14:paraId="75ED971C" w14:textId="77777777" w:rsidTr="00857063">
        <w:tc>
          <w:tcPr>
            <w:tcW w:w="189" w:type="pct"/>
          </w:tcPr>
          <w:p w14:paraId="4C65CCEA" w14:textId="6CA7122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35</w:t>
            </w:r>
          </w:p>
        </w:tc>
        <w:tc>
          <w:tcPr>
            <w:tcW w:w="476" w:type="pct"/>
          </w:tcPr>
          <w:p w14:paraId="787305DF" w14:textId="2B4A757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Janssens et al., 2021</w:t>
            </w:r>
          </w:p>
        </w:tc>
        <w:tc>
          <w:tcPr>
            <w:tcW w:w="667" w:type="pct"/>
          </w:tcPr>
          <w:p w14:paraId="6FB53492" w14:textId="6FADB84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Competences of the professional of the future in the circular economy: Evidence from the case of Limburg, Belgium.</w:t>
            </w:r>
          </w:p>
        </w:tc>
        <w:tc>
          <w:tcPr>
            <w:tcW w:w="496" w:type="pct"/>
          </w:tcPr>
          <w:p w14:paraId="15AEA8EC" w14:textId="68395918"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Cleaner Production</w:t>
            </w:r>
          </w:p>
        </w:tc>
        <w:tc>
          <w:tcPr>
            <w:tcW w:w="719" w:type="pct"/>
          </w:tcPr>
          <w:p w14:paraId="68931E27" w14:textId="2E235DB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Best–Worst Scaling (BWS) to rank circular economy competences</w:t>
            </w:r>
          </w:p>
        </w:tc>
        <w:tc>
          <w:tcPr>
            <w:tcW w:w="1738" w:type="pct"/>
          </w:tcPr>
          <w:p w14:paraId="79386D1D" w14:textId="3A30BCF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-Designing CBMs depends not only on technical competences (e.g., material and process knowledge), but also on transversal competences (e.g., creativity, systems thinking, collaboration) and valorization competences (e.g., business model design, project execution, market translation). </w:t>
            </w:r>
          </w:p>
          <w:p w14:paraId="6EF8B5C0" w14:textId="4A23E7A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-Industrial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need to invest in training for material analysis and circular operations, showing that building CBM capability requires systematic upskilling beyond tools toward actionable competences that enable recovery and reuse.</w:t>
            </w:r>
          </w:p>
        </w:tc>
        <w:tc>
          <w:tcPr>
            <w:tcW w:w="715" w:type="pct"/>
          </w:tcPr>
          <w:p w14:paraId="5661830E" w14:textId="580C7A4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-Building competency through digital analytics practice. </w:t>
            </w:r>
          </w:p>
        </w:tc>
      </w:tr>
      <w:tr w:rsidR="00B72EB9" w:rsidRPr="006F6BBE" w14:paraId="39CA22B8" w14:textId="77777777" w:rsidTr="00857063">
        <w:tc>
          <w:tcPr>
            <w:tcW w:w="189" w:type="pct"/>
          </w:tcPr>
          <w:p w14:paraId="21416C38" w14:textId="734FAE1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36</w:t>
            </w:r>
          </w:p>
        </w:tc>
        <w:tc>
          <w:tcPr>
            <w:tcW w:w="476" w:type="pct"/>
          </w:tcPr>
          <w:p w14:paraId="65E15923" w14:textId="1AA2D12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Kanda et al., 2021</w:t>
            </w:r>
          </w:p>
        </w:tc>
        <w:tc>
          <w:tcPr>
            <w:tcW w:w="667" w:type="pct"/>
          </w:tcPr>
          <w:p w14:paraId="112587C8" w14:textId="7381A79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From circular business models to circular business ecosystems. </w:t>
            </w:r>
          </w:p>
        </w:tc>
        <w:tc>
          <w:tcPr>
            <w:tcW w:w="496" w:type="pct"/>
          </w:tcPr>
          <w:p w14:paraId="67D6C4FE" w14:textId="500847F7"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Business Strategy and the Environment</w:t>
            </w:r>
          </w:p>
        </w:tc>
        <w:tc>
          <w:tcPr>
            <w:tcW w:w="719" w:type="pct"/>
          </w:tcPr>
          <w:p w14:paraId="35502D19" w14:textId="4D9BF1A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comparative case study</w:t>
            </w:r>
          </w:p>
        </w:tc>
        <w:tc>
          <w:tcPr>
            <w:tcW w:w="1738" w:type="pct"/>
          </w:tcPr>
          <w:p w14:paraId="70DD0389" w14:textId="2229CD9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-Successful circular solutions depend on coordinated value creation, delivery, and capture across diverse partners, including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municipalities, infrastructure providers, and regulatory actors, highlighting the need for structured partner alignment early in CBM design.</w:t>
            </w:r>
          </w:p>
          <w:p w14:paraId="5FDEF657" w14:textId="6F0C32B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-Ecosystem coordination mechanisms – such as governance structures, contractual arrangements, and central orchestrators – are critical for managing interdependencies, resource flows, and uncertainty in circular systems.</w:t>
            </w:r>
          </w:p>
        </w:tc>
        <w:tc>
          <w:tcPr>
            <w:tcW w:w="715" w:type="pct"/>
          </w:tcPr>
          <w:p w14:paraId="079D54C8" w14:textId="6890F2B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-Customer and market scaling practice.</w:t>
            </w:r>
          </w:p>
        </w:tc>
      </w:tr>
      <w:tr w:rsidR="00B72EB9" w:rsidRPr="006F6BBE" w14:paraId="374B9EFB" w14:textId="77777777" w:rsidTr="00857063">
        <w:tc>
          <w:tcPr>
            <w:tcW w:w="189" w:type="pct"/>
          </w:tcPr>
          <w:p w14:paraId="3756D634" w14:textId="2770DA6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37</w:t>
            </w:r>
          </w:p>
        </w:tc>
        <w:tc>
          <w:tcPr>
            <w:tcW w:w="476" w:type="pct"/>
          </w:tcPr>
          <w:p w14:paraId="196463EE" w14:textId="766A003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Lorick et al., 2021</w:t>
            </w:r>
          </w:p>
        </w:tc>
        <w:tc>
          <w:tcPr>
            <w:tcW w:w="667" w:type="pct"/>
          </w:tcPr>
          <w:p w14:paraId="3B5A6F89" w14:textId="16CB79B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A circular economy for phosphorus in Sweden – is it possible?</w:t>
            </w:r>
          </w:p>
        </w:tc>
        <w:tc>
          <w:tcPr>
            <w:tcW w:w="496" w:type="pct"/>
          </w:tcPr>
          <w:p w14:paraId="1775BEF4" w14:textId="2F56100F"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Sustainability</w:t>
            </w:r>
          </w:p>
        </w:tc>
        <w:tc>
          <w:tcPr>
            <w:tcW w:w="719" w:type="pct"/>
          </w:tcPr>
          <w:p w14:paraId="6596DFF8"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Material Flow Analysis (MFA) combined with scenario analysis</w:t>
            </w:r>
          </w:p>
          <w:p w14:paraId="1B2B4480" w14:textId="77777777" w:rsidR="00B72EB9" w:rsidRPr="006F6BBE" w:rsidRDefault="00B72EB9" w:rsidP="00B72EB9">
            <w:pPr>
              <w:rPr>
                <w:rFonts w:ascii="Times New Roman" w:hAnsi="Times New Roman" w:cs="Times New Roman"/>
                <w:sz w:val="20"/>
                <w:szCs w:val="20"/>
              </w:rPr>
            </w:pPr>
          </w:p>
        </w:tc>
        <w:tc>
          <w:tcPr>
            <w:tcW w:w="1738" w:type="pct"/>
          </w:tcPr>
          <w:p w14:paraId="03A0AFB6" w14:textId="2AAD91A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-Under-utilized waste streams have substantial potential for circular resource flows that could support CBMs focused on reuse, recovery, and life-extension.</w:t>
            </w:r>
          </w:p>
          <w:p w14:paraId="46817C09" w14:textId="24835D4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-Resource flow feasibility varies significantly across sectors, with forestry offering higher potential for closed-loop recirculation using renewable waste flows, while agriculture remains structurally dependent on imported mineral inputs unless non-renewable sources are integrated.</w:t>
            </w:r>
          </w:p>
          <w:p w14:paraId="65EF9C45" w14:textId="5E9F481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-Material characteristics (e.g., contamination, plant availability, spatial distribution) critically shape which circular resource flow strategies are viable, thereby constraining how circular value propositions can be operationalized in practice.</w:t>
            </w:r>
          </w:p>
        </w:tc>
        <w:tc>
          <w:tcPr>
            <w:tcW w:w="715" w:type="pct"/>
          </w:tcPr>
          <w:p w14:paraId="344ADEA1" w14:textId="4E20CA8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-Experimenting with diverse circular value logics practice.</w:t>
            </w:r>
          </w:p>
        </w:tc>
      </w:tr>
      <w:tr w:rsidR="00B72EB9" w:rsidRPr="006F6BBE" w14:paraId="201DB740" w14:textId="77777777" w:rsidTr="00857063">
        <w:tc>
          <w:tcPr>
            <w:tcW w:w="189" w:type="pct"/>
          </w:tcPr>
          <w:p w14:paraId="613AF733" w14:textId="37651A3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38</w:t>
            </w:r>
          </w:p>
        </w:tc>
        <w:tc>
          <w:tcPr>
            <w:tcW w:w="476" w:type="pct"/>
          </w:tcPr>
          <w:p w14:paraId="2E2A52FE" w14:textId="5302CFB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Pauli et al., 2021</w:t>
            </w:r>
          </w:p>
        </w:tc>
        <w:tc>
          <w:tcPr>
            <w:tcW w:w="667" w:type="pct"/>
          </w:tcPr>
          <w:p w14:paraId="28BEB098" w14:textId="5E42485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Digital industrial platforms.</w:t>
            </w:r>
          </w:p>
        </w:tc>
        <w:tc>
          <w:tcPr>
            <w:tcW w:w="496" w:type="pct"/>
          </w:tcPr>
          <w:p w14:paraId="36897449" w14:textId="1E458869"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Business &amp; Information Systems Engineering</w:t>
            </w:r>
          </w:p>
        </w:tc>
        <w:tc>
          <w:tcPr>
            <w:tcW w:w="719" w:type="pct"/>
          </w:tcPr>
          <w:p w14:paraId="523EEFC8" w14:textId="62BCBF6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Conceptual paper</w:t>
            </w:r>
          </w:p>
        </w:tc>
        <w:tc>
          <w:tcPr>
            <w:tcW w:w="1738" w:type="pct"/>
          </w:tcPr>
          <w:p w14:paraId="2CAFC965" w14:textId="5B0642C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-Digital industrial platforms function as both innovation platforms and transaction platforms, enabling data-driven service innovation and market-facing solution distribution.</w:t>
            </w:r>
          </w:p>
          <w:p w14:paraId="71D242EA" w14:textId="40F1E9C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-They create value by centrally integrating industrial asset data and enabling third-party complementors to build smart </w:t>
            </w:r>
            <w:r w:rsidRPr="006F6BBE">
              <w:rPr>
                <w:rFonts w:ascii="Times New Roman" w:hAnsi="Times New Roman" w:cs="Times New Roman"/>
                <w:sz w:val="20"/>
                <w:szCs w:val="20"/>
              </w:rPr>
              <w:lastRenderedPageBreak/>
              <w:t>applications/services – supporting scalable service models beyond single-</w:t>
            </w:r>
            <w:r w:rsidR="00D60579">
              <w:rPr>
                <w:rFonts w:ascii="Times New Roman" w:hAnsi="Times New Roman" w:cs="Times New Roman"/>
                <w:sz w:val="20"/>
                <w:szCs w:val="20"/>
              </w:rPr>
              <w:t>company</w:t>
            </w:r>
            <w:r w:rsidRPr="006F6BBE">
              <w:rPr>
                <w:rFonts w:ascii="Times New Roman" w:hAnsi="Times New Roman" w:cs="Times New Roman"/>
                <w:sz w:val="20"/>
                <w:szCs w:val="20"/>
              </w:rPr>
              <w:t xml:space="preserve"> capabilities.</w:t>
            </w:r>
          </w:p>
          <w:p w14:paraId="5381AEA3" w14:textId="43E6C8A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-Digital innovative industrial platforms scale through ecosystem building, complementor innovation, value capture/distribution, and incumbent–platform-native dynamics.</w:t>
            </w:r>
          </w:p>
        </w:tc>
        <w:tc>
          <w:tcPr>
            <w:tcW w:w="715" w:type="pct"/>
          </w:tcPr>
          <w:p w14:paraId="31157B08" w14:textId="2B993664" w:rsidR="00B72EB9" w:rsidRPr="006F6BBE" w:rsidRDefault="00B72EB9" w:rsidP="00B72EB9">
            <w:pPr>
              <w:spacing w:line="276" w:lineRule="auto"/>
              <w:rPr>
                <w:rFonts w:ascii="Times New Roman" w:hAnsi="Times New Roman" w:cs="Times New Roman"/>
                <w:sz w:val="20"/>
                <w:szCs w:val="20"/>
              </w:rPr>
            </w:pPr>
            <w:r w:rsidRPr="006F6BBE">
              <w:rPr>
                <w:rFonts w:ascii="Times New Roman" w:hAnsi="Times New Roman" w:cs="Times New Roman"/>
                <w:sz w:val="20"/>
                <w:szCs w:val="20"/>
              </w:rPr>
              <w:lastRenderedPageBreak/>
              <w:t>-Expanding CBM through digital technology practice.</w:t>
            </w:r>
          </w:p>
        </w:tc>
      </w:tr>
      <w:tr w:rsidR="00B72EB9" w:rsidRPr="006F6BBE" w14:paraId="1D815F2F" w14:textId="77777777" w:rsidTr="00857063">
        <w:tc>
          <w:tcPr>
            <w:tcW w:w="189" w:type="pct"/>
          </w:tcPr>
          <w:p w14:paraId="69815FC9" w14:textId="0B93186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39</w:t>
            </w:r>
          </w:p>
        </w:tc>
        <w:tc>
          <w:tcPr>
            <w:tcW w:w="476" w:type="pct"/>
          </w:tcPr>
          <w:p w14:paraId="23448AB2" w14:textId="4163F24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Reim et al., 2021 </w:t>
            </w:r>
          </w:p>
        </w:tc>
        <w:tc>
          <w:tcPr>
            <w:tcW w:w="667" w:type="pct"/>
          </w:tcPr>
          <w:p w14:paraId="17899EFD" w14:textId="62AB393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Circular business model implementation: A capability development case study from the manufacturing industry.</w:t>
            </w:r>
          </w:p>
        </w:tc>
        <w:tc>
          <w:tcPr>
            <w:tcW w:w="496" w:type="pct"/>
          </w:tcPr>
          <w:p w14:paraId="15A51EF6" w14:textId="6F49F0E5"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Business Strategy and the Environment</w:t>
            </w:r>
          </w:p>
        </w:tc>
        <w:tc>
          <w:tcPr>
            <w:tcW w:w="719" w:type="pct"/>
          </w:tcPr>
          <w:p w14:paraId="7AA18F0B" w14:textId="0D89C12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exploratory multi-case study.</w:t>
            </w:r>
          </w:p>
        </w:tc>
        <w:tc>
          <w:tcPr>
            <w:tcW w:w="1738" w:type="pct"/>
          </w:tcPr>
          <w:p w14:paraId="66982778" w14:textId="2FC85B1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-CBM implementation depends on  product-, market-, and network-specific conditions because the same CBM can succeed or fail depending on contextual fit (e.g., service readiness, customer acceptance, ownership feasibility).</w:t>
            </w:r>
          </w:p>
          <w:p w14:paraId="22F9845F" w14:textId="1D6A820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-Successful implementation depends on developing orchestration capability (collaborating and coordinating with delivery partners), solution-configuration capability (combining product–service–digital elements), and digitalization capability (data/analytics for lifecycle knowledge).</w:t>
            </w:r>
          </w:p>
        </w:tc>
        <w:tc>
          <w:tcPr>
            <w:tcW w:w="715" w:type="pct"/>
          </w:tcPr>
          <w:p w14:paraId="5957EF3A" w14:textId="71A7872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-Reconfiguring ecosystem partners practice.</w:t>
            </w:r>
          </w:p>
        </w:tc>
      </w:tr>
      <w:tr w:rsidR="00B72EB9" w:rsidRPr="006F6BBE" w14:paraId="25B9DF12" w14:textId="77777777" w:rsidTr="00857063">
        <w:tc>
          <w:tcPr>
            <w:tcW w:w="189" w:type="pct"/>
          </w:tcPr>
          <w:p w14:paraId="01A7FA42" w14:textId="1724F6E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40</w:t>
            </w:r>
          </w:p>
        </w:tc>
        <w:tc>
          <w:tcPr>
            <w:tcW w:w="476" w:type="pct"/>
          </w:tcPr>
          <w:p w14:paraId="243862DC" w14:textId="29ECFDC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Sandberg &amp; Hultberg, 2021</w:t>
            </w:r>
          </w:p>
        </w:tc>
        <w:tc>
          <w:tcPr>
            <w:tcW w:w="667" w:type="pct"/>
          </w:tcPr>
          <w:p w14:paraId="22356432" w14:textId="4905329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Dynamic capabilities for the scaling of circular business model initiatives in the fashion industry.</w:t>
            </w:r>
          </w:p>
        </w:tc>
        <w:tc>
          <w:tcPr>
            <w:tcW w:w="496" w:type="pct"/>
          </w:tcPr>
          <w:p w14:paraId="7551A212" w14:textId="299B96B1"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Cleaner Production</w:t>
            </w:r>
          </w:p>
        </w:tc>
        <w:tc>
          <w:tcPr>
            <w:tcW w:w="719" w:type="pct"/>
          </w:tcPr>
          <w:p w14:paraId="57C3952B" w14:textId="7DAE3CF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multiple case study</w:t>
            </w:r>
          </w:p>
        </w:tc>
        <w:tc>
          <w:tcPr>
            <w:tcW w:w="1738" w:type="pct"/>
          </w:tcPr>
          <w:p w14:paraId="37F8649D" w14:textId="66479E2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-Scaling CBMs depends on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ability to sense new opportunities, seize them through partnerships and pilots, and reconfigure internal processes, routines, and responsibilities.</w:t>
            </w:r>
          </w:p>
          <w:p w14:paraId="053E8830" w14:textId="2BED0FE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scale CBMs not only by expanding sales and geography but also by reshaping consumer norms and values.</w:t>
            </w:r>
          </w:p>
        </w:tc>
        <w:tc>
          <w:tcPr>
            <w:tcW w:w="715" w:type="pct"/>
          </w:tcPr>
          <w:p w14:paraId="4AFB4CB0" w14:textId="3006A40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-Customer and market scaling practice.</w:t>
            </w:r>
          </w:p>
        </w:tc>
      </w:tr>
      <w:tr w:rsidR="00B72EB9" w:rsidRPr="006F6BBE" w14:paraId="52548E46" w14:textId="77777777" w:rsidTr="00857063">
        <w:tc>
          <w:tcPr>
            <w:tcW w:w="189" w:type="pct"/>
          </w:tcPr>
          <w:p w14:paraId="257365C4" w14:textId="6929B1A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41</w:t>
            </w:r>
          </w:p>
        </w:tc>
        <w:tc>
          <w:tcPr>
            <w:tcW w:w="476" w:type="pct"/>
          </w:tcPr>
          <w:p w14:paraId="5713C879" w14:textId="313CE90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Sjödin et al., 2021</w:t>
            </w:r>
          </w:p>
        </w:tc>
        <w:tc>
          <w:tcPr>
            <w:tcW w:w="667" w:type="pct"/>
          </w:tcPr>
          <w:p w14:paraId="2CFEB39B" w14:textId="7FDFA4B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How AI capabilities enable business model innovation: Scaling AI through co-evolutionary processes and feedback loops.</w:t>
            </w:r>
          </w:p>
        </w:tc>
        <w:tc>
          <w:tcPr>
            <w:tcW w:w="496" w:type="pct"/>
          </w:tcPr>
          <w:p w14:paraId="423D1F7E" w14:textId="0C5C2E17"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Business Research</w:t>
            </w:r>
          </w:p>
        </w:tc>
        <w:tc>
          <w:tcPr>
            <w:tcW w:w="719" w:type="pct"/>
          </w:tcPr>
          <w:p w14:paraId="3DEE0AFA" w14:textId="2D7084F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Multiple case study</w:t>
            </w:r>
          </w:p>
        </w:tc>
        <w:tc>
          <w:tcPr>
            <w:tcW w:w="1738" w:type="pct"/>
          </w:tcPr>
          <w:p w14:paraId="7027E95E" w14:textId="1EB4D82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-AI-driven business model innovation depends on data-driven delivery operations and ecosystem integration, showing that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must develop analytics skills to coordinate value delivery across internal units and partners.</w:t>
            </w:r>
          </w:p>
        </w:tc>
        <w:tc>
          <w:tcPr>
            <w:tcW w:w="715" w:type="pct"/>
          </w:tcPr>
          <w:p w14:paraId="46309F1A" w14:textId="589D087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-Reconfiguring ecosystem partners practice.</w:t>
            </w:r>
          </w:p>
        </w:tc>
      </w:tr>
      <w:tr w:rsidR="00B72EB9" w:rsidRPr="006F6BBE" w14:paraId="7A6154DB" w14:textId="77777777" w:rsidTr="00857063">
        <w:tc>
          <w:tcPr>
            <w:tcW w:w="189" w:type="pct"/>
          </w:tcPr>
          <w:p w14:paraId="4163F7F9" w14:textId="03A086E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42</w:t>
            </w:r>
          </w:p>
        </w:tc>
        <w:tc>
          <w:tcPr>
            <w:tcW w:w="476" w:type="pct"/>
          </w:tcPr>
          <w:p w14:paraId="332CE479" w14:textId="167230D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van Langen et al., 2021</w:t>
            </w:r>
          </w:p>
        </w:tc>
        <w:tc>
          <w:tcPr>
            <w:tcW w:w="667" w:type="pct"/>
          </w:tcPr>
          <w:p w14:paraId="5C45C7B4" w14:textId="00FAA4F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Promoting circular economy transition: A study about perceptions and awareness by different stakeholders groups. </w:t>
            </w:r>
          </w:p>
        </w:tc>
        <w:tc>
          <w:tcPr>
            <w:tcW w:w="496" w:type="pct"/>
          </w:tcPr>
          <w:p w14:paraId="7C0B24BF" w14:textId="36391A0B"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Cleaner Production</w:t>
            </w:r>
          </w:p>
        </w:tc>
        <w:tc>
          <w:tcPr>
            <w:tcW w:w="719" w:type="pct"/>
          </w:tcPr>
          <w:p w14:paraId="528DA3DA" w14:textId="305D921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Literature review</w:t>
            </w:r>
          </w:p>
        </w:tc>
        <w:tc>
          <w:tcPr>
            <w:tcW w:w="1738" w:type="pct"/>
          </w:tcPr>
          <w:p w14:paraId="37930AA9" w14:textId="62D521A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with explicit sustainability visions, shared narratives, and employee involvement demonstrate stronger alignment between strategic intent and everyday practices, enabling coordinated organizational change toward CBMs.</w:t>
            </w:r>
          </w:p>
          <w:p w14:paraId="1ED3D4C3" w14:textId="1C5465F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-Organizational restructuring is necessary – not optional – for circular transitions.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advancing circularity need to actively redesign roles, responsibilities, and coordination mechanisms.</w:t>
            </w:r>
          </w:p>
        </w:tc>
        <w:tc>
          <w:tcPr>
            <w:tcW w:w="715" w:type="pct"/>
          </w:tcPr>
          <w:p w14:paraId="6B80B11E"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-Transforming organizational processes practice. </w:t>
            </w:r>
          </w:p>
          <w:p w14:paraId="3F960C44" w14:textId="77777777" w:rsidR="00B72EB9" w:rsidRPr="006F6BBE" w:rsidRDefault="00B72EB9" w:rsidP="00B72EB9">
            <w:pPr>
              <w:rPr>
                <w:rFonts w:ascii="Times New Roman" w:hAnsi="Times New Roman" w:cs="Times New Roman"/>
                <w:sz w:val="20"/>
                <w:szCs w:val="20"/>
              </w:rPr>
            </w:pPr>
          </w:p>
        </w:tc>
      </w:tr>
      <w:tr w:rsidR="00B72EB9" w:rsidRPr="006F6BBE" w14:paraId="050C985A" w14:textId="77777777" w:rsidTr="00857063">
        <w:tc>
          <w:tcPr>
            <w:tcW w:w="189" w:type="pct"/>
          </w:tcPr>
          <w:p w14:paraId="7B64A823" w14:textId="7FB5C5C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43</w:t>
            </w:r>
          </w:p>
        </w:tc>
        <w:tc>
          <w:tcPr>
            <w:tcW w:w="476" w:type="pct"/>
          </w:tcPr>
          <w:p w14:paraId="5F933F46" w14:textId="76B4BCA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Awan &amp; Sroufe, 2022</w:t>
            </w:r>
          </w:p>
        </w:tc>
        <w:tc>
          <w:tcPr>
            <w:tcW w:w="667" w:type="pct"/>
          </w:tcPr>
          <w:p w14:paraId="2EEF444F" w14:textId="0ECA03B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Sustainability in the circular economy: insights and dynamics of </w:t>
            </w:r>
            <w:r w:rsidRPr="006F6BBE">
              <w:rPr>
                <w:rFonts w:ascii="Times New Roman" w:hAnsi="Times New Roman" w:cs="Times New Roman"/>
                <w:sz w:val="20"/>
                <w:szCs w:val="20"/>
              </w:rPr>
              <w:lastRenderedPageBreak/>
              <w:t>designing circular business models.</w:t>
            </w:r>
            <w:r w:rsidRPr="006F6BBE">
              <w:rPr>
                <w:rFonts w:ascii="Times New Roman" w:hAnsi="Times New Roman" w:cs="Times New Roman"/>
                <w:color w:val="222222"/>
                <w:sz w:val="20"/>
                <w:szCs w:val="20"/>
                <w:shd w:val="clear" w:color="auto" w:fill="FFFFFF"/>
              </w:rPr>
              <w:t> </w:t>
            </w:r>
          </w:p>
        </w:tc>
        <w:tc>
          <w:tcPr>
            <w:tcW w:w="496" w:type="pct"/>
          </w:tcPr>
          <w:p w14:paraId="2C1C6969" w14:textId="76FD25D5"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color w:val="222222"/>
                <w:sz w:val="20"/>
                <w:szCs w:val="20"/>
                <w:shd w:val="clear" w:color="auto" w:fill="FFFFFF"/>
              </w:rPr>
              <w:lastRenderedPageBreak/>
              <w:t>Applied Sciences</w:t>
            </w:r>
          </w:p>
        </w:tc>
        <w:tc>
          <w:tcPr>
            <w:tcW w:w="719" w:type="pct"/>
          </w:tcPr>
          <w:p w14:paraId="5904AB66" w14:textId="23E96C9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single case</w:t>
            </w:r>
          </w:p>
        </w:tc>
        <w:tc>
          <w:tcPr>
            <w:tcW w:w="1738" w:type="pct"/>
          </w:tcPr>
          <w:p w14:paraId="2330421F" w14:textId="4EA81D4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-Organizational agility and continuous adaptation are critical for CBMs, as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must constantly adjust processes, partnerships, and decision routines in response to material availability, regulatory pressures, and market feedback. </w:t>
            </w:r>
          </w:p>
        </w:tc>
        <w:tc>
          <w:tcPr>
            <w:tcW w:w="715" w:type="pct"/>
          </w:tcPr>
          <w:p w14:paraId="0D655F7B" w14:textId="027EBE3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-Transforming organizational processes practice.</w:t>
            </w:r>
          </w:p>
        </w:tc>
      </w:tr>
      <w:tr w:rsidR="00B72EB9" w:rsidRPr="006F6BBE" w14:paraId="41AC2586" w14:textId="77777777" w:rsidTr="00857063">
        <w:tc>
          <w:tcPr>
            <w:tcW w:w="189" w:type="pct"/>
          </w:tcPr>
          <w:p w14:paraId="5DC6AB47" w14:textId="550EFA9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44</w:t>
            </w:r>
          </w:p>
        </w:tc>
        <w:tc>
          <w:tcPr>
            <w:tcW w:w="476" w:type="pct"/>
          </w:tcPr>
          <w:p w14:paraId="29A5A04E" w14:textId="1A25A7D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Berlin et al., 2022</w:t>
            </w:r>
          </w:p>
        </w:tc>
        <w:tc>
          <w:tcPr>
            <w:tcW w:w="667" w:type="pct"/>
          </w:tcPr>
          <w:p w14:paraId="52039E30" w14:textId="31A3BB7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Supply network collaborations in a circular economy: A case study of Swedish steel recycling. </w:t>
            </w:r>
          </w:p>
        </w:tc>
        <w:tc>
          <w:tcPr>
            <w:tcW w:w="496" w:type="pct"/>
          </w:tcPr>
          <w:p w14:paraId="6FD866B6" w14:textId="715C9DF2"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Resources, Conservation and Recycling</w:t>
            </w:r>
          </w:p>
        </w:tc>
        <w:tc>
          <w:tcPr>
            <w:tcW w:w="719" w:type="pct"/>
          </w:tcPr>
          <w:p w14:paraId="5BE934B3" w14:textId="0924509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Exploratory qualitative case study</w:t>
            </w:r>
          </w:p>
        </w:tc>
        <w:tc>
          <w:tcPr>
            <w:tcW w:w="1738" w:type="pct"/>
          </w:tcPr>
          <w:p w14:paraId="513383B2" w14:textId="5353C2B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-Effective circular ecosystems rely on multiple forms of collaboration simultaneously, including dyadic vertical collaboration (quality control), horizontal collaboration (joint procurement and coordination), and lateral collaboration (shared standards and protocols).</w:t>
            </w:r>
          </w:p>
          <w:p w14:paraId="40502645"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-Standardization and shared governance mechanisms are critical for ecosystem reconfiguration, enabling actors to align expectations, reduce uncertainty, and coordinate circular material flows at scale.</w:t>
            </w:r>
          </w:p>
          <w:p w14:paraId="1C97961D" w14:textId="77777777" w:rsidR="00B72EB9" w:rsidRPr="006F6BBE" w:rsidRDefault="00B72EB9" w:rsidP="00B72EB9">
            <w:pPr>
              <w:rPr>
                <w:rFonts w:ascii="Times New Roman" w:hAnsi="Times New Roman" w:cs="Times New Roman"/>
                <w:sz w:val="20"/>
                <w:szCs w:val="20"/>
              </w:rPr>
            </w:pPr>
          </w:p>
        </w:tc>
        <w:tc>
          <w:tcPr>
            <w:tcW w:w="715" w:type="pct"/>
          </w:tcPr>
          <w:p w14:paraId="7E669D44" w14:textId="54C41B5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-Reconfiguring ecosystem partners practice.</w:t>
            </w:r>
          </w:p>
        </w:tc>
      </w:tr>
      <w:tr w:rsidR="00B72EB9" w:rsidRPr="006F6BBE" w14:paraId="05C415EF" w14:textId="77777777" w:rsidTr="00857063">
        <w:tc>
          <w:tcPr>
            <w:tcW w:w="189" w:type="pct"/>
          </w:tcPr>
          <w:p w14:paraId="75DF7690" w14:textId="3179BA7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45</w:t>
            </w:r>
          </w:p>
        </w:tc>
        <w:tc>
          <w:tcPr>
            <w:tcW w:w="476" w:type="pct"/>
          </w:tcPr>
          <w:p w14:paraId="18D46268" w14:textId="6840252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Chauhan et al., 2022</w:t>
            </w:r>
          </w:p>
        </w:tc>
        <w:tc>
          <w:tcPr>
            <w:tcW w:w="667" w:type="pct"/>
          </w:tcPr>
          <w:p w14:paraId="26CFFF6F" w14:textId="7FDE5C0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Linking circular economy and digitalisation technologies: A systematic literature review of past achievements and future promises.</w:t>
            </w:r>
          </w:p>
        </w:tc>
        <w:tc>
          <w:tcPr>
            <w:tcW w:w="496" w:type="pct"/>
          </w:tcPr>
          <w:p w14:paraId="1486FC06" w14:textId="107D52FC"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Technological Forecasting and Social Change</w:t>
            </w:r>
          </w:p>
        </w:tc>
        <w:tc>
          <w:tcPr>
            <w:tcW w:w="719" w:type="pct"/>
          </w:tcPr>
          <w:p w14:paraId="197F3C96" w14:textId="32E54A5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Literature review</w:t>
            </w:r>
          </w:p>
        </w:tc>
        <w:tc>
          <w:tcPr>
            <w:tcW w:w="1738" w:type="pct"/>
          </w:tcPr>
          <w:p w14:paraId="4F7ED723" w14:textId="5007CEA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-Digitalization (AI, IoT, blockchain, big data) enables CE by improving tracking, monitoring, and decision making across product lifecycles.</w:t>
            </w:r>
          </w:p>
          <w:p w14:paraId="41440821" w14:textId="34B218F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-Digitalization-enabled CE is constrained by barriers such as lack of predictability and information vulnerability, which makes capability building essential.</w:t>
            </w:r>
          </w:p>
        </w:tc>
        <w:tc>
          <w:tcPr>
            <w:tcW w:w="715" w:type="pct"/>
          </w:tcPr>
          <w:p w14:paraId="69F8B852" w14:textId="6324718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-Building competency through digital analytics practice.</w:t>
            </w:r>
          </w:p>
        </w:tc>
      </w:tr>
      <w:tr w:rsidR="00B72EB9" w:rsidRPr="006F6BBE" w14:paraId="44029911" w14:textId="77777777" w:rsidTr="00857063">
        <w:tc>
          <w:tcPr>
            <w:tcW w:w="189" w:type="pct"/>
          </w:tcPr>
          <w:p w14:paraId="1FDEBA2D" w14:textId="73D12E6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46</w:t>
            </w:r>
          </w:p>
        </w:tc>
        <w:tc>
          <w:tcPr>
            <w:tcW w:w="476" w:type="pct"/>
          </w:tcPr>
          <w:p w14:paraId="3E990F23" w14:textId="339549A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Ekman Burgman, 2022</w:t>
            </w:r>
          </w:p>
        </w:tc>
        <w:tc>
          <w:tcPr>
            <w:tcW w:w="667" w:type="pct"/>
          </w:tcPr>
          <w:p w14:paraId="10E693CD" w14:textId="01366EE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What sewage sludge is and conflicts in Swedish circular economy policymaking.</w:t>
            </w:r>
          </w:p>
        </w:tc>
        <w:tc>
          <w:tcPr>
            <w:tcW w:w="496" w:type="pct"/>
          </w:tcPr>
          <w:p w14:paraId="78C0CA07" w14:textId="204A0783"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Environmental Sociology</w:t>
            </w:r>
          </w:p>
        </w:tc>
        <w:tc>
          <w:tcPr>
            <w:tcW w:w="719" w:type="pct"/>
          </w:tcPr>
          <w:p w14:paraId="17137557" w14:textId="530EF3C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interpretive study</w:t>
            </w:r>
          </w:p>
        </w:tc>
        <w:tc>
          <w:tcPr>
            <w:tcW w:w="1738" w:type="pct"/>
          </w:tcPr>
          <w:p w14:paraId="7FAAC755"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-Ecosystem actors often hold fundamentally different interpretations of circular resources, framing them simultaneously as </w:t>
            </w:r>
            <w:r w:rsidRPr="006F6BBE">
              <w:rPr>
                <w:rFonts w:ascii="Times New Roman" w:hAnsi="Times New Roman" w:cs="Times New Roman"/>
                <w:i/>
                <w:iCs/>
                <w:sz w:val="20"/>
                <w:szCs w:val="20"/>
              </w:rPr>
              <w:t>valuable resources</w:t>
            </w:r>
            <w:r w:rsidRPr="006F6BBE">
              <w:rPr>
                <w:rFonts w:ascii="Times New Roman" w:hAnsi="Times New Roman" w:cs="Times New Roman"/>
                <w:sz w:val="20"/>
                <w:szCs w:val="20"/>
              </w:rPr>
              <w:t xml:space="preserve">, </w:t>
            </w:r>
            <w:r w:rsidRPr="006F6BBE">
              <w:rPr>
                <w:rFonts w:ascii="Times New Roman" w:hAnsi="Times New Roman" w:cs="Times New Roman"/>
                <w:i/>
                <w:iCs/>
                <w:sz w:val="20"/>
                <w:szCs w:val="20"/>
              </w:rPr>
              <w:t>environmental hazards</w:t>
            </w:r>
            <w:r w:rsidRPr="006F6BBE">
              <w:rPr>
                <w:rFonts w:ascii="Times New Roman" w:hAnsi="Times New Roman" w:cs="Times New Roman"/>
                <w:sz w:val="20"/>
                <w:szCs w:val="20"/>
              </w:rPr>
              <w:t xml:space="preserve">, or </w:t>
            </w:r>
            <w:r w:rsidRPr="006F6BBE">
              <w:rPr>
                <w:rFonts w:ascii="Times New Roman" w:hAnsi="Times New Roman" w:cs="Times New Roman"/>
                <w:i/>
                <w:iCs/>
                <w:sz w:val="20"/>
                <w:szCs w:val="20"/>
              </w:rPr>
              <w:t>policy liabilities</w:t>
            </w:r>
            <w:r w:rsidRPr="006F6BBE">
              <w:rPr>
                <w:rFonts w:ascii="Times New Roman" w:hAnsi="Times New Roman" w:cs="Times New Roman"/>
                <w:sz w:val="20"/>
                <w:szCs w:val="20"/>
              </w:rPr>
              <w:t>, which complicates collective action toward circular solutions.</w:t>
            </w:r>
          </w:p>
          <w:p w14:paraId="55AE0CA7"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-Policy-level and institutional disagreements spill over into ecosystem relationships, creating hesitation among partners to commit to circular pathways such as reuse, recycling, or nutrient recovery.</w:t>
            </w:r>
          </w:p>
          <w:p w14:paraId="60895BC0" w14:textId="08255A5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-Partner resistance to circular initiatives is not solely driven by capability gaps or economic concerns but by unresolved normative and ontological conflicts regarding safety, responsibility, and legitimacy.</w:t>
            </w:r>
          </w:p>
        </w:tc>
        <w:tc>
          <w:tcPr>
            <w:tcW w:w="715" w:type="pct"/>
          </w:tcPr>
          <w:p w14:paraId="57F95235"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-Reconfiguring ecosystem partners practice.</w:t>
            </w:r>
          </w:p>
          <w:p w14:paraId="1091CA17" w14:textId="0D9E9AF5" w:rsidR="00B72EB9" w:rsidRPr="006F6BBE" w:rsidRDefault="00B72EB9" w:rsidP="00B72EB9">
            <w:pPr>
              <w:rPr>
                <w:rFonts w:ascii="Times New Roman" w:hAnsi="Times New Roman" w:cs="Times New Roman"/>
                <w:sz w:val="20"/>
                <w:szCs w:val="20"/>
              </w:rPr>
            </w:pPr>
          </w:p>
        </w:tc>
      </w:tr>
      <w:tr w:rsidR="00B72EB9" w:rsidRPr="006F6BBE" w14:paraId="081407EC" w14:textId="77777777" w:rsidTr="00857063">
        <w:tc>
          <w:tcPr>
            <w:tcW w:w="189" w:type="pct"/>
          </w:tcPr>
          <w:p w14:paraId="5F91CBDB" w14:textId="09A56EB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47</w:t>
            </w:r>
          </w:p>
        </w:tc>
        <w:tc>
          <w:tcPr>
            <w:tcW w:w="476" w:type="pct"/>
          </w:tcPr>
          <w:p w14:paraId="77468046" w14:textId="53B68ED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Kara et al., 2022</w:t>
            </w:r>
          </w:p>
        </w:tc>
        <w:tc>
          <w:tcPr>
            <w:tcW w:w="667" w:type="pct"/>
          </w:tcPr>
          <w:p w14:paraId="66B3F6F6" w14:textId="71F374B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Closed-loop systems to circular economy: A pathway to environmental sustainability?</w:t>
            </w:r>
          </w:p>
        </w:tc>
        <w:tc>
          <w:tcPr>
            <w:tcW w:w="496" w:type="pct"/>
          </w:tcPr>
          <w:p w14:paraId="21162D2F" w14:textId="053EFDBA"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CIRP Annals</w:t>
            </w:r>
          </w:p>
        </w:tc>
        <w:tc>
          <w:tcPr>
            <w:tcW w:w="719" w:type="pct"/>
          </w:tcPr>
          <w:p w14:paraId="6AD03A8A" w14:textId="69CE70F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Literature review</w:t>
            </w:r>
          </w:p>
        </w:tc>
        <w:tc>
          <w:tcPr>
            <w:tcW w:w="1738" w:type="pct"/>
          </w:tcPr>
          <w:p w14:paraId="060A6844" w14:textId="53E5A5B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-Because CE requires systemic organizational change, </w:t>
            </w:r>
          </w:p>
          <w:p w14:paraId="55F2A368" w14:textId="2C141FA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scaling circularity offerings needs deeper organizational commitment and careful design. </w:t>
            </w:r>
          </w:p>
          <w:p w14:paraId="5162B180" w14:textId="4ECD46AB" w:rsidR="00B72EB9" w:rsidRPr="006F6BBE" w:rsidRDefault="00B72EB9" w:rsidP="00B72EB9">
            <w:pPr>
              <w:rPr>
                <w:rFonts w:ascii="Times New Roman" w:hAnsi="Times New Roman" w:cs="Times New Roman"/>
                <w:sz w:val="20"/>
                <w:szCs w:val="20"/>
              </w:rPr>
            </w:pPr>
          </w:p>
        </w:tc>
        <w:tc>
          <w:tcPr>
            <w:tcW w:w="715" w:type="pct"/>
          </w:tcPr>
          <w:p w14:paraId="52404E98" w14:textId="323AD8C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-Customer and market scaling practice. </w:t>
            </w:r>
          </w:p>
        </w:tc>
      </w:tr>
      <w:tr w:rsidR="00B72EB9" w:rsidRPr="006F6BBE" w14:paraId="025BA515" w14:textId="77777777" w:rsidTr="00857063">
        <w:tc>
          <w:tcPr>
            <w:tcW w:w="189" w:type="pct"/>
          </w:tcPr>
          <w:p w14:paraId="70BA37FD" w14:textId="4ABC493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48</w:t>
            </w:r>
          </w:p>
        </w:tc>
        <w:tc>
          <w:tcPr>
            <w:tcW w:w="476" w:type="pct"/>
          </w:tcPr>
          <w:p w14:paraId="3302DBE6" w14:textId="73CE56F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lang w:val="sv-SE"/>
              </w:rPr>
              <w:t xml:space="preserve">Lehtoranta et al., 2022 </w:t>
            </w:r>
          </w:p>
        </w:tc>
        <w:tc>
          <w:tcPr>
            <w:tcW w:w="667" w:type="pct"/>
          </w:tcPr>
          <w:p w14:paraId="0FBACB1E" w14:textId="169BAE3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Circular economy in wastewater management – the potential of source-separating sanitation in rural and peri-urban areas of northern Finland and Sweden.</w:t>
            </w:r>
          </w:p>
        </w:tc>
        <w:tc>
          <w:tcPr>
            <w:tcW w:w="496" w:type="pct"/>
          </w:tcPr>
          <w:p w14:paraId="0C0EF918" w14:textId="2D65B609"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lang w:val="sv-SE"/>
              </w:rPr>
              <w:t>Frontiers in Environmental Science</w:t>
            </w:r>
          </w:p>
        </w:tc>
        <w:tc>
          <w:tcPr>
            <w:tcW w:w="719" w:type="pct"/>
          </w:tcPr>
          <w:p w14:paraId="3576D43A" w14:textId="267EB99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Quantitative systems analysis combining substance flow analysis (SFA) and life cycle assessment (LCA) using scenario modeling.</w:t>
            </w:r>
          </w:p>
        </w:tc>
        <w:tc>
          <w:tcPr>
            <w:tcW w:w="1738" w:type="pct"/>
          </w:tcPr>
          <w:p w14:paraId="4A334324" w14:textId="544F185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-Circular solutions require systemic redesign and long-term operational responsibility, as implementing source separation demands new infrastructure, coordination, and lifecycle management – aligning closely with result-oriented and service-based revenue models where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retain ownership and performance responsibility.</w:t>
            </w:r>
          </w:p>
          <w:p w14:paraId="2AB88BFD" w14:textId="77777777" w:rsidR="00B72EB9" w:rsidRPr="006F6BBE" w:rsidRDefault="00B72EB9" w:rsidP="00B72EB9">
            <w:pPr>
              <w:rPr>
                <w:rFonts w:ascii="Times New Roman" w:hAnsi="Times New Roman" w:cs="Times New Roman"/>
                <w:sz w:val="20"/>
                <w:szCs w:val="20"/>
              </w:rPr>
            </w:pPr>
          </w:p>
        </w:tc>
        <w:tc>
          <w:tcPr>
            <w:tcW w:w="715" w:type="pct"/>
          </w:tcPr>
          <w:p w14:paraId="04DF375D" w14:textId="79AD6B5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-Extending circular revenue models practice.</w:t>
            </w:r>
          </w:p>
        </w:tc>
      </w:tr>
      <w:tr w:rsidR="00B72EB9" w:rsidRPr="006F6BBE" w14:paraId="3F488B33" w14:textId="77777777" w:rsidTr="00857063">
        <w:tc>
          <w:tcPr>
            <w:tcW w:w="189" w:type="pct"/>
          </w:tcPr>
          <w:p w14:paraId="3AE0ACFC" w14:textId="454E537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49</w:t>
            </w:r>
          </w:p>
        </w:tc>
        <w:tc>
          <w:tcPr>
            <w:tcW w:w="476" w:type="pct"/>
          </w:tcPr>
          <w:p w14:paraId="58591D6E" w14:textId="37836EE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Marinina et al., 2022</w:t>
            </w:r>
          </w:p>
        </w:tc>
        <w:tc>
          <w:tcPr>
            <w:tcW w:w="667" w:type="pct"/>
          </w:tcPr>
          <w:p w14:paraId="6DCAF5A7" w14:textId="32E609D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Circular economy models in industry: Developing a conceptual framework. </w:t>
            </w:r>
          </w:p>
        </w:tc>
        <w:tc>
          <w:tcPr>
            <w:tcW w:w="496" w:type="pct"/>
          </w:tcPr>
          <w:p w14:paraId="1E3EE8B4" w14:textId="24E9F0BB"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Energies</w:t>
            </w:r>
          </w:p>
        </w:tc>
        <w:tc>
          <w:tcPr>
            <w:tcW w:w="719" w:type="pct"/>
          </w:tcPr>
          <w:p w14:paraId="6E71FD8E" w14:textId="38F689B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Desk-based conceptual study (secondary data and case examples)</w:t>
            </w:r>
          </w:p>
        </w:tc>
        <w:tc>
          <w:tcPr>
            <w:tcW w:w="1738" w:type="pct"/>
          </w:tcPr>
          <w:p w14:paraId="329B4457" w14:textId="650EE05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-CBMs become actionable when circular principles are translated into structured implementation options across production stages, enabling operational execution beyond ideation.</w:t>
            </w:r>
          </w:p>
          <w:p w14:paraId="26192B52" w14:textId="51CCACF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-Circularity in heavy industry can be commercialized through multipurpose resource use (valorizing by-products/waste), which supports viable offerings and revenue generation.</w:t>
            </w:r>
          </w:p>
        </w:tc>
        <w:tc>
          <w:tcPr>
            <w:tcW w:w="715" w:type="pct"/>
          </w:tcPr>
          <w:p w14:paraId="2E9FB0A6" w14:textId="5BAACD8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-Orchestrating and aligning with ecosystem partners practice. </w:t>
            </w:r>
          </w:p>
        </w:tc>
      </w:tr>
      <w:tr w:rsidR="00B72EB9" w:rsidRPr="006F6BBE" w14:paraId="6CE62A09" w14:textId="77777777" w:rsidTr="00857063">
        <w:tc>
          <w:tcPr>
            <w:tcW w:w="189" w:type="pct"/>
          </w:tcPr>
          <w:p w14:paraId="362099F2" w14:textId="3727784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50</w:t>
            </w:r>
          </w:p>
        </w:tc>
        <w:tc>
          <w:tcPr>
            <w:tcW w:w="476" w:type="pct"/>
          </w:tcPr>
          <w:p w14:paraId="1BBEB8E6" w14:textId="7DE8C88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Rödl et al., 2022</w:t>
            </w:r>
          </w:p>
        </w:tc>
        <w:tc>
          <w:tcPr>
            <w:tcW w:w="667" w:type="pct"/>
          </w:tcPr>
          <w:p w14:paraId="7EC81D2D" w14:textId="064FEBC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Performing the circular economy: how an ambiguous discourse is managed and maintained through meetings.</w:t>
            </w:r>
          </w:p>
        </w:tc>
        <w:tc>
          <w:tcPr>
            <w:tcW w:w="496" w:type="pct"/>
          </w:tcPr>
          <w:p w14:paraId="5E144E71" w14:textId="24D16003"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Cleaner Production</w:t>
            </w:r>
          </w:p>
        </w:tc>
        <w:tc>
          <w:tcPr>
            <w:tcW w:w="719" w:type="pct"/>
          </w:tcPr>
          <w:p w14:paraId="4C123212" w14:textId="429B163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ethnographic</w:t>
            </w:r>
          </w:p>
        </w:tc>
        <w:tc>
          <w:tcPr>
            <w:tcW w:w="1738" w:type="pct"/>
          </w:tcPr>
          <w:p w14:paraId="6B297054"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-CBM implementation progresses by building shared alignment and legitimacy, since actors use flexible circularity narratives to coordinate and move initiatives forward.</w:t>
            </w:r>
          </w:p>
          <w:p w14:paraId="7117C164" w14:textId="20453D3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-CBMs are often driven by business and profitability  considerations as well as shared norms, which help sustain collaboration and keep multiple partners committed during the transition.</w:t>
            </w:r>
          </w:p>
        </w:tc>
        <w:tc>
          <w:tcPr>
            <w:tcW w:w="715" w:type="pct"/>
          </w:tcPr>
          <w:p w14:paraId="376305E6" w14:textId="6F3CE5A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-Orchestrating and aligning with ecosystem partners practice.</w:t>
            </w:r>
          </w:p>
        </w:tc>
      </w:tr>
      <w:tr w:rsidR="00B72EB9" w:rsidRPr="006F6BBE" w14:paraId="6E74ECEA" w14:textId="77777777" w:rsidTr="00857063">
        <w:tc>
          <w:tcPr>
            <w:tcW w:w="189" w:type="pct"/>
          </w:tcPr>
          <w:p w14:paraId="1F4A43B2" w14:textId="7FDE100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51</w:t>
            </w:r>
          </w:p>
        </w:tc>
        <w:tc>
          <w:tcPr>
            <w:tcW w:w="476" w:type="pct"/>
          </w:tcPr>
          <w:p w14:paraId="7F13D602" w14:textId="43A41E9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Sjödin et al., 2022</w:t>
            </w:r>
          </w:p>
        </w:tc>
        <w:tc>
          <w:tcPr>
            <w:tcW w:w="667" w:type="pct"/>
          </w:tcPr>
          <w:p w14:paraId="3705FC78" w14:textId="40960ED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How can large manufacturers digitalize their business models? A framework for orchestrating industrial ecosystems.</w:t>
            </w:r>
          </w:p>
        </w:tc>
        <w:tc>
          <w:tcPr>
            <w:tcW w:w="496" w:type="pct"/>
          </w:tcPr>
          <w:p w14:paraId="7BB3573D" w14:textId="57C3B587"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California Management Review</w:t>
            </w:r>
          </w:p>
        </w:tc>
        <w:tc>
          <w:tcPr>
            <w:tcW w:w="719" w:type="pct"/>
          </w:tcPr>
          <w:p w14:paraId="2A26C296" w14:textId="0E42CCA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Multiple case study</w:t>
            </w:r>
          </w:p>
        </w:tc>
        <w:tc>
          <w:tcPr>
            <w:tcW w:w="1738" w:type="pct"/>
          </w:tcPr>
          <w:p w14:paraId="51E1F4D7" w14:textId="30979B2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need to reconfigure ecosystems by onboarding new digital partners (platform/tech support) and realigning existing alliances to fill capability gaps needed for new offerings.</w:t>
            </w:r>
          </w:p>
          <w:p w14:paraId="2C03BF0C" w14:textId="47A2246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-Partner transformation is enabled through dialogue, knowledge sharing, and incentives, helping partners adopt new ways of working and supporting coordinated implementation across the network.</w:t>
            </w:r>
          </w:p>
        </w:tc>
        <w:tc>
          <w:tcPr>
            <w:tcW w:w="715" w:type="pct"/>
          </w:tcPr>
          <w:p w14:paraId="26C4FEEF" w14:textId="5BB386F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-Orchestrating and aligning with ecosystem partners practice.</w:t>
            </w:r>
          </w:p>
        </w:tc>
      </w:tr>
      <w:tr w:rsidR="00B72EB9" w:rsidRPr="006F6BBE" w14:paraId="169CECE7" w14:textId="77777777" w:rsidTr="00857063">
        <w:tc>
          <w:tcPr>
            <w:tcW w:w="189" w:type="pct"/>
          </w:tcPr>
          <w:p w14:paraId="7CEC2D52" w14:textId="37CF766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52</w:t>
            </w:r>
          </w:p>
        </w:tc>
        <w:tc>
          <w:tcPr>
            <w:tcW w:w="476" w:type="pct"/>
          </w:tcPr>
          <w:p w14:paraId="0B93907D" w14:textId="49614853" w:rsidR="00B72EB9" w:rsidRPr="006F6BBE" w:rsidRDefault="00B72EB9" w:rsidP="00B72EB9">
            <w:pPr>
              <w:rPr>
                <w:rFonts w:ascii="Times New Roman" w:hAnsi="Times New Roman" w:cs="Times New Roman"/>
                <w:sz w:val="20"/>
                <w:szCs w:val="20"/>
              </w:rPr>
            </w:pPr>
            <w:bookmarkStart w:id="7" w:name="_Hlk220600178"/>
            <w:r w:rsidRPr="006F6BBE">
              <w:rPr>
                <w:rFonts w:ascii="Times New Roman" w:hAnsi="Times New Roman" w:cs="Times New Roman"/>
                <w:sz w:val="20"/>
                <w:szCs w:val="20"/>
              </w:rPr>
              <w:t>Santa‐Maria et al., 2022</w:t>
            </w:r>
            <w:bookmarkEnd w:id="7"/>
          </w:p>
        </w:tc>
        <w:tc>
          <w:tcPr>
            <w:tcW w:w="667" w:type="pct"/>
          </w:tcPr>
          <w:p w14:paraId="371ABBE4" w14:textId="62E472A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How do incumbent </w:t>
            </w:r>
            <w:r w:rsidR="009A4C32" w:rsidRPr="006F6BBE">
              <w:rPr>
                <w:rFonts w:ascii="Times New Roman" w:hAnsi="Times New Roman" w:cs="Times New Roman"/>
                <w:sz w:val="20"/>
                <w:szCs w:val="20"/>
              </w:rPr>
              <w:t>firm</w:t>
            </w:r>
            <w:r w:rsidR="00FC7662" w:rsidRPr="006F6BBE">
              <w:rPr>
                <w:rFonts w:ascii="Times New Roman" w:hAnsi="Times New Roman" w:cs="Times New Roman"/>
                <w:sz w:val="20"/>
                <w:szCs w:val="20"/>
              </w:rPr>
              <w:t>s</w:t>
            </w:r>
            <w:r w:rsidRPr="006F6BBE">
              <w:rPr>
                <w:rFonts w:ascii="Times New Roman" w:hAnsi="Times New Roman" w:cs="Times New Roman"/>
                <w:sz w:val="20"/>
                <w:szCs w:val="20"/>
              </w:rPr>
              <w:t xml:space="preserve"> innovate their business models for the circular economy? Identifying micro‐foundations of dynamic capabilities.</w:t>
            </w:r>
          </w:p>
        </w:tc>
        <w:tc>
          <w:tcPr>
            <w:tcW w:w="496" w:type="pct"/>
          </w:tcPr>
          <w:p w14:paraId="17A6E150" w14:textId="34EF39FB"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Business Strategy and the Environment</w:t>
            </w:r>
          </w:p>
        </w:tc>
        <w:tc>
          <w:tcPr>
            <w:tcW w:w="719" w:type="pct"/>
          </w:tcPr>
          <w:p w14:paraId="781E787A" w14:textId="114E084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multiple case study</w:t>
            </w:r>
          </w:p>
        </w:tc>
        <w:tc>
          <w:tcPr>
            <w:tcW w:w="1738" w:type="pct"/>
          </w:tcPr>
          <w:p w14:paraId="4400C5EC" w14:textId="1EE45B8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-Industrial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can extend and scale CBMs by using digitalization to improve operational efficiency and ecosystem coordination, enabling wider deployment of circular services (e.g., rental/leasing) across markets and partners.</w:t>
            </w:r>
          </w:p>
        </w:tc>
        <w:tc>
          <w:tcPr>
            <w:tcW w:w="715" w:type="pct"/>
          </w:tcPr>
          <w:p w14:paraId="6CB5D443" w14:textId="311A049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-Customer and market scaling practice. </w:t>
            </w:r>
          </w:p>
        </w:tc>
      </w:tr>
      <w:tr w:rsidR="00B72EB9" w:rsidRPr="006F6BBE" w14:paraId="62CB5037" w14:textId="77777777" w:rsidTr="00857063">
        <w:tc>
          <w:tcPr>
            <w:tcW w:w="189" w:type="pct"/>
          </w:tcPr>
          <w:p w14:paraId="3FF2AF5C" w14:textId="55BAEDE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53</w:t>
            </w:r>
          </w:p>
        </w:tc>
        <w:tc>
          <w:tcPr>
            <w:tcW w:w="476" w:type="pct"/>
          </w:tcPr>
          <w:p w14:paraId="5C3E3BCE" w14:textId="7F1B0774" w:rsidR="00B72EB9" w:rsidRPr="006F6BBE" w:rsidRDefault="00B72EB9" w:rsidP="00B72EB9">
            <w:pPr>
              <w:rPr>
                <w:rFonts w:ascii="Times New Roman" w:hAnsi="Times New Roman" w:cs="Times New Roman"/>
                <w:sz w:val="20"/>
                <w:szCs w:val="20"/>
                <w:lang w:val="sv-SE"/>
              </w:rPr>
            </w:pPr>
            <w:r w:rsidRPr="006F6BBE">
              <w:rPr>
                <w:rFonts w:ascii="Times New Roman" w:hAnsi="Times New Roman" w:cs="Times New Roman"/>
                <w:sz w:val="20"/>
                <w:szCs w:val="20"/>
                <w:lang w:val="sv-SE"/>
              </w:rPr>
              <w:t xml:space="preserve">de Vasconcelos </w:t>
            </w:r>
            <w:r w:rsidRPr="006F6BBE">
              <w:rPr>
                <w:rFonts w:ascii="Times New Roman" w:hAnsi="Times New Roman" w:cs="Times New Roman"/>
                <w:sz w:val="20"/>
                <w:szCs w:val="20"/>
                <w:lang w:val="sv-SE"/>
              </w:rPr>
              <w:lastRenderedPageBreak/>
              <w:t>Gomes &amp; da Silva Barros, 2022</w:t>
            </w:r>
          </w:p>
        </w:tc>
        <w:tc>
          <w:tcPr>
            <w:tcW w:w="667" w:type="pct"/>
          </w:tcPr>
          <w:p w14:paraId="5A893071" w14:textId="4AF9D7F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 xml:space="preserve">The role of governments in </w:t>
            </w:r>
            <w:r w:rsidRPr="006F6BBE">
              <w:rPr>
                <w:rFonts w:ascii="Times New Roman" w:hAnsi="Times New Roman" w:cs="Times New Roman"/>
                <w:sz w:val="20"/>
                <w:szCs w:val="20"/>
              </w:rPr>
              <w:lastRenderedPageBreak/>
              <w:t>uncertainty orchestration in market formation for sustainability transitions.</w:t>
            </w:r>
          </w:p>
        </w:tc>
        <w:tc>
          <w:tcPr>
            <w:tcW w:w="496" w:type="pct"/>
          </w:tcPr>
          <w:p w14:paraId="5C143A63" w14:textId="6DDFDFA5"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lastRenderedPageBreak/>
              <w:t xml:space="preserve">Environmental Innovation and </w:t>
            </w:r>
            <w:r w:rsidRPr="006F6BBE">
              <w:rPr>
                <w:rFonts w:ascii="Times New Roman" w:hAnsi="Times New Roman" w:cs="Times New Roman"/>
                <w:i/>
                <w:iCs/>
                <w:sz w:val="20"/>
                <w:szCs w:val="20"/>
              </w:rPr>
              <w:lastRenderedPageBreak/>
              <w:t>Societal Transitions</w:t>
            </w:r>
          </w:p>
        </w:tc>
        <w:tc>
          <w:tcPr>
            <w:tcW w:w="719" w:type="pct"/>
          </w:tcPr>
          <w:p w14:paraId="0F10D1EB" w14:textId="1C31851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 xml:space="preserve"> Multiple case qualitative study</w:t>
            </w:r>
          </w:p>
        </w:tc>
        <w:tc>
          <w:tcPr>
            <w:tcW w:w="1738" w:type="pct"/>
          </w:tcPr>
          <w:p w14:paraId="1351D1B5" w14:textId="6184170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-Ecosystem orchestrators must absorb early investment burdens and reduce partner uncertainty, enabling capability </w:t>
            </w:r>
            <w:r w:rsidRPr="006F6BBE">
              <w:rPr>
                <w:rFonts w:ascii="Times New Roman" w:hAnsi="Times New Roman" w:cs="Times New Roman"/>
                <w:sz w:val="20"/>
                <w:szCs w:val="20"/>
              </w:rPr>
              <w:lastRenderedPageBreak/>
              <w:t>building, process development, and partner transformation, especially when resource constraints prevent smaller actors from committing to CBM implementation.</w:t>
            </w:r>
          </w:p>
        </w:tc>
        <w:tc>
          <w:tcPr>
            <w:tcW w:w="715" w:type="pct"/>
          </w:tcPr>
          <w:p w14:paraId="44E6BC1C" w14:textId="0962210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 xml:space="preserve">-Orchestrating and aligning with </w:t>
            </w:r>
            <w:r w:rsidRPr="006F6BBE">
              <w:rPr>
                <w:rFonts w:ascii="Times New Roman" w:hAnsi="Times New Roman" w:cs="Times New Roman"/>
                <w:sz w:val="20"/>
                <w:szCs w:val="20"/>
              </w:rPr>
              <w:lastRenderedPageBreak/>
              <w:t>ecosystem partners practice.</w:t>
            </w:r>
          </w:p>
        </w:tc>
      </w:tr>
      <w:tr w:rsidR="00B72EB9" w:rsidRPr="006F6BBE" w14:paraId="6FD1022C" w14:textId="77777777" w:rsidTr="00857063">
        <w:tc>
          <w:tcPr>
            <w:tcW w:w="189" w:type="pct"/>
          </w:tcPr>
          <w:p w14:paraId="46A59620" w14:textId="380C3BA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54</w:t>
            </w:r>
          </w:p>
        </w:tc>
        <w:tc>
          <w:tcPr>
            <w:tcW w:w="476" w:type="pct"/>
          </w:tcPr>
          <w:p w14:paraId="597D2CD4" w14:textId="7B07C7D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Vanhuyse et al., 2022</w:t>
            </w:r>
          </w:p>
        </w:tc>
        <w:tc>
          <w:tcPr>
            <w:tcW w:w="667" w:type="pct"/>
          </w:tcPr>
          <w:p w14:paraId="322DADBD" w14:textId="7202F7E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Including the social in the circular: A mapping of the consequences of a circular economy transition in the city of Umeå, Sweden.</w:t>
            </w:r>
          </w:p>
        </w:tc>
        <w:tc>
          <w:tcPr>
            <w:tcW w:w="496" w:type="pct"/>
          </w:tcPr>
          <w:p w14:paraId="1D6EF4A5" w14:textId="346B45B3"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Cleaner Production</w:t>
            </w:r>
          </w:p>
        </w:tc>
        <w:tc>
          <w:tcPr>
            <w:tcW w:w="719" w:type="pct"/>
          </w:tcPr>
          <w:p w14:paraId="44AC0E45" w14:textId="787034D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Exploratory case study</w:t>
            </w:r>
          </w:p>
        </w:tc>
        <w:tc>
          <w:tcPr>
            <w:tcW w:w="1738" w:type="pct"/>
          </w:tcPr>
          <w:p w14:paraId="527C3089" w14:textId="149ADBB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Pr="006F6BBE">
              <w:rPr>
                <w:rFonts w:ascii="Times New Roman" w:hAnsi="Times New Roman" w:cs="Times New Roman"/>
                <w:color w:val="000000"/>
                <w:sz w:val="20"/>
                <w:szCs w:val="20"/>
              </w:rPr>
              <w:t>O</w:t>
            </w:r>
            <w:r w:rsidRPr="006F6BBE">
              <w:rPr>
                <w:rFonts w:ascii="Times New Roman" w:hAnsi="Times New Roman" w:cs="Times New Roman"/>
                <w:sz w:val="20"/>
                <w:szCs w:val="20"/>
              </w:rPr>
              <w:t>rganizational CBM transformation is not only structural and strategic but also social and governance-related.</w:t>
            </w:r>
          </w:p>
          <w:p w14:paraId="17AC4CFA" w14:textId="015ED150" w:rsidR="00B72EB9" w:rsidRPr="006F6BBE" w:rsidRDefault="00B72EB9" w:rsidP="00B72EB9">
            <w:pPr>
              <w:rPr>
                <w:rFonts w:ascii="Times New Roman" w:hAnsi="Times New Roman" w:cs="Times New Roman"/>
                <w:sz w:val="20"/>
                <w:szCs w:val="20"/>
              </w:rPr>
            </w:pPr>
          </w:p>
        </w:tc>
        <w:tc>
          <w:tcPr>
            <w:tcW w:w="715" w:type="pct"/>
          </w:tcPr>
          <w:p w14:paraId="4811D97A" w14:textId="77D7648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-Transforming organizational processes practice.</w:t>
            </w:r>
          </w:p>
        </w:tc>
      </w:tr>
      <w:tr w:rsidR="00B72EB9" w:rsidRPr="006F6BBE" w14:paraId="5E3864E1" w14:textId="77777777" w:rsidTr="00857063">
        <w:tc>
          <w:tcPr>
            <w:tcW w:w="189" w:type="pct"/>
          </w:tcPr>
          <w:p w14:paraId="694F3C2A" w14:textId="43FEDE5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55</w:t>
            </w:r>
          </w:p>
        </w:tc>
        <w:tc>
          <w:tcPr>
            <w:tcW w:w="476" w:type="pct"/>
          </w:tcPr>
          <w:p w14:paraId="1FC40721" w14:textId="73F5C8C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Blackburn et al., 2023</w:t>
            </w:r>
          </w:p>
        </w:tc>
        <w:tc>
          <w:tcPr>
            <w:tcW w:w="667" w:type="pct"/>
          </w:tcPr>
          <w:p w14:paraId="3E5237BC" w14:textId="7202D92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Digital platforms for the circular economy: exploring meta-organizational orchestration mechanisms.</w:t>
            </w:r>
          </w:p>
        </w:tc>
        <w:tc>
          <w:tcPr>
            <w:tcW w:w="496" w:type="pct"/>
          </w:tcPr>
          <w:p w14:paraId="7330EA5B" w14:textId="0E61B5CA"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Organization &amp; Environment</w:t>
            </w:r>
          </w:p>
        </w:tc>
        <w:tc>
          <w:tcPr>
            <w:tcW w:w="719" w:type="pct"/>
          </w:tcPr>
          <w:p w14:paraId="369B94B4" w14:textId="1D398EA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multiple case study</w:t>
            </w:r>
          </w:p>
        </w:tc>
        <w:tc>
          <w:tcPr>
            <w:tcW w:w="1738" w:type="pct"/>
          </w:tcPr>
          <w:p w14:paraId="232A11E1" w14:textId="636142E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-Circular value creation is not only a technology issue but an orchestration issue: platform owners must actively structure participation, align incentives, and coordinate transactions so circular exchanges (reuse/repair/recycling) become economically viable across many actors. </w:t>
            </w:r>
          </w:p>
          <w:p w14:paraId="09A489BF" w14:textId="1BA79D9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-Digital platform functions like a  meta-organization lens – as a “network-level organization” (a coordinated ecosystem without full hierarchy), where the platform owner builds governance and coordination mechanisms to stabilize collaboration, grow participation, and translate ecosystem activity into a functioning CBM.</w:t>
            </w:r>
          </w:p>
        </w:tc>
        <w:tc>
          <w:tcPr>
            <w:tcW w:w="715" w:type="pct"/>
          </w:tcPr>
          <w:p w14:paraId="08451B63" w14:textId="7608F54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-Building competency through digital analytics practice.</w:t>
            </w:r>
          </w:p>
        </w:tc>
      </w:tr>
      <w:tr w:rsidR="00B72EB9" w:rsidRPr="006F6BBE" w14:paraId="3A007A37" w14:textId="77777777" w:rsidTr="00857063">
        <w:tc>
          <w:tcPr>
            <w:tcW w:w="189" w:type="pct"/>
          </w:tcPr>
          <w:p w14:paraId="33CA1412" w14:textId="5F2FE38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56</w:t>
            </w:r>
          </w:p>
        </w:tc>
        <w:tc>
          <w:tcPr>
            <w:tcW w:w="476" w:type="pct"/>
          </w:tcPr>
          <w:p w14:paraId="6A70D47F" w14:textId="2B2129C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Han et al., 2023</w:t>
            </w:r>
          </w:p>
        </w:tc>
        <w:tc>
          <w:tcPr>
            <w:tcW w:w="667" w:type="pct"/>
          </w:tcPr>
          <w:p w14:paraId="059503CD" w14:textId="28A26C0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How do circular start-ups achieve scale?</w:t>
            </w:r>
          </w:p>
        </w:tc>
        <w:tc>
          <w:tcPr>
            <w:tcW w:w="496" w:type="pct"/>
          </w:tcPr>
          <w:p w14:paraId="40BF8605" w14:textId="2CC3AE73"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Sustainable Production and Consumption</w:t>
            </w:r>
          </w:p>
        </w:tc>
        <w:tc>
          <w:tcPr>
            <w:tcW w:w="719" w:type="pct"/>
          </w:tcPr>
          <w:p w14:paraId="0E8550A6" w14:textId="50B781B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abductive multiple case study</w:t>
            </w:r>
          </w:p>
        </w:tc>
        <w:tc>
          <w:tcPr>
            <w:tcW w:w="1738" w:type="pct"/>
          </w:tcPr>
          <w:p w14:paraId="3C02FE24" w14:textId="2AF8DF6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-Entering new markets with circular offerings requires embedding circularity into organizational values, culture, and routines and not merely adding new products.</w:t>
            </w:r>
          </w:p>
          <w:p w14:paraId="2B73BA30" w14:textId="3C7D780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expand by strengthening internal alignment, legitimacy, and cultural commitment to circularity before or alongside market growth, ensuring circular practices persist beyond pilot projects.</w:t>
            </w:r>
          </w:p>
        </w:tc>
        <w:tc>
          <w:tcPr>
            <w:tcW w:w="715" w:type="pct"/>
          </w:tcPr>
          <w:p w14:paraId="11BA7AAA" w14:textId="0D6A9ED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-Customer and market scaling practice.</w:t>
            </w:r>
          </w:p>
        </w:tc>
      </w:tr>
      <w:tr w:rsidR="00B72EB9" w:rsidRPr="006F6BBE" w14:paraId="39E1D25D" w14:textId="77777777" w:rsidTr="00857063">
        <w:tc>
          <w:tcPr>
            <w:tcW w:w="189" w:type="pct"/>
          </w:tcPr>
          <w:p w14:paraId="52350179" w14:textId="2EE8929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57</w:t>
            </w:r>
          </w:p>
        </w:tc>
        <w:tc>
          <w:tcPr>
            <w:tcW w:w="476" w:type="pct"/>
          </w:tcPr>
          <w:p w14:paraId="56866768" w14:textId="0B01111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Liu et al., 2023</w:t>
            </w:r>
          </w:p>
        </w:tc>
        <w:tc>
          <w:tcPr>
            <w:tcW w:w="667" w:type="pct"/>
          </w:tcPr>
          <w:p w14:paraId="7D39E28F" w14:textId="3814DC1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Leveraging digital capabilities toward a circular economy: Reinforcing sustainable supply chain management with Industry 4.0 technologies. </w:t>
            </w:r>
          </w:p>
        </w:tc>
        <w:tc>
          <w:tcPr>
            <w:tcW w:w="496" w:type="pct"/>
          </w:tcPr>
          <w:p w14:paraId="30B589BA" w14:textId="65D8DC4A"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Computers &amp; Industrial Engineering</w:t>
            </w:r>
          </w:p>
        </w:tc>
        <w:tc>
          <w:tcPr>
            <w:tcW w:w="719" w:type="pct"/>
          </w:tcPr>
          <w:p w14:paraId="3F716F20" w14:textId="7F3D1CE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Systematic literature review using bibliometric analysis</w:t>
            </w:r>
          </w:p>
        </w:tc>
        <w:tc>
          <w:tcPr>
            <w:tcW w:w="1738" w:type="pct"/>
          </w:tcPr>
          <w:p w14:paraId="7DC0EE32" w14:textId="06DCFE1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-Industry 4.0 technologies enable circular supply chain coordination ecosystem-level efficiency. They do so by converting fragmented supply chain activities into an integrated “virtual” decision layer in which operational data can be shared, analyzed, and translated into faster and more precise decisions This helps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reduce inefficiencies, respond to uncertainty/shocks, and improve collaboration across multiple stakeholders.</w:t>
            </w:r>
          </w:p>
        </w:tc>
        <w:tc>
          <w:tcPr>
            <w:tcW w:w="715" w:type="pct"/>
          </w:tcPr>
          <w:p w14:paraId="6D7EF09E" w14:textId="7351C82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-Expanding CBM through digital technology practice. </w:t>
            </w:r>
          </w:p>
        </w:tc>
      </w:tr>
      <w:tr w:rsidR="00B72EB9" w:rsidRPr="006F6BBE" w14:paraId="2FCB7BAC" w14:textId="77777777" w:rsidTr="00857063">
        <w:tc>
          <w:tcPr>
            <w:tcW w:w="189" w:type="pct"/>
          </w:tcPr>
          <w:p w14:paraId="5D96E41B" w14:textId="0D3594D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58</w:t>
            </w:r>
          </w:p>
        </w:tc>
        <w:tc>
          <w:tcPr>
            <w:tcW w:w="476" w:type="pct"/>
          </w:tcPr>
          <w:p w14:paraId="043AFF4E" w14:textId="6AA7A20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Moscati et al., 2023</w:t>
            </w:r>
          </w:p>
          <w:p w14:paraId="00B9B635" w14:textId="77777777" w:rsidR="00B72EB9" w:rsidRPr="006F6BBE" w:rsidRDefault="00B72EB9" w:rsidP="00B72EB9">
            <w:pPr>
              <w:rPr>
                <w:rFonts w:ascii="Times New Roman" w:hAnsi="Times New Roman" w:cs="Times New Roman"/>
                <w:sz w:val="20"/>
                <w:szCs w:val="20"/>
              </w:rPr>
            </w:pPr>
          </w:p>
        </w:tc>
        <w:tc>
          <w:tcPr>
            <w:tcW w:w="667" w:type="pct"/>
          </w:tcPr>
          <w:p w14:paraId="6F8FACEC" w14:textId="1BAF0C0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Information exchange between construction and manufacturing industries to achieve circular economy: A literature review and interviews with Swedish experts.</w:t>
            </w:r>
          </w:p>
        </w:tc>
        <w:tc>
          <w:tcPr>
            <w:tcW w:w="496" w:type="pct"/>
          </w:tcPr>
          <w:p w14:paraId="75E9D73D" w14:textId="6E46ECB7"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Buildings</w:t>
            </w:r>
          </w:p>
        </w:tc>
        <w:tc>
          <w:tcPr>
            <w:tcW w:w="719" w:type="pct"/>
          </w:tcPr>
          <w:p w14:paraId="43C07E3E" w14:textId="2377A03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Literature review backed up by qualitative semi-structured interviews</w:t>
            </w:r>
          </w:p>
          <w:p w14:paraId="26F32E21" w14:textId="77777777" w:rsidR="00B72EB9" w:rsidRPr="006F6BBE" w:rsidRDefault="00B72EB9" w:rsidP="00B72EB9">
            <w:pPr>
              <w:rPr>
                <w:rFonts w:ascii="Times New Roman" w:hAnsi="Times New Roman" w:cs="Times New Roman"/>
                <w:sz w:val="20"/>
                <w:szCs w:val="20"/>
              </w:rPr>
            </w:pPr>
          </w:p>
        </w:tc>
        <w:tc>
          <w:tcPr>
            <w:tcW w:w="1738" w:type="pct"/>
          </w:tcPr>
          <w:p w14:paraId="5A3D8247" w14:textId="4032858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-Organizational and governance barriers outweigh technological limitations. The main obstacles are not lack of digital tools, but weak standards, unclear data responsibilities, and limited partner coordination, which hinder ecosystem-wide CBM implementation.</w:t>
            </w:r>
          </w:p>
        </w:tc>
        <w:tc>
          <w:tcPr>
            <w:tcW w:w="715" w:type="pct"/>
          </w:tcPr>
          <w:p w14:paraId="04BBB2EA" w14:textId="1F20493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-Expanding CBM through digital technology practice.</w:t>
            </w:r>
          </w:p>
        </w:tc>
      </w:tr>
      <w:tr w:rsidR="00B72EB9" w:rsidRPr="006F6BBE" w14:paraId="22BE91B0" w14:textId="77777777" w:rsidTr="00857063">
        <w:tc>
          <w:tcPr>
            <w:tcW w:w="189" w:type="pct"/>
          </w:tcPr>
          <w:p w14:paraId="11432462" w14:textId="7C6712E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59</w:t>
            </w:r>
          </w:p>
        </w:tc>
        <w:tc>
          <w:tcPr>
            <w:tcW w:w="476" w:type="pct"/>
          </w:tcPr>
          <w:p w14:paraId="57D78E74" w14:textId="69CC4F3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Niskanen &amp; McLaren, 2023</w:t>
            </w:r>
          </w:p>
        </w:tc>
        <w:tc>
          <w:tcPr>
            <w:tcW w:w="667" w:type="pct"/>
          </w:tcPr>
          <w:p w14:paraId="0380E398" w14:textId="36CB5D6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The political economy of circular economies: Lessons from future repair scenario deliberations in Sweden.</w:t>
            </w:r>
          </w:p>
        </w:tc>
        <w:tc>
          <w:tcPr>
            <w:tcW w:w="496" w:type="pct"/>
          </w:tcPr>
          <w:p w14:paraId="02A7DD78" w14:textId="2CC032BA"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Circular Economy and Sustainability</w:t>
            </w:r>
          </w:p>
        </w:tc>
        <w:tc>
          <w:tcPr>
            <w:tcW w:w="719" w:type="pct"/>
          </w:tcPr>
          <w:p w14:paraId="7CE7EE40" w14:textId="34A62F3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research using scenario-based stakeholder workshops</w:t>
            </w:r>
          </w:p>
        </w:tc>
        <w:tc>
          <w:tcPr>
            <w:tcW w:w="1738" w:type="pct"/>
          </w:tcPr>
          <w:p w14:paraId="06261310" w14:textId="3C0857E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-Industrial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frame circular solutions (including repair) through consumer choice and market mechanisms, limiting transformative ecosystem reconfigurations that challenge incumbent power structures.</w:t>
            </w:r>
          </w:p>
          <w:p w14:paraId="60A8AD82" w14:textId="666EB94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-Corporate-led circular ecosystems prioritize technocratic and incremental change over systemic transformation. Even when collaboration is promoted, dominant actors tend to favor business models (e.g., product–service systems, digital platforms) that preserve existing value capture logics rather than redistributing power or responsibilities across the ecosystem.</w:t>
            </w:r>
          </w:p>
          <w:p w14:paraId="68AC0D27" w14:textId="40C5F61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-Partner alignment is shaped by conflicting interests between market efficiency and societal circular goals.</w:t>
            </w:r>
          </w:p>
        </w:tc>
        <w:tc>
          <w:tcPr>
            <w:tcW w:w="715" w:type="pct"/>
          </w:tcPr>
          <w:p w14:paraId="69147320"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-Orchestrating and aligning with ecosystem partners practice. </w:t>
            </w:r>
          </w:p>
          <w:p w14:paraId="2B818456" w14:textId="576BD0BE" w:rsidR="00B72EB9" w:rsidRPr="006F6BBE" w:rsidRDefault="00B72EB9" w:rsidP="00B72EB9">
            <w:pPr>
              <w:rPr>
                <w:rFonts w:ascii="Times New Roman" w:hAnsi="Times New Roman" w:cs="Times New Roman"/>
                <w:sz w:val="20"/>
                <w:szCs w:val="20"/>
              </w:rPr>
            </w:pPr>
          </w:p>
        </w:tc>
      </w:tr>
      <w:tr w:rsidR="00B72EB9" w:rsidRPr="006F6BBE" w14:paraId="56E57237" w14:textId="77777777" w:rsidTr="00857063">
        <w:tc>
          <w:tcPr>
            <w:tcW w:w="189" w:type="pct"/>
          </w:tcPr>
          <w:p w14:paraId="0D8887B3" w14:textId="5AFBC8A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60</w:t>
            </w:r>
          </w:p>
        </w:tc>
        <w:tc>
          <w:tcPr>
            <w:tcW w:w="476" w:type="pct"/>
          </w:tcPr>
          <w:p w14:paraId="49CAA31C" w14:textId="12A1DED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Schöggl et al., 2023</w:t>
            </w:r>
          </w:p>
        </w:tc>
        <w:tc>
          <w:tcPr>
            <w:tcW w:w="667" w:type="pct"/>
          </w:tcPr>
          <w:p w14:paraId="7DE05524" w14:textId="323A68D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Implementation of digital technologies for a circular economy and sustainability management in the manufacturing sector. </w:t>
            </w:r>
          </w:p>
        </w:tc>
        <w:tc>
          <w:tcPr>
            <w:tcW w:w="496" w:type="pct"/>
          </w:tcPr>
          <w:p w14:paraId="222F3C78" w14:textId="05D52B9F"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Sustainable Production and Consumption</w:t>
            </w:r>
          </w:p>
        </w:tc>
        <w:tc>
          <w:tcPr>
            <w:tcW w:w="719" w:type="pct"/>
          </w:tcPr>
          <w:p w14:paraId="092F7AC6" w14:textId="157421A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Survey-based quantitative study</w:t>
            </w:r>
          </w:p>
        </w:tc>
        <w:tc>
          <w:tcPr>
            <w:tcW w:w="1738" w:type="pct"/>
          </w:tcPr>
          <w:p w14:paraId="2A9B7B53" w14:textId="6E8EAC5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-Most sustainability-related digitalization efforts remain at the pilot stage, meaning CE tracking and analytics have not yet become routine practices, thus reflecting uneven maturity across technologies. </w:t>
            </w:r>
          </w:p>
          <w:p w14:paraId="7D85B3BA" w14:textId="0CDD68AA" w:rsidR="00B72EB9" w:rsidRPr="006F6BBE" w:rsidRDefault="00B72EB9" w:rsidP="00B72EB9">
            <w:pPr>
              <w:rPr>
                <w:rFonts w:ascii="Times New Roman" w:hAnsi="Times New Roman" w:cs="Times New Roman"/>
                <w:sz w:val="20"/>
                <w:szCs w:val="20"/>
              </w:rPr>
            </w:pPr>
          </w:p>
        </w:tc>
        <w:tc>
          <w:tcPr>
            <w:tcW w:w="715" w:type="pct"/>
          </w:tcPr>
          <w:p w14:paraId="0D4CD073" w14:textId="1B3E24E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-Building competency through digital analytics practice. </w:t>
            </w:r>
          </w:p>
        </w:tc>
      </w:tr>
      <w:tr w:rsidR="00B72EB9" w:rsidRPr="006F6BBE" w14:paraId="3D52C6BA" w14:textId="77777777" w:rsidTr="00857063">
        <w:tc>
          <w:tcPr>
            <w:tcW w:w="189" w:type="pct"/>
          </w:tcPr>
          <w:p w14:paraId="79B694AA" w14:textId="7B4A8CB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61</w:t>
            </w:r>
          </w:p>
        </w:tc>
        <w:tc>
          <w:tcPr>
            <w:tcW w:w="476" w:type="pct"/>
          </w:tcPr>
          <w:p w14:paraId="6C7231D2" w14:textId="19EB33BB" w:rsidR="00B72EB9" w:rsidRPr="006F6BBE" w:rsidRDefault="00B72EB9" w:rsidP="00B72EB9">
            <w:pPr>
              <w:rPr>
                <w:rFonts w:ascii="Times New Roman" w:hAnsi="Times New Roman" w:cs="Times New Roman"/>
                <w:sz w:val="20"/>
                <w:szCs w:val="20"/>
              </w:rPr>
            </w:pPr>
            <w:bookmarkStart w:id="8" w:name="_Hlk220601511"/>
            <w:r w:rsidRPr="006F6BBE">
              <w:rPr>
                <w:rFonts w:ascii="Times New Roman" w:hAnsi="Times New Roman" w:cs="Times New Roman"/>
                <w:sz w:val="20"/>
                <w:szCs w:val="20"/>
              </w:rPr>
              <w:t>Sjödin et al., 2023</w:t>
            </w:r>
            <w:bookmarkEnd w:id="8"/>
          </w:p>
        </w:tc>
        <w:tc>
          <w:tcPr>
            <w:tcW w:w="667" w:type="pct"/>
          </w:tcPr>
          <w:p w14:paraId="73EE2D10" w14:textId="59E9F66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Artificial intelligence enabling circular business model innovation in digital servitization: Conceptualizing dynamic capabilities, AI capacities, business models and effects.</w:t>
            </w:r>
          </w:p>
        </w:tc>
        <w:tc>
          <w:tcPr>
            <w:tcW w:w="496" w:type="pct"/>
          </w:tcPr>
          <w:p w14:paraId="1343AEAF" w14:textId="6C5582B4"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Technological Forecasting and Social Change</w:t>
            </w:r>
          </w:p>
        </w:tc>
        <w:tc>
          <w:tcPr>
            <w:tcW w:w="719" w:type="pct"/>
          </w:tcPr>
          <w:p w14:paraId="26912A65" w14:textId="3A1A8C3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multiple case study</w:t>
            </w:r>
          </w:p>
        </w:tc>
        <w:tc>
          <w:tcPr>
            <w:tcW w:w="1738" w:type="pct"/>
          </w:tcPr>
          <w:p w14:paraId="0632D713" w14:textId="332586D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-The study shows that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must build dynamic capabilities (value discovery, realization, optimization) through collaboration, enabling partners to jointly identify circular opportunities and implement service-based solutions.</w:t>
            </w:r>
          </w:p>
          <w:p w14:paraId="2A142EB9" w14:textId="1291679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-AI-enabled CBMs support operational circular outcomes (e.g., improved asset utilization, lifecycle extension, reduced waste) but only when partners are willing to adapt to product-to-service transformation and new operational roles.</w:t>
            </w:r>
          </w:p>
        </w:tc>
        <w:tc>
          <w:tcPr>
            <w:tcW w:w="715" w:type="pct"/>
          </w:tcPr>
          <w:p w14:paraId="6351345D" w14:textId="7ABB36A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-Reconfiguring ecosystem partners practice.</w:t>
            </w:r>
            <w:r w:rsidRPr="006F6BBE">
              <w:rPr>
                <w:rFonts w:ascii="Times New Roman" w:hAnsi="Times New Roman" w:cs="Times New Roman"/>
                <w:i/>
                <w:iCs/>
                <w:sz w:val="20"/>
                <w:szCs w:val="20"/>
              </w:rPr>
              <w:t xml:space="preserve"> </w:t>
            </w:r>
          </w:p>
        </w:tc>
      </w:tr>
      <w:tr w:rsidR="00B72EB9" w:rsidRPr="006F6BBE" w14:paraId="1EE6D2EF" w14:textId="77777777" w:rsidTr="00857063">
        <w:tc>
          <w:tcPr>
            <w:tcW w:w="189" w:type="pct"/>
          </w:tcPr>
          <w:p w14:paraId="6D63CEC7" w14:textId="5CA6F48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62</w:t>
            </w:r>
          </w:p>
        </w:tc>
        <w:tc>
          <w:tcPr>
            <w:tcW w:w="476" w:type="pct"/>
          </w:tcPr>
          <w:p w14:paraId="0EADDD6C" w14:textId="77777777" w:rsidR="00B72EB9" w:rsidRPr="006F6BBE" w:rsidRDefault="00B72EB9" w:rsidP="00B72EB9">
            <w:pPr>
              <w:rPr>
                <w:rFonts w:ascii="Times New Roman" w:hAnsi="Times New Roman" w:cs="Times New Roman"/>
                <w:sz w:val="20"/>
                <w:szCs w:val="20"/>
              </w:rPr>
            </w:pPr>
            <w:bookmarkStart w:id="9" w:name="_Hlk220601528"/>
            <w:r w:rsidRPr="006F6BBE">
              <w:rPr>
                <w:rFonts w:ascii="Times New Roman" w:hAnsi="Times New Roman" w:cs="Times New Roman"/>
                <w:sz w:val="20"/>
                <w:szCs w:val="20"/>
              </w:rPr>
              <w:t>Straub et al., 2023</w:t>
            </w:r>
          </w:p>
          <w:bookmarkEnd w:id="9"/>
          <w:p w14:paraId="2900A3ED" w14:textId="77777777" w:rsidR="00B72EB9" w:rsidRPr="006F6BBE" w:rsidRDefault="00B72EB9" w:rsidP="00B72EB9">
            <w:pPr>
              <w:rPr>
                <w:rFonts w:ascii="Times New Roman" w:hAnsi="Times New Roman" w:cs="Times New Roman"/>
                <w:sz w:val="20"/>
                <w:szCs w:val="20"/>
              </w:rPr>
            </w:pPr>
          </w:p>
        </w:tc>
        <w:tc>
          <w:tcPr>
            <w:tcW w:w="667" w:type="pct"/>
          </w:tcPr>
          <w:p w14:paraId="189D89DA" w14:textId="2CABE17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Employee skills for circular business model implementation: A taxonomy. </w:t>
            </w:r>
          </w:p>
        </w:tc>
        <w:tc>
          <w:tcPr>
            <w:tcW w:w="496" w:type="pct"/>
          </w:tcPr>
          <w:p w14:paraId="6EBE1FFF" w14:textId="636C365B"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Cleaner Production</w:t>
            </w:r>
          </w:p>
        </w:tc>
        <w:tc>
          <w:tcPr>
            <w:tcW w:w="719" w:type="pct"/>
          </w:tcPr>
          <w:p w14:paraId="0EDE757F" w14:textId="1FD22CE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Quantitative study</w:t>
            </w:r>
          </w:p>
        </w:tc>
        <w:tc>
          <w:tcPr>
            <w:tcW w:w="1738" w:type="pct"/>
          </w:tcPr>
          <w:p w14:paraId="48B569A8" w14:textId="27E13E4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-CBMs increasingly demand systems skills, digitization skills, and business innovation skills because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must coordinate multi-actor ecosystems, track circular flows through data/IT, and redesign value propositions and revenue models.</w:t>
            </w:r>
          </w:p>
          <w:p w14:paraId="074E465B" w14:textId="609580C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should begin by building business innovation, social, and systems skills to identify circular opportunities and align stakeholders. They should then strengthen operational and technical skills to execute recovery and remanufacturing, and finally continue building on digitization and systems skills to track flows and coordinate circular activities across partners.</w:t>
            </w:r>
          </w:p>
        </w:tc>
        <w:tc>
          <w:tcPr>
            <w:tcW w:w="715" w:type="pct"/>
          </w:tcPr>
          <w:p w14:paraId="60EDD3E5" w14:textId="2108A480" w:rsidR="00B72EB9" w:rsidRPr="006F6BBE" w:rsidRDefault="00B72EB9" w:rsidP="00B72EB9">
            <w:pPr>
              <w:rPr>
                <w:rFonts w:ascii="Times New Roman" w:hAnsi="Times New Roman" w:cs="Times New Roman"/>
                <w:b/>
                <w:bCs/>
                <w:sz w:val="20"/>
                <w:szCs w:val="20"/>
              </w:rPr>
            </w:pPr>
            <w:r w:rsidRPr="006F6BBE">
              <w:rPr>
                <w:rFonts w:ascii="Times New Roman" w:hAnsi="Times New Roman" w:cs="Times New Roman"/>
                <w:sz w:val="20"/>
                <w:szCs w:val="20"/>
              </w:rPr>
              <w:t>-Building competency through digital analytics practice.</w:t>
            </w:r>
          </w:p>
        </w:tc>
      </w:tr>
      <w:tr w:rsidR="00B72EB9" w:rsidRPr="006F6BBE" w14:paraId="4A54F998" w14:textId="77777777" w:rsidTr="00857063">
        <w:tc>
          <w:tcPr>
            <w:tcW w:w="189" w:type="pct"/>
          </w:tcPr>
          <w:p w14:paraId="68386AC3" w14:textId="7132D06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63</w:t>
            </w:r>
          </w:p>
        </w:tc>
        <w:tc>
          <w:tcPr>
            <w:tcW w:w="476" w:type="pct"/>
          </w:tcPr>
          <w:p w14:paraId="57649AAC" w14:textId="533A7DC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Thomson et al., 2023</w:t>
            </w:r>
          </w:p>
        </w:tc>
        <w:tc>
          <w:tcPr>
            <w:tcW w:w="667" w:type="pct"/>
          </w:tcPr>
          <w:p w14:paraId="498E9E89" w14:textId="3953018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Resource orchestration to realize the potential of industrial digital transformation: Leveraging capability configurations.</w:t>
            </w:r>
          </w:p>
        </w:tc>
        <w:tc>
          <w:tcPr>
            <w:tcW w:w="496" w:type="pct"/>
          </w:tcPr>
          <w:p w14:paraId="7F64D6BE" w14:textId="46BA91A8"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Available at SSRN 4650974</w:t>
            </w:r>
          </w:p>
        </w:tc>
        <w:tc>
          <w:tcPr>
            <w:tcW w:w="719" w:type="pct"/>
          </w:tcPr>
          <w:p w14:paraId="5A8F2338" w14:textId="406EC71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multiple case study</w:t>
            </w:r>
          </w:p>
        </w:tc>
        <w:tc>
          <w:tcPr>
            <w:tcW w:w="1738" w:type="pct"/>
          </w:tcPr>
          <w:p w14:paraId="40470046" w14:textId="74D809B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-Identifies three core digital transformation capabilities for industrial innovation and business model transformation: digital agency (workforce upskilling and data use), process digitalization (data visibility and optimization), and digital co-creation (leveraging supplier competencies).</w:t>
            </w:r>
          </w:p>
        </w:tc>
        <w:tc>
          <w:tcPr>
            <w:tcW w:w="715" w:type="pct"/>
          </w:tcPr>
          <w:p w14:paraId="7EE24A9A" w14:textId="2355972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-Building competency through digital analytics practice.  </w:t>
            </w:r>
          </w:p>
        </w:tc>
      </w:tr>
      <w:tr w:rsidR="00B72EB9" w:rsidRPr="006F6BBE" w14:paraId="49E98CE0" w14:textId="77777777" w:rsidTr="00857063">
        <w:tc>
          <w:tcPr>
            <w:tcW w:w="189" w:type="pct"/>
          </w:tcPr>
          <w:p w14:paraId="4658CC16" w14:textId="58787ED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64</w:t>
            </w:r>
          </w:p>
        </w:tc>
        <w:tc>
          <w:tcPr>
            <w:tcW w:w="476" w:type="pct"/>
          </w:tcPr>
          <w:p w14:paraId="369555DA" w14:textId="753E895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Alcayaga &amp; Hansen, 2024</w:t>
            </w:r>
          </w:p>
          <w:p w14:paraId="579A30D2" w14:textId="77777777" w:rsidR="00B72EB9" w:rsidRPr="006F6BBE" w:rsidRDefault="00B72EB9" w:rsidP="00B72EB9">
            <w:pPr>
              <w:rPr>
                <w:rFonts w:ascii="Times New Roman" w:hAnsi="Times New Roman" w:cs="Times New Roman"/>
                <w:sz w:val="20"/>
                <w:szCs w:val="20"/>
              </w:rPr>
            </w:pPr>
          </w:p>
        </w:tc>
        <w:tc>
          <w:tcPr>
            <w:tcW w:w="667" w:type="pct"/>
          </w:tcPr>
          <w:p w14:paraId="514FD768" w14:textId="3DB2AED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Smart circular economy as a service business model: an activity system framework and research agenda.</w:t>
            </w:r>
          </w:p>
        </w:tc>
        <w:tc>
          <w:tcPr>
            <w:tcW w:w="496" w:type="pct"/>
          </w:tcPr>
          <w:p w14:paraId="7F0798EE" w14:textId="2F1FB6F8"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R&amp;D Management</w:t>
            </w:r>
          </w:p>
        </w:tc>
        <w:tc>
          <w:tcPr>
            <w:tcW w:w="719" w:type="pct"/>
          </w:tcPr>
          <w:p w14:paraId="772A9E75" w14:textId="2594AAE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multiple case study</w:t>
            </w:r>
          </w:p>
          <w:p w14:paraId="6182CEBB" w14:textId="77777777" w:rsidR="00B72EB9" w:rsidRPr="006F6BBE" w:rsidRDefault="00B72EB9" w:rsidP="00B72EB9">
            <w:pPr>
              <w:rPr>
                <w:rFonts w:ascii="Times New Roman" w:hAnsi="Times New Roman" w:cs="Times New Roman"/>
                <w:sz w:val="20"/>
                <w:szCs w:val="20"/>
              </w:rPr>
            </w:pPr>
          </w:p>
        </w:tc>
        <w:tc>
          <w:tcPr>
            <w:tcW w:w="1738" w:type="pct"/>
          </w:tcPr>
          <w:p w14:paraId="5481842B" w14:textId="536D43C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-Data-driven activities such as condition monitoring, digital platforms, and lifecycle data integration act as enablers for scaling circularity service offerings, including rentals, leasing, maintenance, reuse, and remanufacturing.</w:t>
            </w:r>
          </w:p>
          <w:p w14:paraId="7241C7E7" w14:textId="136F341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-Digital servitization enhances customer engagement and operational efficiency simultaneously, allowing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dynamically optimize circular services based on actual product use and performance data.</w:t>
            </w:r>
          </w:p>
        </w:tc>
        <w:tc>
          <w:tcPr>
            <w:tcW w:w="715" w:type="pct"/>
          </w:tcPr>
          <w:p w14:paraId="609EDF4E" w14:textId="1711E0E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-Expanding CBM through digital technology practice.</w:t>
            </w:r>
          </w:p>
        </w:tc>
      </w:tr>
      <w:tr w:rsidR="00B72EB9" w:rsidRPr="006F6BBE" w14:paraId="0C53D5CD" w14:textId="77777777" w:rsidTr="00857063">
        <w:tc>
          <w:tcPr>
            <w:tcW w:w="189" w:type="pct"/>
          </w:tcPr>
          <w:p w14:paraId="6C3AE13F" w14:textId="49BA5C1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65</w:t>
            </w:r>
          </w:p>
        </w:tc>
        <w:tc>
          <w:tcPr>
            <w:tcW w:w="476" w:type="pct"/>
          </w:tcPr>
          <w:p w14:paraId="17C888E4"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Karuppiah et al., 2024</w:t>
            </w:r>
          </w:p>
          <w:p w14:paraId="29E01CEF" w14:textId="77777777" w:rsidR="00B72EB9" w:rsidRPr="006F6BBE" w:rsidRDefault="00B72EB9" w:rsidP="00B72EB9">
            <w:pPr>
              <w:rPr>
                <w:rFonts w:ascii="Times New Roman" w:hAnsi="Times New Roman" w:cs="Times New Roman"/>
                <w:sz w:val="20"/>
                <w:szCs w:val="20"/>
              </w:rPr>
            </w:pPr>
          </w:p>
        </w:tc>
        <w:tc>
          <w:tcPr>
            <w:tcW w:w="667" w:type="pct"/>
          </w:tcPr>
          <w:p w14:paraId="15C2C56F" w14:textId="03384EC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Toward a sustainable future: integrating circular economy in the digitally advanced supply chain.</w:t>
            </w:r>
          </w:p>
        </w:tc>
        <w:tc>
          <w:tcPr>
            <w:tcW w:w="496" w:type="pct"/>
          </w:tcPr>
          <w:p w14:paraId="6C1CE72C" w14:textId="2232C165"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Business &amp; Industrial Marketing</w:t>
            </w:r>
          </w:p>
        </w:tc>
        <w:tc>
          <w:tcPr>
            <w:tcW w:w="719" w:type="pct"/>
          </w:tcPr>
          <w:p w14:paraId="2BDD7780" w14:textId="23ED4C0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Mixed-method research combining a systematic literature review and expert-based multi-criteria decision making</w:t>
            </w:r>
          </w:p>
        </w:tc>
        <w:tc>
          <w:tcPr>
            <w:tcW w:w="1738" w:type="pct"/>
          </w:tcPr>
          <w:p w14:paraId="6C2D0909" w14:textId="618A105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-Smart work environment, performance monitoring, and data reliability and relevance were identified as important CSFs for supplier-inclusive circularity transition. </w:t>
            </w:r>
          </w:p>
          <w:p w14:paraId="6A3E2E5B" w14:textId="77777777" w:rsidR="00B72EB9" w:rsidRPr="006F6BBE" w:rsidRDefault="00B72EB9" w:rsidP="00B72EB9">
            <w:pPr>
              <w:rPr>
                <w:rFonts w:ascii="Times New Roman" w:hAnsi="Times New Roman" w:cs="Times New Roman"/>
                <w:sz w:val="20"/>
                <w:szCs w:val="20"/>
              </w:rPr>
            </w:pPr>
          </w:p>
        </w:tc>
        <w:tc>
          <w:tcPr>
            <w:tcW w:w="715" w:type="pct"/>
          </w:tcPr>
          <w:p w14:paraId="6E85567C" w14:textId="72F8DA2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-Building competency through digital analytics practice.  </w:t>
            </w:r>
          </w:p>
        </w:tc>
      </w:tr>
      <w:tr w:rsidR="00B72EB9" w:rsidRPr="006F6BBE" w14:paraId="78126B4D" w14:textId="77777777" w:rsidTr="00857063">
        <w:tc>
          <w:tcPr>
            <w:tcW w:w="189" w:type="pct"/>
          </w:tcPr>
          <w:p w14:paraId="35C883F7" w14:textId="67CE086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66</w:t>
            </w:r>
          </w:p>
        </w:tc>
        <w:tc>
          <w:tcPr>
            <w:tcW w:w="476" w:type="pct"/>
          </w:tcPr>
          <w:p w14:paraId="687B656F" w14:textId="3C902491" w:rsidR="00B72EB9" w:rsidRPr="006F6BBE" w:rsidRDefault="00B72EB9" w:rsidP="00B72EB9">
            <w:pPr>
              <w:rPr>
                <w:rFonts w:ascii="Times New Roman" w:hAnsi="Times New Roman" w:cs="Times New Roman"/>
                <w:sz w:val="20"/>
                <w:szCs w:val="20"/>
              </w:rPr>
            </w:pPr>
            <w:bookmarkStart w:id="10" w:name="_Hlk220601557"/>
            <w:r w:rsidRPr="006F6BBE">
              <w:rPr>
                <w:rFonts w:ascii="Times New Roman" w:hAnsi="Times New Roman" w:cs="Times New Roman"/>
                <w:sz w:val="20"/>
                <w:szCs w:val="20"/>
              </w:rPr>
              <w:t>Smol et al., 2024</w:t>
            </w:r>
            <w:bookmarkEnd w:id="10"/>
          </w:p>
        </w:tc>
        <w:tc>
          <w:tcPr>
            <w:tcW w:w="667" w:type="pct"/>
          </w:tcPr>
          <w:p w14:paraId="60EF30D5" w14:textId="4FD4F8B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Circular business models (CBMs) in environmental management – Analysis of definitions, typologies and </w:t>
            </w:r>
            <w:r w:rsidRPr="006F6BBE">
              <w:rPr>
                <w:rFonts w:ascii="Times New Roman" w:hAnsi="Times New Roman" w:cs="Times New Roman"/>
                <w:sz w:val="20"/>
                <w:szCs w:val="20"/>
              </w:rPr>
              <w:lastRenderedPageBreak/>
              <w:t>methods of creation in organizations.</w:t>
            </w:r>
          </w:p>
        </w:tc>
        <w:tc>
          <w:tcPr>
            <w:tcW w:w="496" w:type="pct"/>
          </w:tcPr>
          <w:p w14:paraId="53314F98" w14:textId="6A6BD883"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lastRenderedPageBreak/>
              <w:t>Sustainability</w:t>
            </w:r>
          </w:p>
        </w:tc>
        <w:tc>
          <w:tcPr>
            <w:tcW w:w="719" w:type="pct"/>
          </w:tcPr>
          <w:p w14:paraId="25C7497F" w14:textId="465E19D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Literature review using desk research and comparative analysis</w:t>
            </w:r>
          </w:p>
        </w:tc>
        <w:tc>
          <w:tcPr>
            <w:tcW w:w="1738" w:type="pct"/>
          </w:tcPr>
          <w:p w14:paraId="23133DC1" w14:textId="673FBF4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-Product-as-a-service (PaaS) and access-based models are core CBM types, as they enable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retain ownership of products while extending product lifecycles through maintenance, repair, refurbishment, and reuse. </w:t>
            </w:r>
          </w:p>
          <w:p w14:paraId="695B475B" w14:textId="07A367B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-The study highlights that PaaS models shift value creation from volume-based sales toward long-term value capture, </w:t>
            </w:r>
            <w:r w:rsidRPr="006F6BBE">
              <w:rPr>
                <w:rFonts w:ascii="Times New Roman" w:hAnsi="Times New Roman" w:cs="Times New Roman"/>
                <w:sz w:val="20"/>
                <w:szCs w:val="20"/>
              </w:rPr>
              <w:lastRenderedPageBreak/>
              <w:t xml:space="preserve">encouraging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design durable products and invest in service capabilities that support multiple use cycles. </w:t>
            </w:r>
          </w:p>
        </w:tc>
        <w:tc>
          <w:tcPr>
            <w:tcW w:w="715" w:type="pct"/>
          </w:tcPr>
          <w:p w14:paraId="4D742AB0"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 xml:space="preserve">-Extending circular revenue models practice. </w:t>
            </w:r>
          </w:p>
          <w:p w14:paraId="6DCD4D11" w14:textId="6612C1F3" w:rsidR="00B72EB9" w:rsidRPr="006F6BBE" w:rsidRDefault="00B72EB9" w:rsidP="00B72EB9">
            <w:pPr>
              <w:rPr>
                <w:rFonts w:ascii="Times New Roman" w:hAnsi="Times New Roman" w:cs="Times New Roman"/>
                <w:sz w:val="20"/>
                <w:szCs w:val="20"/>
              </w:rPr>
            </w:pPr>
          </w:p>
        </w:tc>
      </w:tr>
      <w:tr w:rsidR="00B72EB9" w:rsidRPr="006F6BBE" w14:paraId="48205993" w14:textId="77777777" w:rsidTr="00857063">
        <w:tc>
          <w:tcPr>
            <w:tcW w:w="189" w:type="pct"/>
          </w:tcPr>
          <w:p w14:paraId="1BDDBF1D" w14:textId="3B8666A8"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67</w:t>
            </w:r>
          </w:p>
        </w:tc>
        <w:tc>
          <w:tcPr>
            <w:tcW w:w="476" w:type="pct"/>
          </w:tcPr>
          <w:p w14:paraId="242AFBD9" w14:textId="79F91123" w:rsidR="00B72EB9" w:rsidRPr="006F6BBE" w:rsidRDefault="00B72EB9" w:rsidP="00B72EB9">
            <w:pPr>
              <w:rPr>
                <w:rFonts w:ascii="Times New Roman" w:hAnsi="Times New Roman" w:cs="Times New Roman"/>
                <w:sz w:val="20"/>
                <w:szCs w:val="20"/>
              </w:rPr>
            </w:pPr>
            <w:bookmarkStart w:id="11" w:name="_Hlk220601578"/>
            <w:r w:rsidRPr="006F6BBE">
              <w:rPr>
                <w:rFonts w:ascii="Times New Roman" w:hAnsi="Times New Roman" w:cs="Times New Roman"/>
                <w:sz w:val="20"/>
                <w:szCs w:val="20"/>
              </w:rPr>
              <w:t>Welch &amp; Soufani,2024</w:t>
            </w:r>
          </w:p>
          <w:bookmarkEnd w:id="11"/>
          <w:p w14:paraId="24F973CF" w14:textId="77777777" w:rsidR="00B72EB9" w:rsidRPr="006F6BBE" w:rsidRDefault="00B72EB9" w:rsidP="00B72EB9">
            <w:pPr>
              <w:rPr>
                <w:rFonts w:ascii="Times New Roman" w:hAnsi="Times New Roman" w:cs="Times New Roman"/>
                <w:sz w:val="20"/>
                <w:szCs w:val="20"/>
              </w:rPr>
            </w:pPr>
          </w:p>
        </w:tc>
        <w:tc>
          <w:tcPr>
            <w:tcW w:w="667" w:type="pct"/>
          </w:tcPr>
          <w:p w14:paraId="10DC8F7D" w14:textId="3734C88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Find a circular strategy to fit your business model.</w:t>
            </w:r>
          </w:p>
        </w:tc>
        <w:tc>
          <w:tcPr>
            <w:tcW w:w="496" w:type="pct"/>
          </w:tcPr>
          <w:p w14:paraId="7879663B" w14:textId="277248F6"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MIT Sloan Management Review</w:t>
            </w:r>
          </w:p>
        </w:tc>
        <w:tc>
          <w:tcPr>
            <w:tcW w:w="719" w:type="pct"/>
          </w:tcPr>
          <w:p w14:paraId="6453CBA2" w14:textId="51B3520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case-based research</w:t>
            </w:r>
          </w:p>
        </w:tc>
        <w:tc>
          <w:tcPr>
            <w:tcW w:w="1738" w:type="pct"/>
          </w:tcPr>
          <w:p w14:paraId="70984B6B" w14:textId="7B3AF745"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-Early CBM design is an iterative, experimental process, involving learning by doing, pilot projects, customer engagement, and collaboration with ecosystem partners to refine circular offerings and operational requirements.</w:t>
            </w:r>
          </w:p>
          <w:p w14:paraId="7DB7FCC2" w14:textId="18D5C06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-Successful CBM design requires an explicit assessment of strategic fit, where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select circular approaches that align with existing capabilities, value propositions, and competitive positioning rather than adopting circularity in a generic or ad-hoc manner.</w:t>
            </w:r>
          </w:p>
        </w:tc>
        <w:tc>
          <w:tcPr>
            <w:tcW w:w="715" w:type="pct"/>
          </w:tcPr>
          <w:p w14:paraId="1668A8CC" w14:textId="4B6A9BF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-Customer and market scaling practice. </w:t>
            </w:r>
          </w:p>
        </w:tc>
      </w:tr>
      <w:tr w:rsidR="00B72EB9" w:rsidRPr="006F6BBE" w14:paraId="0FACDEF3" w14:textId="77777777" w:rsidTr="00857063">
        <w:tc>
          <w:tcPr>
            <w:tcW w:w="189" w:type="pct"/>
          </w:tcPr>
          <w:p w14:paraId="5A00DD2E" w14:textId="2E8B0B9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68</w:t>
            </w:r>
          </w:p>
        </w:tc>
        <w:tc>
          <w:tcPr>
            <w:tcW w:w="476" w:type="pct"/>
          </w:tcPr>
          <w:p w14:paraId="79F2C813" w14:textId="45A3544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Widerberg et al., 2024</w:t>
            </w:r>
          </w:p>
          <w:p w14:paraId="6E320107" w14:textId="77777777" w:rsidR="00B72EB9" w:rsidRPr="006F6BBE" w:rsidRDefault="00B72EB9" w:rsidP="00B72EB9">
            <w:pPr>
              <w:rPr>
                <w:rFonts w:ascii="Times New Roman" w:hAnsi="Times New Roman" w:cs="Times New Roman"/>
                <w:sz w:val="20"/>
                <w:szCs w:val="20"/>
              </w:rPr>
            </w:pPr>
          </w:p>
        </w:tc>
        <w:tc>
          <w:tcPr>
            <w:tcW w:w="667" w:type="pct"/>
          </w:tcPr>
          <w:p w14:paraId="0F5E6926" w14:textId="350DA10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 cautionary tale for polycentric climate governance: Sweden’s roles in orchestrating decarbonization. </w:t>
            </w:r>
          </w:p>
        </w:tc>
        <w:tc>
          <w:tcPr>
            <w:tcW w:w="496" w:type="pct"/>
          </w:tcPr>
          <w:p w14:paraId="33F4972B" w14:textId="5E26AEE2"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Global Environmental Politics</w:t>
            </w:r>
          </w:p>
        </w:tc>
        <w:tc>
          <w:tcPr>
            <w:tcW w:w="719" w:type="pct"/>
          </w:tcPr>
          <w:p w14:paraId="49582795" w14:textId="40480B7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The article draws primarily on three sources: a survey; document analysis; and an in-depth case study, including interviews and focus groups.</w:t>
            </w:r>
          </w:p>
        </w:tc>
        <w:tc>
          <w:tcPr>
            <w:tcW w:w="1738" w:type="pct"/>
          </w:tcPr>
          <w:p w14:paraId="7D3B43C4" w14:textId="7BB5BD7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-Governance for circular transition must go beyond </w:t>
            </w:r>
            <w:r w:rsidR="00D60579">
              <w:rPr>
                <w:rFonts w:ascii="Times New Roman" w:hAnsi="Times New Roman" w:cs="Times New Roman"/>
                <w:sz w:val="20"/>
                <w:szCs w:val="20"/>
              </w:rPr>
              <w:t>company</w:t>
            </w:r>
            <w:r w:rsidRPr="006F6BBE">
              <w:rPr>
                <w:rFonts w:ascii="Times New Roman" w:hAnsi="Times New Roman" w:cs="Times New Roman"/>
                <w:sz w:val="20"/>
                <w:szCs w:val="20"/>
              </w:rPr>
              <w:t>-level CBM design: orchestrators should coordinate partners through shared rules, incentives, and collaboration mechanisms, enabling alignment without relying on hierarchy.</w:t>
            </w:r>
          </w:p>
          <w:p w14:paraId="55F36C99" w14:textId="66E886B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-Orchestrators should experiment with multiple governance arrangements (e.g., platforms, participation rules, coordination routines, incentive designs) because weak alignment can create fragmented outcomes where actors commit formally but act divergently in practice.</w:t>
            </w:r>
          </w:p>
        </w:tc>
        <w:tc>
          <w:tcPr>
            <w:tcW w:w="715" w:type="pct"/>
          </w:tcPr>
          <w:p w14:paraId="769A11E1" w14:textId="0C44C67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-Orchestrating and aligning with ecosystem partners practice. </w:t>
            </w:r>
          </w:p>
        </w:tc>
      </w:tr>
      <w:tr w:rsidR="00B72EB9" w:rsidRPr="006F6BBE" w14:paraId="702BAF49" w14:textId="77777777" w:rsidTr="00857063">
        <w:tc>
          <w:tcPr>
            <w:tcW w:w="189" w:type="pct"/>
          </w:tcPr>
          <w:p w14:paraId="4533737B" w14:textId="3670ED0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69</w:t>
            </w:r>
          </w:p>
        </w:tc>
        <w:tc>
          <w:tcPr>
            <w:tcW w:w="476" w:type="pct"/>
          </w:tcPr>
          <w:p w14:paraId="0CFA737B" w14:textId="7B44012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Ardra et al., 2025</w:t>
            </w:r>
          </w:p>
          <w:p w14:paraId="61E214B1" w14:textId="77777777" w:rsidR="00B72EB9" w:rsidRPr="006F6BBE" w:rsidRDefault="00B72EB9" w:rsidP="00B72EB9">
            <w:pPr>
              <w:rPr>
                <w:rFonts w:ascii="Times New Roman" w:hAnsi="Times New Roman" w:cs="Times New Roman"/>
                <w:sz w:val="20"/>
                <w:szCs w:val="20"/>
              </w:rPr>
            </w:pPr>
          </w:p>
        </w:tc>
        <w:tc>
          <w:tcPr>
            <w:tcW w:w="667" w:type="pct"/>
          </w:tcPr>
          <w:p w14:paraId="3940B06E" w14:textId="06336D33"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Breaking digital barriers: a study on achieving sustainable consumption and production patterns in food supply chain.</w:t>
            </w:r>
          </w:p>
        </w:tc>
        <w:tc>
          <w:tcPr>
            <w:tcW w:w="496" w:type="pct"/>
          </w:tcPr>
          <w:p w14:paraId="01BD358B" w14:textId="764319EA"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Business &amp; Industrial Marketing </w:t>
            </w:r>
          </w:p>
        </w:tc>
        <w:tc>
          <w:tcPr>
            <w:tcW w:w="719" w:type="pct"/>
          </w:tcPr>
          <w:p w14:paraId="52BBD735" w14:textId="20099E1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modeling using Total Interpretive Structural Modeling</w:t>
            </w:r>
          </w:p>
        </w:tc>
        <w:tc>
          <w:tcPr>
            <w:tcW w:w="1738" w:type="pct"/>
          </w:tcPr>
          <w:p w14:paraId="0B3BF190" w14:textId="457FBA7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-Digital transformation for sustainability requires partners with complementary technological, organizational, and institutional capabilities rather than homogeneous actors, emphasizing the importance of ecosystem-level capability orchestration.</w:t>
            </w:r>
          </w:p>
        </w:tc>
        <w:tc>
          <w:tcPr>
            <w:tcW w:w="715" w:type="pct"/>
          </w:tcPr>
          <w:p w14:paraId="15AEDB9C" w14:textId="5F0785F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-Reconfiguring ecosystem partners practice. </w:t>
            </w:r>
          </w:p>
        </w:tc>
      </w:tr>
      <w:tr w:rsidR="00B72EB9" w:rsidRPr="006F6BBE" w14:paraId="5D3191E0" w14:textId="77777777" w:rsidTr="00857063">
        <w:tc>
          <w:tcPr>
            <w:tcW w:w="189" w:type="pct"/>
          </w:tcPr>
          <w:p w14:paraId="0D2A0860" w14:textId="514AA53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70</w:t>
            </w:r>
          </w:p>
        </w:tc>
        <w:tc>
          <w:tcPr>
            <w:tcW w:w="476" w:type="pct"/>
          </w:tcPr>
          <w:p w14:paraId="2090077F" w14:textId="0D346F1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Bücker et al., 2025</w:t>
            </w:r>
          </w:p>
        </w:tc>
        <w:tc>
          <w:tcPr>
            <w:tcW w:w="667" w:type="pct"/>
          </w:tcPr>
          <w:p w14:paraId="507C4497" w14:textId="1CB2501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Digital technologies as enablers of the circular economy: an empirical perspective on the role of companies in driving customer behaviour change. </w:t>
            </w:r>
          </w:p>
        </w:tc>
        <w:tc>
          <w:tcPr>
            <w:tcW w:w="496" w:type="pct"/>
          </w:tcPr>
          <w:p w14:paraId="4A602A33" w14:textId="7FB8254C"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R&amp;D Management</w:t>
            </w:r>
            <w:r w:rsidRPr="006F6BBE">
              <w:rPr>
                <w:rFonts w:ascii="Times New Roman" w:hAnsi="Times New Roman" w:cs="Times New Roman"/>
                <w:sz w:val="20"/>
                <w:szCs w:val="20"/>
              </w:rPr>
              <w:t>.</w:t>
            </w:r>
          </w:p>
        </w:tc>
        <w:tc>
          <w:tcPr>
            <w:tcW w:w="719" w:type="pct"/>
          </w:tcPr>
          <w:p w14:paraId="7E1DB88A" w14:textId="3EABE0A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multiple case study</w:t>
            </w:r>
          </w:p>
          <w:p w14:paraId="663FBC18" w14:textId="77777777" w:rsidR="00B72EB9" w:rsidRPr="006F6BBE" w:rsidRDefault="00B72EB9" w:rsidP="00B72EB9">
            <w:pPr>
              <w:rPr>
                <w:rFonts w:ascii="Times New Roman" w:hAnsi="Times New Roman" w:cs="Times New Roman"/>
                <w:sz w:val="20"/>
                <w:szCs w:val="20"/>
              </w:rPr>
            </w:pPr>
          </w:p>
        </w:tc>
        <w:tc>
          <w:tcPr>
            <w:tcW w:w="1738" w:type="pct"/>
          </w:tcPr>
          <w:p w14:paraId="223D05FD" w14:textId="62D7154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Pr="006F6BBE">
              <w:rPr>
                <w:rFonts w:ascii="Times New Roman" w:hAnsi="Times New Roman" w:cs="Times New Roman"/>
                <w:color w:val="000000"/>
                <w:sz w:val="20"/>
                <w:szCs w:val="20"/>
              </w:rPr>
              <w:t>E</w:t>
            </w:r>
            <w:r w:rsidRPr="006F6BBE">
              <w:rPr>
                <w:rFonts w:ascii="Times New Roman" w:hAnsi="Times New Roman" w:cs="Times New Roman"/>
                <w:sz w:val="20"/>
                <w:szCs w:val="20"/>
              </w:rPr>
              <w:t>cosystem misalignment, particularly differences in digital capabilities, customer-facing practices, and regulatory interpretation, creates friction that slows CBM transitions, underscoring the need for early partner evaluation and dialogue.</w:t>
            </w:r>
          </w:p>
          <w:p w14:paraId="361FCF31" w14:textId="1C5B1F72"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Pr="006F6BBE">
              <w:rPr>
                <w:rFonts w:ascii="Times New Roman" w:hAnsi="Times New Roman" w:cs="Times New Roman"/>
                <w:color w:val="000000"/>
                <w:sz w:val="20"/>
                <w:szCs w:val="20"/>
              </w:rPr>
              <w:t>D</w:t>
            </w:r>
            <w:r w:rsidRPr="006F6BBE">
              <w:rPr>
                <w:rFonts w:ascii="Times New Roman" w:hAnsi="Times New Roman" w:cs="Times New Roman"/>
                <w:sz w:val="20"/>
                <w:szCs w:val="20"/>
              </w:rPr>
              <w:t xml:space="preserve">igital technologies (e.g., IoT, blockchain, data analytics) play a critical role in revealing gaps in partner capabilities and practices, enabling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assess whether partners are prepared to support circular offerings and service-based models.</w:t>
            </w:r>
          </w:p>
        </w:tc>
        <w:tc>
          <w:tcPr>
            <w:tcW w:w="715" w:type="pct"/>
          </w:tcPr>
          <w:p w14:paraId="589FF78E"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-Reconfiguring ecosystem partners practice.</w:t>
            </w:r>
          </w:p>
          <w:p w14:paraId="7D5C68E8" w14:textId="72B9EE3C" w:rsidR="00B72EB9" w:rsidRPr="006F6BBE" w:rsidRDefault="00B72EB9" w:rsidP="00B72EB9">
            <w:pPr>
              <w:rPr>
                <w:rFonts w:ascii="Times New Roman" w:hAnsi="Times New Roman" w:cs="Times New Roman"/>
                <w:sz w:val="20"/>
                <w:szCs w:val="20"/>
              </w:rPr>
            </w:pPr>
          </w:p>
        </w:tc>
      </w:tr>
      <w:tr w:rsidR="00B72EB9" w:rsidRPr="006F6BBE" w14:paraId="668F65E0" w14:textId="77777777" w:rsidTr="00857063">
        <w:tc>
          <w:tcPr>
            <w:tcW w:w="189" w:type="pct"/>
          </w:tcPr>
          <w:p w14:paraId="651B22B7" w14:textId="0D3ECF2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71</w:t>
            </w:r>
          </w:p>
        </w:tc>
        <w:tc>
          <w:tcPr>
            <w:tcW w:w="476" w:type="pct"/>
          </w:tcPr>
          <w:p w14:paraId="2C1CB9C5" w14:textId="505BB3F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Dziubaniuk &amp; Aarikka-Stenroos, 2025</w:t>
            </w:r>
          </w:p>
          <w:p w14:paraId="5D0FAACF" w14:textId="77777777" w:rsidR="00B72EB9" w:rsidRPr="006F6BBE" w:rsidRDefault="00B72EB9" w:rsidP="00B72EB9">
            <w:pPr>
              <w:rPr>
                <w:rFonts w:ascii="Times New Roman" w:hAnsi="Times New Roman" w:cs="Times New Roman"/>
                <w:sz w:val="20"/>
                <w:szCs w:val="20"/>
              </w:rPr>
            </w:pPr>
          </w:p>
        </w:tc>
        <w:tc>
          <w:tcPr>
            <w:tcW w:w="667" w:type="pct"/>
          </w:tcPr>
          <w:p w14:paraId="3D18A95B" w14:textId="03A029C6"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 xml:space="preserve">Ethical value co-creation in circular economy ecosystems: </w:t>
            </w:r>
            <w:r w:rsidRPr="006F6BBE">
              <w:rPr>
                <w:rFonts w:ascii="Times New Roman" w:hAnsi="Times New Roman" w:cs="Times New Roman"/>
                <w:sz w:val="20"/>
                <w:szCs w:val="20"/>
              </w:rPr>
              <w:lastRenderedPageBreak/>
              <w:t>a case study of the textile industry. </w:t>
            </w:r>
          </w:p>
        </w:tc>
        <w:tc>
          <w:tcPr>
            <w:tcW w:w="496" w:type="pct"/>
          </w:tcPr>
          <w:p w14:paraId="7625DFF2" w14:textId="294E4310"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lastRenderedPageBreak/>
              <w:t xml:space="preserve">Journal of Business &amp; </w:t>
            </w:r>
            <w:r w:rsidRPr="006F6BBE">
              <w:rPr>
                <w:rFonts w:ascii="Times New Roman" w:hAnsi="Times New Roman" w:cs="Times New Roman"/>
                <w:i/>
                <w:iCs/>
                <w:sz w:val="20"/>
                <w:szCs w:val="20"/>
              </w:rPr>
              <w:lastRenderedPageBreak/>
              <w:t>Industrial Marketing</w:t>
            </w:r>
          </w:p>
        </w:tc>
        <w:tc>
          <w:tcPr>
            <w:tcW w:w="719" w:type="pct"/>
          </w:tcPr>
          <w:p w14:paraId="3F0A84AA" w14:textId="369D1941"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Qualitative single case study</w:t>
            </w:r>
          </w:p>
          <w:p w14:paraId="260D4997" w14:textId="77777777" w:rsidR="00B72EB9" w:rsidRPr="006F6BBE" w:rsidRDefault="00B72EB9" w:rsidP="00B72EB9">
            <w:pPr>
              <w:rPr>
                <w:rFonts w:ascii="Times New Roman" w:hAnsi="Times New Roman" w:cs="Times New Roman"/>
                <w:sz w:val="20"/>
                <w:szCs w:val="20"/>
              </w:rPr>
            </w:pPr>
          </w:p>
        </w:tc>
        <w:tc>
          <w:tcPr>
            <w:tcW w:w="1738" w:type="pct"/>
          </w:tcPr>
          <w:p w14:paraId="02FBAD5D" w14:textId="0C38AED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experiment with and combine different value logics simultaneously across ecosystem actors, allowing them </w:t>
            </w:r>
            <w:r w:rsidRPr="006F6BBE">
              <w:rPr>
                <w:rFonts w:ascii="Times New Roman" w:hAnsi="Times New Roman" w:cs="Times New Roman"/>
                <w:sz w:val="20"/>
                <w:szCs w:val="20"/>
              </w:rPr>
              <w:lastRenderedPageBreak/>
              <w:t xml:space="preserve">to balance economic feasibility with environmental and social value creation. </w:t>
            </w:r>
          </w:p>
          <w:p w14:paraId="66CCF74D" w14:textId="4C7CFE8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Pr="006F6BBE">
              <w:rPr>
                <w:rFonts w:ascii="Times New Roman" w:hAnsi="Times New Roman" w:cs="Times New Roman"/>
                <w:color w:val="000000"/>
                <w:sz w:val="20"/>
                <w:szCs w:val="20"/>
              </w:rPr>
              <w:t>V</w:t>
            </w:r>
            <w:r w:rsidRPr="006F6BBE">
              <w:rPr>
                <w:rFonts w:ascii="Times New Roman" w:hAnsi="Times New Roman" w:cs="Times New Roman"/>
                <w:sz w:val="20"/>
                <w:szCs w:val="20"/>
              </w:rPr>
              <w:t xml:space="preserve">alue propositions are closely intertwined with resource flow strategies, as customer-facing circular offerings (e.g., rental, recycled products) require coordinated material circulation, recycling, and recovery processes across partners. </w:t>
            </w:r>
          </w:p>
        </w:tc>
        <w:tc>
          <w:tcPr>
            <w:tcW w:w="715" w:type="pct"/>
          </w:tcPr>
          <w:p w14:paraId="647FFADB"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-Experimenting with diverse circular value logics practice.</w:t>
            </w:r>
          </w:p>
          <w:p w14:paraId="60382FD2" w14:textId="74E0CA30" w:rsidR="00B72EB9" w:rsidRPr="006F6BBE" w:rsidRDefault="00B72EB9" w:rsidP="00B72EB9">
            <w:pPr>
              <w:rPr>
                <w:rFonts w:ascii="Times New Roman" w:hAnsi="Times New Roman" w:cs="Times New Roman"/>
                <w:sz w:val="20"/>
                <w:szCs w:val="20"/>
              </w:rPr>
            </w:pPr>
          </w:p>
        </w:tc>
      </w:tr>
      <w:tr w:rsidR="00B72EB9" w:rsidRPr="006F6BBE" w14:paraId="52B30E00" w14:textId="77777777" w:rsidTr="00857063">
        <w:tc>
          <w:tcPr>
            <w:tcW w:w="189" w:type="pct"/>
          </w:tcPr>
          <w:p w14:paraId="06A73029" w14:textId="7F7E1F0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lastRenderedPageBreak/>
              <w:t>72</w:t>
            </w:r>
          </w:p>
        </w:tc>
        <w:tc>
          <w:tcPr>
            <w:tcW w:w="476" w:type="pct"/>
          </w:tcPr>
          <w:p w14:paraId="56EF4A8B" w14:textId="76C21874"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Martin, 2025. </w:t>
            </w:r>
          </w:p>
        </w:tc>
        <w:tc>
          <w:tcPr>
            <w:tcW w:w="667" w:type="pct"/>
          </w:tcPr>
          <w:p w14:paraId="350B926F" w14:textId="6897C49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Skills for a circular economy transformation – A regional case study from Sweden. </w:t>
            </w:r>
          </w:p>
        </w:tc>
        <w:tc>
          <w:tcPr>
            <w:tcW w:w="496" w:type="pct"/>
          </w:tcPr>
          <w:p w14:paraId="17FD814C" w14:textId="215CC97E"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International Journal of Training and Development</w:t>
            </w:r>
          </w:p>
        </w:tc>
        <w:tc>
          <w:tcPr>
            <w:tcW w:w="719" w:type="pct"/>
          </w:tcPr>
          <w:p w14:paraId="7355F355" w14:textId="60BBFDC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case study</w:t>
            </w:r>
          </w:p>
        </w:tc>
        <w:tc>
          <w:tcPr>
            <w:tcW w:w="1738" w:type="pct"/>
          </w:tcPr>
          <w:p w14:paraId="436502F5" w14:textId="59B44AEC"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rely heavily on technical reskilling and cross-industry learning, drawing skills from related and unrelated industries (e.g., forestry, logistics, retail) to compensate for missing circular-economy-specific competencies.</w:t>
            </w:r>
          </w:p>
        </w:tc>
        <w:tc>
          <w:tcPr>
            <w:tcW w:w="715" w:type="pct"/>
          </w:tcPr>
          <w:p w14:paraId="289D6917" w14:textId="7777777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-Building competency through digital analytics practice.  </w:t>
            </w:r>
          </w:p>
          <w:p w14:paraId="152F4D3E" w14:textId="11A86B09" w:rsidR="00B72EB9" w:rsidRPr="006F6BBE" w:rsidRDefault="00B72EB9" w:rsidP="00B72EB9">
            <w:pPr>
              <w:rPr>
                <w:rFonts w:ascii="Times New Roman" w:hAnsi="Times New Roman" w:cs="Times New Roman"/>
                <w:sz w:val="20"/>
                <w:szCs w:val="20"/>
              </w:rPr>
            </w:pPr>
          </w:p>
        </w:tc>
      </w:tr>
      <w:tr w:rsidR="00B72EB9" w:rsidRPr="006F6BBE" w14:paraId="2EC77A0C" w14:textId="77777777" w:rsidTr="00857063">
        <w:tc>
          <w:tcPr>
            <w:tcW w:w="189" w:type="pct"/>
          </w:tcPr>
          <w:p w14:paraId="71C7927D" w14:textId="7F0EFB4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73</w:t>
            </w:r>
          </w:p>
        </w:tc>
        <w:tc>
          <w:tcPr>
            <w:tcW w:w="476" w:type="pct"/>
          </w:tcPr>
          <w:p w14:paraId="104BAE2A" w14:textId="3AD51E4F"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Souza et al., 2025</w:t>
            </w:r>
          </w:p>
        </w:tc>
        <w:tc>
          <w:tcPr>
            <w:tcW w:w="667" w:type="pct"/>
          </w:tcPr>
          <w:p w14:paraId="42653256" w14:textId="5EAB72D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Sustainable operations in the steel industry: a study in the business-to-business context. </w:t>
            </w:r>
          </w:p>
        </w:tc>
        <w:tc>
          <w:tcPr>
            <w:tcW w:w="496" w:type="pct"/>
          </w:tcPr>
          <w:p w14:paraId="3F48E61C" w14:textId="21813649"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Business &amp; Industrial Marketing</w:t>
            </w:r>
          </w:p>
        </w:tc>
        <w:tc>
          <w:tcPr>
            <w:tcW w:w="719" w:type="pct"/>
          </w:tcPr>
          <w:p w14:paraId="6AB083FB" w14:textId="6628EFDB"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Quantitative survey-based design</w:t>
            </w:r>
          </w:p>
        </w:tc>
        <w:tc>
          <w:tcPr>
            <w:tcW w:w="1738" w:type="pct"/>
          </w:tcPr>
          <w:p w14:paraId="3A9F4DAF" w14:textId="0F90F1FE"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-Scaling sustainability-oriented business models requires translating internal practices into consistent customer-facing offerings, so that customers experience circularity through reliable quality, availability, and service performance rather than fragmented or experimental initiatives.</w:t>
            </w:r>
          </w:p>
          <w:p w14:paraId="10C41CC9" w14:textId="4B86942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-Cross-departmental integration is critical for market credibility because misalignment between production, logistics, sales, and service functions undermines customer trust and limits the commercial uptake of sustainable and circular offerings.</w:t>
            </w:r>
          </w:p>
        </w:tc>
        <w:tc>
          <w:tcPr>
            <w:tcW w:w="715" w:type="pct"/>
          </w:tcPr>
          <w:p w14:paraId="4E911460" w14:textId="60DDAC4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-Customer and market scaling practice. </w:t>
            </w:r>
          </w:p>
        </w:tc>
      </w:tr>
      <w:tr w:rsidR="00B72EB9" w:rsidRPr="006F6BBE" w14:paraId="5F02E9AC" w14:textId="77777777" w:rsidTr="00857063">
        <w:tc>
          <w:tcPr>
            <w:tcW w:w="189" w:type="pct"/>
          </w:tcPr>
          <w:p w14:paraId="18A4A392" w14:textId="21997A49"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74</w:t>
            </w:r>
          </w:p>
        </w:tc>
        <w:tc>
          <w:tcPr>
            <w:tcW w:w="476" w:type="pct"/>
          </w:tcPr>
          <w:p w14:paraId="7F23DFF7" w14:textId="66E301D4" w:rsidR="00B72EB9" w:rsidRPr="006F6BBE" w:rsidRDefault="00B72EB9" w:rsidP="00B72EB9">
            <w:pPr>
              <w:rPr>
                <w:rFonts w:ascii="Times New Roman" w:hAnsi="Times New Roman" w:cs="Times New Roman"/>
                <w:sz w:val="20"/>
                <w:szCs w:val="20"/>
              </w:rPr>
            </w:pPr>
            <w:bookmarkStart w:id="12" w:name="_Hlk220591301"/>
            <w:r w:rsidRPr="006F6BBE">
              <w:rPr>
                <w:rFonts w:ascii="Times New Roman" w:hAnsi="Times New Roman" w:cs="Times New Roman"/>
                <w:sz w:val="20"/>
                <w:szCs w:val="20"/>
              </w:rPr>
              <w:t>Ström &amp; Hermelin, 2025</w:t>
            </w:r>
            <w:bookmarkEnd w:id="12"/>
          </w:p>
        </w:tc>
        <w:tc>
          <w:tcPr>
            <w:tcW w:w="667" w:type="pct"/>
          </w:tcPr>
          <w:p w14:paraId="1E541552" w14:textId="3327ED00"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An economic geography approach to the implementation of circular economy –comparing three examples of industry-specific networks in West Sweden. </w:t>
            </w:r>
          </w:p>
        </w:tc>
        <w:tc>
          <w:tcPr>
            <w:tcW w:w="496" w:type="pct"/>
          </w:tcPr>
          <w:p w14:paraId="1AC2B7BE" w14:textId="3E72D14F" w:rsidR="00B72EB9" w:rsidRPr="006F6BBE" w:rsidRDefault="00B72EB9" w:rsidP="00B72EB9">
            <w:pPr>
              <w:rPr>
                <w:rFonts w:ascii="Times New Roman" w:hAnsi="Times New Roman" w:cs="Times New Roman"/>
                <w:i/>
                <w:iCs/>
                <w:sz w:val="20"/>
                <w:szCs w:val="20"/>
              </w:rPr>
            </w:pPr>
            <w:r w:rsidRPr="006F6BBE">
              <w:rPr>
                <w:rFonts w:ascii="Times New Roman" w:hAnsi="Times New Roman" w:cs="Times New Roman"/>
                <w:i/>
                <w:iCs/>
                <w:sz w:val="20"/>
                <w:szCs w:val="20"/>
              </w:rPr>
              <w:t>Journal of Science and Technology Policy Management</w:t>
            </w:r>
          </w:p>
        </w:tc>
        <w:tc>
          <w:tcPr>
            <w:tcW w:w="719" w:type="pct"/>
          </w:tcPr>
          <w:p w14:paraId="3B0FBC68" w14:textId="1DBBE97A"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Qualitative comparative case study</w:t>
            </w:r>
          </w:p>
        </w:tc>
        <w:tc>
          <w:tcPr>
            <w:tcW w:w="1738" w:type="pct"/>
          </w:tcPr>
          <w:p w14:paraId="590884AA" w14:textId="66AFC3A7"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-Industry-specific networks play a critical role by connecting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public actors, universities, and intermediaries, providing access to knowledge, funding, and legitimacy required for CBM development.</w:t>
            </w:r>
          </w:p>
          <w:p w14:paraId="65BBA717" w14:textId="6BD3EAC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-Ecosystem reconfiguration differs across industrial profiles, requiring experimentation with partnership structures, coordination mechanisms, and innovation strategies to support circularity.</w:t>
            </w:r>
          </w:p>
        </w:tc>
        <w:tc>
          <w:tcPr>
            <w:tcW w:w="715" w:type="pct"/>
          </w:tcPr>
          <w:p w14:paraId="6B05F7DE" w14:textId="017052DD" w:rsidR="00B72EB9" w:rsidRPr="006F6BBE" w:rsidRDefault="00B72EB9" w:rsidP="00B72EB9">
            <w:pPr>
              <w:rPr>
                <w:rFonts w:ascii="Times New Roman" w:hAnsi="Times New Roman" w:cs="Times New Roman"/>
                <w:sz w:val="20"/>
                <w:szCs w:val="20"/>
              </w:rPr>
            </w:pPr>
            <w:r w:rsidRPr="006F6BBE">
              <w:rPr>
                <w:rFonts w:ascii="Times New Roman" w:hAnsi="Times New Roman" w:cs="Times New Roman"/>
                <w:sz w:val="20"/>
                <w:szCs w:val="20"/>
              </w:rPr>
              <w:t xml:space="preserve">-Reconfiguring ecosystem partners practice. </w:t>
            </w:r>
          </w:p>
        </w:tc>
      </w:tr>
      <w:tr w:rsidR="00E822AF" w:rsidRPr="006F6BBE" w14:paraId="315B7DCE" w14:textId="77777777" w:rsidTr="00256BA3">
        <w:tc>
          <w:tcPr>
            <w:tcW w:w="5000" w:type="pct"/>
            <w:gridSpan w:val="7"/>
            <w:shd w:val="clear" w:color="auto" w:fill="ADADAD" w:themeFill="background2" w:themeFillShade="BF"/>
          </w:tcPr>
          <w:p w14:paraId="35DB1904" w14:textId="630BDACB" w:rsidR="00E822AF" w:rsidRPr="006F6BBE" w:rsidRDefault="00E822AF" w:rsidP="00E822AF">
            <w:pPr>
              <w:jc w:val="center"/>
              <w:rPr>
                <w:rFonts w:ascii="Times New Roman" w:hAnsi="Times New Roman" w:cs="Times New Roman"/>
                <w:b/>
                <w:bCs/>
                <w:sz w:val="22"/>
                <w:szCs w:val="22"/>
              </w:rPr>
            </w:pPr>
            <w:r w:rsidRPr="006F6BBE">
              <w:rPr>
                <w:rFonts w:ascii="Times New Roman" w:hAnsi="Times New Roman" w:cs="Times New Roman"/>
                <w:b/>
                <w:bCs/>
                <w:sz w:val="22"/>
                <w:szCs w:val="22"/>
              </w:rPr>
              <w:t>Grey Literature</w:t>
            </w:r>
          </w:p>
        </w:tc>
      </w:tr>
      <w:tr w:rsidR="00671E3D" w:rsidRPr="006F6BBE" w14:paraId="73865B3D" w14:textId="77777777" w:rsidTr="00857063">
        <w:tc>
          <w:tcPr>
            <w:tcW w:w="189" w:type="pct"/>
          </w:tcPr>
          <w:p w14:paraId="26212DCC" w14:textId="2CC47B58"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75</w:t>
            </w:r>
          </w:p>
        </w:tc>
        <w:tc>
          <w:tcPr>
            <w:tcW w:w="476" w:type="pct"/>
          </w:tcPr>
          <w:p w14:paraId="61E6C3AC" w14:textId="1B0EAA13" w:rsidR="00671E3D" w:rsidRPr="006F6BBE" w:rsidRDefault="00671E3D" w:rsidP="00671E3D">
            <w:pPr>
              <w:rPr>
                <w:rFonts w:ascii="Times New Roman" w:hAnsi="Times New Roman" w:cs="Times New Roman"/>
                <w:sz w:val="20"/>
                <w:szCs w:val="20"/>
                <w:lang w:val="sv-SE"/>
              </w:rPr>
            </w:pPr>
            <w:r w:rsidRPr="006F6BBE">
              <w:rPr>
                <w:rFonts w:ascii="Times New Roman" w:hAnsi="Times New Roman" w:cs="Times New Roman"/>
                <w:sz w:val="20"/>
                <w:szCs w:val="20"/>
                <w:lang w:val="sv-SE"/>
              </w:rPr>
              <w:t>Husqvarna Group, 2017;</w:t>
            </w:r>
            <w:r w:rsidRPr="006F6BBE">
              <w:rPr>
                <w:rFonts w:ascii="Times New Roman" w:hAnsi="Times New Roman" w:cs="Times New Roman"/>
                <w:i/>
                <w:iCs/>
                <w:color w:val="0D0D0D"/>
                <w:sz w:val="20"/>
                <w:szCs w:val="20"/>
                <w:shd w:val="clear" w:color="auto" w:fill="FFFFFF"/>
                <w:lang w:val="sv-SE"/>
              </w:rPr>
              <w:t xml:space="preserve"> </w:t>
            </w:r>
            <w:r w:rsidRPr="006F6BBE">
              <w:rPr>
                <w:rFonts w:ascii="Times New Roman" w:hAnsi="Times New Roman" w:cs="Times New Roman"/>
                <w:color w:val="0D0D0D"/>
                <w:sz w:val="20"/>
                <w:szCs w:val="20"/>
                <w:shd w:val="clear" w:color="auto" w:fill="FFFFFF"/>
                <w:lang w:val="sv-SE"/>
              </w:rPr>
              <w:t>Husqvarna Group, n.d</w:t>
            </w:r>
          </w:p>
        </w:tc>
        <w:tc>
          <w:tcPr>
            <w:tcW w:w="667" w:type="pct"/>
          </w:tcPr>
          <w:p w14:paraId="6CED9225" w14:textId="5292797A"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Husqvarna Group Annual Report 2017</w:t>
            </w:r>
          </w:p>
        </w:tc>
        <w:tc>
          <w:tcPr>
            <w:tcW w:w="496" w:type="pct"/>
          </w:tcPr>
          <w:p w14:paraId="710C8E86" w14:textId="651C5ED9" w:rsidR="00671E3D" w:rsidRPr="006F6BBE" w:rsidRDefault="00671E3D" w:rsidP="00671E3D">
            <w:pPr>
              <w:rPr>
                <w:rFonts w:ascii="Times New Roman" w:hAnsi="Times New Roman" w:cs="Times New Roman"/>
                <w:i/>
                <w:iCs/>
                <w:sz w:val="20"/>
                <w:szCs w:val="20"/>
              </w:rPr>
            </w:pPr>
            <w:r w:rsidRPr="006F6BBE">
              <w:rPr>
                <w:rFonts w:ascii="Times New Roman" w:hAnsi="Times New Roman" w:cs="Times New Roman"/>
                <w:i/>
                <w:iCs/>
                <w:sz w:val="20"/>
                <w:szCs w:val="20"/>
              </w:rPr>
              <w:t>Husqvarna Group</w:t>
            </w:r>
          </w:p>
        </w:tc>
        <w:tc>
          <w:tcPr>
            <w:tcW w:w="719" w:type="pct"/>
          </w:tcPr>
          <w:p w14:paraId="09C498E7" w14:textId="6A6170C1"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Qualitative document and content analysis</w:t>
            </w:r>
          </w:p>
        </w:tc>
        <w:tc>
          <w:tcPr>
            <w:tcW w:w="1738" w:type="pct"/>
          </w:tcPr>
          <w:p w14:paraId="562A90E3" w14:textId="6084A43D" w:rsidR="00671E3D" w:rsidRPr="006F6BBE" w:rsidRDefault="00671E3D" w:rsidP="00987550">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advance CBMs by adopting product-as-a-service and subscription models that retain ownership, incentivize durability and maintenance, extend product lifecycles, and reduce resource intensity while improving customer uptime and operational efficiency.</w:t>
            </w:r>
          </w:p>
        </w:tc>
        <w:tc>
          <w:tcPr>
            <w:tcW w:w="715" w:type="pct"/>
          </w:tcPr>
          <w:p w14:paraId="3C585659" w14:textId="77777777"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-Extending circular revenue models practice. </w:t>
            </w:r>
          </w:p>
          <w:p w14:paraId="3A052C6E" w14:textId="356D9411"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 </w:t>
            </w:r>
          </w:p>
        </w:tc>
      </w:tr>
      <w:tr w:rsidR="00671E3D" w:rsidRPr="006F6BBE" w14:paraId="4E5F8BA0" w14:textId="77777777" w:rsidTr="00857063">
        <w:tc>
          <w:tcPr>
            <w:tcW w:w="189" w:type="pct"/>
          </w:tcPr>
          <w:p w14:paraId="3116D1D4" w14:textId="4784177B"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76</w:t>
            </w:r>
          </w:p>
        </w:tc>
        <w:tc>
          <w:tcPr>
            <w:tcW w:w="476" w:type="pct"/>
          </w:tcPr>
          <w:p w14:paraId="537C81AA" w14:textId="5C65F02D"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SKF Group, 2019</w:t>
            </w:r>
          </w:p>
        </w:tc>
        <w:tc>
          <w:tcPr>
            <w:tcW w:w="667" w:type="pct"/>
          </w:tcPr>
          <w:p w14:paraId="6A8733D1" w14:textId="4DBBCE68"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SKF Annual Report 2019</w:t>
            </w:r>
          </w:p>
        </w:tc>
        <w:tc>
          <w:tcPr>
            <w:tcW w:w="496" w:type="pct"/>
          </w:tcPr>
          <w:p w14:paraId="5FDBC9B1" w14:textId="38EA4060" w:rsidR="00671E3D" w:rsidRPr="006F6BBE" w:rsidRDefault="00671E3D" w:rsidP="00671E3D">
            <w:pPr>
              <w:rPr>
                <w:rFonts w:ascii="Times New Roman" w:hAnsi="Times New Roman" w:cs="Times New Roman"/>
                <w:i/>
                <w:iCs/>
                <w:sz w:val="20"/>
                <w:szCs w:val="20"/>
              </w:rPr>
            </w:pPr>
            <w:r w:rsidRPr="006F6BBE">
              <w:rPr>
                <w:rFonts w:ascii="Times New Roman" w:hAnsi="Times New Roman" w:cs="Times New Roman"/>
                <w:i/>
                <w:iCs/>
                <w:sz w:val="20"/>
                <w:szCs w:val="20"/>
              </w:rPr>
              <w:t>SKF</w:t>
            </w:r>
          </w:p>
        </w:tc>
        <w:tc>
          <w:tcPr>
            <w:tcW w:w="719" w:type="pct"/>
          </w:tcPr>
          <w:p w14:paraId="0DD5734E" w14:textId="0DB47F7D"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Qualitative document and content analysis</w:t>
            </w:r>
          </w:p>
        </w:tc>
        <w:tc>
          <w:tcPr>
            <w:tcW w:w="1738" w:type="pct"/>
          </w:tcPr>
          <w:p w14:paraId="6853E183" w14:textId="7E58CA26"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-SKF’s Asset Efficiency Optimization (REP) services demonstrate that performance-based contracts, enabled by digital condition monitoring and predictive maintenance, allow industrial clients to reduce downtime, improve productivity, and lower total cost of ownership – creating </w:t>
            </w:r>
            <w:r w:rsidRPr="006F6BBE">
              <w:rPr>
                <w:rFonts w:ascii="Times New Roman" w:hAnsi="Times New Roman" w:cs="Times New Roman"/>
                <w:sz w:val="20"/>
                <w:szCs w:val="20"/>
              </w:rPr>
              <w:lastRenderedPageBreak/>
              <w:t>clear economic and functional benefits beyond traditional product sales.</w:t>
            </w:r>
          </w:p>
          <w:p w14:paraId="50B52F4F" w14:textId="2F500180"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-By focusing on extending machinery lifetimes through remanufacturing, reuse, and predictive maintenance, SKF reduces material waste, energy use, and unnecessary replacements. This aligns resource flow strategies with circular principles by maximizing the use of existing assets rather than relying on new material-intensive production.</w:t>
            </w:r>
          </w:p>
        </w:tc>
        <w:tc>
          <w:tcPr>
            <w:tcW w:w="715" w:type="pct"/>
          </w:tcPr>
          <w:p w14:paraId="18B31515" w14:textId="77777777"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lastRenderedPageBreak/>
              <w:t>-Experimenting with diverse circular value logics practice.</w:t>
            </w:r>
          </w:p>
          <w:p w14:paraId="51E4B779" w14:textId="39E164F7"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 </w:t>
            </w:r>
          </w:p>
        </w:tc>
      </w:tr>
      <w:tr w:rsidR="00671E3D" w:rsidRPr="006F6BBE" w14:paraId="46801230" w14:textId="77777777" w:rsidTr="00857063">
        <w:tc>
          <w:tcPr>
            <w:tcW w:w="189" w:type="pct"/>
          </w:tcPr>
          <w:p w14:paraId="573660BF" w14:textId="6D412FF9"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77</w:t>
            </w:r>
          </w:p>
        </w:tc>
        <w:tc>
          <w:tcPr>
            <w:tcW w:w="476" w:type="pct"/>
          </w:tcPr>
          <w:p w14:paraId="5C2A721A" w14:textId="16F6E842"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ABB, 2021; ABB Group SynerLeap, 2023</w:t>
            </w:r>
          </w:p>
        </w:tc>
        <w:tc>
          <w:tcPr>
            <w:tcW w:w="667" w:type="pct"/>
          </w:tcPr>
          <w:p w14:paraId="63682CCE" w14:textId="1938E227"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ABB’s Industrial AI Accelerator, ABB </w:t>
            </w:r>
            <w:r w:rsidRPr="006F6BBE">
              <w:rPr>
                <w:sz w:val="20"/>
                <w:szCs w:val="20"/>
              </w:rPr>
              <w:t xml:space="preserve"> </w:t>
            </w:r>
            <w:r w:rsidRPr="006F6BBE">
              <w:rPr>
                <w:rFonts w:ascii="Times New Roman" w:hAnsi="Times New Roman" w:cs="Times New Roman"/>
                <w:sz w:val="20"/>
                <w:szCs w:val="20"/>
              </w:rPr>
              <w:t>Group SynerLeap</w:t>
            </w:r>
          </w:p>
        </w:tc>
        <w:tc>
          <w:tcPr>
            <w:tcW w:w="496" w:type="pct"/>
          </w:tcPr>
          <w:p w14:paraId="2E8BC11D" w14:textId="3648B228" w:rsidR="00671E3D" w:rsidRPr="006F6BBE" w:rsidRDefault="00671E3D" w:rsidP="00671E3D">
            <w:pPr>
              <w:rPr>
                <w:rFonts w:ascii="Times New Roman" w:hAnsi="Times New Roman" w:cs="Times New Roman"/>
                <w:i/>
                <w:iCs/>
                <w:sz w:val="20"/>
                <w:szCs w:val="20"/>
              </w:rPr>
            </w:pPr>
            <w:r w:rsidRPr="006F6BBE">
              <w:rPr>
                <w:rFonts w:ascii="Times New Roman" w:hAnsi="Times New Roman" w:cs="Times New Roman"/>
                <w:i/>
                <w:iCs/>
                <w:sz w:val="20"/>
                <w:szCs w:val="20"/>
              </w:rPr>
              <w:t>ABB website</w:t>
            </w:r>
          </w:p>
        </w:tc>
        <w:tc>
          <w:tcPr>
            <w:tcW w:w="719" w:type="pct"/>
          </w:tcPr>
          <w:p w14:paraId="427C4D0D" w14:textId="1DE78705"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Online secondary data</w:t>
            </w:r>
          </w:p>
        </w:tc>
        <w:tc>
          <w:tcPr>
            <w:tcW w:w="1738" w:type="pct"/>
          </w:tcPr>
          <w:p w14:paraId="35A4CB8F" w14:textId="0518AFA2"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-Ecosystem collaboration with startups enables CBMs by complementing incumbent capabilities with digital, automation, and AI expertise, allowing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experiment, pilot, and scale new circular solutions faster while aligning entrepreneurial innovation with core industrial operations and long-term strategic goals.</w:t>
            </w:r>
          </w:p>
        </w:tc>
        <w:tc>
          <w:tcPr>
            <w:tcW w:w="715" w:type="pct"/>
          </w:tcPr>
          <w:p w14:paraId="175BF4B7" w14:textId="77777777"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-Reconfiguring ecosystem partners practice. </w:t>
            </w:r>
          </w:p>
          <w:p w14:paraId="0E21ECA4" w14:textId="3FA76F36" w:rsidR="00671E3D" w:rsidRPr="006F6BBE" w:rsidRDefault="00671E3D" w:rsidP="00671E3D">
            <w:pPr>
              <w:rPr>
                <w:rFonts w:ascii="Times New Roman" w:hAnsi="Times New Roman" w:cs="Times New Roman"/>
                <w:sz w:val="20"/>
                <w:szCs w:val="20"/>
              </w:rPr>
            </w:pPr>
          </w:p>
        </w:tc>
      </w:tr>
      <w:tr w:rsidR="00671E3D" w:rsidRPr="006F6BBE" w14:paraId="393771D5" w14:textId="77777777" w:rsidTr="00857063">
        <w:tc>
          <w:tcPr>
            <w:tcW w:w="189" w:type="pct"/>
          </w:tcPr>
          <w:p w14:paraId="68D0C164" w14:textId="6A0F0017"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78</w:t>
            </w:r>
          </w:p>
        </w:tc>
        <w:tc>
          <w:tcPr>
            <w:tcW w:w="476" w:type="pct"/>
          </w:tcPr>
          <w:p w14:paraId="2B980F7E" w14:textId="41390A74"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Volvo Group, 2021</w:t>
            </w:r>
          </w:p>
        </w:tc>
        <w:tc>
          <w:tcPr>
            <w:tcW w:w="667" w:type="pct"/>
          </w:tcPr>
          <w:p w14:paraId="03971969" w14:textId="4452E10D"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Leading the Transformation; Volvo Group Annual and Sustainability Report 2021</w:t>
            </w:r>
          </w:p>
        </w:tc>
        <w:tc>
          <w:tcPr>
            <w:tcW w:w="496" w:type="pct"/>
          </w:tcPr>
          <w:p w14:paraId="56B6934E" w14:textId="3A90928E" w:rsidR="00671E3D" w:rsidRPr="006F6BBE" w:rsidRDefault="00671E3D" w:rsidP="00671E3D">
            <w:pPr>
              <w:rPr>
                <w:rFonts w:ascii="Times New Roman" w:hAnsi="Times New Roman" w:cs="Times New Roman"/>
                <w:i/>
                <w:iCs/>
                <w:sz w:val="20"/>
                <w:szCs w:val="20"/>
              </w:rPr>
            </w:pPr>
            <w:r w:rsidRPr="006F6BBE">
              <w:rPr>
                <w:rFonts w:ascii="Times New Roman" w:hAnsi="Times New Roman" w:cs="Times New Roman"/>
                <w:i/>
                <w:iCs/>
                <w:sz w:val="20"/>
                <w:szCs w:val="20"/>
              </w:rPr>
              <w:t>Volvo Group official website</w:t>
            </w:r>
          </w:p>
        </w:tc>
        <w:tc>
          <w:tcPr>
            <w:tcW w:w="719" w:type="pct"/>
          </w:tcPr>
          <w:p w14:paraId="353E0016" w14:textId="57531B77"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Qualitative document and content analysis</w:t>
            </w:r>
          </w:p>
        </w:tc>
        <w:tc>
          <w:tcPr>
            <w:tcW w:w="1738" w:type="pct"/>
          </w:tcPr>
          <w:p w14:paraId="26962349" w14:textId="3F1EC25A"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-Organizational redesign enables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operationalize circularity by breaking down functional silos and fostering cross-disciplinary collaboration, allowing circular considerations to be integrated into design, engineering, and procurement decisions early in the development process.</w:t>
            </w:r>
          </w:p>
        </w:tc>
        <w:tc>
          <w:tcPr>
            <w:tcW w:w="715" w:type="pct"/>
          </w:tcPr>
          <w:p w14:paraId="68D47272" w14:textId="70A7CDE5"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-Transforming organizational processes practice.</w:t>
            </w:r>
          </w:p>
        </w:tc>
      </w:tr>
      <w:tr w:rsidR="00671E3D" w:rsidRPr="006F6BBE" w14:paraId="355705BA" w14:textId="77777777" w:rsidTr="00857063">
        <w:tc>
          <w:tcPr>
            <w:tcW w:w="189" w:type="pct"/>
          </w:tcPr>
          <w:p w14:paraId="53B73659" w14:textId="3A02674B"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79</w:t>
            </w:r>
          </w:p>
        </w:tc>
        <w:tc>
          <w:tcPr>
            <w:tcW w:w="476" w:type="pct"/>
          </w:tcPr>
          <w:p w14:paraId="36ACDB5C" w14:textId="4BD8697D"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Atlas Copco, 2022;  CoachHub, n.d.</w:t>
            </w:r>
          </w:p>
        </w:tc>
        <w:tc>
          <w:tcPr>
            <w:tcW w:w="667" w:type="pct"/>
          </w:tcPr>
          <w:p w14:paraId="206828E6" w14:textId="3BF2B76F"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Atlas Copco Annual Report 2022</w:t>
            </w:r>
          </w:p>
        </w:tc>
        <w:tc>
          <w:tcPr>
            <w:tcW w:w="496" w:type="pct"/>
          </w:tcPr>
          <w:p w14:paraId="56F5B62D" w14:textId="1B9A9E7C" w:rsidR="00671E3D" w:rsidRPr="006F6BBE" w:rsidRDefault="00671E3D" w:rsidP="00671E3D">
            <w:pPr>
              <w:rPr>
                <w:rFonts w:ascii="Times New Roman" w:hAnsi="Times New Roman" w:cs="Times New Roman"/>
                <w:i/>
                <w:iCs/>
                <w:sz w:val="20"/>
                <w:szCs w:val="20"/>
              </w:rPr>
            </w:pPr>
            <w:r w:rsidRPr="006F6BBE">
              <w:rPr>
                <w:rFonts w:ascii="Times New Roman" w:hAnsi="Times New Roman" w:cs="Times New Roman"/>
                <w:i/>
                <w:iCs/>
                <w:sz w:val="20"/>
                <w:szCs w:val="20"/>
              </w:rPr>
              <w:t>Atlas Copco website;  Social media post</w:t>
            </w:r>
          </w:p>
        </w:tc>
        <w:tc>
          <w:tcPr>
            <w:tcW w:w="719" w:type="pct"/>
          </w:tcPr>
          <w:p w14:paraId="2B5AC626" w14:textId="6C642380"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Qualitative document and content analysis: Online secondary data</w:t>
            </w:r>
          </w:p>
        </w:tc>
        <w:tc>
          <w:tcPr>
            <w:tcW w:w="1738" w:type="pct"/>
          </w:tcPr>
          <w:p w14:paraId="3B40A26B" w14:textId="352B5EE3"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-Emphasizes continuous employee upskilling in data analytics, digital tools, and connected equipment insights, enabling predictive maintenance, optimized resource use, and service-based circular offerings built on equipment performance data. </w:t>
            </w:r>
          </w:p>
          <w:p w14:paraId="196EBAE2" w14:textId="77777777"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-Digitalization alone is insufficient; circular value creation depends on employees’ analytical, problem-solving, and learning capabilities to translate connected-product data into operational improvements, lifecycle extension, and customer-facing circular services.</w:t>
            </w:r>
          </w:p>
          <w:p w14:paraId="54706590" w14:textId="645602CC"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-Atlas Copco partnered with CoachHub to deliver targeted upskilling programs that strengthen employees’ ability to analyze equipment performance data, predict maintenance needs, and optimize resource use, supporting data-driven operations and circular service delivery.</w:t>
            </w:r>
          </w:p>
        </w:tc>
        <w:tc>
          <w:tcPr>
            <w:tcW w:w="715" w:type="pct"/>
          </w:tcPr>
          <w:p w14:paraId="76F52345" w14:textId="6E645023"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-Building competency through digital analytics practice. </w:t>
            </w:r>
          </w:p>
        </w:tc>
      </w:tr>
      <w:tr w:rsidR="00E822AF" w:rsidRPr="006F6BBE" w14:paraId="6EFF22D3" w14:textId="77777777" w:rsidTr="00857063">
        <w:tc>
          <w:tcPr>
            <w:tcW w:w="189" w:type="pct"/>
          </w:tcPr>
          <w:p w14:paraId="2B8748E1" w14:textId="3178D40B" w:rsidR="00E822AF" w:rsidRPr="006F6BBE" w:rsidRDefault="00E822AF" w:rsidP="00E822AF">
            <w:pPr>
              <w:rPr>
                <w:rFonts w:ascii="Times New Roman" w:hAnsi="Times New Roman" w:cs="Times New Roman"/>
                <w:sz w:val="20"/>
                <w:szCs w:val="20"/>
              </w:rPr>
            </w:pPr>
            <w:r w:rsidRPr="006F6BBE">
              <w:rPr>
                <w:rFonts w:ascii="Times New Roman" w:hAnsi="Times New Roman" w:cs="Times New Roman"/>
                <w:sz w:val="20"/>
                <w:szCs w:val="20"/>
              </w:rPr>
              <w:t>80</w:t>
            </w:r>
          </w:p>
        </w:tc>
        <w:tc>
          <w:tcPr>
            <w:tcW w:w="476" w:type="pct"/>
          </w:tcPr>
          <w:p w14:paraId="0003A1C1" w14:textId="1B9C6A98" w:rsidR="00E822AF" w:rsidRPr="006F6BBE" w:rsidRDefault="00E822AF" w:rsidP="00E822AF">
            <w:pPr>
              <w:rPr>
                <w:rFonts w:ascii="Times New Roman" w:hAnsi="Times New Roman" w:cs="Times New Roman"/>
                <w:sz w:val="20"/>
                <w:szCs w:val="20"/>
              </w:rPr>
            </w:pPr>
            <w:r w:rsidRPr="006F6BBE">
              <w:rPr>
                <w:rFonts w:ascii="Times New Roman" w:hAnsi="Times New Roman" w:cs="Times New Roman"/>
                <w:sz w:val="20"/>
                <w:szCs w:val="20"/>
              </w:rPr>
              <w:t>Scania, 2022</w:t>
            </w:r>
          </w:p>
        </w:tc>
        <w:tc>
          <w:tcPr>
            <w:tcW w:w="667" w:type="pct"/>
          </w:tcPr>
          <w:p w14:paraId="26611D91" w14:textId="5AB21B6A" w:rsidR="00E822AF" w:rsidRPr="006F6BBE" w:rsidRDefault="00E822AF" w:rsidP="00E822AF">
            <w:pPr>
              <w:rPr>
                <w:rFonts w:ascii="Times New Roman" w:hAnsi="Times New Roman" w:cs="Times New Roman"/>
                <w:sz w:val="20"/>
                <w:szCs w:val="20"/>
              </w:rPr>
            </w:pPr>
            <w:r w:rsidRPr="006F6BBE">
              <w:rPr>
                <w:rFonts w:ascii="Times New Roman" w:hAnsi="Times New Roman" w:cs="Times New Roman"/>
                <w:sz w:val="20"/>
                <w:szCs w:val="20"/>
              </w:rPr>
              <w:t>Driving the Shift Annual and Sustainability Report 2022</w:t>
            </w:r>
          </w:p>
        </w:tc>
        <w:tc>
          <w:tcPr>
            <w:tcW w:w="496" w:type="pct"/>
          </w:tcPr>
          <w:p w14:paraId="76B7FCD8" w14:textId="7DD2954F" w:rsidR="00E822AF" w:rsidRPr="006F6BBE" w:rsidRDefault="00E822AF" w:rsidP="00E822AF">
            <w:pPr>
              <w:rPr>
                <w:rFonts w:ascii="Times New Roman" w:hAnsi="Times New Roman" w:cs="Times New Roman"/>
                <w:i/>
                <w:iCs/>
                <w:sz w:val="20"/>
                <w:szCs w:val="20"/>
              </w:rPr>
            </w:pPr>
            <w:r w:rsidRPr="006F6BBE">
              <w:rPr>
                <w:rFonts w:ascii="Times New Roman" w:hAnsi="Times New Roman" w:cs="Times New Roman"/>
                <w:i/>
                <w:iCs/>
                <w:sz w:val="20"/>
                <w:szCs w:val="20"/>
              </w:rPr>
              <w:t>Scania Group official website</w:t>
            </w:r>
          </w:p>
        </w:tc>
        <w:tc>
          <w:tcPr>
            <w:tcW w:w="719" w:type="pct"/>
          </w:tcPr>
          <w:p w14:paraId="0B6BE8D7" w14:textId="12B6F5CE" w:rsidR="00E822AF" w:rsidRPr="006F6BBE" w:rsidRDefault="00E822AF" w:rsidP="00E822AF">
            <w:pPr>
              <w:rPr>
                <w:rFonts w:ascii="Times New Roman" w:hAnsi="Times New Roman" w:cs="Times New Roman"/>
                <w:sz w:val="20"/>
                <w:szCs w:val="20"/>
              </w:rPr>
            </w:pPr>
            <w:r w:rsidRPr="006F6BBE">
              <w:rPr>
                <w:rFonts w:ascii="Times New Roman" w:hAnsi="Times New Roman" w:cs="Times New Roman"/>
                <w:sz w:val="20"/>
                <w:szCs w:val="20"/>
              </w:rPr>
              <w:t>Qualitative document and content analysis</w:t>
            </w:r>
          </w:p>
        </w:tc>
        <w:tc>
          <w:tcPr>
            <w:tcW w:w="1738" w:type="pct"/>
          </w:tcPr>
          <w:p w14:paraId="45D02D70" w14:textId="5E94CC6A" w:rsidR="00E822AF" w:rsidRPr="006F6BBE" w:rsidRDefault="00E822AF" w:rsidP="00E822AF">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institutionalize CBM</w:t>
            </w:r>
            <w:r w:rsidR="008666CD" w:rsidRPr="006F6BBE">
              <w:rPr>
                <w:rFonts w:ascii="Times New Roman" w:hAnsi="Times New Roman" w:cs="Times New Roman"/>
                <w:sz w:val="20"/>
                <w:szCs w:val="20"/>
              </w:rPr>
              <w:t>s</w:t>
            </w:r>
            <w:r w:rsidRPr="006F6BBE">
              <w:rPr>
                <w:rFonts w:ascii="Times New Roman" w:hAnsi="Times New Roman" w:cs="Times New Roman"/>
                <w:sz w:val="20"/>
                <w:szCs w:val="20"/>
              </w:rPr>
              <w:t xml:space="preserve"> by embedding sustainability goals into performance management and incentive systems. By aligning compensation, rewards, and recognition mechanisms with circularity-oriented behaviors, organizations encourage employees to internalize circular objectives in everyday decision</w:t>
            </w:r>
            <w:r w:rsidR="005E12B8" w:rsidRPr="006F6BBE">
              <w:rPr>
                <w:rFonts w:ascii="Times New Roman" w:hAnsi="Times New Roman" w:cs="Times New Roman"/>
                <w:sz w:val="20"/>
                <w:szCs w:val="20"/>
              </w:rPr>
              <w:t xml:space="preserve"> </w:t>
            </w:r>
            <w:r w:rsidRPr="006F6BBE">
              <w:rPr>
                <w:rFonts w:ascii="Times New Roman" w:hAnsi="Times New Roman" w:cs="Times New Roman"/>
                <w:sz w:val="20"/>
                <w:szCs w:val="20"/>
              </w:rPr>
              <w:t xml:space="preserve">making. Such incentive </w:t>
            </w:r>
            <w:r w:rsidRPr="006F6BBE">
              <w:rPr>
                <w:rFonts w:ascii="Times New Roman" w:hAnsi="Times New Roman" w:cs="Times New Roman"/>
                <w:sz w:val="20"/>
                <w:szCs w:val="20"/>
              </w:rPr>
              <w:lastRenderedPageBreak/>
              <w:t>structures help translate high-level sustainability ambitions into operational practices, reinforcing employee engagement with circular business transformation.</w:t>
            </w:r>
          </w:p>
        </w:tc>
        <w:tc>
          <w:tcPr>
            <w:tcW w:w="715" w:type="pct"/>
          </w:tcPr>
          <w:p w14:paraId="5E6BF767" w14:textId="19509AEF" w:rsidR="00E822AF" w:rsidRPr="006F6BBE" w:rsidRDefault="00671E3D" w:rsidP="00E822AF">
            <w:pPr>
              <w:rPr>
                <w:rFonts w:ascii="Times New Roman" w:hAnsi="Times New Roman" w:cs="Times New Roman"/>
                <w:sz w:val="20"/>
                <w:szCs w:val="20"/>
              </w:rPr>
            </w:pPr>
            <w:r w:rsidRPr="006F6BBE">
              <w:rPr>
                <w:rFonts w:ascii="Times New Roman" w:hAnsi="Times New Roman" w:cs="Times New Roman"/>
                <w:sz w:val="20"/>
                <w:szCs w:val="20"/>
              </w:rPr>
              <w:lastRenderedPageBreak/>
              <w:t xml:space="preserve">-Transforming organizational processes practice. </w:t>
            </w:r>
          </w:p>
        </w:tc>
      </w:tr>
      <w:tr w:rsidR="00671E3D" w:rsidRPr="006F6BBE" w14:paraId="352A8376" w14:textId="77777777" w:rsidTr="00857063">
        <w:tc>
          <w:tcPr>
            <w:tcW w:w="189" w:type="pct"/>
          </w:tcPr>
          <w:p w14:paraId="2C7BBD4D" w14:textId="4E90BBB5"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81</w:t>
            </w:r>
          </w:p>
        </w:tc>
        <w:tc>
          <w:tcPr>
            <w:tcW w:w="476" w:type="pct"/>
          </w:tcPr>
          <w:p w14:paraId="221A0A57" w14:textId="27820473"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SCA, 2022</w:t>
            </w:r>
          </w:p>
        </w:tc>
        <w:tc>
          <w:tcPr>
            <w:tcW w:w="667" w:type="pct"/>
          </w:tcPr>
          <w:p w14:paraId="5C0B7D80" w14:textId="41F179F5"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SCA Annual and Sustainability Report</w:t>
            </w:r>
          </w:p>
        </w:tc>
        <w:tc>
          <w:tcPr>
            <w:tcW w:w="496" w:type="pct"/>
          </w:tcPr>
          <w:p w14:paraId="3FDA85CB" w14:textId="4073B400" w:rsidR="00671E3D" w:rsidRPr="006F6BBE" w:rsidRDefault="00671E3D" w:rsidP="00671E3D">
            <w:pPr>
              <w:rPr>
                <w:rFonts w:ascii="Times New Roman" w:hAnsi="Times New Roman" w:cs="Times New Roman"/>
                <w:i/>
                <w:iCs/>
                <w:sz w:val="20"/>
                <w:szCs w:val="20"/>
              </w:rPr>
            </w:pPr>
            <w:r w:rsidRPr="006F6BBE">
              <w:rPr>
                <w:rFonts w:ascii="Times New Roman" w:hAnsi="Times New Roman" w:cs="Times New Roman"/>
                <w:i/>
                <w:iCs/>
                <w:sz w:val="20"/>
                <w:szCs w:val="20"/>
              </w:rPr>
              <w:t>SCA official website</w:t>
            </w:r>
          </w:p>
        </w:tc>
        <w:tc>
          <w:tcPr>
            <w:tcW w:w="719" w:type="pct"/>
          </w:tcPr>
          <w:p w14:paraId="3D4BA4F9" w14:textId="2A78CCC8"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Qualitative document and content analysis</w:t>
            </w:r>
          </w:p>
        </w:tc>
        <w:tc>
          <w:tcPr>
            <w:tcW w:w="1738" w:type="pct"/>
          </w:tcPr>
          <w:p w14:paraId="1A04B156" w14:textId="0C86219E"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-Advanced data analytics and AI support circularity by enabling more precise resource allocation and value maximization. This allows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reduce waste, improve yield efficiency, and make data-driven decisions across production processes while maintaining regulatory compliance and profitability.</w:t>
            </w:r>
          </w:p>
        </w:tc>
        <w:tc>
          <w:tcPr>
            <w:tcW w:w="715" w:type="pct"/>
          </w:tcPr>
          <w:p w14:paraId="4113F1A8" w14:textId="1D9DE772"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-Transforming organizational processes practice.  </w:t>
            </w:r>
          </w:p>
        </w:tc>
      </w:tr>
      <w:tr w:rsidR="00671E3D" w:rsidRPr="006F6BBE" w14:paraId="016A69FB" w14:textId="77777777" w:rsidTr="00857063">
        <w:tc>
          <w:tcPr>
            <w:tcW w:w="189" w:type="pct"/>
          </w:tcPr>
          <w:p w14:paraId="3FA42027" w14:textId="76ACDCC0"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82</w:t>
            </w:r>
          </w:p>
        </w:tc>
        <w:tc>
          <w:tcPr>
            <w:tcW w:w="476" w:type="pct"/>
          </w:tcPr>
          <w:p w14:paraId="167251C9" w14:textId="3E17E060"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Scania, 2023</w:t>
            </w:r>
          </w:p>
        </w:tc>
        <w:tc>
          <w:tcPr>
            <w:tcW w:w="667" w:type="pct"/>
          </w:tcPr>
          <w:p w14:paraId="3AB848C9" w14:textId="75BCA59D"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Scania battery assembly plant up and running</w:t>
            </w:r>
          </w:p>
        </w:tc>
        <w:tc>
          <w:tcPr>
            <w:tcW w:w="496" w:type="pct"/>
          </w:tcPr>
          <w:p w14:paraId="4ACD2CC6" w14:textId="3C657168" w:rsidR="00671E3D" w:rsidRPr="006F6BBE" w:rsidRDefault="00671E3D" w:rsidP="00671E3D">
            <w:pPr>
              <w:rPr>
                <w:rFonts w:ascii="Times New Roman" w:hAnsi="Times New Roman" w:cs="Times New Roman"/>
                <w:i/>
                <w:iCs/>
                <w:sz w:val="20"/>
                <w:szCs w:val="20"/>
              </w:rPr>
            </w:pPr>
            <w:r w:rsidRPr="006F6BBE">
              <w:rPr>
                <w:rFonts w:ascii="Times New Roman" w:hAnsi="Times New Roman" w:cs="Times New Roman"/>
                <w:i/>
                <w:iCs/>
                <w:sz w:val="20"/>
                <w:szCs w:val="20"/>
              </w:rPr>
              <w:t>Scania official website</w:t>
            </w:r>
          </w:p>
        </w:tc>
        <w:tc>
          <w:tcPr>
            <w:tcW w:w="719" w:type="pct"/>
          </w:tcPr>
          <w:p w14:paraId="3C3B7508" w14:textId="33393AE4"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Online secondary data</w:t>
            </w:r>
          </w:p>
        </w:tc>
        <w:tc>
          <w:tcPr>
            <w:tcW w:w="1738" w:type="pct"/>
          </w:tcPr>
          <w:p w14:paraId="50058A39" w14:textId="42ED066A"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-How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scale CBMs by extending asset lifecycles through reuse, repurposing, and recycling while simultaneously entering new markets. By redeploying assets into adjacent applications (e.g., energy storage, grid services) and forming partnerships for recycling infrastructure,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embed circularity into growth strategies beyond their traditional operations. </w:t>
            </w:r>
          </w:p>
        </w:tc>
        <w:tc>
          <w:tcPr>
            <w:tcW w:w="715" w:type="pct"/>
          </w:tcPr>
          <w:p w14:paraId="7F949022" w14:textId="02BD0E23"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-Customer and market scaling practice.</w:t>
            </w:r>
          </w:p>
        </w:tc>
      </w:tr>
      <w:tr w:rsidR="00671E3D" w:rsidRPr="006F6BBE" w14:paraId="1220E6CD" w14:textId="77777777" w:rsidTr="00857063">
        <w:tc>
          <w:tcPr>
            <w:tcW w:w="189" w:type="pct"/>
          </w:tcPr>
          <w:p w14:paraId="69E00E10" w14:textId="1A2B8D23"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83</w:t>
            </w:r>
          </w:p>
        </w:tc>
        <w:tc>
          <w:tcPr>
            <w:tcW w:w="476" w:type="pct"/>
          </w:tcPr>
          <w:p w14:paraId="415A5721" w14:textId="77777777"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Control, 2024;</w:t>
            </w:r>
          </w:p>
          <w:p w14:paraId="53887D10" w14:textId="182A4188"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 Ericsson (n.d. b)</w:t>
            </w:r>
          </w:p>
        </w:tc>
        <w:tc>
          <w:tcPr>
            <w:tcW w:w="667" w:type="pct"/>
          </w:tcPr>
          <w:p w14:paraId="2CD7A69F" w14:textId="77777777"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No time to waste</w:t>
            </w:r>
          </w:p>
          <w:p w14:paraId="3632B551" w14:textId="77777777" w:rsidR="00671E3D" w:rsidRPr="006F6BBE" w:rsidRDefault="00671E3D" w:rsidP="00671E3D">
            <w:pPr>
              <w:rPr>
                <w:rFonts w:ascii="Times New Roman" w:hAnsi="Times New Roman" w:cs="Times New Roman"/>
                <w:sz w:val="20"/>
                <w:szCs w:val="20"/>
              </w:rPr>
            </w:pPr>
          </w:p>
        </w:tc>
        <w:tc>
          <w:tcPr>
            <w:tcW w:w="496" w:type="pct"/>
          </w:tcPr>
          <w:p w14:paraId="5262AA7C" w14:textId="62DD2700" w:rsidR="00671E3D" w:rsidRPr="006F6BBE" w:rsidRDefault="00671E3D" w:rsidP="00671E3D">
            <w:pPr>
              <w:rPr>
                <w:rFonts w:ascii="Times New Roman" w:hAnsi="Times New Roman" w:cs="Times New Roman"/>
                <w:i/>
                <w:iCs/>
                <w:sz w:val="20"/>
                <w:szCs w:val="20"/>
              </w:rPr>
            </w:pPr>
            <w:r w:rsidRPr="006F6BBE">
              <w:rPr>
                <w:rFonts w:ascii="Times New Roman" w:hAnsi="Times New Roman" w:cs="Times New Roman"/>
                <w:i/>
                <w:iCs/>
                <w:sz w:val="20"/>
                <w:szCs w:val="20"/>
              </w:rPr>
              <w:t>Company’s official website</w:t>
            </w:r>
          </w:p>
        </w:tc>
        <w:tc>
          <w:tcPr>
            <w:tcW w:w="719" w:type="pct"/>
          </w:tcPr>
          <w:p w14:paraId="2E332A85" w14:textId="12345BA9"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Online secondary data</w:t>
            </w:r>
          </w:p>
        </w:tc>
        <w:tc>
          <w:tcPr>
            <w:tcW w:w="1738" w:type="pct"/>
          </w:tcPr>
          <w:p w14:paraId="692425A8" w14:textId="3A060082"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strengthen CBM implementation by assigning dedicated circularity champions across departments, ensuring that responsibility, coordination, and ownership are distributed organization-wide. Such role-based engagement helps translate circular strategies into everyday practices, reduce siloed initiatives, and embed circularity into core operational and decision-making processes.</w:t>
            </w:r>
          </w:p>
          <w:p w14:paraId="7BF2F120" w14:textId="3D42ACC1"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-Digital traceability and IoT-enabled systems support CBMs by structuring reverse supply chains. By enabling real-time monitoring, KPI reporting, and data transparency across partners, such systems improve return flows, support ESG objectives, and enhance coordination and efficiency in ecosystem-based circular operations.</w:t>
            </w:r>
          </w:p>
        </w:tc>
        <w:tc>
          <w:tcPr>
            <w:tcW w:w="715" w:type="pct"/>
          </w:tcPr>
          <w:p w14:paraId="32195D66" w14:textId="50C35867"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-Customer and market scaling practice.</w:t>
            </w:r>
          </w:p>
        </w:tc>
      </w:tr>
      <w:tr w:rsidR="00671E3D" w:rsidRPr="006F6BBE" w14:paraId="50D6F061" w14:textId="77777777" w:rsidTr="00857063">
        <w:tc>
          <w:tcPr>
            <w:tcW w:w="189" w:type="pct"/>
          </w:tcPr>
          <w:p w14:paraId="0B0758D7" w14:textId="001AB0A0"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84</w:t>
            </w:r>
          </w:p>
        </w:tc>
        <w:tc>
          <w:tcPr>
            <w:tcW w:w="476" w:type="pct"/>
          </w:tcPr>
          <w:p w14:paraId="33E7F26B" w14:textId="60CB4D01"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EuropaWire, 2024</w:t>
            </w:r>
          </w:p>
        </w:tc>
        <w:tc>
          <w:tcPr>
            <w:tcW w:w="667" w:type="pct"/>
          </w:tcPr>
          <w:p w14:paraId="644BC331" w14:textId="71233AA9"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Ericsson unveils Innovations in Open Networks and APIs at Silicon Valley’s D-15 Innovation Center</w:t>
            </w:r>
          </w:p>
        </w:tc>
        <w:tc>
          <w:tcPr>
            <w:tcW w:w="496" w:type="pct"/>
          </w:tcPr>
          <w:p w14:paraId="498C2437" w14:textId="3308F7A0" w:rsidR="00671E3D" w:rsidRPr="006F6BBE" w:rsidRDefault="00671E3D" w:rsidP="00671E3D">
            <w:pPr>
              <w:rPr>
                <w:rFonts w:ascii="Times New Roman" w:hAnsi="Times New Roman" w:cs="Times New Roman"/>
                <w:i/>
                <w:iCs/>
                <w:sz w:val="20"/>
                <w:szCs w:val="20"/>
              </w:rPr>
            </w:pPr>
            <w:r w:rsidRPr="006F6BBE">
              <w:rPr>
                <w:rFonts w:ascii="Times New Roman" w:hAnsi="Times New Roman" w:cs="Times New Roman"/>
                <w:i/>
                <w:iCs/>
                <w:sz w:val="20"/>
                <w:szCs w:val="20"/>
              </w:rPr>
              <w:t>EuropaWire</w:t>
            </w:r>
          </w:p>
        </w:tc>
        <w:tc>
          <w:tcPr>
            <w:tcW w:w="719" w:type="pct"/>
          </w:tcPr>
          <w:p w14:paraId="20561DA9" w14:textId="14BEB0A4"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Press release distribution and newswire service</w:t>
            </w:r>
          </w:p>
        </w:tc>
        <w:tc>
          <w:tcPr>
            <w:tcW w:w="1738" w:type="pct"/>
          </w:tcPr>
          <w:p w14:paraId="22BCA168" w14:textId="3D4AD40F"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-Platform-based governance enables circular innovation by aligning partners through shared digital infrastructures, co-investment mechanisms, and revenue-sharing models, allowing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orchestrate ecosystem collaboration and embed circularity into Industry 4.0-driven innovation processes.</w:t>
            </w:r>
          </w:p>
        </w:tc>
        <w:tc>
          <w:tcPr>
            <w:tcW w:w="715" w:type="pct"/>
          </w:tcPr>
          <w:p w14:paraId="3988D16C" w14:textId="0A103212"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-Orchestrating and aligning with ecosystem partners practice. </w:t>
            </w:r>
          </w:p>
        </w:tc>
      </w:tr>
      <w:tr w:rsidR="00671E3D" w:rsidRPr="006F6BBE" w14:paraId="289D9E72" w14:textId="77777777" w:rsidTr="00857063">
        <w:tc>
          <w:tcPr>
            <w:tcW w:w="189" w:type="pct"/>
          </w:tcPr>
          <w:p w14:paraId="1542FCB2" w14:textId="00A19ECA"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85</w:t>
            </w:r>
          </w:p>
        </w:tc>
        <w:tc>
          <w:tcPr>
            <w:tcW w:w="476" w:type="pct"/>
          </w:tcPr>
          <w:p w14:paraId="45E4EB64" w14:textId="54E3E636"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Scania, 2024a</w:t>
            </w:r>
          </w:p>
        </w:tc>
        <w:tc>
          <w:tcPr>
            <w:tcW w:w="667" w:type="pct"/>
          </w:tcPr>
          <w:p w14:paraId="7A27340A" w14:textId="2EDB0DDB"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Driving the Shift Annual and Sustainability Report 2024</w:t>
            </w:r>
          </w:p>
        </w:tc>
        <w:tc>
          <w:tcPr>
            <w:tcW w:w="496" w:type="pct"/>
          </w:tcPr>
          <w:p w14:paraId="4D04663B" w14:textId="50DB936B" w:rsidR="00671E3D" w:rsidRPr="006F6BBE" w:rsidRDefault="00671E3D" w:rsidP="00671E3D">
            <w:pPr>
              <w:rPr>
                <w:rFonts w:ascii="Times New Roman" w:hAnsi="Times New Roman" w:cs="Times New Roman"/>
                <w:i/>
                <w:iCs/>
                <w:sz w:val="20"/>
                <w:szCs w:val="20"/>
              </w:rPr>
            </w:pPr>
            <w:r w:rsidRPr="006F6BBE">
              <w:rPr>
                <w:rFonts w:ascii="Times New Roman" w:hAnsi="Times New Roman" w:cs="Times New Roman"/>
                <w:i/>
                <w:iCs/>
                <w:sz w:val="20"/>
                <w:szCs w:val="20"/>
              </w:rPr>
              <w:t>Scania Group official website</w:t>
            </w:r>
          </w:p>
        </w:tc>
        <w:tc>
          <w:tcPr>
            <w:tcW w:w="719" w:type="pct"/>
          </w:tcPr>
          <w:p w14:paraId="3CD2D65A" w14:textId="5ECEE8C1"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Qualitative document and content analysis</w:t>
            </w:r>
          </w:p>
        </w:tc>
        <w:tc>
          <w:tcPr>
            <w:tcW w:w="1738" w:type="pct"/>
          </w:tcPr>
          <w:p w14:paraId="16235BDE" w14:textId="2A5DA2C0"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-Customer CO₂ regulations and sustainability requirements drive Scania’s circular offerings, where connected vehicle data are used to optimize performance, reduce emissions, and ensure regulatory compliance while supporting customers’ business models.</w:t>
            </w:r>
          </w:p>
          <w:p w14:paraId="6E74CF28" w14:textId="09C07D7B"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lastRenderedPageBreak/>
              <w:t>-Continuous data from connected vehicles enables service-based circular solutions, supporting predictive maintenance, higher uptime, extended asset lifecycles, and increased customer revenue through optimized vehicle utilization.</w:t>
            </w:r>
          </w:p>
        </w:tc>
        <w:tc>
          <w:tcPr>
            <w:tcW w:w="715" w:type="pct"/>
          </w:tcPr>
          <w:p w14:paraId="7E823DE6" w14:textId="77777777"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lastRenderedPageBreak/>
              <w:t>-Experimenting with diverse circular value logics practice.</w:t>
            </w:r>
          </w:p>
          <w:p w14:paraId="123C267F" w14:textId="07F3906C" w:rsidR="00671E3D" w:rsidRPr="006F6BBE" w:rsidRDefault="00671E3D" w:rsidP="00671E3D">
            <w:pPr>
              <w:rPr>
                <w:rFonts w:ascii="Times New Roman" w:hAnsi="Times New Roman" w:cs="Times New Roman"/>
                <w:sz w:val="20"/>
                <w:szCs w:val="20"/>
              </w:rPr>
            </w:pPr>
          </w:p>
        </w:tc>
      </w:tr>
      <w:tr w:rsidR="00671E3D" w:rsidRPr="006F6BBE" w14:paraId="654D0FB1" w14:textId="77777777" w:rsidTr="00857063">
        <w:tc>
          <w:tcPr>
            <w:tcW w:w="189" w:type="pct"/>
          </w:tcPr>
          <w:p w14:paraId="264FD62D" w14:textId="0BF15D70"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86</w:t>
            </w:r>
          </w:p>
        </w:tc>
        <w:tc>
          <w:tcPr>
            <w:tcW w:w="476" w:type="pct"/>
          </w:tcPr>
          <w:p w14:paraId="5FD84FD1" w14:textId="21B7209B"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Alfa Laval; n.d.</w:t>
            </w:r>
          </w:p>
        </w:tc>
        <w:tc>
          <w:tcPr>
            <w:tcW w:w="667" w:type="pct"/>
          </w:tcPr>
          <w:p w14:paraId="087AEC1B" w14:textId="336C2C93"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PureBallast 3</w:t>
            </w:r>
          </w:p>
        </w:tc>
        <w:tc>
          <w:tcPr>
            <w:tcW w:w="496" w:type="pct"/>
          </w:tcPr>
          <w:p w14:paraId="6EC07FDA" w14:textId="241ACEFE" w:rsidR="00671E3D" w:rsidRPr="006F6BBE" w:rsidRDefault="00671E3D" w:rsidP="00671E3D">
            <w:pPr>
              <w:rPr>
                <w:rFonts w:ascii="Times New Roman" w:hAnsi="Times New Roman" w:cs="Times New Roman"/>
                <w:i/>
                <w:iCs/>
                <w:sz w:val="20"/>
                <w:szCs w:val="20"/>
              </w:rPr>
            </w:pPr>
            <w:r w:rsidRPr="006F6BBE">
              <w:rPr>
                <w:rFonts w:ascii="Times New Roman" w:hAnsi="Times New Roman" w:cs="Times New Roman"/>
                <w:i/>
                <w:iCs/>
                <w:sz w:val="20"/>
                <w:szCs w:val="20"/>
              </w:rPr>
              <w:t>Alfa Laval official website</w:t>
            </w:r>
          </w:p>
        </w:tc>
        <w:tc>
          <w:tcPr>
            <w:tcW w:w="719" w:type="pct"/>
          </w:tcPr>
          <w:p w14:paraId="69F5C94D" w14:textId="103CCFBA"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Online secondary data</w:t>
            </w:r>
          </w:p>
        </w:tc>
        <w:tc>
          <w:tcPr>
            <w:tcW w:w="1738" w:type="pct"/>
          </w:tcPr>
          <w:p w14:paraId="15387999" w14:textId="061A00B4"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-CBMs can be enabled through co-created, sharing-based revenue models with ecosystem partners. By jointly designing usage-based and access-based arrangements, multiple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can share, operate, and maintain the same equipment, reducing individual investment costs while improving asset utilization and resource efficiency across the ecosystem.</w:t>
            </w:r>
          </w:p>
        </w:tc>
        <w:tc>
          <w:tcPr>
            <w:tcW w:w="715" w:type="pct"/>
          </w:tcPr>
          <w:p w14:paraId="059FB487" w14:textId="77777777"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-Extending circular revenue models practice. </w:t>
            </w:r>
          </w:p>
          <w:p w14:paraId="329DA844" w14:textId="631B2DFC" w:rsidR="00671E3D" w:rsidRPr="006F6BBE" w:rsidRDefault="00671E3D" w:rsidP="00671E3D">
            <w:pPr>
              <w:ind w:firstLine="720"/>
              <w:rPr>
                <w:rFonts w:ascii="Times New Roman" w:hAnsi="Times New Roman" w:cs="Times New Roman"/>
                <w:sz w:val="20"/>
                <w:szCs w:val="20"/>
              </w:rPr>
            </w:pPr>
          </w:p>
        </w:tc>
      </w:tr>
      <w:tr w:rsidR="00671E3D" w:rsidRPr="006F6BBE" w14:paraId="6D9EB412" w14:textId="77777777" w:rsidTr="00857063">
        <w:tc>
          <w:tcPr>
            <w:tcW w:w="189" w:type="pct"/>
          </w:tcPr>
          <w:p w14:paraId="52E3DB48" w14:textId="491A3C6A"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87</w:t>
            </w:r>
          </w:p>
        </w:tc>
        <w:tc>
          <w:tcPr>
            <w:tcW w:w="476" w:type="pct"/>
          </w:tcPr>
          <w:p w14:paraId="0A603373" w14:textId="3B19370E"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Volvo Construction Equipment, n.d.</w:t>
            </w:r>
          </w:p>
        </w:tc>
        <w:tc>
          <w:tcPr>
            <w:tcW w:w="667" w:type="pct"/>
          </w:tcPr>
          <w:p w14:paraId="1D2A372F" w14:textId="77777777"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Better connected</w:t>
            </w:r>
          </w:p>
          <w:p w14:paraId="27A27189" w14:textId="77777777" w:rsidR="00671E3D" w:rsidRPr="006F6BBE" w:rsidRDefault="00671E3D" w:rsidP="00671E3D">
            <w:pPr>
              <w:rPr>
                <w:rFonts w:ascii="Times New Roman" w:hAnsi="Times New Roman" w:cs="Times New Roman"/>
                <w:sz w:val="20"/>
                <w:szCs w:val="20"/>
              </w:rPr>
            </w:pPr>
          </w:p>
        </w:tc>
        <w:tc>
          <w:tcPr>
            <w:tcW w:w="496" w:type="pct"/>
          </w:tcPr>
          <w:p w14:paraId="1DEA556F" w14:textId="7793B6B3" w:rsidR="00671E3D" w:rsidRPr="006F6BBE" w:rsidRDefault="00671E3D" w:rsidP="00671E3D">
            <w:pPr>
              <w:rPr>
                <w:rFonts w:ascii="Times New Roman" w:hAnsi="Times New Roman" w:cs="Times New Roman"/>
                <w:i/>
                <w:iCs/>
                <w:sz w:val="20"/>
                <w:szCs w:val="20"/>
              </w:rPr>
            </w:pPr>
            <w:r w:rsidRPr="006F6BBE">
              <w:rPr>
                <w:rFonts w:ascii="Times New Roman" w:hAnsi="Times New Roman" w:cs="Times New Roman"/>
                <w:i/>
                <w:iCs/>
                <w:sz w:val="20"/>
                <w:szCs w:val="20"/>
              </w:rPr>
              <w:t>Volvo Construction Equipment website</w:t>
            </w:r>
          </w:p>
        </w:tc>
        <w:tc>
          <w:tcPr>
            <w:tcW w:w="719" w:type="pct"/>
          </w:tcPr>
          <w:p w14:paraId="41DC53CC" w14:textId="78D4ECCE"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Online secondary data</w:t>
            </w:r>
          </w:p>
        </w:tc>
        <w:tc>
          <w:tcPr>
            <w:tcW w:w="1738" w:type="pct"/>
          </w:tcPr>
          <w:p w14:paraId="3C879619" w14:textId="58F9AD46"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 xml:space="preserve">-Digitalization supports circularity by enabling real-time monitoring, coordination, and optimization of operations, allowing </w:t>
            </w:r>
            <w:r w:rsidR="00FC7662" w:rsidRPr="006F6BBE">
              <w:rPr>
                <w:rFonts w:ascii="Times New Roman" w:hAnsi="Times New Roman" w:cs="Times New Roman"/>
                <w:sz w:val="20"/>
                <w:szCs w:val="20"/>
              </w:rPr>
              <w:t>companies</w:t>
            </w:r>
            <w:r w:rsidRPr="006F6BBE">
              <w:rPr>
                <w:rFonts w:ascii="Times New Roman" w:hAnsi="Times New Roman" w:cs="Times New Roman"/>
                <w:sz w:val="20"/>
                <w:szCs w:val="20"/>
              </w:rPr>
              <w:t xml:space="preserve"> to reduce resource use, improve safety and efficiency, and lower emissions while maintaining productivity. Connected digital solutions help optimize workflows, extend asset lifecycles, and align operational performance with circular and sustainability goals.</w:t>
            </w:r>
          </w:p>
        </w:tc>
        <w:tc>
          <w:tcPr>
            <w:tcW w:w="715" w:type="pct"/>
          </w:tcPr>
          <w:p w14:paraId="38960085" w14:textId="3FE2C6C2" w:rsidR="00671E3D" w:rsidRPr="006F6BBE" w:rsidRDefault="00671E3D" w:rsidP="00671E3D">
            <w:pPr>
              <w:rPr>
                <w:rFonts w:ascii="Times New Roman" w:hAnsi="Times New Roman" w:cs="Times New Roman"/>
                <w:sz w:val="20"/>
                <w:szCs w:val="20"/>
              </w:rPr>
            </w:pPr>
            <w:r w:rsidRPr="006F6BBE">
              <w:rPr>
                <w:rFonts w:ascii="Times New Roman" w:hAnsi="Times New Roman" w:cs="Times New Roman"/>
                <w:sz w:val="20"/>
                <w:szCs w:val="20"/>
              </w:rPr>
              <w:t>-Building competency through digital analytics practice.</w:t>
            </w:r>
          </w:p>
        </w:tc>
      </w:tr>
    </w:tbl>
    <w:p w14:paraId="5E2FBACC" w14:textId="77777777" w:rsidR="002C0448" w:rsidRPr="006F6BBE" w:rsidRDefault="002C0448" w:rsidP="00364E5A">
      <w:pPr>
        <w:spacing w:line="240" w:lineRule="auto"/>
        <w:rPr>
          <w:rFonts w:ascii="Times New Roman" w:hAnsi="Times New Roman" w:cs="Times New Roman"/>
          <w:sz w:val="20"/>
          <w:szCs w:val="20"/>
        </w:rPr>
      </w:pPr>
    </w:p>
    <w:p w14:paraId="6ED64BFC" w14:textId="56F76D01" w:rsidR="00A16C22" w:rsidRPr="00A56772" w:rsidRDefault="00A56772" w:rsidP="00364E5A">
      <w:pPr>
        <w:spacing w:line="240" w:lineRule="auto"/>
        <w:rPr>
          <w:rFonts w:ascii="Times New Roman" w:hAnsi="Times New Roman" w:cs="Times New Roman"/>
        </w:rPr>
      </w:pPr>
      <w:r w:rsidRPr="006F6BBE">
        <w:rPr>
          <w:rFonts w:ascii="Times New Roman" w:hAnsi="Times New Roman" w:cs="Times New Roman"/>
        </w:rPr>
        <w:t xml:space="preserve">Appendix </w:t>
      </w:r>
      <w:r w:rsidR="00F82E63" w:rsidRPr="006F6BBE">
        <w:rPr>
          <w:rFonts w:ascii="Times New Roman" w:hAnsi="Times New Roman" w:cs="Times New Roman"/>
        </w:rPr>
        <w:t>I</w:t>
      </w:r>
      <w:r w:rsidRPr="006F6BBE">
        <w:rPr>
          <w:rFonts w:ascii="Times New Roman" w:hAnsi="Times New Roman" w:cs="Times New Roman"/>
        </w:rPr>
        <w:t>: List of papers included in the study</w:t>
      </w:r>
    </w:p>
    <w:p w14:paraId="245B0B95" w14:textId="77777777" w:rsidR="005C5814" w:rsidRPr="001628CB" w:rsidRDefault="005C5814" w:rsidP="00364E5A">
      <w:pPr>
        <w:spacing w:line="240" w:lineRule="auto"/>
        <w:rPr>
          <w:rFonts w:ascii="Times New Roman" w:hAnsi="Times New Roman" w:cs="Times New Roman"/>
          <w:sz w:val="20"/>
          <w:szCs w:val="20"/>
        </w:rPr>
      </w:pPr>
    </w:p>
    <w:p w14:paraId="5AB7DB2B" w14:textId="77777777" w:rsidR="00964A19" w:rsidRPr="001628CB" w:rsidRDefault="00964A19" w:rsidP="00364E5A">
      <w:pPr>
        <w:spacing w:line="240" w:lineRule="auto"/>
        <w:rPr>
          <w:rFonts w:ascii="Times New Roman" w:hAnsi="Times New Roman" w:cs="Times New Roman"/>
          <w:sz w:val="20"/>
          <w:szCs w:val="20"/>
        </w:rPr>
      </w:pPr>
    </w:p>
    <w:p w14:paraId="7A2B9133" w14:textId="77777777" w:rsidR="003601AE" w:rsidRPr="001628CB" w:rsidRDefault="003601AE" w:rsidP="00364E5A">
      <w:pPr>
        <w:spacing w:line="240" w:lineRule="auto"/>
        <w:rPr>
          <w:rFonts w:ascii="Times New Roman" w:hAnsi="Times New Roman" w:cs="Times New Roman"/>
          <w:sz w:val="20"/>
          <w:szCs w:val="20"/>
        </w:rPr>
      </w:pPr>
    </w:p>
    <w:sectPr w:rsidR="003601AE" w:rsidRPr="001628CB" w:rsidSect="008071A2">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4555"/>
    <w:multiLevelType w:val="multilevel"/>
    <w:tmpl w:val="FCD2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B12F4"/>
    <w:multiLevelType w:val="multilevel"/>
    <w:tmpl w:val="7EA29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7E019B"/>
    <w:multiLevelType w:val="multilevel"/>
    <w:tmpl w:val="A9968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345BEF"/>
    <w:multiLevelType w:val="multilevel"/>
    <w:tmpl w:val="5E682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02F21"/>
    <w:multiLevelType w:val="multilevel"/>
    <w:tmpl w:val="755C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678A5"/>
    <w:multiLevelType w:val="multilevel"/>
    <w:tmpl w:val="61F8D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851B24"/>
    <w:multiLevelType w:val="multilevel"/>
    <w:tmpl w:val="C7E4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7231F"/>
    <w:multiLevelType w:val="multilevel"/>
    <w:tmpl w:val="139A5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7E58C2"/>
    <w:multiLevelType w:val="multilevel"/>
    <w:tmpl w:val="8480A7F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C9373F"/>
    <w:multiLevelType w:val="multilevel"/>
    <w:tmpl w:val="6650802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BA4149"/>
    <w:multiLevelType w:val="multilevel"/>
    <w:tmpl w:val="ABEE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CE417C"/>
    <w:multiLevelType w:val="multilevel"/>
    <w:tmpl w:val="F68AB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F843A5"/>
    <w:multiLevelType w:val="multilevel"/>
    <w:tmpl w:val="ADDE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B307FA"/>
    <w:multiLevelType w:val="multilevel"/>
    <w:tmpl w:val="8714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D2024E"/>
    <w:multiLevelType w:val="multilevel"/>
    <w:tmpl w:val="1D98D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F831E0"/>
    <w:multiLevelType w:val="multilevel"/>
    <w:tmpl w:val="58D6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174F96"/>
    <w:multiLevelType w:val="multilevel"/>
    <w:tmpl w:val="C75A6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A72EF2"/>
    <w:multiLevelType w:val="multilevel"/>
    <w:tmpl w:val="800A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F538C1"/>
    <w:multiLevelType w:val="multilevel"/>
    <w:tmpl w:val="2602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D20C1D"/>
    <w:multiLevelType w:val="multilevel"/>
    <w:tmpl w:val="D80A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310E10"/>
    <w:multiLevelType w:val="multilevel"/>
    <w:tmpl w:val="6E5E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273E95"/>
    <w:multiLevelType w:val="multilevel"/>
    <w:tmpl w:val="409041BE"/>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DB0164B"/>
    <w:multiLevelType w:val="multilevel"/>
    <w:tmpl w:val="DC065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0756924">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2" w16cid:durableId="630093673">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1602184267">
    <w:abstractNumId w:val="20"/>
  </w:num>
  <w:num w:numId="4" w16cid:durableId="637807220">
    <w:abstractNumId w:val="12"/>
  </w:num>
  <w:num w:numId="5" w16cid:durableId="1325235126">
    <w:abstractNumId w:val="19"/>
  </w:num>
  <w:num w:numId="6" w16cid:durableId="2143227428">
    <w:abstractNumId w:val="6"/>
  </w:num>
  <w:num w:numId="7" w16cid:durableId="187126084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8" w16cid:durableId="2075929034">
    <w:abstractNumId w:val="3"/>
  </w:num>
  <w:num w:numId="9" w16cid:durableId="1454246964">
    <w:abstractNumId w:val="15"/>
  </w:num>
  <w:num w:numId="10" w16cid:durableId="258030197">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1" w16cid:durableId="1384519272">
    <w:abstractNumId w:val="18"/>
  </w:num>
  <w:num w:numId="12" w16cid:durableId="2135639201">
    <w:abstractNumId w:val="5"/>
  </w:num>
  <w:num w:numId="13" w16cid:durableId="596594776">
    <w:abstractNumId w:val="13"/>
  </w:num>
  <w:num w:numId="14" w16cid:durableId="2130314676">
    <w:abstractNumId w:val="7"/>
  </w:num>
  <w:num w:numId="15" w16cid:durableId="977950939">
    <w:abstractNumId w:val="1"/>
  </w:num>
  <w:num w:numId="16" w16cid:durableId="1976719061">
    <w:abstractNumId w:val="2"/>
  </w:num>
  <w:num w:numId="17" w16cid:durableId="874466648">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2121365533">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1138457113">
    <w:abstractNumId w:val="14"/>
  </w:num>
  <w:num w:numId="20" w16cid:durableId="2008706743">
    <w:abstractNumId w:val="11"/>
  </w:num>
  <w:num w:numId="21" w16cid:durableId="1339388817">
    <w:abstractNumId w:val="22"/>
  </w:num>
  <w:num w:numId="22" w16cid:durableId="986787120">
    <w:abstractNumId w:val="9"/>
  </w:num>
  <w:num w:numId="23" w16cid:durableId="11419416">
    <w:abstractNumId w:val="8"/>
  </w:num>
  <w:num w:numId="24" w16cid:durableId="16481975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448"/>
    <w:rsid w:val="00000281"/>
    <w:rsid w:val="0002042A"/>
    <w:rsid w:val="000231F6"/>
    <w:rsid w:val="000330F1"/>
    <w:rsid w:val="0003719F"/>
    <w:rsid w:val="00040052"/>
    <w:rsid w:val="00040ED4"/>
    <w:rsid w:val="000433C1"/>
    <w:rsid w:val="000618B8"/>
    <w:rsid w:val="00062DC6"/>
    <w:rsid w:val="0007024C"/>
    <w:rsid w:val="000703D2"/>
    <w:rsid w:val="000778BF"/>
    <w:rsid w:val="00084EFB"/>
    <w:rsid w:val="0009190B"/>
    <w:rsid w:val="00092E01"/>
    <w:rsid w:val="000A48F8"/>
    <w:rsid w:val="000B1B5F"/>
    <w:rsid w:val="000B3BD7"/>
    <w:rsid w:val="000B4F17"/>
    <w:rsid w:val="000B50AD"/>
    <w:rsid w:val="000B79E0"/>
    <w:rsid w:val="000C1C8D"/>
    <w:rsid w:val="000C7385"/>
    <w:rsid w:val="000D044D"/>
    <w:rsid w:val="000D25E4"/>
    <w:rsid w:val="001020CC"/>
    <w:rsid w:val="00107501"/>
    <w:rsid w:val="001118AE"/>
    <w:rsid w:val="00112EEE"/>
    <w:rsid w:val="00113738"/>
    <w:rsid w:val="00124140"/>
    <w:rsid w:val="00131FC4"/>
    <w:rsid w:val="0013258C"/>
    <w:rsid w:val="00134A7E"/>
    <w:rsid w:val="0013635B"/>
    <w:rsid w:val="0014415B"/>
    <w:rsid w:val="0014566E"/>
    <w:rsid w:val="00151201"/>
    <w:rsid w:val="00151683"/>
    <w:rsid w:val="00153734"/>
    <w:rsid w:val="0015408B"/>
    <w:rsid w:val="0016186D"/>
    <w:rsid w:val="001628CB"/>
    <w:rsid w:val="00165526"/>
    <w:rsid w:val="001813D1"/>
    <w:rsid w:val="001860F4"/>
    <w:rsid w:val="001957B3"/>
    <w:rsid w:val="001A3596"/>
    <w:rsid w:val="001A4BDD"/>
    <w:rsid w:val="001B3E5D"/>
    <w:rsid w:val="001B6BD9"/>
    <w:rsid w:val="001C1E47"/>
    <w:rsid w:val="001C506C"/>
    <w:rsid w:val="001C6659"/>
    <w:rsid w:val="001D412B"/>
    <w:rsid w:val="001D52A3"/>
    <w:rsid w:val="001E2592"/>
    <w:rsid w:val="001E5F1D"/>
    <w:rsid w:val="001F0A8F"/>
    <w:rsid w:val="001F25AE"/>
    <w:rsid w:val="001F430D"/>
    <w:rsid w:val="0020210D"/>
    <w:rsid w:val="0020237C"/>
    <w:rsid w:val="00202B22"/>
    <w:rsid w:val="00203316"/>
    <w:rsid w:val="00205FF1"/>
    <w:rsid w:val="002061C1"/>
    <w:rsid w:val="0021721A"/>
    <w:rsid w:val="00217B30"/>
    <w:rsid w:val="002313A9"/>
    <w:rsid w:val="002344EC"/>
    <w:rsid w:val="0024477C"/>
    <w:rsid w:val="002529D7"/>
    <w:rsid w:val="00252DE6"/>
    <w:rsid w:val="00255FF3"/>
    <w:rsid w:val="00256A3E"/>
    <w:rsid w:val="00256BA3"/>
    <w:rsid w:val="002605DC"/>
    <w:rsid w:val="0026644D"/>
    <w:rsid w:val="002670B2"/>
    <w:rsid w:val="00274E0A"/>
    <w:rsid w:val="00277CAB"/>
    <w:rsid w:val="002907E7"/>
    <w:rsid w:val="00292781"/>
    <w:rsid w:val="002A4F95"/>
    <w:rsid w:val="002A6875"/>
    <w:rsid w:val="002B3292"/>
    <w:rsid w:val="002B3A68"/>
    <w:rsid w:val="002B79A5"/>
    <w:rsid w:val="002C0448"/>
    <w:rsid w:val="002C0B63"/>
    <w:rsid w:val="002C1BDE"/>
    <w:rsid w:val="002C5016"/>
    <w:rsid w:val="002D09C1"/>
    <w:rsid w:val="002D345E"/>
    <w:rsid w:val="002D7B44"/>
    <w:rsid w:val="002F04E7"/>
    <w:rsid w:val="00304AAD"/>
    <w:rsid w:val="00305AD9"/>
    <w:rsid w:val="00311DC4"/>
    <w:rsid w:val="00317A8A"/>
    <w:rsid w:val="0032034E"/>
    <w:rsid w:val="0032297E"/>
    <w:rsid w:val="0032558F"/>
    <w:rsid w:val="00330DA6"/>
    <w:rsid w:val="00333E82"/>
    <w:rsid w:val="00335B5F"/>
    <w:rsid w:val="003407C8"/>
    <w:rsid w:val="003457A2"/>
    <w:rsid w:val="00351871"/>
    <w:rsid w:val="00352A67"/>
    <w:rsid w:val="003554C8"/>
    <w:rsid w:val="00357728"/>
    <w:rsid w:val="003601AE"/>
    <w:rsid w:val="00364E5A"/>
    <w:rsid w:val="003669FA"/>
    <w:rsid w:val="003A26E8"/>
    <w:rsid w:val="003A430D"/>
    <w:rsid w:val="003B1C70"/>
    <w:rsid w:val="003C7C2D"/>
    <w:rsid w:val="003D0C0A"/>
    <w:rsid w:val="003D3933"/>
    <w:rsid w:val="003D3FAD"/>
    <w:rsid w:val="003E03FC"/>
    <w:rsid w:val="003F4F44"/>
    <w:rsid w:val="00400F99"/>
    <w:rsid w:val="0040694C"/>
    <w:rsid w:val="004207C3"/>
    <w:rsid w:val="004234DA"/>
    <w:rsid w:val="00433812"/>
    <w:rsid w:val="004370D8"/>
    <w:rsid w:val="00465C1D"/>
    <w:rsid w:val="00470251"/>
    <w:rsid w:val="00471ED4"/>
    <w:rsid w:val="00475892"/>
    <w:rsid w:val="0047678B"/>
    <w:rsid w:val="004956B1"/>
    <w:rsid w:val="00496488"/>
    <w:rsid w:val="004A0A4C"/>
    <w:rsid w:val="004A1704"/>
    <w:rsid w:val="004A1F5F"/>
    <w:rsid w:val="004C05BC"/>
    <w:rsid w:val="004C57DD"/>
    <w:rsid w:val="004D2F00"/>
    <w:rsid w:val="004E67D8"/>
    <w:rsid w:val="004F35D8"/>
    <w:rsid w:val="005018C3"/>
    <w:rsid w:val="00505AF9"/>
    <w:rsid w:val="005127FB"/>
    <w:rsid w:val="00521BF1"/>
    <w:rsid w:val="00524987"/>
    <w:rsid w:val="00531BE0"/>
    <w:rsid w:val="005324C5"/>
    <w:rsid w:val="00543669"/>
    <w:rsid w:val="00546CDE"/>
    <w:rsid w:val="00554648"/>
    <w:rsid w:val="00556DAB"/>
    <w:rsid w:val="0055708E"/>
    <w:rsid w:val="0056089B"/>
    <w:rsid w:val="005712F6"/>
    <w:rsid w:val="005714D9"/>
    <w:rsid w:val="005752C0"/>
    <w:rsid w:val="00592CD0"/>
    <w:rsid w:val="005B4D58"/>
    <w:rsid w:val="005B7F51"/>
    <w:rsid w:val="005C5814"/>
    <w:rsid w:val="005C7EBB"/>
    <w:rsid w:val="005D7A8F"/>
    <w:rsid w:val="005E12B8"/>
    <w:rsid w:val="005E1587"/>
    <w:rsid w:val="005E7B3E"/>
    <w:rsid w:val="005F7D72"/>
    <w:rsid w:val="00613C62"/>
    <w:rsid w:val="00616421"/>
    <w:rsid w:val="00623634"/>
    <w:rsid w:val="0062560E"/>
    <w:rsid w:val="00635748"/>
    <w:rsid w:val="006601CB"/>
    <w:rsid w:val="00662ABC"/>
    <w:rsid w:val="00671E3D"/>
    <w:rsid w:val="00680517"/>
    <w:rsid w:val="0069632B"/>
    <w:rsid w:val="006A3905"/>
    <w:rsid w:val="006A3AC1"/>
    <w:rsid w:val="006B4C54"/>
    <w:rsid w:val="006B7D28"/>
    <w:rsid w:val="006C560A"/>
    <w:rsid w:val="006D116E"/>
    <w:rsid w:val="006D1C92"/>
    <w:rsid w:val="006D330F"/>
    <w:rsid w:val="006D4780"/>
    <w:rsid w:val="006D7132"/>
    <w:rsid w:val="006E09B0"/>
    <w:rsid w:val="006E1545"/>
    <w:rsid w:val="006E47E4"/>
    <w:rsid w:val="006E4E6E"/>
    <w:rsid w:val="006F6BBE"/>
    <w:rsid w:val="00701A29"/>
    <w:rsid w:val="0071156E"/>
    <w:rsid w:val="00740789"/>
    <w:rsid w:val="00745A3E"/>
    <w:rsid w:val="00747268"/>
    <w:rsid w:val="007565A4"/>
    <w:rsid w:val="007566F1"/>
    <w:rsid w:val="00772B2D"/>
    <w:rsid w:val="00777A23"/>
    <w:rsid w:val="00795F68"/>
    <w:rsid w:val="007A05B0"/>
    <w:rsid w:val="007A5BB8"/>
    <w:rsid w:val="007B64BB"/>
    <w:rsid w:val="007C3547"/>
    <w:rsid w:val="007C7B22"/>
    <w:rsid w:val="007E615E"/>
    <w:rsid w:val="007E6A43"/>
    <w:rsid w:val="007F7685"/>
    <w:rsid w:val="008005E6"/>
    <w:rsid w:val="0080275B"/>
    <w:rsid w:val="008071A2"/>
    <w:rsid w:val="00822CB7"/>
    <w:rsid w:val="00824E76"/>
    <w:rsid w:val="00837A52"/>
    <w:rsid w:val="00843DF2"/>
    <w:rsid w:val="008450AD"/>
    <w:rsid w:val="00852D9B"/>
    <w:rsid w:val="00857063"/>
    <w:rsid w:val="00860712"/>
    <w:rsid w:val="008633AA"/>
    <w:rsid w:val="008666CD"/>
    <w:rsid w:val="00872825"/>
    <w:rsid w:val="00873329"/>
    <w:rsid w:val="008749FA"/>
    <w:rsid w:val="00877E4D"/>
    <w:rsid w:val="00882402"/>
    <w:rsid w:val="00883802"/>
    <w:rsid w:val="00883829"/>
    <w:rsid w:val="00884EE9"/>
    <w:rsid w:val="008875C7"/>
    <w:rsid w:val="00892926"/>
    <w:rsid w:val="00892D31"/>
    <w:rsid w:val="00893639"/>
    <w:rsid w:val="00894A12"/>
    <w:rsid w:val="00896612"/>
    <w:rsid w:val="008A0103"/>
    <w:rsid w:val="008A5CAE"/>
    <w:rsid w:val="008A702B"/>
    <w:rsid w:val="008B3C7A"/>
    <w:rsid w:val="008C2B99"/>
    <w:rsid w:val="008C451C"/>
    <w:rsid w:val="008C5C5B"/>
    <w:rsid w:val="008E7869"/>
    <w:rsid w:val="008F2713"/>
    <w:rsid w:val="008F42AA"/>
    <w:rsid w:val="008F70BA"/>
    <w:rsid w:val="00901587"/>
    <w:rsid w:val="00902635"/>
    <w:rsid w:val="0090614A"/>
    <w:rsid w:val="00910752"/>
    <w:rsid w:val="00914BA0"/>
    <w:rsid w:val="009209CF"/>
    <w:rsid w:val="00922AAB"/>
    <w:rsid w:val="00922E4D"/>
    <w:rsid w:val="00925205"/>
    <w:rsid w:val="009255B5"/>
    <w:rsid w:val="009337A9"/>
    <w:rsid w:val="009378B3"/>
    <w:rsid w:val="00945661"/>
    <w:rsid w:val="009564FB"/>
    <w:rsid w:val="00963CE3"/>
    <w:rsid w:val="009646FD"/>
    <w:rsid w:val="00964A19"/>
    <w:rsid w:val="00965242"/>
    <w:rsid w:val="009775B7"/>
    <w:rsid w:val="009865AA"/>
    <w:rsid w:val="009869DC"/>
    <w:rsid w:val="00987550"/>
    <w:rsid w:val="00990607"/>
    <w:rsid w:val="00994AD5"/>
    <w:rsid w:val="009A4C32"/>
    <w:rsid w:val="009A61D7"/>
    <w:rsid w:val="009C13DA"/>
    <w:rsid w:val="009C6863"/>
    <w:rsid w:val="009C695F"/>
    <w:rsid w:val="009E17FB"/>
    <w:rsid w:val="009F159C"/>
    <w:rsid w:val="009F6A69"/>
    <w:rsid w:val="009F7D5C"/>
    <w:rsid w:val="00A027F3"/>
    <w:rsid w:val="00A07EA7"/>
    <w:rsid w:val="00A16C22"/>
    <w:rsid w:val="00A17721"/>
    <w:rsid w:val="00A20C67"/>
    <w:rsid w:val="00A22FC1"/>
    <w:rsid w:val="00A325F7"/>
    <w:rsid w:val="00A346E7"/>
    <w:rsid w:val="00A402EA"/>
    <w:rsid w:val="00A51AE4"/>
    <w:rsid w:val="00A56772"/>
    <w:rsid w:val="00A56BE4"/>
    <w:rsid w:val="00A57497"/>
    <w:rsid w:val="00A71C8F"/>
    <w:rsid w:val="00A757A7"/>
    <w:rsid w:val="00A77D24"/>
    <w:rsid w:val="00A816D9"/>
    <w:rsid w:val="00A9692F"/>
    <w:rsid w:val="00AA1F9A"/>
    <w:rsid w:val="00AA60DF"/>
    <w:rsid w:val="00AA62A6"/>
    <w:rsid w:val="00AB19FE"/>
    <w:rsid w:val="00AB676F"/>
    <w:rsid w:val="00AB7679"/>
    <w:rsid w:val="00AD35F6"/>
    <w:rsid w:val="00AD5FD6"/>
    <w:rsid w:val="00AE6E7D"/>
    <w:rsid w:val="00AE7963"/>
    <w:rsid w:val="00AF7174"/>
    <w:rsid w:val="00B11ECD"/>
    <w:rsid w:val="00B34120"/>
    <w:rsid w:val="00B41057"/>
    <w:rsid w:val="00B449EC"/>
    <w:rsid w:val="00B4794D"/>
    <w:rsid w:val="00B55729"/>
    <w:rsid w:val="00B6706B"/>
    <w:rsid w:val="00B714D8"/>
    <w:rsid w:val="00B72EB9"/>
    <w:rsid w:val="00B7431A"/>
    <w:rsid w:val="00B77324"/>
    <w:rsid w:val="00B9337D"/>
    <w:rsid w:val="00BB262C"/>
    <w:rsid w:val="00BB6F7D"/>
    <w:rsid w:val="00BC2E58"/>
    <w:rsid w:val="00BC6E57"/>
    <w:rsid w:val="00BD0E29"/>
    <w:rsid w:val="00BD63E2"/>
    <w:rsid w:val="00BE5F06"/>
    <w:rsid w:val="00BF6410"/>
    <w:rsid w:val="00C11127"/>
    <w:rsid w:val="00C15BBA"/>
    <w:rsid w:val="00C239C7"/>
    <w:rsid w:val="00C23F22"/>
    <w:rsid w:val="00C30A5E"/>
    <w:rsid w:val="00C3686A"/>
    <w:rsid w:val="00C40110"/>
    <w:rsid w:val="00C40B4C"/>
    <w:rsid w:val="00C41420"/>
    <w:rsid w:val="00C52789"/>
    <w:rsid w:val="00C53556"/>
    <w:rsid w:val="00C5672A"/>
    <w:rsid w:val="00C60144"/>
    <w:rsid w:val="00C6293A"/>
    <w:rsid w:val="00C63264"/>
    <w:rsid w:val="00C76871"/>
    <w:rsid w:val="00C8499A"/>
    <w:rsid w:val="00C84B2E"/>
    <w:rsid w:val="00C84EFD"/>
    <w:rsid w:val="00C9443D"/>
    <w:rsid w:val="00CA5D4C"/>
    <w:rsid w:val="00CB0764"/>
    <w:rsid w:val="00CB2D9E"/>
    <w:rsid w:val="00CC0FBE"/>
    <w:rsid w:val="00CC3D21"/>
    <w:rsid w:val="00CC4AF0"/>
    <w:rsid w:val="00CC7282"/>
    <w:rsid w:val="00CD2921"/>
    <w:rsid w:val="00CD72A9"/>
    <w:rsid w:val="00CE57EC"/>
    <w:rsid w:val="00CF7DAD"/>
    <w:rsid w:val="00D02FF3"/>
    <w:rsid w:val="00D06EA5"/>
    <w:rsid w:val="00D11F69"/>
    <w:rsid w:val="00D16373"/>
    <w:rsid w:val="00D17AF1"/>
    <w:rsid w:val="00D227DE"/>
    <w:rsid w:val="00D26A2D"/>
    <w:rsid w:val="00D30DDC"/>
    <w:rsid w:val="00D31405"/>
    <w:rsid w:val="00D3614A"/>
    <w:rsid w:val="00D36FBC"/>
    <w:rsid w:val="00D60579"/>
    <w:rsid w:val="00D60B3B"/>
    <w:rsid w:val="00D60D6B"/>
    <w:rsid w:val="00D624C5"/>
    <w:rsid w:val="00D63FF8"/>
    <w:rsid w:val="00D659CE"/>
    <w:rsid w:val="00D670A5"/>
    <w:rsid w:val="00D70131"/>
    <w:rsid w:val="00D77131"/>
    <w:rsid w:val="00D80BB3"/>
    <w:rsid w:val="00D9020B"/>
    <w:rsid w:val="00D92271"/>
    <w:rsid w:val="00DA102D"/>
    <w:rsid w:val="00DB0490"/>
    <w:rsid w:val="00DB0E4F"/>
    <w:rsid w:val="00DB21EF"/>
    <w:rsid w:val="00DC27C7"/>
    <w:rsid w:val="00DC6998"/>
    <w:rsid w:val="00DD21CD"/>
    <w:rsid w:val="00DD2897"/>
    <w:rsid w:val="00DD7B27"/>
    <w:rsid w:val="00DE1CD6"/>
    <w:rsid w:val="00DE358C"/>
    <w:rsid w:val="00DF0D53"/>
    <w:rsid w:val="00DF1696"/>
    <w:rsid w:val="00E01C38"/>
    <w:rsid w:val="00E061FC"/>
    <w:rsid w:val="00E1612D"/>
    <w:rsid w:val="00E200B7"/>
    <w:rsid w:val="00E22C54"/>
    <w:rsid w:val="00E27512"/>
    <w:rsid w:val="00E276E7"/>
    <w:rsid w:val="00E30E53"/>
    <w:rsid w:val="00E40EC9"/>
    <w:rsid w:val="00E42F9E"/>
    <w:rsid w:val="00E50299"/>
    <w:rsid w:val="00E822AF"/>
    <w:rsid w:val="00E834F8"/>
    <w:rsid w:val="00E8428E"/>
    <w:rsid w:val="00E87250"/>
    <w:rsid w:val="00E9705D"/>
    <w:rsid w:val="00E97B35"/>
    <w:rsid w:val="00EA3852"/>
    <w:rsid w:val="00EB06F6"/>
    <w:rsid w:val="00EC160F"/>
    <w:rsid w:val="00EC5C34"/>
    <w:rsid w:val="00EC6ACB"/>
    <w:rsid w:val="00ED1E88"/>
    <w:rsid w:val="00ED2268"/>
    <w:rsid w:val="00ED262A"/>
    <w:rsid w:val="00ED34F1"/>
    <w:rsid w:val="00ED5F43"/>
    <w:rsid w:val="00EE001D"/>
    <w:rsid w:val="00EE0398"/>
    <w:rsid w:val="00EE30EF"/>
    <w:rsid w:val="00EE3815"/>
    <w:rsid w:val="00EE6FAF"/>
    <w:rsid w:val="00EF1CF9"/>
    <w:rsid w:val="00EF371B"/>
    <w:rsid w:val="00EF636F"/>
    <w:rsid w:val="00F06892"/>
    <w:rsid w:val="00F111A6"/>
    <w:rsid w:val="00F3583D"/>
    <w:rsid w:val="00F35A11"/>
    <w:rsid w:val="00F36688"/>
    <w:rsid w:val="00F37D13"/>
    <w:rsid w:val="00F4154D"/>
    <w:rsid w:val="00F50035"/>
    <w:rsid w:val="00F52018"/>
    <w:rsid w:val="00F5309C"/>
    <w:rsid w:val="00F82E63"/>
    <w:rsid w:val="00F95631"/>
    <w:rsid w:val="00FA2B44"/>
    <w:rsid w:val="00FA74B1"/>
    <w:rsid w:val="00FB1BB7"/>
    <w:rsid w:val="00FB21BC"/>
    <w:rsid w:val="00FB2295"/>
    <w:rsid w:val="00FC3709"/>
    <w:rsid w:val="00FC7662"/>
    <w:rsid w:val="00FC781F"/>
    <w:rsid w:val="00FD0B12"/>
    <w:rsid w:val="00FD0B4A"/>
    <w:rsid w:val="00FD7B8C"/>
    <w:rsid w:val="00FE4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64F58"/>
  <w15:chartTrackingRefBased/>
  <w15:docId w15:val="{92C6FF36-6695-46B2-9923-BC0E300B1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1A2"/>
  </w:style>
  <w:style w:type="paragraph" w:styleId="Heading1">
    <w:name w:val="heading 1"/>
    <w:basedOn w:val="Normal"/>
    <w:next w:val="Normal"/>
    <w:link w:val="Heading1Char"/>
    <w:uiPriority w:val="9"/>
    <w:qFormat/>
    <w:rsid w:val="002C0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C0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04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04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4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4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4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4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4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4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C04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04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4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4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4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4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4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448"/>
    <w:rPr>
      <w:rFonts w:eastAsiaTheme="majorEastAsia" w:cstheme="majorBidi"/>
      <w:color w:val="272727" w:themeColor="text1" w:themeTint="D8"/>
    </w:rPr>
  </w:style>
  <w:style w:type="paragraph" w:styleId="Title">
    <w:name w:val="Title"/>
    <w:basedOn w:val="Normal"/>
    <w:next w:val="Normal"/>
    <w:link w:val="TitleChar"/>
    <w:uiPriority w:val="10"/>
    <w:qFormat/>
    <w:rsid w:val="002C0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4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4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4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448"/>
    <w:pPr>
      <w:spacing w:before="160"/>
      <w:jc w:val="center"/>
    </w:pPr>
    <w:rPr>
      <w:i/>
      <w:iCs/>
      <w:color w:val="404040" w:themeColor="text1" w:themeTint="BF"/>
    </w:rPr>
  </w:style>
  <w:style w:type="character" w:customStyle="1" w:styleId="QuoteChar">
    <w:name w:val="Quote Char"/>
    <w:basedOn w:val="DefaultParagraphFont"/>
    <w:link w:val="Quote"/>
    <w:uiPriority w:val="29"/>
    <w:rsid w:val="002C0448"/>
    <w:rPr>
      <w:i/>
      <w:iCs/>
      <w:color w:val="404040" w:themeColor="text1" w:themeTint="BF"/>
    </w:rPr>
  </w:style>
  <w:style w:type="paragraph" w:styleId="ListParagraph">
    <w:name w:val="List Paragraph"/>
    <w:basedOn w:val="Normal"/>
    <w:uiPriority w:val="34"/>
    <w:qFormat/>
    <w:rsid w:val="002C0448"/>
    <w:pPr>
      <w:ind w:left="720"/>
      <w:contextualSpacing/>
    </w:pPr>
  </w:style>
  <w:style w:type="character" w:styleId="IntenseEmphasis">
    <w:name w:val="Intense Emphasis"/>
    <w:basedOn w:val="DefaultParagraphFont"/>
    <w:uiPriority w:val="21"/>
    <w:qFormat/>
    <w:rsid w:val="002C0448"/>
    <w:rPr>
      <w:i/>
      <w:iCs/>
      <w:color w:val="0F4761" w:themeColor="accent1" w:themeShade="BF"/>
    </w:rPr>
  </w:style>
  <w:style w:type="paragraph" w:styleId="IntenseQuote">
    <w:name w:val="Intense Quote"/>
    <w:basedOn w:val="Normal"/>
    <w:next w:val="Normal"/>
    <w:link w:val="IntenseQuoteChar"/>
    <w:uiPriority w:val="30"/>
    <w:qFormat/>
    <w:rsid w:val="002C0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448"/>
    <w:rPr>
      <w:i/>
      <w:iCs/>
      <w:color w:val="0F4761" w:themeColor="accent1" w:themeShade="BF"/>
    </w:rPr>
  </w:style>
  <w:style w:type="character" w:styleId="IntenseReference">
    <w:name w:val="Intense Reference"/>
    <w:basedOn w:val="DefaultParagraphFont"/>
    <w:uiPriority w:val="32"/>
    <w:qFormat/>
    <w:rsid w:val="002C0448"/>
    <w:rPr>
      <w:b/>
      <w:bCs/>
      <w:smallCaps/>
      <w:color w:val="0F4761" w:themeColor="accent1" w:themeShade="BF"/>
      <w:spacing w:val="5"/>
    </w:rPr>
  </w:style>
  <w:style w:type="table" w:styleId="TableGrid">
    <w:name w:val="Table Grid"/>
    <w:basedOn w:val="TableNormal"/>
    <w:uiPriority w:val="39"/>
    <w:rsid w:val="00807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344EC"/>
    <w:rPr>
      <w:rFonts w:ascii="Times New Roman" w:hAnsi="Times New Roman" w:cs="Times New Roman"/>
    </w:rPr>
  </w:style>
  <w:style w:type="paragraph" w:styleId="Revision">
    <w:name w:val="Revision"/>
    <w:hidden/>
    <w:uiPriority w:val="99"/>
    <w:semiHidden/>
    <w:rsid w:val="00252D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B3749-457F-42E6-8189-15B31AB4C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10650</TotalTime>
  <Pages>19</Pages>
  <Words>8382</Words>
  <Characters>47778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Debadrita Panda</dc:creator>
  <cp:keywords/>
  <dc:description/>
  <cp:lastModifiedBy>Debadrita Panda</cp:lastModifiedBy>
  <cp:revision>90</cp:revision>
  <dcterms:created xsi:type="dcterms:W3CDTF">2026-01-19T04:18:00Z</dcterms:created>
  <dcterms:modified xsi:type="dcterms:W3CDTF">2026-02-26T14:05:00Z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b866963f-8365-440d-a324-78d7bbabf0a3</vt:lpwstr>
  </property>
</Properties>
</file>