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77161" w14:textId="0D88688B" w:rsidR="002E7B4F" w:rsidRDefault="00C335CD" w:rsidP="00F94992">
      <w:pPr>
        <w:pStyle w:val="Title"/>
        <w:rPr>
          <w:b w:val="0"/>
        </w:rPr>
      </w:pPr>
      <w:r>
        <w:t>Supplementary</w:t>
      </w:r>
      <w:r>
        <w:rPr>
          <w:spacing w:val="-20"/>
        </w:rPr>
        <w:t xml:space="preserve"> </w:t>
      </w:r>
      <w:r w:rsidR="00F94992">
        <w:t>material</w:t>
      </w:r>
      <w:r w:rsidR="008B79B4">
        <w:t xml:space="preserve"> I</w:t>
      </w:r>
    </w:p>
    <w:p w14:paraId="0FC58955" w14:textId="77777777" w:rsidR="002E7B4F" w:rsidRDefault="002E7B4F">
      <w:pPr>
        <w:pStyle w:val="BodyText"/>
        <w:spacing w:before="182"/>
        <w:rPr>
          <w:b/>
          <w:sz w:val="32"/>
        </w:rPr>
      </w:pPr>
    </w:p>
    <w:p w14:paraId="2832355B" w14:textId="2135125F" w:rsidR="002E7B4F" w:rsidRDefault="00C335CD">
      <w:pPr>
        <w:pStyle w:val="BodyText"/>
        <w:spacing w:line="360" w:lineRule="auto"/>
        <w:ind w:left="118" w:right="112" w:firstLine="284"/>
        <w:jc w:val="both"/>
      </w:pPr>
      <w:r>
        <w:t>This supplementary appendix</w:t>
      </w:r>
      <w:r w:rsidR="00465ACF">
        <w:t xml:space="preserve"> (a-b)</w:t>
      </w:r>
      <w:bookmarkStart w:id="0" w:name="_GoBack"/>
      <w:bookmarkEnd w:id="0"/>
      <w:r>
        <w:t xml:space="preserve"> is linked to the article entitled “The potential of the Blue Economy to promote the generation of sustainable employment in the </w:t>
      </w:r>
      <w:r>
        <w:t>European Union.” It contains valuable content that could not be accommodated within the journal’s word limit and is</w:t>
      </w:r>
      <w:r>
        <w:rPr>
          <w:spacing w:val="-12"/>
        </w:rPr>
        <w:t xml:space="preserve"> </w:t>
      </w:r>
      <w:r>
        <w:t>made</w:t>
      </w:r>
      <w:r>
        <w:rPr>
          <w:spacing w:val="-12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here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transparency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scholarly</w:t>
      </w:r>
      <w:r>
        <w:rPr>
          <w:spacing w:val="-12"/>
        </w:rPr>
        <w:t xml:space="preserve"> </w:t>
      </w:r>
      <w:r>
        <w:t>completeness.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particular,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document expands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introductory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compleme</w:t>
      </w:r>
      <w:r>
        <w:t>nts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methodological</w:t>
      </w:r>
      <w:r>
        <w:rPr>
          <w:spacing w:val="-1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its original depth, offering conceptual and procedural elements that were necessarily abbreviated in the main submission.</w:t>
      </w:r>
    </w:p>
    <w:p w14:paraId="2935B5BB" w14:textId="77777777" w:rsidR="002E7B4F" w:rsidRDefault="002E7B4F">
      <w:pPr>
        <w:pStyle w:val="BodyText"/>
      </w:pPr>
    </w:p>
    <w:p w14:paraId="0C89A054" w14:textId="77777777" w:rsidR="002E7B4F" w:rsidRDefault="002E7B4F">
      <w:pPr>
        <w:pStyle w:val="BodyText"/>
        <w:spacing w:before="252"/>
      </w:pPr>
    </w:p>
    <w:p w14:paraId="16D85E61" w14:textId="77777777" w:rsidR="002E7B4F" w:rsidRDefault="00C335CD">
      <w:pPr>
        <w:pStyle w:val="Heading1"/>
        <w:ind w:left="402"/>
      </w:pPr>
      <w:r>
        <w:t>Appendix</w:t>
      </w:r>
      <w:r>
        <w:rPr>
          <w:spacing w:val="-18"/>
        </w:rPr>
        <w:t xml:space="preserve"> </w:t>
      </w:r>
      <w:r>
        <w:t>A.</w:t>
      </w:r>
      <w:r>
        <w:rPr>
          <w:spacing w:val="-14"/>
        </w:rPr>
        <w:t xml:space="preserve"> </w:t>
      </w:r>
      <w:r>
        <w:t>Extended</w:t>
      </w:r>
      <w:r>
        <w:rPr>
          <w:spacing w:val="-10"/>
        </w:rPr>
        <w:t xml:space="preserve"> </w:t>
      </w:r>
      <w:r>
        <w:rPr>
          <w:spacing w:val="-2"/>
        </w:rPr>
        <w:t>Introduction</w:t>
      </w:r>
    </w:p>
    <w:p w14:paraId="05A97AFF" w14:textId="77777777" w:rsidR="002E7B4F" w:rsidRDefault="00C335CD">
      <w:pPr>
        <w:pStyle w:val="BodyText"/>
        <w:spacing w:before="320" w:line="360" w:lineRule="auto"/>
        <w:ind w:left="118" w:right="112" w:firstLine="284"/>
        <w:jc w:val="both"/>
      </w:pPr>
      <w:r>
        <w:t>[…] However, strictly speaking the Blue Economy is part o</w:t>
      </w:r>
      <w:r>
        <w:t>f the Green Economy</w:t>
      </w:r>
      <w:r>
        <w:rPr>
          <w:spacing w:val="40"/>
        </w:rPr>
        <w:t xml:space="preserve"> </w:t>
      </w:r>
      <w:r>
        <w:t>(Dornan et</w:t>
      </w:r>
      <w:r>
        <w:rPr>
          <w:spacing w:val="-7"/>
        </w:rPr>
        <w:t xml:space="preserve"> </w:t>
      </w:r>
      <w:r>
        <w:t>al.,</w:t>
      </w:r>
      <w:r>
        <w:rPr>
          <w:spacing w:val="-7"/>
        </w:rPr>
        <w:t xml:space="preserve"> </w:t>
      </w:r>
      <w:r>
        <w:t>2018;</w:t>
      </w:r>
      <w:r>
        <w:rPr>
          <w:spacing w:val="-7"/>
        </w:rPr>
        <w:t xml:space="preserve"> </w:t>
      </w:r>
      <w:proofErr w:type="spellStart"/>
      <w:r>
        <w:t>Dziura</w:t>
      </w:r>
      <w:proofErr w:type="spellEnd"/>
      <w:r>
        <w:t>,</w:t>
      </w:r>
      <w:r>
        <w:rPr>
          <w:spacing w:val="-7"/>
        </w:rPr>
        <w:t xml:space="preserve"> </w:t>
      </w:r>
      <w:r>
        <w:t>2016;</w:t>
      </w:r>
      <w:r>
        <w:rPr>
          <w:spacing w:val="-7"/>
        </w:rPr>
        <w:t xml:space="preserve"> </w:t>
      </w:r>
      <w:proofErr w:type="spellStart"/>
      <w:r>
        <w:t>Lavrikova</w:t>
      </w:r>
      <w:proofErr w:type="spellEnd"/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al.,</w:t>
      </w:r>
      <w:r>
        <w:rPr>
          <w:spacing w:val="-7"/>
        </w:rPr>
        <w:t xml:space="preserve"> </w:t>
      </w:r>
      <w:r>
        <w:t>2021)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represents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fundamental</w:t>
      </w:r>
      <w:r>
        <w:rPr>
          <w:spacing w:val="-7"/>
        </w:rPr>
        <w:t xml:space="preserve"> </w:t>
      </w:r>
      <w:r>
        <w:t>pillars of the European Green Deal</w:t>
      </w:r>
      <w:r>
        <w:rPr>
          <w:spacing w:val="40"/>
        </w:rPr>
        <w:t xml:space="preserve"> </w:t>
      </w:r>
      <w:r>
        <w:t xml:space="preserve">(European Commission, 2021). In the same way, the Blue Economy targets are represented within the UN </w:t>
      </w:r>
      <w:r>
        <w:t>Sustainable Development Goals</w:t>
      </w:r>
      <w:r>
        <w:rPr>
          <w:spacing w:val="40"/>
        </w:rPr>
        <w:t xml:space="preserve"> </w:t>
      </w:r>
      <w:r>
        <w:t>(UN-GA, 2015),</w:t>
      </w:r>
      <w:r>
        <w:rPr>
          <w:spacing w:val="-15"/>
        </w:rPr>
        <w:t xml:space="preserve"> </w:t>
      </w:r>
      <w:r>
        <w:t>fundamentally</w:t>
      </w:r>
      <w:r>
        <w:rPr>
          <w:spacing w:val="-15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SDGS</w:t>
      </w:r>
      <w:r>
        <w:rPr>
          <w:spacing w:val="-15"/>
        </w:rPr>
        <w:t xml:space="preserve"> </w:t>
      </w:r>
      <w:r>
        <w:t>7,</w:t>
      </w:r>
      <w:r>
        <w:rPr>
          <w:spacing w:val="-15"/>
        </w:rPr>
        <w:t xml:space="preserve"> </w:t>
      </w:r>
      <w:r>
        <w:t>8,</w:t>
      </w:r>
      <w:r>
        <w:rPr>
          <w:spacing w:val="-15"/>
        </w:rPr>
        <w:t xml:space="preserve"> </w:t>
      </w:r>
      <w:r>
        <w:t>9,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14</w:t>
      </w:r>
      <w:r>
        <w:rPr>
          <w:spacing w:val="-15"/>
        </w:rPr>
        <w:t xml:space="preserve"> </w:t>
      </w:r>
      <w:r>
        <w:t>(“Affordable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clean</w:t>
      </w:r>
      <w:r>
        <w:rPr>
          <w:spacing w:val="-15"/>
        </w:rPr>
        <w:t xml:space="preserve"> </w:t>
      </w:r>
      <w:r>
        <w:t>energy”,</w:t>
      </w:r>
      <w:r>
        <w:rPr>
          <w:spacing w:val="-15"/>
        </w:rPr>
        <w:t xml:space="preserve"> </w:t>
      </w:r>
      <w:r>
        <w:t>“Decent</w:t>
      </w:r>
      <w:r>
        <w:rPr>
          <w:spacing w:val="-15"/>
        </w:rPr>
        <w:t xml:space="preserve"> </w:t>
      </w:r>
      <w:r>
        <w:t>work and economic growth”, “Industry, Innovation and Infrastructure”, and, “Life below water”, respectively)</w:t>
      </w:r>
      <w:r>
        <w:rPr>
          <w:spacing w:val="-13"/>
        </w:rPr>
        <w:t xml:space="preserve"> </w:t>
      </w:r>
      <w:r>
        <w:t>(</w:t>
      </w:r>
      <w:proofErr w:type="spellStart"/>
      <w:r>
        <w:t>Jentoft</w:t>
      </w:r>
      <w:proofErr w:type="spellEnd"/>
      <w:r>
        <w:rPr>
          <w:spacing w:val="-13"/>
        </w:rPr>
        <w:t xml:space="preserve"> </w:t>
      </w:r>
      <w:r>
        <w:t>&amp;</w:t>
      </w:r>
      <w:r>
        <w:rPr>
          <w:spacing w:val="-13"/>
        </w:rPr>
        <w:t xml:space="preserve"> </w:t>
      </w:r>
      <w:proofErr w:type="spellStart"/>
      <w:r>
        <w:t>Chuenpagdee</w:t>
      </w:r>
      <w:proofErr w:type="spellEnd"/>
      <w:r>
        <w:t>,</w:t>
      </w:r>
      <w:r>
        <w:rPr>
          <w:spacing w:val="-12"/>
        </w:rPr>
        <w:t xml:space="preserve"> </w:t>
      </w:r>
      <w:r>
        <w:t>2022;</w:t>
      </w:r>
      <w:r>
        <w:rPr>
          <w:spacing w:val="-12"/>
        </w:rPr>
        <w:t xml:space="preserve"> </w:t>
      </w:r>
      <w:proofErr w:type="spellStart"/>
      <w:r>
        <w:t>Lavrikova</w:t>
      </w:r>
      <w:proofErr w:type="spellEnd"/>
      <w:r>
        <w:rPr>
          <w:spacing w:val="-12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al.,</w:t>
      </w:r>
      <w:r>
        <w:rPr>
          <w:spacing w:val="-13"/>
        </w:rPr>
        <w:t xml:space="preserve"> </w:t>
      </w:r>
      <w:r>
        <w:t>2021;</w:t>
      </w:r>
      <w:r>
        <w:rPr>
          <w:spacing w:val="-12"/>
        </w:rPr>
        <w:t xml:space="preserve"> </w:t>
      </w:r>
      <w:r>
        <w:t>Tirumala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Tiwari,</w:t>
      </w:r>
      <w:r>
        <w:rPr>
          <w:spacing w:val="-12"/>
        </w:rPr>
        <w:t xml:space="preserve"> </w:t>
      </w:r>
      <w:r>
        <w:t>2022). UIn any event, the Blue Economy also suffers from several weaknesses intrinsic to its own nature since its analyses have to cope with different relative sizes, conceptualizations and characterizatio</w:t>
      </w:r>
      <w:r>
        <w:t>ns (Graziano et al., 2022). Such elements shape a truly complex field of study (Burgess et al., 2018; Keen et al., 2018), hindering the obtaining of an objective picture of the results achieved by the implementation of blue policies in productive sectors (</w:t>
      </w:r>
      <w:r>
        <w:t>Reinertsen &amp; Asdal, 2019). Notably, in some cases the variables that characterize this field are difficult to quantify,</w:t>
      </w:r>
      <w:r>
        <w:rPr>
          <w:spacing w:val="-6"/>
        </w:rPr>
        <w:t xml:space="preserve"> </w:t>
      </w:r>
      <w:r>
        <w:t>since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purely</w:t>
      </w:r>
      <w:r>
        <w:rPr>
          <w:spacing w:val="-6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t>effects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recorded,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ethical-moral</w:t>
      </w:r>
      <w:r>
        <w:rPr>
          <w:spacing w:val="-6"/>
        </w:rPr>
        <w:t xml:space="preserve"> </w:t>
      </w:r>
      <w:r>
        <w:t>aspect of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implementation</w:t>
      </w:r>
      <w:r>
        <w:rPr>
          <w:spacing w:val="-10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inclusion</w:t>
      </w:r>
      <w:r>
        <w:rPr>
          <w:spacing w:val="40"/>
        </w:rPr>
        <w:t xml:space="preserve"> </w:t>
      </w:r>
      <w:r>
        <w:t>(United</w:t>
      </w:r>
      <w:r>
        <w:rPr>
          <w:spacing w:val="-10"/>
        </w:rPr>
        <w:t xml:space="preserve"> </w:t>
      </w:r>
      <w:r>
        <w:t>Nations,</w:t>
      </w:r>
      <w:r>
        <w:rPr>
          <w:spacing w:val="-10"/>
        </w:rPr>
        <w:t xml:space="preserve"> </w:t>
      </w:r>
      <w:r>
        <w:t>2017)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territorial cohesion</w:t>
      </w:r>
      <w:r>
        <w:rPr>
          <w:spacing w:val="40"/>
        </w:rPr>
        <w:t xml:space="preserve"> </w:t>
      </w:r>
      <w:r>
        <w:t>(Soma et al., 2018).</w:t>
      </w:r>
    </w:p>
    <w:p w14:paraId="51E02E40" w14:textId="77777777" w:rsidR="002E7B4F" w:rsidRDefault="00C335CD">
      <w:pPr>
        <w:pStyle w:val="BodyText"/>
        <w:spacing w:before="1" w:line="360" w:lineRule="auto"/>
        <w:ind w:left="118" w:right="111" w:firstLine="284"/>
        <w:jc w:val="both"/>
      </w:pPr>
      <w:r>
        <w:t>Regardless</w:t>
      </w:r>
      <w:r>
        <w:rPr>
          <w:spacing w:val="-14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many</w:t>
      </w:r>
      <w:r>
        <w:rPr>
          <w:spacing w:val="-13"/>
        </w:rPr>
        <w:t xml:space="preserve"> </w:t>
      </w:r>
      <w:r>
        <w:t>countries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transnational</w:t>
      </w:r>
      <w:r>
        <w:rPr>
          <w:spacing w:val="-13"/>
        </w:rPr>
        <w:t xml:space="preserve"> </w:t>
      </w:r>
      <w:r>
        <w:t>areas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opted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adhere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principles 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Economy,</w:t>
      </w:r>
      <w:r>
        <w:rPr>
          <w:spacing w:val="-4"/>
        </w:rPr>
        <w:t xml:space="preserve"> </w:t>
      </w:r>
      <w:r>
        <w:t>today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far</w:t>
      </w:r>
      <w:r>
        <w:rPr>
          <w:spacing w:val="-4"/>
        </w:rPr>
        <w:t xml:space="preserve"> </w:t>
      </w:r>
      <w:r>
        <w:t>away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creation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million</w:t>
      </w:r>
      <w:r>
        <w:rPr>
          <w:spacing w:val="-4"/>
        </w:rPr>
        <w:t xml:space="preserve"> </w:t>
      </w:r>
      <w:r>
        <w:t>jobs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10- year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horizon,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initially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Pauli</w:t>
      </w:r>
      <w:r>
        <w:rPr>
          <w:spacing w:val="-1"/>
        </w:rPr>
        <w:t xml:space="preserve"> </w:t>
      </w:r>
      <w:r>
        <w:t>(2010),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European</w:t>
      </w:r>
      <w:r>
        <w:rPr>
          <w:spacing w:val="-1"/>
        </w:rPr>
        <w:t xml:space="preserve"> </w:t>
      </w:r>
      <w:r>
        <w:t>Union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 one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them</w:t>
      </w:r>
      <w:r>
        <w:rPr>
          <w:spacing w:val="14"/>
        </w:rPr>
        <w:t xml:space="preserve"> </w:t>
      </w:r>
      <w:r>
        <w:t>during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last</w:t>
      </w:r>
      <w:r>
        <w:rPr>
          <w:spacing w:val="14"/>
        </w:rPr>
        <w:t xml:space="preserve"> </w:t>
      </w:r>
      <w:r>
        <w:t>decade.</w:t>
      </w:r>
      <w:r>
        <w:rPr>
          <w:spacing w:val="8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research</w:t>
      </w:r>
      <w:r>
        <w:rPr>
          <w:spacing w:val="14"/>
        </w:rPr>
        <w:t xml:space="preserve"> </w:t>
      </w:r>
      <w:r>
        <w:t>project</w:t>
      </w:r>
      <w:r>
        <w:rPr>
          <w:spacing w:val="15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chosen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perform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panel</w:t>
      </w:r>
      <w:r>
        <w:rPr>
          <w:spacing w:val="15"/>
        </w:rPr>
        <w:t xml:space="preserve"> </w:t>
      </w:r>
      <w:r>
        <w:rPr>
          <w:spacing w:val="-4"/>
        </w:rPr>
        <w:t>data</w:t>
      </w:r>
    </w:p>
    <w:p w14:paraId="205B2E22" w14:textId="77777777" w:rsidR="002E7B4F" w:rsidRDefault="002E7B4F">
      <w:pPr>
        <w:spacing w:line="360" w:lineRule="auto"/>
        <w:jc w:val="both"/>
        <w:sectPr w:rsidR="002E7B4F">
          <w:footerReference w:type="default" r:id="rId6"/>
          <w:type w:val="continuous"/>
          <w:pgSz w:w="11910" w:h="16840"/>
          <w:pgMar w:top="1360" w:right="1300" w:bottom="1240" w:left="1300" w:header="0" w:footer="1052" w:gutter="0"/>
          <w:pgNumType w:start="1"/>
          <w:cols w:space="720"/>
        </w:sectPr>
      </w:pPr>
    </w:p>
    <w:p w14:paraId="6505A2DE" w14:textId="77777777" w:rsidR="002E7B4F" w:rsidRDefault="00C335CD">
      <w:pPr>
        <w:pStyle w:val="BodyText"/>
        <w:spacing w:before="78" w:line="360" w:lineRule="auto"/>
        <w:ind w:left="118" w:right="109"/>
        <w:jc w:val="both"/>
      </w:pPr>
      <w:r>
        <w:lastRenderedPageBreak/>
        <w:t>analysis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27</w:t>
      </w:r>
      <w:r>
        <w:rPr>
          <w:spacing w:val="-14"/>
        </w:rPr>
        <w:t xml:space="preserve"> </w:t>
      </w:r>
      <w:r>
        <w:t>member</w:t>
      </w:r>
      <w:r>
        <w:rPr>
          <w:spacing w:val="-14"/>
        </w:rPr>
        <w:t xml:space="preserve"> </w:t>
      </w:r>
      <w:r>
        <w:t>states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European</w:t>
      </w:r>
      <w:r>
        <w:rPr>
          <w:spacing w:val="-15"/>
        </w:rPr>
        <w:t xml:space="preserve"> </w:t>
      </w:r>
      <w:r>
        <w:t>Union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determine</w:t>
      </w:r>
      <w:r>
        <w:rPr>
          <w:spacing w:val="-14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main</w:t>
      </w:r>
      <w:r>
        <w:rPr>
          <w:spacing w:val="-15"/>
        </w:rPr>
        <w:t xml:space="preserve"> </w:t>
      </w:r>
      <w:r>
        <w:t>drivers 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phenomenon</w:t>
      </w:r>
      <w:r>
        <w:rPr>
          <w:spacing w:val="-4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Europe.</w:t>
      </w:r>
      <w:r>
        <w:rPr>
          <w:spacing w:val="-4"/>
        </w:rPr>
        <w:t xml:space="preserve"> </w:t>
      </w:r>
      <w:r>
        <w:t>Likewise,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t>depth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analysis,</w:t>
      </w:r>
      <w:r>
        <w:rPr>
          <w:spacing w:val="-4"/>
        </w:rPr>
        <w:t xml:space="preserve"> </w:t>
      </w:r>
      <w:r>
        <w:t>we have</w:t>
      </w:r>
      <w:r>
        <w:rPr>
          <w:spacing w:val="-1"/>
        </w:rPr>
        <w:t xml:space="preserve"> </w:t>
      </w:r>
      <w:r>
        <w:t>analyzed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joint</w:t>
      </w:r>
      <w:r>
        <w:rPr>
          <w:spacing w:val="-1"/>
        </w:rPr>
        <w:t xml:space="preserve"> </w:t>
      </w:r>
      <w:r>
        <w:t>evolution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Blue</w:t>
      </w:r>
      <w:r>
        <w:rPr>
          <w:spacing w:val="-1"/>
        </w:rPr>
        <w:t xml:space="preserve"> </w:t>
      </w:r>
      <w:r>
        <w:t>Economy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Europe</w:t>
      </w:r>
      <w:r>
        <w:rPr>
          <w:spacing w:val="-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2009- 2017 and we have differentiated the creation of blue jobs from the different oceanic facades belonging to the European Union.</w:t>
      </w:r>
    </w:p>
    <w:p w14:paraId="24461AA8" w14:textId="77777777" w:rsidR="002E7B4F" w:rsidRDefault="00C335CD">
      <w:pPr>
        <w:pStyle w:val="Heading1"/>
        <w:spacing w:before="161"/>
        <w:jc w:val="both"/>
      </w:pPr>
      <w:r>
        <w:t>Appendix</w:t>
      </w:r>
      <w:r>
        <w:rPr>
          <w:spacing w:val="-11"/>
        </w:rPr>
        <w:t xml:space="preserve"> </w:t>
      </w:r>
      <w:r>
        <w:t>B.</w:t>
      </w:r>
      <w:r>
        <w:rPr>
          <w:spacing w:val="-10"/>
        </w:rPr>
        <w:t xml:space="preserve"> </w:t>
      </w:r>
      <w:r>
        <w:t>Full</w:t>
      </w:r>
      <w:r>
        <w:rPr>
          <w:spacing w:val="-11"/>
        </w:rPr>
        <w:t xml:space="preserve"> </w:t>
      </w:r>
      <w:r>
        <w:t>Methodological</w:t>
      </w:r>
      <w:r>
        <w:rPr>
          <w:spacing w:val="-10"/>
        </w:rPr>
        <w:t xml:space="preserve"> </w:t>
      </w:r>
      <w:r>
        <w:rPr>
          <w:spacing w:val="-2"/>
        </w:rPr>
        <w:t>Details</w:t>
      </w:r>
    </w:p>
    <w:p w14:paraId="30796A1C" w14:textId="46BF1EC5" w:rsidR="002E7B4F" w:rsidRDefault="00C335CD">
      <w:pPr>
        <w:pStyle w:val="BodyText"/>
        <w:spacing w:before="320" w:line="360" w:lineRule="auto"/>
        <w:ind w:left="118" w:right="112"/>
        <w:jc w:val="both"/>
      </w:pPr>
      <w:r>
        <w:t>[…]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certain</w:t>
      </w:r>
      <w:r>
        <w:rPr>
          <w:spacing w:val="-10"/>
        </w:rPr>
        <w:t xml:space="preserve"> </w:t>
      </w:r>
      <w:r>
        <w:t>degree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synergies</w:t>
      </w:r>
      <w:r>
        <w:rPr>
          <w:spacing w:val="-10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some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variables</w:t>
      </w:r>
      <w:r>
        <w:rPr>
          <w:spacing w:val="-10"/>
        </w:rPr>
        <w:t xml:space="preserve"> </w:t>
      </w:r>
      <w:r>
        <w:t>analyzed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inferred</w:t>
      </w:r>
      <w:r>
        <w:rPr>
          <w:spacing w:val="-10"/>
        </w:rPr>
        <w:t xml:space="preserve"> </w:t>
      </w:r>
      <w:r>
        <w:t>from the correlation matrix</w:t>
      </w:r>
      <w:r>
        <w:rPr>
          <w:spacing w:val="40"/>
        </w:rPr>
        <w:t xml:space="preserve"> </w:t>
      </w:r>
      <w:r>
        <w:t xml:space="preserve">(Pearson, 1896) presented in A. As a general rule, all the described correlations are positive, except for the variables </w:t>
      </w:r>
      <w:r>
        <w:rPr>
          <w:i/>
        </w:rPr>
        <w:t>OE</w:t>
      </w:r>
      <w:r>
        <w:t xml:space="preserve">, </w:t>
      </w:r>
      <w:r>
        <w:rPr>
          <w:i/>
        </w:rPr>
        <w:t>PA</w:t>
      </w:r>
      <w:r>
        <w:t xml:space="preserve">, </w:t>
      </w:r>
      <w:r>
        <w:rPr>
          <w:i/>
        </w:rPr>
        <w:t>SAR</w:t>
      </w:r>
      <w:r>
        <w:t xml:space="preserve">, and </w:t>
      </w:r>
      <w:r>
        <w:rPr>
          <w:i/>
        </w:rPr>
        <w:t>MT</w:t>
      </w:r>
      <w:r>
        <w:t>, concerning the dependent variable (</w:t>
      </w:r>
      <w:r>
        <w:rPr>
          <w:i/>
        </w:rPr>
        <w:t>BEJ</w:t>
      </w:r>
      <w:r>
        <w:t>), although their level of correlati</w:t>
      </w:r>
      <w:r>
        <w:t>on may be considered quite limited. In fact, there is no significant correlation between the dependent variable and the explanatory variables.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hand,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positive</w:t>
      </w:r>
      <w:r>
        <w:rPr>
          <w:spacing w:val="-12"/>
        </w:rPr>
        <w:t xml:space="preserve"> </w:t>
      </w:r>
      <w:r>
        <w:t>correlation</w:t>
      </w:r>
      <w:r>
        <w:rPr>
          <w:spacing w:val="-11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variables</w:t>
      </w:r>
      <w:r>
        <w:rPr>
          <w:spacing w:val="-11"/>
        </w:rPr>
        <w:t xml:space="preserve"> </w:t>
      </w:r>
      <w:r>
        <w:rPr>
          <w:i/>
        </w:rPr>
        <w:t>PA</w:t>
      </w:r>
      <w:r>
        <w:rPr>
          <w:i/>
          <w:spacing w:val="-12"/>
        </w:rPr>
        <w:t xml:space="preserve"> </w:t>
      </w:r>
      <w:r>
        <w:t>versus</w:t>
      </w:r>
      <w:r>
        <w:rPr>
          <w:spacing w:val="-12"/>
        </w:rPr>
        <w:t xml:space="preserve"> </w:t>
      </w:r>
      <w:r>
        <w:rPr>
          <w:i/>
        </w:rPr>
        <w:t>MT</w:t>
      </w:r>
      <w:r>
        <w:rPr>
          <w:i/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i/>
        </w:rPr>
        <w:t>SAR</w:t>
      </w:r>
      <w:r>
        <w:t>, and,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lesser</w:t>
      </w:r>
      <w:r>
        <w:rPr>
          <w:spacing w:val="-5"/>
        </w:rPr>
        <w:t xml:space="preserve"> </w:t>
      </w:r>
      <w:r>
        <w:t>degree,</w:t>
      </w:r>
      <w:r>
        <w:rPr>
          <w:spacing w:val="-5"/>
        </w:rPr>
        <w:t xml:space="preserve"> </w:t>
      </w:r>
      <w:r>
        <w:t>versus</w:t>
      </w:r>
      <w:r>
        <w:rPr>
          <w:spacing w:val="-5"/>
        </w:rPr>
        <w:t xml:space="preserve"> </w:t>
      </w:r>
      <w:r>
        <w:rPr>
          <w:i/>
        </w:rPr>
        <w:t>LR</w:t>
      </w:r>
      <w:r>
        <w:t>,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noteworthy.</w:t>
      </w:r>
      <w:r>
        <w:rPr>
          <w:spacing w:val="-6"/>
        </w:rPr>
        <w:t xml:space="preserve"> </w:t>
      </w:r>
      <w:r>
        <w:t>Likewise,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strong</w:t>
      </w:r>
      <w:r>
        <w:rPr>
          <w:spacing w:val="-5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 xml:space="preserve">the variables </w:t>
      </w:r>
      <w:r>
        <w:rPr>
          <w:i/>
        </w:rPr>
        <w:t xml:space="preserve">CT </w:t>
      </w:r>
      <w:r>
        <w:t xml:space="preserve">and </w:t>
      </w:r>
      <w:r>
        <w:rPr>
          <w:i/>
        </w:rPr>
        <w:t xml:space="preserve">LR </w:t>
      </w:r>
      <w:r>
        <w:t>is also noteworthy. Such relationships can be explained given the close link and feedback between port activities and maritime transport. In the same way, very ofte</w:t>
      </w:r>
      <w:r>
        <w:t>n, tourist centers are also, in dual form, fishing centers, a feature that would also explain the correlation between both variables</w:t>
      </w:r>
      <w:r w:rsidR="00B90A99">
        <w:t xml:space="preserve"> (Table A)</w:t>
      </w:r>
      <w:r>
        <w:t>.</w:t>
      </w:r>
    </w:p>
    <w:p w14:paraId="3CE88E29" w14:textId="77777777" w:rsidR="002E7B4F" w:rsidRDefault="002E7B4F">
      <w:pPr>
        <w:pStyle w:val="BodyText"/>
        <w:spacing w:before="148"/>
      </w:pPr>
    </w:p>
    <w:p w14:paraId="40A29A81" w14:textId="6079D488" w:rsidR="002E7B4F" w:rsidRDefault="00C335CD">
      <w:pPr>
        <w:spacing w:before="1" w:after="43"/>
        <w:ind w:left="1015"/>
        <w:rPr>
          <w:i/>
          <w:sz w:val="20"/>
        </w:rPr>
      </w:pPr>
      <w:r>
        <w:rPr>
          <w:b/>
          <w:spacing w:val="-2"/>
          <w:sz w:val="20"/>
        </w:rPr>
        <w:t>Table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A.:</w:t>
      </w:r>
      <w:r>
        <w:rPr>
          <w:b/>
          <w:spacing w:val="2"/>
          <w:sz w:val="20"/>
        </w:rPr>
        <w:t xml:space="preserve"> </w:t>
      </w:r>
      <w:r>
        <w:rPr>
          <w:i/>
          <w:spacing w:val="-2"/>
          <w:sz w:val="20"/>
        </w:rPr>
        <w:t>Pearson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Correlation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Matrix.</w:t>
      </w:r>
      <w:r w:rsidR="008B79B4">
        <w:rPr>
          <w:i/>
          <w:spacing w:val="-2"/>
          <w:sz w:val="20"/>
        </w:rPr>
        <w:t xml:space="preserve"> </w:t>
      </w:r>
      <w:r w:rsidR="008B79B4" w:rsidRPr="008B79B4">
        <w:rPr>
          <w:i/>
          <w:spacing w:val="-2"/>
          <w:sz w:val="20"/>
        </w:rPr>
        <w:t xml:space="preserve">Source: authors’ own elaboration; data from EU Blue </w:t>
      </w:r>
      <w:proofErr w:type="gramStart"/>
      <w:r w:rsidR="008B79B4" w:rsidRPr="008B79B4">
        <w:rPr>
          <w:i/>
          <w:spacing w:val="-2"/>
          <w:sz w:val="20"/>
        </w:rPr>
        <w:t>Indicators  (</w:t>
      </w:r>
      <w:proofErr w:type="gramEnd"/>
      <w:r w:rsidR="008B79B4" w:rsidRPr="008B79B4">
        <w:rPr>
          <w:i/>
          <w:spacing w:val="-2"/>
          <w:sz w:val="20"/>
        </w:rPr>
        <w:t>Blue Indicators, 2020).</w:t>
      </w:r>
    </w:p>
    <w:tbl>
      <w:tblPr>
        <w:tblStyle w:val="TableNormal1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21"/>
        <w:gridCol w:w="606"/>
        <w:gridCol w:w="845"/>
        <w:gridCol w:w="659"/>
        <w:gridCol w:w="957"/>
        <w:gridCol w:w="956"/>
        <w:gridCol w:w="957"/>
        <w:gridCol w:w="957"/>
      </w:tblGrid>
      <w:tr w:rsidR="002E7B4F" w14:paraId="1E898BDB" w14:textId="77777777">
        <w:trPr>
          <w:trHeight w:val="337"/>
        </w:trPr>
        <w:tc>
          <w:tcPr>
            <w:tcW w:w="840" w:type="dxa"/>
          </w:tcPr>
          <w:p w14:paraId="390E1803" w14:textId="77777777" w:rsidR="002E7B4F" w:rsidRDefault="00C335CD">
            <w:pPr>
              <w:pStyle w:val="TableParagraph"/>
              <w:spacing w:before="84"/>
              <w:ind w:left="5"/>
              <w:rPr>
                <w:sz w:val="16"/>
              </w:rPr>
            </w:pPr>
            <w:r>
              <w:rPr>
                <w:spacing w:val="-2"/>
                <w:sz w:val="16"/>
              </w:rPr>
              <w:t>Variables</w:t>
            </w:r>
          </w:p>
        </w:tc>
        <w:tc>
          <w:tcPr>
            <w:tcW w:w="521" w:type="dxa"/>
          </w:tcPr>
          <w:p w14:paraId="6CBBFA10" w14:textId="77777777" w:rsidR="002E7B4F" w:rsidRDefault="00C335CD">
            <w:pPr>
              <w:pStyle w:val="TableParagraph"/>
              <w:spacing w:before="84"/>
              <w:ind w:left="5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BEJ</w:t>
            </w:r>
          </w:p>
        </w:tc>
        <w:tc>
          <w:tcPr>
            <w:tcW w:w="606" w:type="dxa"/>
          </w:tcPr>
          <w:p w14:paraId="027522E4" w14:textId="77777777" w:rsidR="002E7B4F" w:rsidRDefault="00C335CD">
            <w:pPr>
              <w:pStyle w:val="TableParagraph"/>
              <w:spacing w:before="84"/>
              <w:ind w:left="4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LR</w:t>
            </w:r>
          </w:p>
        </w:tc>
        <w:tc>
          <w:tcPr>
            <w:tcW w:w="845" w:type="dxa"/>
          </w:tcPr>
          <w:p w14:paraId="62C827AB" w14:textId="77777777" w:rsidR="002E7B4F" w:rsidRDefault="00C335CD">
            <w:pPr>
              <w:pStyle w:val="TableParagraph"/>
              <w:spacing w:before="84"/>
              <w:ind w:left="4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NLR</w:t>
            </w:r>
          </w:p>
        </w:tc>
        <w:tc>
          <w:tcPr>
            <w:tcW w:w="659" w:type="dxa"/>
          </w:tcPr>
          <w:p w14:paraId="33A6B6B9" w14:textId="77777777" w:rsidR="002E7B4F" w:rsidRDefault="00C335CD">
            <w:pPr>
              <w:pStyle w:val="TableParagraph"/>
              <w:spacing w:before="84"/>
              <w:ind w:left="4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OE</w:t>
            </w:r>
          </w:p>
        </w:tc>
        <w:tc>
          <w:tcPr>
            <w:tcW w:w="957" w:type="dxa"/>
          </w:tcPr>
          <w:p w14:paraId="1DBC9B65" w14:textId="77777777" w:rsidR="002E7B4F" w:rsidRDefault="00C335CD">
            <w:pPr>
              <w:pStyle w:val="TableParagraph"/>
              <w:spacing w:before="84"/>
              <w:ind w:left="4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PA</w:t>
            </w:r>
          </w:p>
        </w:tc>
        <w:tc>
          <w:tcPr>
            <w:tcW w:w="956" w:type="dxa"/>
          </w:tcPr>
          <w:p w14:paraId="67A23067" w14:textId="77777777" w:rsidR="002E7B4F" w:rsidRDefault="00C335CD">
            <w:pPr>
              <w:pStyle w:val="TableParagraph"/>
              <w:spacing w:before="84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SAR</w:t>
            </w:r>
          </w:p>
        </w:tc>
        <w:tc>
          <w:tcPr>
            <w:tcW w:w="957" w:type="dxa"/>
          </w:tcPr>
          <w:p w14:paraId="5427E0E5" w14:textId="77777777" w:rsidR="002E7B4F" w:rsidRDefault="00C335CD">
            <w:pPr>
              <w:pStyle w:val="TableParagraph"/>
              <w:spacing w:before="84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MT</w:t>
            </w:r>
          </w:p>
        </w:tc>
        <w:tc>
          <w:tcPr>
            <w:tcW w:w="957" w:type="dxa"/>
          </w:tcPr>
          <w:p w14:paraId="18EB863D" w14:textId="77777777" w:rsidR="002E7B4F" w:rsidRDefault="00C335CD">
            <w:pPr>
              <w:pStyle w:val="TableParagraph"/>
              <w:spacing w:before="84"/>
              <w:ind w:left="2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CT</w:t>
            </w:r>
          </w:p>
        </w:tc>
      </w:tr>
      <w:tr w:rsidR="002E7B4F" w14:paraId="56DBB5DA" w14:textId="77777777">
        <w:trPr>
          <w:trHeight w:val="393"/>
        </w:trPr>
        <w:tc>
          <w:tcPr>
            <w:tcW w:w="840" w:type="dxa"/>
          </w:tcPr>
          <w:p w14:paraId="1DC72528" w14:textId="77777777" w:rsidR="002E7B4F" w:rsidRDefault="00C335CD">
            <w:pPr>
              <w:pStyle w:val="TableParagraph"/>
              <w:spacing w:before="84"/>
              <w:ind w:left="5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BEJ</w:t>
            </w:r>
          </w:p>
        </w:tc>
        <w:tc>
          <w:tcPr>
            <w:tcW w:w="521" w:type="dxa"/>
          </w:tcPr>
          <w:p w14:paraId="7BE925C7" w14:textId="77777777" w:rsidR="002E7B4F" w:rsidRDefault="00C335CD">
            <w:pPr>
              <w:pStyle w:val="TableParagraph"/>
              <w:spacing w:before="84"/>
              <w:ind w:left="5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6" w:type="dxa"/>
          </w:tcPr>
          <w:p w14:paraId="3A5B309D" w14:textId="77777777" w:rsidR="002E7B4F" w:rsidRDefault="00C335CD">
            <w:pPr>
              <w:pStyle w:val="TableParagraph"/>
              <w:spacing w:before="84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0.018</w:t>
            </w:r>
          </w:p>
        </w:tc>
        <w:tc>
          <w:tcPr>
            <w:tcW w:w="845" w:type="dxa"/>
          </w:tcPr>
          <w:p w14:paraId="5764D179" w14:textId="77777777" w:rsidR="002E7B4F" w:rsidRDefault="00C335CD">
            <w:pPr>
              <w:pStyle w:val="TableParagraph"/>
              <w:spacing w:before="84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0.043</w:t>
            </w:r>
          </w:p>
        </w:tc>
        <w:tc>
          <w:tcPr>
            <w:tcW w:w="659" w:type="dxa"/>
          </w:tcPr>
          <w:p w14:paraId="51C4F203" w14:textId="77777777" w:rsidR="002E7B4F" w:rsidRDefault="00C335CD">
            <w:pPr>
              <w:pStyle w:val="TableParagraph"/>
              <w:spacing w:before="84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-0.081</w:t>
            </w:r>
          </w:p>
        </w:tc>
        <w:tc>
          <w:tcPr>
            <w:tcW w:w="957" w:type="dxa"/>
          </w:tcPr>
          <w:p w14:paraId="0B853BE1" w14:textId="77777777" w:rsidR="002E7B4F" w:rsidRDefault="00C335CD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-0.204***</w:t>
            </w:r>
          </w:p>
          <w:p w14:paraId="1156D19A" w14:textId="77777777" w:rsidR="002E7B4F" w:rsidRDefault="00C335CD">
            <w:pPr>
              <w:pStyle w:val="TableParagraph"/>
              <w:spacing w:before="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56" w:type="dxa"/>
          </w:tcPr>
          <w:p w14:paraId="4AB3B086" w14:textId="77777777" w:rsidR="002E7B4F" w:rsidRDefault="00C335CD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-0.153***</w:t>
            </w:r>
          </w:p>
          <w:p w14:paraId="6A87EBA1" w14:textId="77777777" w:rsidR="002E7B4F" w:rsidRDefault="00C335CD">
            <w:pPr>
              <w:pStyle w:val="TableParagraph"/>
              <w:spacing w:before="1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957" w:type="dxa"/>
          </w:tcPr>
          <w:p w14:paraId="7B676F5A" w14:textId="77777777" w:rsidR="002E7B4F" w:rsidRDefault="00C335CD">
            <w:pPr>
              <w:pStyle w:val="TableParagraph"/>
              <w:spacing w:before="84"/>
              <w:rPr>
                <w:sz w:val="16"/>
              </w:rPr>
            </w:pPr>
            <w:r>
              <w:rPr>
                <w:spacing w:val="-2"/>
                <w:sz w:val="16"/>
              </w:rPr>
              <w:t>-0.097</w:t>
            </w:r>
          </w:p>
        </w:tc>
        <w:tc>
          <w:tcPr>
            <w:tcW w:w="957" w:type="dxa"/>
          </w:tcPr>
          <w:p w14:paraId="4A27D72A" w14:textId="77777777" w:rsidR="002E7B4F" w:rsidRDefault="00C335CD">
            <w:pPr>
              <w:pStyle w:val="TableParagraph"/>
              <w:spacing w:line="149" w:lineRule="exact"/>
              <w:ind w:left="2"/>
              <w:rPr>
                <w:sz w:val="16"/>
              </w:rPr>
            </w:pPr>
            <w:r>
              <w:rPr>
                <w:spacing w:val="-2"/>
                <w:sz w:val="16"/>
              </w:rPr>
              <w:t>0.301***</w:t>
            </w:r>
          </w:p>
          <w:p w14:paraId="75764FAE" w14:textId="77777777" w:rsidR="002E7B4F" w:rsidRDefault="00C335CD">
            <w:pPr>
              <w:pStyle w:val="TableParagraph"/>
              <w:spacing w:line="225" w:lineRule="exact"/>
              <w:ind w:left="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</w:tr>
      <w:tr w:rsidR="002E7B4F" w14:paraId="20AAF1E0" w14:textId="77777777">
        <w:trPr>
          <w:trHeight w:val="393"/>
        </w:trPr>
        <w:tc>
          <w:tcPr>
            <w:tcW w:w="840" w:type="dxa"/>
          </w:tcPr>
          <w:p w14:paraId="45DC5EE9" w14:textId="77777777" w:rsidR="002E7B4F" w:rsidRDefault="00C335CD">
            <w:pPr>
              <w:pStyle w:val="TableParagraph"/>
              <w:spacing w:before="84"/>
              <w:ind w:left="5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LR</w:t>
            </w:r>
          </w:p>
        </w:tc>
        <w:tc>
          <w:tcPr>
            <w:tcW w:w="521" w:type="dxa"/>
          </w:tcPr>
          <w:p w14:paraId="3231EE02" w14:textId="77777777" w:rsidR="002E7B4F" w:rsidRDefault="002E7B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" w:type="dxa"/>
          </w:tcPr>
          <w:p w14:paraId="408482A4" w14:textId="77777777" w:rsidR="002E7B4F" w:rsidRDefault="00C335CD">
            <w:pPr>
              <w:pStyle w:val="TableParagraph"/>
              <w:spacing w:before="84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45" w:type="dxa"/>
          </w:tcPr>
          <w:p w14:paraId="3694A518" w14:textId="77777777" w:rsidR="002E7B4F" w:rsidRDefault="00C335CD">
            <w:pPr>
              <w:pStyle w:val="TableParagraph"/>
              <w:spacing w:line="171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0.195***</w:t>
            </w:r>
          </w:p>
          <w:p w14:paraId="7F8E698C" w14:textId="77777777" w:rsidR="002E7B4F" w:rsidRDefault="00C335CD">
            <w:pPr>
              <w:pStyle w:val="TableParagraph"/>
              <w:spacing w:before="14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659" w:type="dxa"/>
          </w:tcPr>
          <w:p w14:paraId="15742C47" w14:textId="77777777" w:rsidR="002E7B4F" w:rsidRDefault="00C335CD">
            <w:pPr>
              <w:pStyle w:val="TableParagraph"/>
              <w:spacing w:before="84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0.113</w:t>
            </w:r>
          </w:p>
        </w:tc>
        <w:tc>
          <w:tcPr>
            <w:tcW w:w="957" w:type="dxa"/>
          </w:tcPr>
          <w:p w14:paraId="24D3628E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0.674***</w:t>
            </w:r>
          </w:p>
          <w:p w14:paraId="5C78B55B" w14:textId="77777777" w:rsidR="002E7B4F" w:rsidRDefault="00C335CD">
            <w:pPr>
              <w:pStyle w:val="TableParagraph"/>
              <w:spacing w:line="225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6" w:type="dxa"/>
          </w:tcPr>
          <w:p w14:paraId="1DD240BF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0.712***</w:t>
            </w:r>
          </w:p>
          <w:p w14:paraId="260AAD50" w14:textId="77777777" w:rsidR="002E7B4F" w:rsidRDefault="00C335CD">
            <w:pPr>
              <w:pStyle w:val="TableParagraph"/>
              <w:spacing w:line="225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7" w:type="dxa"/>
          </w:tcPr>
          <w:p w14:paraId="02A7AC4F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0.432***</w:t>
            </w:r>
          </w:p>
          <w:p w14:paraId="758A08CB" w14:textId="77777777" w:rsidR="002E7B4F" w:rsidRDefault="00C335CD">
            <w:pPr>
              <w:pStyle w:val="TableParagraph"/>
              <w:spacing w:line="225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7" w:type="dxa"/>
          </w:tcPr>
          <w:p w14:paraId="4B80597F" w14:textId="77777777" w:rsidR="002E7B4F" w:rsidRDefault="00C335CD">
            <w:pPr>
              <w:pStyle w:val="TableParagraph"/>
              <w:spacing w:line="149" w:lineRule="exact"/>
              <w:ind w:left="2"/>
              <w:rPr>
                <w:sz w:val="16"/>
              </w:rPr>
            </w:pPr>
            <w:r>
              <w:rPr>
                <w:spacing w:val="-2"/>
                <w:sz w:val="16"/>
              </w:rPr>
              <w:t>0.890***</w:t>
            </w:r>
          </w:p>
          <w:p w14:paraId="15F63063" w14:textId="77777777" w:rsidR="002E7B4F" w:rsidRDefault="00C335CD">
            <w:pPr>
              <w:pStyle w:val="TableParagraph"/>
              <w:spacing w:line="225" w:lineRule="exact"/>
              <w:ind w:left="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</w:tr>
      <w:tr w:rsidR="002E7B4F" w14:paraId="62282212" w14:textId="77777777">
        <w:trPr>
          <w:trHeight w:val="393"/>
        </w:trPr>
        <w:tc>
          <w:tcPr>
            <w:tcW w:w="840" w:type="dxa"/>
          </w:tcPr>
          <w:p w14:paraId="590DE2C9" w14:textId="77777777" w:rsidR="002E7B4F" w:rsidRDefault="00C335CD">
            <w:pPr>
              <w:pStyle w:val="TableParagraph"/>
              <w:spacing w:before="84"/>
              <w:ind w:left="5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NLR</w:t>
            </w:r>
          </w:p>
        </w:tc>
        <w:tc>
          <w:tcPr>
            <w:tcW w:w="1127" w:type="dxa"/>
            <w:gridSpan w:val="2"/>
          </w:tcPr>
          <w:p w14:paraId="04C20CA5" w14:textId="77777777" w:rsidR="002E7B4F" w:rsidRDefault="002E7B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14:paraId="236BBE54" w14:textId="77777777" w:rsidR="002E7B4F" w:rsidRDefault="00C335CD">
            <w:pPr>
              <w:pStyle w:val="TableParagraph"/>
              <w:spacing w:before="84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59" w:type="dxa"/>
          </w:tcPr>
          <w:p w14:paraId="777172AE" w14:textId="77777777" w:rsidR="002E7B4F" w:rsidRDefault="00C335CD">
            <w:pPr>
              <w:pStyle w:val="TableParagraph"/>
              <w:spacing w:before="84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57" w:type="dxa"/>
          </w:tcPr>
          <w:p w14:paraId="56497911" w14:textId="77777777" w:rsidR="002E7B4F" w:rsidRDefault="00C335CD">
            <w:pPr>
              <w:pStyle w:val="TableParagraph"/>
              <w:spacing w:line="171" w:lineRule="exact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0.163***</w:t>
            </w:r>
          </w:p>
          <w:p w14:paraId="5BB664C1" w14:textId="77777777" w:rsidR="002E7B4F" w:rsidRDefault="00C335CD">
            <w:pPr>
              <w:pStyle w:val="TableParagraph"/>
              <w:spacing w:before="14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56" w:type="dxa"/>
          </w:tcPr>
          <w:p w14:paraId="7F44294F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0.479***</w:t>
            </w:r>
          </w:p>
          <w:p w14:paraId="74F1BCCC" w14:textId="77777777" w:rsidR="002E7B4F" w:rsidRDefault="00C335CD">
            <w:pPr>
              <w:pStyle w:val="TableParagraph"/>
              <w:spacing w:line="225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7" w:type="dxa"/>
          </w:tcPr>
          <w:p w14:paraId="78E4DD1C" w14:textId="77777777" w:rsidR="002E7B4F" w:rsidRDefault="00C335CD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0.225***</w:t>
            </w:r>
          </w:p>
          <w:p w14:paraId="7F0376E0" w14:textId="77777777" w:rsidR="002E7B4F" w:rsidRDefault="00C335CD">
            <w:pPr>
              <w:pStyle w:val="TableParagraph"/>
              <w:spacing w:before="14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57" w:type="dxa"/>
          </w:tcPr>
          <w:p w14:paraId="42F46B62" w14:textId="77777777" w:rsidR="002E7B4F" w:rsidRDefault="00C335CD">
            <w:pPr>
              <w:pStyle w:val="TableParagraph"/>
              <w:spacing w:line="171" w:lineRule="exact"/>
              <w:ind w:left="2"/>
              <w:rPr>
                <w:sz w:val="16"/>
              </w:rPr>
            </w:pPr>
            <w:r>
              <w:rPr>
                <w:spacing w:val="-2"/>
                <w:sz w:val="16"/>
              </w:rPr>
              <w:t>0.158***</w:t>
            </w:r>
          </w:p>
          <w:p w14:paraId="35C859C1" w14:textId="77777777" w:rsidR="002E7B4F" w:rsidRDefault="00C335CD">
            <w:pPr>
              <w:pStyle w:val="TableParagraph"/>
              <w:spacing w:before="14"/>
              <w:ind w:left="2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</w:tr>
      <w:tr w:rsidR="002E7B4F" w14:paraId="0CEE5259" w14:textId="77777777">
        <w:trPr>
          <w:trHeight w:val="392"/>
        </w:trPr>
        <w:tc>
          <w:tcPr>
            <w:tcW w:w="840" w:type="dxa"/>
          </w:tcPr>
          <w:p w14:paraId="38AFE807" w14:textId="77777777" w:rsidR="002E7B4F" w:rsidRDefault="00C335CD">
            <w:pPr>
              <w:pStyle w:val="TableParagraph"/>
              <w:spacing w:before="84"/>
              <w:ind w:left="5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OE</w:t>
            </w:r>
          </w:p>
        </w:tc>
        <w:tc>
          <w:tcPr>
            <w:tcW w:w="1972" w:type="dxa"/>
            <w:gridSpan w:val="3"/>
          </w:tcPr>
          <w:p w14:paraId="4F652610" w14:textId="77777777" w:rsidR="002E7B4F" w:rsidRDefault="002E7B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9" w:type="dxa"/>
          </w:tcPr>
          <w:p w14:paraId="767225A0" w14:textId="77777777" w:rsidR="002E7B4F" w:rsidRDefault="00C335CD">
            <w:pPr>
              <w:pStyle w:val="TableParagraph"/>
              <w:spacing w:before="84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57" w:type="dxa"/>
          </w:tcPr>
          <w:p w14:paraId="141A67F5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0.540***</w:t>
            </w:r>
          </w:p>
          <w:p w14:paraId="5412ED28" w14:textId="77777777" w:rsidR="002E7B4F" w:rsidRDefault="00C335CD">
            <w:pPr>
              <w:pStyle w:val="TableParagraph"/>
              <w:spacing w:line="223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6" w:type="dxa"/>
          </w:tcPr>
          <w:p w14:paraId="7520F87C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0.309***</w:t>
            </w:r>
          </w:p>
          <w:p w14:paraId="0CE9AEE7" w14:textId="77777777" w:rsidR="002E7B4F" w:rsidRDefault="00C335CD">
            <w:pPr>
              <w:pStyle w:val="TableParagraph"/>
              <w:spacing w:line="223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7" w:type="dxa"/>
          </w:tcPr>
          <w:p w14:paraId="7BE77F26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0.598***</w:t>
            </w:r>
          </w:p>
          <w:p w14:paraId="7B05CD96" w14:textId="77777777" w:rsidR="002E7B4F" w:rsidRDefault="00C335CD">
            <w:pPr>
              <w:pStyle w:val="TableParagraph"/>
              <w:spacing w:line="223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7" w:type="dxa"/>
          </w:tcPr>
          <w:p w14:paraId="28ACEC34" w14:textId="77777777" w:rsidR="002E7B4F" w:rsidRDefault="00C335CD">
            <w:pPr>
              <w:pStyle w:val="TableParagraph"/>
              <w:spacing w:before="84"/>
              <w:ind w:left="2"/>
              <w:rPr>
                <w:sz w:val="16"/>
              </w:rPr>
            </w:pPr>
            <w:r>
              <w:rPr>
                <w:spacing w:val="-2"/>
                <w:sz w:val="16"/>
              </w:rPr>
              <w:t>0.055</w:t>
            </w:r>
          </w:p>
        </w:tc>
      </w:tr>
      <w:tr w:rsidR="002E7B4F" w14:paraId="25C2973B" w14:textId="77777777">
        <w:trPr>
          <w:trHeight w:val="393"/>
        </w:trPr>
        <w:tc>
          <w:tcPr>
            <w:tcW w:w="840" w:type="dxa"/>
          </w:tcPr>
          <w:p w14:paraId="2DD9D070" w14:textId="77777777" w:rsidR="002E7B4F" w:rsidRDefault="00C335CD">
            <w:pPr>
              <w:pStyle w:val="TableParagraph"/>
              <w:spacing w:before="85"/>
              <w:ind w:left="5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PA</w:t>
            </w:r>
          </w:p>
        </w:tc>
        <w:tc>
          <w:tcPr>
            <w:tcW w:w="2631" w:type="dxa"/>
            <w:gridSpan w:val="4"/>
          </w:tcPr>
          <w:p w14:paraId="181E23B2" w14:textId="77777777" w:rsidR="002E7B4F" w:rsidRDefault="002E7B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7" w:type="dxa"/>
          </w:tcPr>
          <w:p w14:paraId="574C1052" w14:textId="77777777" w:rsidR="002E7B4F" w:rsidRDefault="00C335CD">
            <w:pPr>
              <w:pStyle w:val="TableParagraph"/>
              <w:spacing w:before="85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56" w:type="dxa"/>
          </w:tcPr>
          <w:p w14:paraId="1C1AFD85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0.869***</w:t>
            </w:r>
          </w:p>
          <w:p w14:paraId="527CA817" w14:textId="77777777" w:rsidR="002E7B4F" w:rsidRDefault="00C335CD">
            <w:pPr>
              <w:pStyle w:val="TableParagraph"/>
              <w:spacing w:line="224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7" w:type="dxa"/>
          </w:tcPr>
          <w:p w14:paraId="13494CDB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0.818***</w:t>
            </w:r>
          </w:p>
          <w:p w14:paraId="7E162082" w14:textId="77777777" w:rsidR="002E7B4F" w:rsidRDefault="00C335CD">
            <w:pPr>
              <w:pStyle w:val="TableParagraph"/>
              <w:spacing w:line="224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7" w:type="dxa"/>
          </w:tcPr>
          <w:p w14:paraId="31EA08D9" w14:textId="77777777" w:rsidR="002E7B4F" w:rsidRDefault="00C335CD">
            <w:pPr>
              <w:pStyle w:val="TableParagraph"/>
              <w:spacing w:line="149" w:lineRule="exact"/>
              <w:ind w:left="2"/>
              <w:rPr>
                <w:sz w:val="16"/>
              </w:rPr>
            </w:pPr>
            <w:r>
              <w:rPr>
                <w:spacing w:val="-2"/>
                <w:sz w:val="16"/>
              </w:rPr>
              <w:t>0.479***</w:t>
            </w:r>
          </w:p>
          <w:p w14:paraId="7A623CC7" w14:textId="77777777" w:rsidR="002E7B4F" w:rsidRDefault="00C335CD">
            <w:pPr>
              <w:pStyle w:val="TableParagraph"/>
              <w:spacing w:line="224" w:lineRule="exact"/>
              <w:ind w:left="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</w:tr>
      <w:tr w:rsidR="002E7B4F" w14:paraId="393EE1D4" w14:textId="77777777">
        <w:trPr>
          <w:trHeight w:val="393"/>
        </w:trPr>
        <w:tc>
          <w:tcPr>
            <w:tcW w:w="840" w:type="dxa"/>
          </w:tcPr>
          <w:p w14:paraId="35306C81" w14:textId="77777777" w:rsidR="002E7B4F" w:rsidRDefault="00C335CD">
            <w:pPr>
              <w:pStyle w:val="TableParagraph"/>
              <w:spacing w:before="85"/>
              <w:ind w:left="5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SAR</w:t>
            </w:r>
          </w:p>
        </w:tc>
        <w:tc>
          <w:tcPr>
            <w:tcW w:w="3588" w:type="dxa"/>
            <w:gridSpan w:val="5"/>
          </w:tcPr>
          <w:p w14:paraId="1DBF61F0" w14:textId="77777777" w:rsidR="002E7B4F" w:rsidRDefault="002E7B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</w:tcPr>
          <w:p w14:paraId="521CFC31" w14:textId="77777777" w:rsidR="002E7B4F" w:rsidRDefault="00C335CD">
            <w:pPr>
              <w:pStyle w:val="TableParagraph"/>
              <w:spacing w:before="85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57" w:type="dxa"/>
          </w:tcPr>
          <w:p w14:paraId="3D03D2FF" w14:textId="77777777" w:rsidR="002E7B4F" w:rsidRDefault="00C335CD">
            <w:pPr>
              <w:pStyle w:val="TableParagraph"/>
              <w:spacing w:line="14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0.716***</w:t>
            </w:r>
          </w:p>
          <w:p w14:paraId="56C24964" w14:textId="77777777" w:rsidR="002E7B4F" w:rsidRDefault="00C335CD">
            <w:pPr>
              <w:pStyle w:val="TableParagraph"/>
              <w:spacing w:line="224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  <w:tc>
          <w:tcPr>
            <w:tcW w:w="957" w:type="dxa"/>
          </w:tcPr>
          <w:p w14:paraId="7686697A" w14:textId="77777777" w:rsidR="002E7B4F" w:rsidRDefault="00C335CD">
            <w:pPr>
              <w:pStyle w:val="TableParagraph"/>
              <w:spacing w:line="149" w:lineRule="exact"/>
              <w:ind w:left="2"/>
              <w:rPr>
                <w:sz w:val="16"/>
              </w:rPr>
            </w:pPr>
            <w:r>
              <w:rPr>
                <w:spacing w:val="-2"/>
                <w:sz w:val="16"/>
              </w:rPr>
              <w:t>0.529***</w:t>
            </w:r>
          </w:p>
          <w:p w14:paraId="1D895998" w14:textId="77777777" w:rsidR="002E7B4F" w:rsidRDefault="00C335CD">
            <w:pPr>
              <w:pStyle w:val="TableParagraph"/>
              <w:spacing w:line="224" w:lineRule="exact"/>
              <w:ind w:left="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</w:tr>
      <w:tr w:rsidR="002E7B4F" w14:paraId="64CD9601" w14:textId="77777777">
        <w:trPr>
          <w:trHeight w:val="393"/>
        </w:trPr>
        <w:tc>
          <w:tcPr>
            <w:tcW w:w="840" w:type="dxa"/>
          </w:tcPr>
          <w:p w14:paraId="3C6A520A" w14:textId="77777777" w:rsidR="002E7B4F" w:rsidRDefault="00C335CD">
            <w:pPr>
              <w:pStyle w:val="TableParagraph"/>
              <w:spacing w:before="84"/>
              <w:ind w:left="5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MT</w:t>
            </w:r>
          </w:p>
        </w:tc>
        <w:tc>
          <w:tcPr>
            <w:tcW w:w="4544" w:type="dxa"/>
            <w:gridSpan w:val="6"/>
          </w:tcPr>
          <w:p w14:paraId="55DA232C" w14:textId="77777777" w:rsidR="002E7B4F" w:rsidRDefault="002E7B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7" w:type="dxa"/>
          </w:tcPr>
          <w:p w14:paraId="2C842B26" w14:textId="77777777" w:rsidR="002E7B4F" w:rsidRDefault="00C335CD">
            <w:pPr>
              <w:pStyle w:val="TableParagraph"/>
              <w:spacing w:before="8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57" w:type="dxa"/>
          </w:tcPr>
          <w:p w14:paraId="65781450" w14:textId="77777777" w:rsidR="002E7B4F" w:rsidRDefault="00C335CD">
            <w:pPr>
              <w:pStyle w:val="TableParagraph"/>
              <w:spacing w:line="149" w:lineRule="exact"/>
              <w:ind w:left="2"/>
              <w:rPr>
                <w:sz w:val="16"/>
              </w:rPr>
            </w:pPr>
            <w:r>
              <w:rPr>
                <w:spacing w:val="-2"/>
                <w:sz w:val="16"/>
              </w:rPr>
              <w:t>0.329***</w:t>
            </w:r>
          </w:p>
          <w:p w14:paraId="4AB03427" w14:textId="77777777" w:rsidR="002E7B4F" w:rsidRDefault="00C335CD">
            <w:pPr>
              <w:pStyle w:val="TableParagraph"/>
              <w:spacing w:line="225" w:lineRule="exact"/>
              <w:ind w:left="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Euclid Symbol" w:hAnsi="Euclid Symbol"/>
                <w:i/>
                <w:sz w:val="16"/>
              </w:rPr>
              <w:t>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0.0001)</w:t>
            </w:r>
          </w:p>
        </w:tc>
      </w:tr>
      <w:tr w:rsidR="002E7B4F" w14:paraId="14C69455" w14:textId="77777777">
        <w:trPr>
          <w:trHeight w:val="338"/>
        </w:trPr>
        <w:tc>
          <w:tcPr>
            <w:tcW w:w="840" w:type="dxa"/>
          </w:tcPr>
          <w:p w14:paraId="3E009C66" w14:textId="77777777" w:rsidR="002E7B4F" w:rsidRDefault="00C335CD">
            <w:pPr>
              <w:pStyle w:val="TableParagraph"/>
              <w:spacing w:before="84"/>
              <w:ind w:left="5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CT</w:t>
            </w:r>
          </w:p>
        </w:tc>
        <w:tc>
          <w:tcPr>
            <w:tcW w:w="5501" w:type="dxa"/>
            <w:gridSpan w:val="7"/>
          </w:tcPr>
          <w:p w14:paraId="387CCE72" w14:textId="77777777" w:rsidR="002E7B4F" w:rsidRDefault="002E7B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7" w:type="dxa"/>
          </w:tcPr>
          <w:p w14:paraId="2708B9A4" w14:textId="77777777" w:rsidR="002E7B4F" w:rsidRDefault="00C335CD">
            <w:pPr>
              <w:pStyle w:val="TableParagraph"/>
              <w:spacing w:before="84"/>
              <w:ind w:left="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</w:tbl>
    <w:p w14:paraId="21354CDC" w14:textId="77777777" w:rsidR="002E7B4F" w:rsidRDefault="00C335CD">
      <w:pPr>
        <w:spacing w:before="71"/>
        <w:ind w:left="954"/>
        <w:rPr>
          <w:sz w:val="16"/>
        </w:rPr>
      </w:pPr>
      <w:r>
        <w:rPr>
          <w:sz w:val="16"/>
        </w:rPr>
        <w:t>Where</w:t>
      </w:r>
      <w:r>
        <w:rPr>
          <w:spacing w:val="-6"/>
          <w:sz w:val="16"/>
        </w:rPr>
        <w:t xml:space="preserve"> </w:t>
      </w:r>
      <w:r>
        <w:rPr>
          <w:sz w:val="16"/>
        </w:rPr>
        <w:t>significance</w:t>
      </w:r>
      <w:r>
        <w:rPr>
          <w:spacing w:val="-5"/>
          <w:sz w:val="16"/>
        </w:rPr>
        <w:t xml:space="preserve"> </w:t>
      </w:r>
      <w:r>
        <w:rPr>
          <w:sz w:val="16"/>
        </w:rPr>
        <w:t>level</w:t>
      </w:r>
      <w:r>
        <w:rPr>
          <w:spacing w:val="-4"/>
          <w:sz w:val="16"/>
        </w:rPr>
        <w:t xml:space="preserve"> </w:t>
      </w:r>
      <w:r>
        <w:rPr>
          <w:sz w:val="16"/>
        </w:rPr>
        <w:t>***</w:t>
      </w:r>
      <w:r>
        <w:rPr>
          <w:spacing w:val="-5"/>
          <w:sz w:val="16"/>
        </w:rPr>
        <w:t xml:space="preserve"> </w:t>
      </w:r>
      <w:r>
        <w:rPr>
          <w:sz w:val="16"/>
        </w:rPr>
        <w:t>denotes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p</w:t>
      </w:r>
      <w:r>
        <w:rPr>
          <w:sz w:val="16"/>
        </w:rPr>
        <w:t>-values</w:t>
      </w:r>
      <w:r>
        <w:rPr>
          <w:spacing w:val="-5"/>
          <w:sz w:val="16"/>
        </w:rPr>
        <w:t xml:space="preserve"> </w:t>
      </w:r>
      <w:r>
        <w:rPr>
          <w:sz w:val="16"/>
        </w:rPr>
        <w:t>less</w:t>
      </w:r>
      <w:r>
        <w:rPr>
          <w:spacing w:val="-5"/>
          <w:sz w:val="16"/>
        </w:rPr>
        <w:t xml:space="preserve"> </w:t>
      </w:r>
      <w:r>
        <w:rPr>
          <w:sz w:val="16"/>
        </w:rPr>
        <w:t>than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0.001.</w:t>
      </w:r>
    </w:p>
    <w:p w14:paraId="14D24E72" w14:textId="77777777" w:rsidR="002E7B4F" w:rsidRDefault="002E7B4F">
      <w:pPr>
        <w:pStyle w:val="BodyText"/>
        <w:rPr>
          <w:sz w:val="16"/>
        </w:rPr>
      </w:pPr>
    </w:p>
    <w:p w14:paraId="63181991" w14:textId="77777777" w:rsidR="002E7B4F" w:rsidRDefault="002E7B4F">
      <w:pPr>
        <w:pStyle w:val="BodyText"/>
        <w:rPr>
          <w:sz w:val="16"/>
        </w:rPr>
      </w:pPr>
    </w:p>
    <w:p w14:paraId="2E99CBAF" w14:textId="77777777" w:rsidR="002E7B4F" w:rsidRDefault="002E7B4F">
      <w:pPr>
        <w:pStyle w:val="BodyText"/>
        <w:rPr>
          <w:sz w:val="16"/>
        </w:rPr>
      </w:pPr>
    </w:p>
    <w:p w14:paraId="5D27C3A7" w14:textId="77777777" w:rsidR="002E7B4F" w:rsidRDefault="002E7B4F">
      <w:pPr>
        <w:pStyle w:val="BodyText"/>
        <w:rPr>
          <w:sz w:val="16"/>
        </w:rPr>
      </w:pPr>
    </w:p>
    <w:p w14:paraId="5989B7A8" w14:textId="77777777" w:rsidR="002E7B4F" w:rsidRDefault="002E7B4F">
      <w:pPr>
        <w:pStyle w:val="BodyText"/>
        <w:spacing w:before="17"/>
        <w:rPr>
          <w:sz w:val="16"/>
        </w:rPr>
      </w:pPr>
    </w:p>
    <w:p w14:paraId="135787A5" w14:textId="77777777" w:rsidR="002E7B4F" w:rsidRDefault="00C335CD">
      <w:pPr>
        <w:pStyle w:val="BodyText"/>
        <w:spacing w:line="360" w:lineRule="auto"/>
        <w:ind w:left="118" w:right="114"/>
        <w:jc w:val="both"/>
      </w:pPr>
      <w:r>
        <w:t>[…] Such assumptions are ascertained in Figure A in which it can be noted how the residual terms of the Fixed Effects Model are substantially</w:t>
      </w:r>
      <w:r>
        <w:t xml:space="preserve"> lower than those of the Random Effects Model (</w:t>
      </w:r>
      <w:r>
        <w:rPr>
          <w:i/>
        </w:rPr>
        <w:t>u</w:t>
      </w:r>
      <w:r>
        <w:t>ˆ</w:t>
      </w:r>
      <w:r>
        <w:rPr>
          <w:vertAlign w:val="superscript"/>
        </w:rPr>
        <w:t>2</w:t>
      </w:r>
      <w:r>
        <w:t>).</w:t>
      </w:r>
    </w:p>
    <w:p w14:paraId="1FFB6FBA" w14:textId="77777777" w:rsidR="002E7B4F" w:rsidRDefault="002E7B4F">
      <w:pPr>
        <w:spacing w:line="360" w:lineRule="auto"/>
        <w:jc w:val="both"/>
        <w:sectPr w:rsidR="002E7B4F">
          <w:pgSz w:w="11910" w:h="16840"/>
          <w:pgMar w:top="1340" w:right="1300" w:bottom="1240" w:left="1300" w:header="0" w:footer="1052" w:gutter="0"/>
          <w:cols w:space="720"/>
        </w:sectPr>
      </w:pPr>
    </w:p>
    <w:p w14:paraId="0BFA018C" w14:textId="77777777" w:rsidR="002E7B4F" w:rsidRDefault="00C335CD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77AACD9" wp14:editId="3845F293">
            <wp:extent cx="5449063" cy="26426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063" cy="264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1C92" w14:textId="77777777" w:rsidR="002E7B4F" w:rsidRDefault="002E7B4F">
      <w:pPr>
        <w:pStyle w:val="BodyText"/>
        <w:rPr>
          <w:sz w:val="20"/>
        </w:rPr>
      </w:pPr>
    </w:p>
    <w:p w14:paraId="31C6D62C" w14:textId="77777777" w:rsidR="002E7B4F" w:rsidRDefault="002E7B4F">
      <w:pPr>
        <w:pStyle w:val="BodyText"/>
        <w:spacing w:before="136"/>
        <w:rPr>
          <w:sz w:val="20"/>
        </w:rPr>
      </w:pPr>
    </w:p>
    <w:p w14:paraId="73B797CE" w14:textId="1D8C4360" w:rsidR="008B79B4" w:rsidRPr="00184982" w:rsidRDefault="00C335CD" w:rsidP="008B79B4">
      <w:pPr>
        <w:spacing w:before="92" w:after="25"/>
        <w:rPr>
          <w:i/>
          <w:sz w:val="20"/>
          <w:szCs w:val="20"/>
        </w:rPr>
      </w:pPr>
      <w:r>
        <w:rPr>
          <w:b/>
          <w:sz w:val="20"/>
        </w:rPr>
        <w:t>Figure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A.:</w:t>
      </w:r>
      <w:r>
        <w:rPr>
          <w:b/>
          <w:spacing w:val="-7"/>
          <w:sz w:val="20"/>
        </w:rPr>
        <w:t xml:space="preserve"> </w:t>
      </w:r>
      <w:r>
        <w:rPr>
          <w:i/>
          <w:sz w:val="20"/>
        </w:rPr>
        <w:t>Residual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Q-Q</w:t>
      </w:r>
      <w:r>
        <w:rPr>
          <w:i/>
          <w:spacing w:val="-4"/>
          <w:sz w:val="20"/>
        </w:rPr>
        <w:t xml:space="preserve"> plot.</w:t>
      </w:r>
      <w:r w:rsidR="008B79B4">
        <w:rPr>
          <w:i/>
          <w:spacing w:val="-4"/>
          <w:sz w:val="20"/>
        </w:rPr>
        <w:t xml:space="preserve"> </w:t>
      </w:r>
      <w:r w:rsidR="008B79B4">
        <w:rPr>
          <w:i/>
          <w:sz w:val="20"/>
          <w:szCs w:val="20"/>
        </w:rPr>
        <w:t xml:space="preserve">Source: authors’ own elaboration; data from EU Blue Indicators (Blue Indicators, 2020). </w:t>
      </w:r>
    </w:p>
    <w:p w14:paraId="34131440" w14:textId="1B9A4075" w:rsidR="002E7B4F" w:rsidRDefault="002E7B4F">
      <w:pPr>
        <w:ind w:left="118"/>
        <w:rPr>
          <w:i/>
          <w:sz w:val="20"/>
        </w:rPr>
      </w:pPr>
    </w:p>
    <w:p w14:paraId="5AFCB2EA" w14:textId="77777777" w:rsidR="002E7B4F" w:rsidRDefault="002E7B4F">
      <w:pPr>
        <w:pStyle w:val="BodyText"/>
        <w:rPr>
          <w:i/>
          <w:sz w:val="20"/>
        </w:rPr>
      </w:pPr>
    </w:p>
    <w:p w14:paraId="2B68A8C8" w14:textId="77777777" w:rsidR="002E7B4F" w:rsidRDefault="002E7B4F">
      <w:pPr>
        <w:pStyle w:val="BodyText"/>
        <w:spacing w:before="225"/>
        <w:rPr>
          <w:i/>
          <w:sz w:val="20"/>
        </w:rPr>
      </w:pPr>
    </w:p>
    <w:p w14:paraId="691FB81A" w14:textId="77777777" w:rsidR="002E7B4F" w:rsidRDefault="00C335CD">
      <w:pPr>
        <w:pStyle w:val="Heading1"/>
        <w:rPr>
          <w:spacing w:val="-2"/>
        </w:rPr>
      </w:pPr>
      <w:r>
        <w:rPr>
          <w:spacing w:val="-2"/>
        </w:rPr>
        <w:t>References</w:t>
      </w:r>
    </w:p>
    <w:p w14:paraId="4DAF5EDD" w14:textId="77777777" w:rsidR="00C45A2D" w:rsidRDefault="00C45A2D">
      <w:pPr>
        <w:pStyle w:val="Heading1"/>
        <w:rPr>
          <w:spacing w:val="-2"/>
        </w:rPr>
      </w:pPr>
    </w:p>
    <w:p w14:paraId="3B7D2348" w14:textId="77777777" w:rsidR="00C45A2D" w:rsidRDefault="00C45A2D" w:rsidP="00C45A2D">
      <w:pPr>
        <w:pStyle w:val="BodyText"/>
        <w:spacing w:before="186" w:line="259" w:lineRule="auto"/>
        <w:ind w:left="598" w:right="124" w:hanging="480"/>
      </w:pPr>
      <w:r w:rsidRPr="00C45A2D">
        <w:t>Blue Indicators. (2020), “Sea basin employment”, available at: blueindicators.ec.europa.eu/sites/default/files/2020Employment-Seabasins-web.xlsx, accessed 29 September 2022.</w:t>
      </w:r>
    </w:p>
    <w:p w14:paraId="00E6A72C" w14:textId="77777777" w:rsidR="002E7B4F" w:rsidRDefault="00C335CD">
      <w:pPr>
        <w:pStyle w:val="BodyText"/>
        <w:spacing w:before="186" w:line="259" w:lineRule="auto"/>
        <w:ind w:left="598" w:right="124" w:hanging="480"/>
        <w:rPr>
          <w:spacing w:val="-2"/>
        </w:rPr>
      </w:pPr>
      <w:r>
        <w:t>Burgess,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G.,</w:t>
      </w:r>
      <w:r>
        <w:rPr>
          <w:spacing w:val="-2"/>
        </w:rPr>
        <w:t xml:space="preserve"> </w:t>
      </w:r>
      <w:r>
        <w:t>Clemence,</w:t>
      </w:r>
      <w:r>
        <w:rPr>
          <w:spacing w:val="-2"/>
        </w:rPr>
        <w:t xml:space="preserve"> </w:t>
      </w:r>
      <w:r>
        <w:t>M.,</w:t>
      </w:r>
      <w:r>
        <w:rPr>
          <w:spacing w:val="-2"/>
        </w:rPr>
        <w:t xml:space="preserve"> </w:t>
      </w:r>
      <w:r>
        <w:t>McDermott,</w:t>
      </w:r>
      <w:r>
        <w:rPr>
          <w:spacing w:val="-2"/>
        </w:rPr>
        <w:t xml:space="preserve"> </w:t>
      </w:r>
      <w:r>
        <w:t>G.</w:t>
      </w:r>
      <w:r>
        <w:rPr>
          <w:spacing w:val="-3"/>
        </w:rPr>
        <w:t xml:space="preserve"> </w:t>
      </w:r>
      <w:r>
        <w:t>R.,</w:t>
      </w:r>
      <w:r>
        <w:rPr>
          <w:spacing w:val="-3"/>
        </w:rPr>
        <w:t xml:space="preserve"> </w:t>
      </w:r>
      <w:r>
        <w:t>Costello,</w:t>
      </w:r>
      <w:r>
        <w:rPr>
          <w:spacing w:val="-3"/>
        </w:rPr>
        <w:t xml:space="preserve"> </w:t>
      </w:r>
      <w:r>
        <w:t>C.,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Gaines,</w:t>
      </w:r>
      <w:r>
        <w:rPr>
          <w:spacing w:val="-3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(2018).</w:t>
      </w:r>
      <w:r>
        <w:rPr>
          <w:spacing w:val="-3"/>
        </w:rPr>
        <w:t xml:space="preserve"> </w:t>
      </w:r>
      <w:r>
        <w:t>Five rules for pragmatic blue gr</w:t>
      </w:r>
      <w:r>
        <w:t xml:space="preserve">owth. </w:t>
      </w:r>
      <w:r>
        <w:rPr>
          <w:i/>
        </w:rPr>
        <w:t>Marine Policy</w:t>
      </w:r>
      <w:r>
        <w:t xml:space="preserve">, </w:t>
      </w:r>
      <w:r>
        <w:rPr>
          <w:i/>
        </w:rPr>
        <w:t>87</w:t>
      </w:r>
      <w:r>
        <w:t xml:space="preserve">, 331–339. </w:t>
      </w:r>
      <w:r>
        <w:rPr>
          <w:spacing w:val="-2"/>
        </w:rPr>
        <w:t>https://doi.org/10.1016/j.marpol.2016.12.005</w:t>
      </w:r>
    </w:p>
    <w:p w14:paraId="2BA801C7" w14:textId="77777777" w:rsidR="002E7B4F" w:rsidRDefault="00C335CD">
      <w:pPr>
        <w:pStyle w:val="BodyText"/>
        <w:spacing w:before="159" w:line="259" w:lineRule="auto"/>
        <w:ind w:left="598" w:right="124" w:hanging="480"/>
      </w:pPr>
      <w:r>
        <w:t>Dornan, M., Morgan, W., Newton Cain, T., &amp; Tarte, S. (2018). What’s in a term? “Green growth”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“blue-green</w:t>
      </w:r>
      <w:r>
        <w:rPr>
          <w:spacing w:val="-2"/>
        </w:rPr>
        <w:t xml:space="preserve"> </w:t>
      </w:r>
      <w:r>
        <w:t>economy”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Pacific</w:t>
      </w:r>
      <w:r>
        <w:rPr>
          <w:spacing w:val="-2"/>
        </w:rPr>
        <w:t xml:space="preserve"> </w:t>
      </w:r>
      <w:r>
        <w:t>islands.</w:t>
      </w:r>
      <w:r>
        <w:rPr>
          <w:spacing w:val="-3"/>
        </w:rPr>
        <w:t xml:space="preserve"> </w:t>
      </w:r>
      <w:r>
        <w:rPr>
          <w:i/>
        </w:rPr>
        <w:t>Asia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Pacific</w:t>
      </w:r>
      <w:r>
        <w:rPr>
          <w:i/>
          <w:spacing w:val="-2"/>
        </w:rPr>
        <w:t xml:space="preserve"> </w:t>
      </w:r>
      <w:r>
        <w:rPr>
          <w:i/>
        </w:rPr>
        <w:t xml:space="preserve">Policy </w:t>
      </w:r>
      <w:r>
        <w:rPr>
          <w:i/>
        </w:rPr>
        <w:t>Studies</w:t>
      </w:r>
      <w:r>
        <w:t xml:space="preserve">, </w:t>
      </w:r>
      <w:r>
        <w:rPr>
          <w:i/>
        </w:rPr>
        <w:t>5</w:t>
      </w:r>
      <w:r>
        <w:t>(3), 408–425. https://doi.org/10.1002/app5.258</w:t>
      </w:r>
    </w:p>
    <w:p w14:paraId="6758EB03" w14:textId="77777777" w:rsidR="002E7B4F" w:rsidRDefault="00C335CD">
      <w:pPr>
        <w:spacing w:before="160" w:line="259" w:lineRule="auto"/>
        <w:ind w:left="598" w:right="236" w:hanging="480"/>
        <w:rPr>
          <w:sz w:val="24"/>
        </w:rPr>
      </w:pPr>
      <w:r>
        <w:rPr>
          <w:sz w:val="24"/>
        </w:rPr>
        <w:t>Dziura,</w:t>
      </w:r>
      <w:r>
        <w:rPr>
          <w:spacing w:val="-3"/>
          <w:sz w:val="24"/>
        </w:rPr>
        <w:t xml:space="preserve"> </w:t>
      </w:r>
      <w:r>
        <w:rPr>
          <w:sz w:val="24"/>
        </w:rPr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(2016).</w:t>
      </w:r>
      <w:r>
        <w:rPr>
          <w:spacing w:val="-3"/>
          <w:sz w:val="24"/>
        </w:rPr>
        <w:t xml:space="preserve"> </w:t>
      </w:r>
      <w:r>
        <w:rPr>
          <w:sz w:val="24"/>
        </w:rPr>
        <w:t>Green</w:t>
      </w:r>
      <w:r>
        <w:rPr>
          <w:spacing w:val="-3"/>
          <w:sz w:val="24"/>
        </w:rPr>
        <w:t xml:space="preserve"> </w:t>
      </w:r>
      <w:r>
        <w:rPr>
          <w:sz w:val="24"/>
        </w:rPr>
        <w:t>economy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blue</w:t>
      </w:r>
      <w:r>
        <w:rPr>
          <w:spacing w:val="-3"/>
          <w:sz w:val="24"/>
        </w:rPr>
        <w:t xml:space="preserve"> </w:t>
      </w:r>
      <w:r>
        <w:rPr>
          <w:sz w:val="24"/>
        </w:rPr>
        <w:t>economy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4"/>
          <w:sz w:val="24"/>
        </w:rPr>
        <w:t xml:space="preserve"> </w:t>
      </w:r>
      <w:r>
        <w:rPr>
          <w:sz w:val="24"/>
        </w:rPr>
        <w:t>economic</w:t>
      </w:r>
      <w:r>
        <w:rPr>
          <w:spacing w:val="-4"/>
          <w:sz w:val="24"/>
        </w:rPr>
        <w:t xml:space="preserve"> </w:t>
      </w:r>
      <w:r>
        <w:rPr>
          <w:sz w:val="24"/>
        </w:rPr>
        <w:t>models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 China (PRC). </w:t>
      </w:r>
      <w:r>
        <w:rPr>
          <w:i/>
          <w:sz w:val="24"/>
        </w:rPr>
        <w:t>Actual Problems of Economics</w:t>
      </w:r>
      <w:r>
        <w:rPr>
          <w:sz w:val="24"/>
        </w:rPr>
        <w:t xml:space="preserve">, </w:t>
      </w:r>
      <w:r>
        <w:rPr>
          <w:i/>
          <w:sz w:val="24"/>
        </w:rPr>
        <w:t>186</w:t>
      </w:r>
      <w:r>
        <w:rPr>
          <w:sz w:val="24"/>
        </w:rPr>
        <w:t>(12), 215–221.</w:t>
      </w:r>
    </w:p>
    <w:p w14:paraId="593CAE83" w14:textId="77777777" w:rsidR="002E7B4F" w:rsidRDefault="00C335CD">
      <w:pPr>
        <w:spacing w:before="160" w:line="259" w:lineRule="auto"/>
        <w:ind w:left="598" w:right="236" w:hanging="480"/>
        <w:rPr>
          <w:sz w:val="24"/>
        </w:rPr>
      </w:pPr>
      <w:r>
        <w:rPr>
          <w:sz w:val="24"/>
        </w:rPr>
        <w:t xml:space="preserve">European Commission. (2021). </w:t>
      </w:r>
      <w:r>
        <w:rPr>
          <w:i/>
          <w:sz w:val="24"/>
        </w:rPr>
        <w:t>European Green Deal: Deve</w:t>
      </w:r>
      <w:r>
        <w:rPr>
          <w:i/>
          <w:sz w:val="24"/>
        </w:rPr>
        <w:t>loping a sustainable blue economy in the European Union</w:t>
      </w:r>
      <w:r>
        <w:rPr>
          <w:sz w:val="24"/>
        </w:rPr>
        <w:t>. ec.europa.eu/commission/</w:t>
      </w:r>
      <w:proofErr w:type="spellStart"/>
      <w:r>
        <w:rPr>
          <w:sz w:val="24"/>
        </w:rPr>
        <w:t>presscorner</w:t>
      </w:r>
      <w:proofErr w:type="spellEnd"/>
      <w:r>
        <w:rPr>
          <w:sz w:val="24"/>
        </w:rPr>
        <w:t>/detail/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>/ip_21_2341,</w:t>
      </w:r>
      <w:r>
        <w:rPr>
          <w:spacing w:val="-11"/>
          <w:sz w:val="24"/>
        </w:rPr>
        <w:t xml:space="preserve"> </w:t>
      </w:r>
      <w:r>
        <w:rPr>
          <w:sz w:val="24"/>
        </w:rPr>
        <w:t>accessed</w:t>
      </w:r>
      <w:r>
        <w:rPr>
          <w:spacing w:val="-11"/>
          <w:sz w:val="24"/>
        </w:rPr>
        <w:t xml:space="preserve"> </w:t>
      </w:r>
      <w:r>
        <w:rPr>
          <w:sz w:val="24"/>
        </w:rPr>
        <w:t>29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September </w:t>
      </w:r>
      <w:r>
        <w:rPr>
          <w:spacing w:val="-4"/>
          <w:sz w:val="24"/>
        </w:rPr>
        <w:t>2022</w:t>
      </w:r>
    </w:p>
    <w:p w14:paraId="07FFC6A3" w14:textId="77777777" w:rsidR="002E7B4F" w:rsidRDefault="00C335CD">
      <w:pPr>
        <w:pStyle w:val="BodyText"/>
        <w:spacing w:before="159" w:line="259" w:lineRule="auto"/>
        <w:ind w:left="598" w:right="124" w:hanging="480"/>
      </w:pPr>
      <w:r w:rsidRPr="00F94992">
        <w:rPr>
          <w:lang w:val="es-ES"/>
        </w:rPr>
        <w:t>Graziano,</w:t>
      </w:r>
      <w:r w:rsidRPr="00F94992">
        <w:rPr>
          <w:spacing w:val="-4"/>
          <w:lang w:val="es-ES"/>
        </w:rPr>
        <w:t xml:space="preserve"> </w:t>
      </w:r>
      <w:r w:rsidRPr="00F94992">
        <w:rPr>
          <w:lang w:val="es-ES"/>
        </w:rPr>
        <w:t>M.,</w:t>
      </w:r>
      <w:r w:rsidRPr="00F94992">
        <w:rPr>
          <w:spacing w:val="-15"/>
          <w:lang w:val="es-ES"/>
        </w:rPr>
        <w:t xml:space="preserve"> </w:t>
      </w:r>
      <w:r w:rsidRPr="00F94992">
        <w:rPr>
          <w:lang w:val="es-ES"/>
        </w:rPr>
        <w:t>Alexander,</w:t>
      </w:r>
      <w:r w:rsidRPr="00F94992">
        <w:rPr>
          <w:spacing w:val="-4"/>
          <w:lang w:val="es-ES"/>
        </w:rPr>
        <w:t xml:space="preserve"> </w:t>
      </w:r>
      <w:r w:rsidRPr="00F94992">
        <w:rPr>
          <w:lang w:val="es-ES"/>
        </w:rPr>
        <w:t>K.</w:t>
      </w:r>
      <w:r w:rsidRPr="00F94992">
        <w:rPr>
          <w:spacing w:val="-15"/>
          <w:lang w:val="es-ES"/>
        </w:rPr>
        <w:t xml:space="preserve"> </w:t>
      </w:r>
      <w:r w:rsidRPr="00F94992">
        <w:rPr>
          <w:lang w:val="es-ES"/>
        </w:rPr>
        <w:t>A.,</w:t>
      </w:r>
      <w:r w:rsidRPr="00F94992">
        <w:rPr>
          <w:spacing w:val="-2"/>
          <w:lang w:val="es-ES"/>
        </w:rPr>
        <w:t xml:space="preserve"> </w:t>
      </w:r>
      <w:proofErr w:type="spellStart"/>
      <w:r w:rsidRPr="00F94992">
        <w:rPr>
          <w:lang w:val="es-ES"/>
        </w:rPr>
        <w:t>McGrane</w:t>
      </w:r>
      <w:proofErr w:type="spellEnd"/>
      <w:r w:rsidRPr="00F94992">
        <w:rPr>
          <w:lang w:val="es-ES"/>
        </w:rPr>
        <w:t>,</w:t>
      </w:r>
      <w:r w:rsidRPr="00F94992">
        <w:rPr>
          <w:spacing w:val="-2"/>
          <w:lang w:val="es-ES"/>
        </w:rPr>
        <w:t xml:space="preserve"> </w:t>
      </w:r>
      <w:r w:rsidRPr="00F94992">
        <w:rPr>
          <w:lang w:val="es-ES"/>
        </w:rPr>
        <w:t>S.</w:t>
      </w:r>
      <w:r w:rsidRPr="00F94992">
        <w:rPr>
          <w:spacing w:val="-2"/>
          <w:lang w:val="es-ES"/>
        </w:rPr>
        <w:t xml:space="preserve"> </w:t>
      </w:r>
      <w:r w:rsidRPr="00F94992">
        <w:rPr>
          <w:lang w:val="es-ES"/>
        </w:rPr>
        <w:t>J.,</w:t>
      </w:r>
      <w:r w:rsidRPr="00F94992">
        <w:rPr>
          <w:spacing w:val="-15"/>
          <w:lang w:val="es-ES"/>
        </w:rPr>
        <w:t xml:space="preserve"> </w:t>
      </w:r>
      <w:r w:rsidRPr="00F94992">
        <w:rPr>
          <w:lang w:val="es-ES"/>
        </w:rPr>
        <w:t>Allan,</w:t>
      </w:r>
      <w:r w:rsidRPr="00F94992">
        <w:rPr>
          <w:spacing w:val="-3"/>
          <w:lang w:val="es-ES"/>
        </w:rPr>
        <w:t xml:space="preserve"> </w:t>
      </w:r>
      <w:r w:rsidRPr="00F94992">
        <w:rPr>
          <w:lang w:val="es-ES"/>
        </w:rPr>
        <w:t>G.</w:t>
      </w:r>
      <w:r w:rsidRPr="00F94992">
        <w:rPr>
          <w:spacing w:val="-3"/>
          <w:lang w:val="es-ES"/>
        </w:rPr>
        <w:t xml:space="preserve"> </w:t>
      </w:r>
      <w:r w:rsidRPr="00F94992">
        <w:rPr>
          <w:lang w:val="es-ES"/>
        </w:rPr>
        <w:t>J.,</w:t>
      </w:r>
      <w:r w:rsidRPr="00F94992">
        <w:rPr>
          <w:spacing w:val="-3"/>
          <w:lang w:val="es-ES"/>
        </w:rPr>
        <w:t xml:space="preserve"> </w:t>
      </w:r>
      <w:r w:rsidRPr="00F94992">
        <w:rPr>
          <w:lang w:val="es-ES"/>
        </w:rPr>
        <w:t>&amp;</w:t>
      </w:r>
      <w:r w:rsidRPr="00F94992">
        <w:rPr>
          <w:spacing w:val="-3"/>
          <w:lang w:val="es-ES"/>
        </w:rPr>
        <w:t xml:space="preserve"> </w:t>
      </w:r>
      <w:r w:rsidRPr="00F94992">
        <w:rPr>
          <w:lang w:val="es-ES"/>
        </w:rPr>
        <w:t>Lema,</w:t>
      </w:r>
      <w:r w:rsidRPr="00F94992">
        <w:rPr>
          <w:spacing w:val="-3"/>
          <w:lang w:val="es-ES"/>
        </w:rPr>
        <w:t xml:space="preserve"> </w:t>
      </w:r>
      <w:r w:rsidRPr="00F94992">
        <w:rPr>
          <w:lang w:val="es-ES"/>
        </w:rPr>
        <w:t>E.</w:t>
      </w:r>
      <w:r w:rsidRPr="00F94992">
        <w:rPr>
          <w:spacing w:val="-3"/>
          <w:lang w:val="es-ES"/>
        </w:rPr>
        <w:t xml:space="preserve"> </w:t>
      </w:r>
      <w:r w:rsidRPr="00F94992">
        <w:rPr>
          <w:lang w:val="es-ES"/>
        </w:rPr>
        <w:t>(2022).</w:t>
      </w:r>
      <w:r w:rsidRPr="00F94992">
        <w:rPr>
          <w:spacing w:val="-3"/>
          <w:lang w:val="es-ES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many sizes and characters of the Blue Economy. </w:t>
      </w:r>
      <w:r>
        <w:rPr>
          <w:i/>
        </w:rPr>
        <w:t>Ecological Economics</w:t>
      </w:r>
      <w:r>
        <w:t xml:space="preserve">, </w:t>
      </w:r>
      <w:r>
        <w:rPr>
          <w:i/>
        </w:rPr>
        <w:t>196</w:t>
      </w:r>
      <w:r>
        <w:t xml:space="preserve">, 107419. </w:t>
      </w:r>
      <w:r>
        <w:rPr>
          <w:spacing w:val="-2"/>
        </w:rPr>
        <w:t>https://doi.org/10.1016/j.ecolecon.2022.107419</w:t>
      </w:r>
    </w:p>
    <w:p w14:paraId="7A741608" w14:textId="77777777" w:rsidR="002E7B4F" w:rsidRDefault="00C335CD">
      <w:pPr>
        <w:pStyle w:val="BodyText"/>
        <w:spacing w:before="159" w:line="259" w:lineRule="auto"/>
        <w:ind w:left="598" w:right="107" w:hanging="480"/>
      </w:pPr>
      <w:r>
        <w:t>Jentoft,</w:t>
      </w:r>
      <w:r>
        <w:rPr>
          <w:spacing w:val="-4"/>
        </w:rPr>
        <w:t xml:space="preserve"> </w:t>
      </w:r>
      <w:r>
        <w:t>S.,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proofErr w:type="spellStart"/>
      <w:r>
        <w:t>Chuenpagdee</w:t>
      </w:r>
      <w:proofErr w:type="spellEnd"/>
      <w:r>
        <w:t>,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(2022).</w:t>
      </w:r>
      <w:r>
        <w:rPr>
          <w:spacing w:val="-4"/>
        </w:rPr>
        <w:t xml:space="preserve"> </w:t>
      </w:r>
      <w:r>
        <w:t>Interactive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Governance</w:t>
      </w:r>
      <w:r>
        <w:rPr>
          <w:spacing w:val="-9"/>
        </w:rPr>
        <w:t xml:space="preserve"> </w:t>
      </w:r>
      <w:r>
        <w:t xml:space="preserve">Transformation </w:t>
      </w:r>
      <w:r>
        <w:lastRenderedPageBreak/>
        <w:t>for Securing Blue Justice for Small-S</w:t>
      </w:r>
      <w:r>
        <w:t xml:space="preserve">cale Fisheries. </w:t>
      </w:r>
      <w:r>
        <w:rPr>
          <w:i/>
        </w:rPr>
        <w:t>Administration and Society</w:t>
      </w:r>
      <w:r>
        <w:t xml:space="preserve">, </w:t>
      </w:r>
      <w:r>
        <w:rPr>
          <w:i/>
        </w:rPr>
        <w:t>54</w:t>
      </w:r>
      <w:r>
        <w:t>(7), 1255–1282. https://doi.org/10.1177/00953997211073947</w:t>
      </w:r>
    </w:p>
    <w:p w14:paraId="527E214C" w14:textId="77777777" w:rsidR="002E7B4F" w:rsidRDefault="00C335CD">
      <w:pPr>
        <w:pStyle w:val="BodyText"/>
        <w:spacing w:before="160" w:line="259" w:lineRule="auto"/>
        <w:ind w:left="598" w:right="107" w:hanging="480"/>
      </w:pPr>
      <w:r w:rsidRPr="00D70559">
        <w:rPr>
          <w:lang w:val="de-CH"/>
        </w:rPr>
        <w:t>Keen, M. R., Schwarz,</w:t>
      </w:r>
      <w:r w:rsidRPr="00D70559">
        <w:rPr>
          <w:spacing w:val="-6"/>
          <w:lang w:val="de-CH"/>
        </w:rPr>
        <w:t xml:space="preserve"> </w:t>
      </w:r>
      <w:r w:rsidRPr="00D70559">
        <w:rPr>
          <w:lang w:val="de-CH"/>
        </w:rPr>
        <w:t xml:space="preserve">A.-M., &amp; Wini-Simeon, L. (2018). </w:t>
      </w:r>
      <w:r>
        <w:t>Towards defining the Blue Economy:</w:t>
      </w:r>
      <w:r>
        <w:rPr>
          <w:spacing w:val="-4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lessons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proofErr w:type="gramStart"/>
      <w:r>
        <w:t>pacific</w:t>
      </w:r>
      <w:r>
        <w:rPr>
          <w:spacing w:val="-4"/>
        </w:rPr>
        <w:t xml:space="preserve"> </w:t>
      </w:r>
      <w:r>
        <w:t>ocean</w:t>
      </w:r>
      <w:proofErr w:type="gramEnd"/>
      <w:r>
        <w:rPr>
          <w:spacing w:val="-4"/>
        </w:rPr>
        <w:t xml:space="preserve"> </w:t>
      </w:r>
      <w:r>
        <w:t>governance.</w:t>
      </w:r>
      <w:r>
        <w:rPr>
          <w:spacing w:val="-6"/>
        </w:rPr>
        <w:t xml:space="preserve"> </w:t>
      </w:r>
      <w:r>
        <w:rPr>
          <w:i/>
        </w:rPr>
        <w:t>Marine</w:t>
      </w:r>
      <w:r>
        <w:rPr>
          <w:i/>
          <w:spacing w:val="-4"/>
        </w:rPr>
        <w:t xml:space="preserve"> </w:t>
      </w:r>
      <w:r>
        <w:rPr>
          <w:i/>
        </w:rPr>
        <w:t>Policy</w:t>
      </w:r>
      <w:r>
        <w:t>,</w:t>
      </w:r>
      <w:r>
        <w:rPr>
          <w:spacing w:val="-4"/>
        </w:rPr>
        <w:t xml:space="preserve"> </w:t>
      </w:r>
      <w:r>
        <w:rPr>
          <w:i/>
        </w:rPr>
        <w:t>88</w:t>
      </w:r>
      <w:r>
        <w:t>,</w:t>
      </w:r>
      <w:r>
        <w:rPr>
          <w:spacing w:val="-4"/>
        </w:rPr>
        <w:t xml:space="preserve"> </w:t>
      </w:r>
      <w:r>
        <w:t xml:space="preserve">333–341. </w:t>
      </w:r>
      <w:r>
        <w:rPr>
          <w:spacing w:val="-2"/>
        </w:rPr>
        <w:t>https://doi.org/10.1016/j.marpol.2017.03.002</w:t>
      </w:r>
    </w:p>
    <w:p w14:paraId="4BD04C22" w14:textId="77777777" w:rsidR="002E7B4F" w:rsidRDefault="002E7B4F">
      <w:pPr>
        <w:spacing w:line="259" w:lineRule="auto"/>
        <w:sectPr w:rsidR="002E7B4F">
          <w:pgSz w:w="11910" w:h="16840"/>
          <w:pgMar w:top="1780" w:right="1300" w:bottom="1240" w:left="1300" w:header="0" w:footer="1052" w:gutter="0"/>
          <w:cols w:space="720"/>
        </w:sectPr>
      </w:pPr>
    </w:p>
    <w:p w14:paraId="110580EE" w14:textId="77777777" w:rsidR="002E7B4F" w:rsidRDefault="00C335CD">
      <w:pPr>
        <w:pStyle w:val="BodyText"/>
        <w:spacing w:before="78" w:line="259" w:lineRule="auto"/>
        <w:ind w:left="598" w:right="107" w:hanging="480"/>
      </w:pPr>
      <w:proofErr w:type="spellStart"/>
      <w:r>
        <w:lastRenderedPageBreak/>
        <w:t>Lavrikova</w:t>
      </w:r>
      <w:proofErr w:type="spellEnd"/>
      <w:r>
        <w:t>,</w:t>
      </w:r>
      <w:r>
        <w:rPr>
          <w:spacing w:val="-15"/>
        </w:rPr>
        <w:t xml:space="preserve"> </w:t>
      </w:r>
      <w:r>
        <w:t>Y.</w:t>
      </w:r>
      <w:r>
        <w:rPr>
          <w:spacing w:val="-7"/>
        </w:rPr>
        <w:t xml:space="preserve"> </w:t>
      </w:r>
      <w:r>
        <w:t>G.,</w:t>
      </w:r>
      <w:r>
        <w:rPr>
          <w:spacing w:val="-7"/>
        </w:rPr>
        <w:t xml:space="preserve"> </w:t>
      </w:r>
      <w:proofErr w:type="spellStart"/>
      <w:r>
        <w:t>Buchinskaia</w:t>
      </w:r>
      <w:proofErr w:type="spellEnd"/>
      <w:r>
        <w:t>,</w:t>
      </w:r>
      <w:r>
        <w:rPr>
          <w:spacing w:val="-7"/>
        </w:rPr>
        <w:t xml:space="preserve"> </w:t>
      </w:r>
      <w:r>
        <w:t>O.</w:t>
      </w:r>
      <w:r>
        <w:rPr>
          <w:spacing w:val="-7"/>
        </w:rPr>
        <w:t xml:space="preserve"> </w:t>
      </w:r>
      <w:r>
        <w:t>N.,</w:t>
      </w:r>
      <w:r>
        <w:rPr>
          <w:spacing w:val="-7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Wegner-Kozlova,</w:t>
      </w:r>
      <w:r>
        <w:rPr>
          <w:spacing w:val="-8"/>
        </w:rPr>
        <w:t xml:space="preserve"> </w:t>
      </w:r>
      <w:r>
        <w:t>E.</w:t>
      </w:r>
      <w:r>
        <w:rPr>
          <w:spacing w:val="-8"/>
        </w:rPr>
        <w:t xml:space="preserve"> </w:t>
      </w:r>
      <w:r>
        <w:t>O.</w:t>
      </w:r>
      <w:r>
        <w:rPr>
          <w:spacing w:val="-8"/>
        </w:rPr>
        <w:t xml:space="preserve"> </w:t>
      </w:r>
      <w:r>
        <w:t>(2021).</w:t>
      </w:r>
      <w:r>
        <w:rPr>
          <w:spacing w:val="-8"/>
        </w:rPr>
        <w:t xml:space="preserve"> </w:t>
      </w:r>
      <w:r>
        <w:t>Greening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 xml:space="preserve">Regional Economic Systems within the Framework of Sustainable Development Goals. </w:t>
      </w:r>
      <w:r>
        <w:rPr>
          <w:i/>
        </w:rPr>
        <w:t xml:space="preserve">Economy of </w:t>
      </w:r>
      <w:r>
        <w:rPr>
          <w:i/>
        </w:rPr>
        <w:t>Region</w:t>
      </w:r>
      <w:r>
        <w:t xml:space="preserve">, </w:t>
      </w:r>
      <w:r>
        <w:rPr>
          <w:i/>
        </w:rPr>
        <w:t>17</w:t>
      </w:r>
      <w:r>
        <w:t>(4), 1110–1122. https://doi.org/10.17059/EKON.REG.2021-4-5</w:t>
      </w:r>
    </w:p>
    <w:p w14:paraId="1B2FF65E" w14:textId="77777777" w:rsidR="002E7B4F" w:rsidRDefault="00C335CD">
      <w:pPr>
        <w:spacing w:before="160" w:line="259" w:lineRule="auto"/>
        <w:ind w:left="598" w:right="124" w:hanging="480"/>
        <w:rPr>
          <w:sz w:val="24"/>
        </w:rPr>
      </w:pPr>
      <w:r>
        <w:rPr>
          <w:sz w:val="24"/>
        </w:rPr>
        <w:t>Pauli,</w:t>
      </w:r>
      <w:r>
        <w:rPr>
          <w:spacing w:val="-7"/>
          <w:sz w:val="24"/>
        </w:rPr>
        <w:t xml:space="preserve"> </w:t>
      </w:r>
      <w:r>
        <w:rPr>
          <w:sz w:val="24"/>
        </w:rPr>
        <w:t>G.</w:t>
      </w:r>
      <w:r>
        <w:rPr>
          <w:spacing w:val="-15"/>
          <w:sz w:val="24"/>
        </w:rPr>
        <w:t xml:space="preserve"> </w:t>
      </w:r>
      <w:r>
        <w:rPr>
          <w:sz w:val="24"/>
        </w:rPr>
        <w:t>A.</w:t>
      </w:r>
      <w:r>
        <w:rPr>
          <w:spacing w:val="-5"/>
          <w:sz w:val="24"/>
        </w:rPr>
        <w:t xml:space="preserve"> </w:t>
      </w:r>
      <w:r>
        <w:rPr>
          <w:sz w:val="24"/>
        </w:rPr>
        <w:t>(2010).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Blue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Economy: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Years,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100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Innovations,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100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Million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Jobs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Taos: Paradigm Publications.</w:t>
      </w:r>
    </w:p>
    <w:p w14:paraId="1A0B27B4" w14:textId="77777777" w:rsidR="002E7B4F" w:rsidRDefault="00C335CD">
      <w:pPr>
        <w:spacing w:before="159" w:line="259" w:lineRule="auto"/>
        <w:ind w:left="598" w:hanging="480"/>
        <w:rPr>
          <w:i/>
          <w:sz w:val="24"/>
        </w:rPr>
      </w:pPr>
      <w:r>
        <w:rPr>
          <w:sz w:val="24"/>
        </w:rPr>
        <w:t>Pearson,</w:t>
      </w:r>
      <w:r>
        <w:rPr>
          <w:spacing w:val="-3"/>
          <w:sz w:val="24"/>
        </w:rPr>
        <w:t xml:space="preserve"> </w:t>
      </w:r>
      <w:r>
        <w:rPr>
          <w:sz w:val="24"/>
        </w:rPr>
        <w:t>K.</w:t>
      </w:r>
      <w:r>
        <w:rPr>
          <w:spacing w:val="-3"/>
          <w:sz w:val="24"/>
        </w:rPr>
        <w:t xml:space="preserve"> </w:t>
      </w:r>
      <w:r>
        <w:rPr>
          <w:sz w:val="24"/>
        </w:rPr>
        <w:t>(1896).</w:t>
      </w:r>
      <w:r>
        <w:rPr>
          <w:spacing w:val="-3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-3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Theory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Evolution.</w:t>
      </w:r>
      <w:r>
        <w:rPr>
          <w:spacing w:val="-3"/>
          <w:sz w:val="24"/>
        </w:rPr>
        <w:t xml:space="preserve"> </w:t>
      </w:r>
      <w:r>
        <w:rPr>
          <w:sz w:val="24"/>
        </w:rPr>
        <w:t>III.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Regression, Heredity, and Panmixia. </w:t>
      </w:r>
      <w:r>
        <w:rPr>
          <w:i/>
          <w:sz w:val="24"/>
        </w:rPr>
        <w:t>Philosophical Transactions of the Royal Society of London.</w:t>
      </w:r>
    </w:p>
    <w:p w14:paraId="38FED6AB" w14:textId="77777777" w:rsidR="002E7B4F" w:rsidRDefault="00C335CD">
      <w:pPr>
        <w:ind w:left="598"/>
        <w:rPr>
          <w:sz w:val="24"/>
        </w:rPr>
      </w:pPr>
      <w:r>
        <w:rPr>
          <w:i/>
          <w:sz w:val="24"/>
        </w:rPr>
        <w:t>Series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A, Containing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Papers of 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Mathematical or Physical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Character</w:t>
      </w:r>
      <w:r>
        <w:rPr>
          <w:sz w:val="24"/>
        </w:rPr>
        <w:t xml:space="preserve">, </w:t>
      </w:r>
      <w:r>
        <w:rPr>
          <w:i/>
          <w:sz w:val="24"/>
        </w:rPr>
        <w:t>187</w:t>
      </w:r>
      <w:r>
        <w:rPr>
          <w:sz w:val="24"/>
        </w:rPr>
        <w:t xml:space="preserve">, </w:t>
      </w:r>
      <w:r>
        <w:rPr>
          <w:spacing w:val="-2"/>
          <w:sz w:val="24"/>
        </w:rPr>
        <w:t>253–318.</w:t>
      </w:r>
    </w:p>
    <w:p w14:paraId="237E3364" w14:textId="77777777" w:rsidR="002E7B4F" w:rsidRDefault="00C335CD">
      <w:pPr>
        <w:pStyle w:val="BodyText"/>
        <w:spacing w:before="181" w:line="259" w:lineRule="auto"/>
        <w:ind w:left="598" w:right="124" w:hanging="480"/>
      </w:pPr>
      <w:r>
        <w:t>Reinertsen, H., &amp;</w:t>
      </w:r>
      <w:r>
        <w:rPr>
          <w:spacing w:val="-4"/>
        </w:rPr>
        <w:t xml:space="preserve"> </w:t>
      </w:r>
      <w:r>
        <w:t>Asdal, K. (2019). Calculating the Blue Economy: produc</w:t>
      </w:r>
      <w:r>
        <w:t>ing trust in numbers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tools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reflexive</w:t>
      </w:r>
      <w:r>
        <w:rPr>
          <w:spacing w:val="-5"/>
        </w:rPr>
        <w:t xml:space="preserve"> </w:t>
      </w:r>
      <w:r>
        <w:t>objectivity.</w:t>
      </w:r>
      <w:r>
        <w:rPr>
          <w:spacing w:val="-8"/>
        </w:rPr>
        <w:t xml:space="preserve"> </w:t>
      </w:r>
      <w:r>
        <w:rPr>
          <w:i/>
        </w:rPr>
        <w:t>Journal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Cultural</w:t>
      </w:r>
      <w:r>
        <w:rPr>
          <w:i/>
          <w:spacing w:val="-5"/>
        </w:rPr>
        <w:t xml:space="preserve"> </w:t>
      </w:r>
      <w:r>
        <w:rPr>
          <w:i/>
        </w:rPr>
        <w:t>Economy</w:t>
      </w:r>
      <w:r>
        <w:t xml:space="preserve">, </w:t>
      </w:r>
      <w:r>
        <w:rPr>
          <w:i/>
        </w:rPr>
        <w:t>12</w:t>
      </w:r>
      <w:r>
        <w:t>(6), 552–570. https://doi.org/10.1080/17530350.2019.1639066</w:t>
      </w:r>
    </w:p>
    <w:p w14:paraId="3B8651EE" w14:textId="77777777" w:rsidR="002E7B4F" w:rsidRDefault="00C335CD">
      <w:pPr>
        <w:pStyle w:val="BodyText"/>
        <w:spacing w:before="160" w:line="259" w:lineRule="auto"/>
        <w:ind w:left="598" w:hanging="480"/>
      </w:pPr>
      <w:r w:rsidRPr="00D70559">
        <w:rPr>
          <w:lang w:val="de-CH"/>
        </w:rPr>
        <w:t>Soma, K., van den Burg, S.</w:t>
      </w:r>
      <w:r w:rsidRPr="00D70559">
        <w:rPr>
          <w:spacing w:val="-5"/>
          <w:lang w:val="de-CH"/>
        </w:rPr>
        <w:t xml:space="preserve"> </w:t>
      </w:r>
      <w:r w:rsidRPr="00D70559">
        <w:rPr>
          <w:lang w:val="de-CH"/>
        </w:rPr>
        <w:t>W. K., Hoefnagel, E.</w:t>
      </w:r>
      <w:r w:rsidRPr="00D70559">
        <w:rPr>
          <w:spacing w:val="-5"/>
          <w:lang w:val="de-CH"/>
        </w:rPr>
        <w:t xml:space="preserve"> </w:t>
      </w:r>
      <w:r w:rsidRPr="00D70559">
        <w:rPr>
          <w:lang w:val="de-CH"/>
        </w:rPr>
        <w:t>W.</w:t>
      </w:r>
      <w:r w:rsidRPr="00D70559">
        <w:rPr>
          <w:spacing w:val="-1"/>
          <w:lang w:val="de-CH"/>
        </w:rPr>
        <w:t xml:space="preserve"> </w:t>
      </w:r>
      <w:r w:rsidRPr="00D70559">
        <w:rPr>
          <w:lang w:val="de-CH"/>
        </w:rPr>
        <w:t>J.,</w:t>
      </w:r>
      <w:r w:rsidRPr="00D70559">
        <w:rPr>
          <w:spacing w:val="-1"/>
          <w:lang w:val="de-CH"/>
        </w:rPr>
        <w:t xml:space="preserve"> </w:t>
      </w:r>
      <w:r w:rsidRPr="00D70559">
        <w:rPr>
          <w:lang w:val="de-CH"/>
        </w:rPr>
        <w:t>Stuiver,</w:t>
      </w:r>
      <w:r w:rsidRPr="00D70559">
        <w:rPr>
          <w:spacing w:val="-1"/>
          <w:lang w:val="de-CH"/>
        </w:rPr>
        <w:t xml:space="preserve"> </w:t>
      </w:r>
      <w:r w:rsidRPr="00D70559">
        <w:rPr>
          <w:lang w:val="de-CH"/>
        </w:rPr>
        <w:t>M.,</w:t>
      </w:r>
      <w:r w:rsidRPr="00D70559">
        <w:rPr>
          <w:spacing w:val="-1"/>
          <w:lang w:val="de-CH"/>
        </w:rPr>
        <w:t xml:space="preserve"> </w:t>
      </w:r>
      <w:r w:rsidRPr="00D70559">
        <w:rPr>
          <w:lang w:val="de-CH"/>
        </w:rPr>
        <w:t>&amp;</w:t>
      </w:r>
      <w:r w:rsidRPr="00D70559">
        <w:rPr>
          <w:spacing w:val="-1"/>
          <w:lang w:val="de-CH"/>
        </w:rPr>
        <w:t xml:space="preserve"> </w:t>
      </w:r>
      <w:r w:rsidRPr="00D70559">
        <w:rPr>
          <w:lang w:val="de-CH"/>
        </w:rPr>
        <w:t>van</w:t>
      </w:r>
      <w:r w:rsidRPr="00D70559">
        <w:rPr>
          <w:spacing w:val="-1"/>
          <w:lang w:val="de-CH"/>
        </w:rPr>
        <w:t xml:space="preserve"> </w:t>
      </w:r>
      <w:r w:rsidRPr="00D70559">
        <w:rPr>
          <w:lang w:val="de-CH"/>
        </w:rPr>
        <w:t>der</w:t>
      </w:r>
      <w:r w:rsidRPr="00D70559">
        <w:rPr>
          <w:spacing w:val="-1"/>
          <w:lang w:val="de-CH"/>
        </w:rPr>
        <w:t xml:space="preserve"> </w:t>
      </w:r>
      <w:r w:rsidRPr="00D70559">
        <w:rPr>
          <w:lang w:val="de-CH"/>
        </w:rPr>
        <w:t>Heide,</w:t>
      </w:r>
      <w:r w:rsidRPr="00D70559">
        <w:rPr>
          <w:spacing w:val="-1"/>
          <w:lang w:val="de-CH"/>
        </w:rPr>
        <w:t xml:space="preserve"> </w:t>
      </w:r>
      <w:r w:rsidRPr="00D70559">
        <w:rPr>
          <w:lang w:val="de-CH"/>
        </w:rPr>
        <w:t>C.</w:t>
      </w:r>
      <w:r w:rsidRPr="00D70559">
        <w:rPr>
          <w:spacing w:val="-1"/>
          <w:lang w:val="de-CH"/>
        </w:rPr>
        <w:t xml:space="preserve"> </w:t>
      </w:r>
      <w:r w:rsidRPr="00D70559">
        <w:rPr>
          <w:lang w:val="de-CH"/>
        </w:rPr>
        <w:t xml:space="preserve">M. </w:t>
      </w:r>
      <w:r w:rsidRPr="00D70559">
        <w:rPr>
          <w:lang w:val="de-CH"/>
        </w:rPr>
        <w:t>(2018).</w:t>
      </w:r>
      <w:r w:rsidRPr="00D70559">
        <w:rPr>
          <w:spacing w:val="-3"/>
          <w:lang w:val="de-CH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innovation</w:t>
      </w:r>
      <w:r>
        <w:rPr>
          <w:spacing w:val="-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pathway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Blue</w:t>
      </w:r>
      <w:r>
        <w:rPr>
          <w:spacing w:val="-3"/>
        </w:rPr>
        <w:t xml:space="preserve"> </w:t>
      </w:r>
      <w:r>
        <w:t>growth?</w:t>
      </w:r>
      <w:r>
        <w:rPr>
          <w:spacing w:val="-3"/>
        </w:rPr>
        <w:t xml:space="preserve"> </w:t>
      </w:r>
      <w:r>
        <w:rPr>
          <w:i/>
        </w:rPr>
        <w:t>Marine</w:t>
      </w:r>
      <w:r>
        <w:rPr>
          <w:i/>
          <w:spacing w:val="-2"/>
        </w:rPr>
        <w:t xml:space="preserve"> </w:t>
      </w:r>
      <w:r>
        <w:rPr>
          <w:i/>
        </w:rPr>
        <w:t>Policy</w:t>
      </w:r>
      <w:r>
        <w:t>,</w:t>
      </w:r>
      <w:r>
        <w:rPr>
          <w:spacing w:val="-2"/>
        </w:rPr>
        <w:t xml:space="preserve"> </w:t>
      </w:r>
      <w:r>
        <w:rPr>
          <w:i/>
        </w:rPr>
        <w:t>87</w:t>
      </w:r>
      <w:r>
        <w:t>,</w:t>
      </w:r>
      <w:r>
        <w:rPr>
          <w:spacing w:val="-3"/>
        </w:rPr>
        <w:t xml:space="preserve"> </w:t>
      </w:r>
      <w:r>
        <w:t>363–</w:t>
      </w:r>
    </w:p>
    <w:p w14:paraId="2B01DFB2" w14:textId="77777777" w:rsidR="002E7B4F" w:rsidRDefault="00C335CD">
      <w:pPr>
        <w:pStyle w:val="BodyText"/>
        <w:spacing w:line="275" w:lineRule="exact"/>
        <w:ind w:left="598"/>
      </w:pPr>
      <w:r>
        <w:t xml:space="preserve">370. </w:t>
      </w:r>
      <w:r>
        <w:rPr>
          <w:spacing w:val="-2"/>
        </w:rPr>
        <w:t>https://doi.org/10.1016/j.marpol.2017.10.008</w:t>
      </w:r>
    </w:p>
    <w:p w14:paraId="01EF670A" w14:textId="77777777" w:rsidR="002E7B4F" w:rsidRDefault="00C335CD">
      <w:pPr>
        <w:pStyle w:val="BodyText"/>
        <w:spacing w:before="182" w:line="259" w:lineRule="auto"/>
        <w:ind w:left="598" w:right="124" w:hanging="480"/>
      </w:pPr>
      <w:proofErr w:type="spellStart"/>
      <w:r w:rsidRPr="00F94992">
        <w:rPr>
          <w:lang w:val="es-ES"/>
        </w:rPr>
        <w:t>Tirumala</w:t>
      </w:r>
      <w:proofErr w:type="spellEnd"/>
      <w:r w:rsidRPr="00F94992">
        <w:rPr>
          <w:lang w:val="es-ES"/>
        </w:rPr>
        <w:t>,</w:t>
      </w:r>
      <w:r w:rsidRPr="00F94992">
        <w:rPr>
          <w:spacing w:val="-1"/>
          <w:lang w:val="es-ES"/>
        </w:rPr>
        <w:t xml:space="preserve"> </w:t>
      </w:r>
      <w:r w:rsidRPr="00F94992">
        <w:rPr>
          <w:lang w:val="es-ES"/>
        </w:rPr>
        <w:t>R.</w:t>
      </w:r>
      <w:r w:rsidRPr="00F94992">
        <w:rPr>
          <w:spacing w:val="-1"/>
          <w:lang w:val="es-ES"/>
        </w:rPr>
        <w:t xml:space="preserve"> </w:t>
      </w:r>
      <w:r w:rsidRPr="00F94992">
        <w:rPr>
          <w:lang w:val="es-ES"/>
        </w:rPr>
        <w:t>D.,</w:t>
      </w:r>
      <w:r w:rsidRPr="00F94992">
        <w:rPr>
          <w:spacing w:val="-1"/>
          <w:lang w:val="es-ES"/>
        </w:rPr>
        <w:t xml:space="preserve"> </w:t>
      </w:r>
      <w:r w:rsidRPr="00F94992">
        <w:rPr>
          <w:lang w:val="es-ES"/>
        </w:rPr>
        <w:t>&amp;</w:t>
      </w:r>
      <w:r w:rsidRPr="00F94992">
        <w:rPr>
          <w:spacing w:val="-5"/>
          <w:lang w:val="es-ES"/>
        </w:rPr>
        <w:t xml:space="preserve"> </w:t>
      </w:r>
      <w:r w:rsidRPr="00F94992">
        <w:rPr>
          <w:lang w:val="es-ES"/>
        </w:rPr>
        <w:t>Tiwari,</w:t>
      </w:r>
      <w:r w:rsidRPr="00F94992">
        <w:rPr>
          <w:spacing w:val="-1"/>
          <w:lang w:val="es-ES"/>
        </w:rPr>
        <w:t xml:space="preserve"> </w:t>
      </w:r>
      <w:r w:rsidRPr="00F94992">
        <w:rPr>
          <w:lang w:val="es-ES"/>
        </w:rPr>
        <w:t>P.</w:t>
      </w:r>
      <w:r w:rsidRPr="00F94992">
        <w:rPr>
          <w:spacing w:val="-1"/>
          <w:lang w:val="es-ES"/>
        </w:rPr>
        <w:t xml:space="preserve"> </w:t>
      </w:r>
      <w:r w:rsidRPr="00F94992">
        <w:rPr>
          <w:lang w:val="es-ES"/>
        </w:rPr>
        <w:t>(2022).</w:t>
      </w:r>
      <w:r w:rsidRPr="00F94992">
        <w:rPr>
          <w:spacing w:val="-1"/>
          <w:lang w:val="es-ES"/>
        </w:rPr>
        <w:t xml:space="preserve"> </w:t>
      </w:r>
      <w:r>
        <w:t>Innovative</w:t>
      </w:r>
      <w:r>
        <w:rPr>
          <w:spacing w:val="-1"/>
        </w:rPr>
        <w:t xml:space="preserve"> </w:t>
      </w:r>
      <w:r>
        <w:t>financing</w:t>
      </w:r>
      <w:r>
        <w:rPr>
          <w:spacing w:val="-1"/>
        </w:rPr>
        <w:t xml:space="preserve"> </w:t>
      </w:r>
      <w:r>
        <w:t>mechanism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blue</w:t>
      </w:r>
      <w:r>
        <w:rPr>
          <w:spacing w:val="-1"/>
        </w:rPr>
        <w:t xml:space="preserve"> </w:t>
      </w:r>
      <w:r>
        <w:t>economy projects.</w:t>
      </w:r>
      <w:r>
        <w:rPr>
          <w:spacing w:val="-3"/>
        </w:rPr>
        <w:t xml:space="preserve"> </w:t>
      </w:r>
      <w:r>
        <w:rPr>
          <w:i/>
        </w:rPr>
        <w:t>Marine Policy</w:t>
      </w:r>
      <w:r>
        <w:t>,</w:t>
      </w:r>
      <w:r>
        <w:rPr>
          <w:spacing w:val="-2"/>
        </w:rPr>
        <w:t xml:space="preserve"> </w:t>
      </w:r>
      <w:r>
        <w:rPr>
          <w:i/>
        </w:rPr>
        <w:t>139</w:t>
      </w:r>
      <w:r>
        <w:t xml:space="preserve">, 104194. </w:t>
      </w:r>
      <w:r>
        <w:rPr>
          <w:spacing w:val="-2"/>
        </w:rPr>
        <w:t>https://doi.org/10.1016/j.marpol.2020.104194</w:t>
      </w:r>
    </w:p>
    <w:p w14:paraId="5850A706" w14:textId="77777777" w:rsidR="002E7B4F" w:rsidRDefault="00C335CD">
      <w:pPr>
        <w:spacing w:before="160" w:line="259" w:lineRule="auto"/>
        <w:ind w:left="598" w:hanging="480"/>
        <w:rPr>
          <w:sz w:val="24"/>
        </w:rPr>
      </w:pPr>
      <w:r>
        <w:rPr>
          <w:sz w:val="24"/>
        </w:rPr>
        <w:t xml:space="preserve">UN-GA. (2015). </w:t>
      </w:r>
      <w:r>
        <w:rPr>
          <w:i/>
          <w:sz w:val="24"/>
        </w:rPr>
        <w:t>United Nations General Assembly, Resolution adopted by the General Assembly on 25 September 2015: 70/1 - Transforming our world: the 2030 Agenda for Sustainable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daccess-ods.</w:t>
      </w:r>
      <w:r>
        <w:rPr>
          <w:sz w:val="24"/>
        </w:rPr>
        <w:t>un.org/</w:t>
      </w:r>
      <w:proofErr w:type="spellStart"/>
      <w:r>
        <w:rPr>
          <w:sz w:val="24"/>
        </w:rPr>
        <w:t>tmp</w:t>
      </w:r>
      <w:proofErr w:type="spellEnd"/>
      <w:r>
        <w:rPr>
          <w:sz w:val="24"/>
        </w:rPr>
        <w:t>/4647309.78012085.html,</w:t>
      </w:r>
      <w:r>
        <w:rPr>
          <w:spacing w:val="-9"/>
          <w:sz w:val="24"/>
        </w:rPr>
        <w:t xml:space="preserve"> </w:t>
      </w:r>
      <w:r>
        <w:rPr>
          <w:sz w:val="24"/>
        </w:rPr>
        <w:t>accessed</w:t>
      </w:r>
      <w:r>
        <w:rPr>
          <w:spacing w:val="-10"/>
          <w:sz w:val="24"/>
        </w:rPr>
        <w:t xml:space="preserve"> </w:t>
      </w:r>
      <w:r>
        <w:rPr>
          <w:sz w:val="24"/>
        </w:rPr>
        <w:t>29 September 2022</w:t>
      </w:r>
    </w:p>
    <w:p w14:paraId="29247A75" w14:textId="77777777" w:rsidR="002E7B4F" w:rsidRDefault="00C335CD">
      <w:pPr>
        <w:spacing w:before="159" w:line="259" w:lineRule="auto"/>
        <w:ind w:left="598" w:right="124" w:hanging="480"/>
        <w:rPr>
          <w:sz w:val="24"/>
        </w:rPr>
      </w:pPr>
      <w:r>
        <w:rPr>
          <w:sz w:val="24"/>
        </w:rPr>
        <w:t>United</w:t>
      </w:r>
      <w:r>
        <w:rPr>
          <w:spacing w:val="-7"/>
          <w:sz w:val="24"/>
        </w:rPr>
        <w:t xml:space="preserve"> </w:t>
      </w:r>
      <w:r>
        <w:rPr>
          <w:sz w:val="24"/>
        </w:rPr>
        <w:t>Nations.</w:t>
      </w:r>
      <w:r>
        <w:rPr>
          <w:spacing w:val="-7"/>
          <w:sz w:val="24"/>
        </w:rPr>
        <w:t xml:space="preserve"> </w:t>
      </w:r>
      <w:r>
        <w:rPr>
          <w:sz w:val="24"/>
        </w:rPr>
        <w:t>(2017).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Diving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blue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economy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hyperlink r:id="rId8">
        <w:r w:rsidR="002E7B4F">
          <w:rPr>
            <w:sz w:val="24"/>
          </w:rPr>
          <w:t>www.un.org/fr/desa/diving-blue-</w:t>
        </w:r>
      </w:hyperlink>
      <w:r>
        <w:rPr>
          <w:sz w:val="24"/>
        </w:rPr>
        <w:t xml:space="preserve"> economy, accessed 29 September 2022</w:t>
      </w:r>
    </w:p>
    <w:sectPr w:rsidR="002E7B4F">
      <w:pgSz w:w="11910" w:h="16840"/>
      <w:pgMar w:top="1340" w:right="1300" w:bottom="1240" w:left="1300" w:header="0" w:footer="10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066C6" w14:textId="77777777" w:rsidR="00C335CD" w:rsidRDefault="00C335CD">
      <w:r>
        <w:separator/>
      </w:r>
    </w:p>
  </w:endnote>
  <w:endnote w:type="continuationSeparator" w:id="0">
    <w:p w14:paraId="77BE4810" w14:textId="77777777" w:rsidR="00C335CD" w:rsidRDefault="00C3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lid Symbol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576C" w14:textId="77777777" w:rsidR="002E7B4F" w:rsidRDefault="00C335C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7D27F3BF" wp14:editId="00BEF461">
              <wp:simplePos x="0" y="0"/>
              <wp:positionH relativeFrom="page">
                <wp:posOffset>3704082</wp:posOffset>
              </wp:positionH>
              <wp:positionV relativeFrom="page">
                <wp:posOffset>9885506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1E8CF" w14:textId="43879046" w:rsidR="002E7B4F" w:rsidRDefault="00C335CD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65ACF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7F3B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78.4pt;width:13pt;height:15.3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njIq++EAAAANAQAADwAAAAAAAAAAAAAAAAD/AwAAZHJzL2Rvd25yZXYueG1sUEsF&#10;BgAAAAAEAAQA8wAAAA0FAAAAAA==&#10;" filled="f" stroked="f">
              <v:path arrowok="t"/>
              <v:textbox inset="0,0,0,0">
                <w:txbxContent>
                  <w:p w14:paraId="38B1E8CF" w14:textId="43879046" w:rsidR="002E7B4F" w:rsidRDefault="00C335CD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65ACF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DD01B" w14:textId="77777777" w:rsidR="00C335CD" w:rsidRDefault="00C335CD">
      <w:r>
        <w:separator/>
      </w:r>
    </w:p>
  </w:footnote>
  <w:footnote w:type="continuationSeparator" w:id="0">
    <w:p w14:paraId="54879246" w14:textId="77777777" w:rsidR="00C335CD" w:rsidRDefault="00C33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B4F"/>
    <w:rsid w:val="002E7B4F"/>
    <w:rsid w:val="00302FF5"/>
    <w:rsid w:val="004279B0"/>
    <w:rsid w:val="00465ACF"/>
    <w:rsid w:val="00612E9B"/>
    <w:rsid w:val="006E5B75"/>
    <w:rsid w:val="008B79B4"/>
    <w:rsid w:val="00B90A99"/>
    <w:rsid w:val="00C335CD"/>
    <w:rsid w:val="00C45A2D"/>
    <w:rsid w:val="00D70559"/>
    <w:rsid w:val="00F9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68A4C"/>
  <w15:docId w15:val="{0DF8C623-0D16-4F83-BAD1-FB8EB05D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8"/>
      <w:ind w:left="40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"/>
    </w:pPr>
  </w:style>
  <w:style w:type="character" w:styleId="Hyperlink">
    <w:name w:val="Hyperlink"/>
    <w:basedOn w:val="DefaultParagraphFont"/>
    <w:uiPriority w:val="99"/>
    <w:unhideWhenUsed/>
    <w:rsid w:val="00C45A2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5A2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2E9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E9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12E9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E9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fr/desa/diving-blue-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Rakesh Sagar</cp:lastModifiedBy>
  <cp:revision>4</cp:revision>
  <dcterms:created xsi:type="dcterms:W3CDTF">2025-08-20T19:29:00Z</dcterms:created>
  <dcterms:modified xsi:type="dcterms:W3CDTF">2025-08-21T07:24:00Z</dcterms:modified>
</cp:coreProperties>
</file>