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6A76" w:rsidRDefault="00666A76" w:rsidP="00666A76">
      <w:pPr>
        <w:jc w:val="both"/>
        <w:rPr>
          <w:sz w:val="20"/>
          <w:szCs w:val="20"/>
        </w:rPr>
      </w:pPr>
      <w:r w:rsidRPr="003F0C55">
        <w:rPr>
          <w:sz w:val="20"/>
          <w:szCs w:val="20"/>
        </w:rPr>
        <w:t>APPENDICES</w:t>
      </w:r>
    </w:p>
    <w:p w:rsidR="00666A76" w:rsidRDefault="00666A76" w:rsidP="00666A76">
      <w:pPr>
        <w:jc w:val="both"/>
        <w:rPr>
          <w:sz w:val="20"/>
          <w:szCs w:val="20"/>
        </w:rPr>
      </w:pPr>
      <w:r w:rsidRPr="00084D63">
        <w:rPr>
          <w:b/>
          <w:bCs/>
          <w:sz w:val="20"/>
          <w:szCs w:val="20"/>
        </w:rPr>
        <w:t>Appendix A</w:t>
      </w:r>
      <w:r>
        <w:rPr>
          <w:sz w:val="20"/>
          <w:szCs w:val="20"/>
        </w:rPr>
        <w:t>: PRISMA Flow Diagram Summarizing Selection Process for the Articles</w:t>
      </w:r>
    </w:p>
    <w:p w:rsidR="00666A76" w:rsidRDefault="00666A76" w:rsidP="00666A76">
      <w:pPr>
        <w:jc w:val="both"/>
        <w:rPr>
          <w:sz w:val="20"/>
          <w:szCs w:val="20"/>
        </w:rPr>
      </w:pPr>
    </w:p>
    <w:p w:rsidR="00666A76" w:rsidRDefault="00666A76" w:rsidP="00666A76">
      <w:pPr>
        <w:jc w:val="both"/>
        <w:rPr>
          <w:sz w:val="20"/>
          <w:szCs w:val="20"/>
        </w:rPr>
      </w:pPr>
      <w:r w:rsidRPr="003F0C55">
        <w:rPr>
          <w:noProof/>
          <w:sz w:val="20"/>
          <w:szCs w:val="20"/>
          <w:lang w:val="en-IN" w:eastAsia="en-IN"/>
        </w:rPr>
        <w:drawing>
          <wp:inline distT="0" distB="0" distL="0" distR="0" wp14:anchorId="695DF393" wp14:editId="54563C8C">
            <wp:extent cx="4051170" cy="1431334"/>
            <wp:effectExtent l="0" t="0" r="6985" b="0"/>
            <wp:docPr id="1436985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69856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115769" cy="14541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6A76" w:rsidRDefault="00666A76" w:rsidP="00666A76">
      <w:pPr>
        <w:jc w:val="both"/>
        <w:rPr>
          <w:sz w:val="20"/>
          <w:szCs w:val="20"/>
        </w:rPr>
      </w:pPr>
      <w:r>
        <w:rPr>
          <w:sz w:val="20"/>
          <w:szCs w:val="20"/>
        </w:rPr>
        <w:t>Source: Author’s Own Creation/Work</w:t>
      </w:r>
    </w:p>
    <w:p w:rsidR="00666A76" w:rsidRDefault="00666A76" w:rsidP="00666A76">
      <w:pPr>
        <w:jc w:val="both"/>
        <w:rPr>
          <w:sz w:val="20"/>
          <w:szCs w:val="20"/>
        </w:rPr>
      </w:pPr>
      <w:r w:rsidRPr="00084D63">
        <w:rPr>
          <w:b/>
          <w:bCs/>
          <w:sz w:val="20"/>
          <w:szCs w:val="20"/>
        </w:rPr>
        <w:t>Appendix B</w:t>
      </w:r>
      <w:r>
        <w:rPr>
          <w:sz w:val="20"/>
          <w:szCs w:val="20"/>
        </w:rPr>
        <w:t xml:space="preserve">: A Synthesis of the Empirical Literature </w:t>
      </w:r>
      <w:proofErr w:type="gramStart"/>
      <w:r>
        <w:rPr>
          <w:sz w:val="20"/>
          <w:szCs w:val="20"/>
        </w:rPr>
        <w:t>Across</w:t>
      </w:r>
      <w:proofErr w:type="gramEnd"/>
      <w:r>
        <w:rPr>
          <w:sz w:val="20"/>
          <w:szCs w:val="20"/>
        </w:rPr>
        <w:t xml:space="preserve"> the Main Finance Domains</w:t>
      </w:r>
    </w:p>
    <w:p w:rsidR="00666A76" w:rsidRDefault="00666A76" w:rsidP="00666A76">
      <w:pPr>
        <w:jc w:val="both"/>
        <w:rPr>
          <w:sz w:val="20"/>
          <w:szCs w:val="20"/>
        </w:rPr>
      </w:pPr>
      <w:r w:rsidRPr="00BE7AED">
        <w:rPr>
          <w:sz w:val="20"/>
          <w:szCs w:val="20"/>
        </w:rPr>
        <w:t xml:space="preserve">Here is </w:t>
      </w:r>
      <w:r>
        <w:rPr>
          <w:sz w:val="20"/>
          <w:szCs w:val="20"/>
        </w:rPr>
        <w:t xml:space="preserve">a </w:t>
      </w:r>
      <w:r w:rsidRPr="00E477BE">
        <w:rPr>
          <w:sz w:val="20"/>
          <w:szCs w:val="20"/>
        </w:rPr>
        <w:t>synthesis presented in table 6</w:t>
      </w:r>
      <w:r w:rsidRPr="00BE7AED">
        <w:rPr>
          <w:sz w:val="20"/>
          <w:szCs w:val="20"/>
        </w:rPr>
        <w:t> for </w:t>
      </w:r>
      <w:r w:rsidRPr="00BE7AED">
        <w:rPr>
          <w:b/>
          <w:bCs/>
          <w:sz w:val="20"/>
          <w:szCs w:val="20"/>
        </w:rPr>
        <w:t>Appendix B</w:t>
      </w:r>
      <w:r w:rsidRPr="00BE7AED">
        <w:rPr>
          <w:sz w:val="20"/>
          <w:szCs w:val="20"/>
        </w:rPr>
        <w:t>, based on bibliometric mapping and thematic evaluation of the literature</w:t>
      </w:r>
    </w:p>
    <w:p w:rsidR="00666A76" w:rsidRPr="00BE7AED" w:rsidRDefault="00666A76" w:rsidP="00666A76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Table 6: Bibliometric Mapping </w:t>
      </w:r>
      <w:proofErr w:type="gramStart"/>
      <w:r>
        <w:rPr>
          <w:sz w:val="20"/>
          <w:szCs w:val="20"/>
        </w:rPr>
        <w:t>Across</w:t>
      </w:r>
      <w:proofErr w:type="gramEnd"/>
      <w:r>
        <w:rPr>
          <w:sz w:val="20"/>
          <w:szCs w:val="20"/>
        </w:rPr>
        <w:t xml:space="preserve"> the Finance Domains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94"/>
        <w:gridCol w:w="1742"/>
        <w:gridCol w:w="1911"/>
        <w:gridCol w:w="2316"/>
        <w:gridCol w:w="1981"/>
      </w:tblGrid>
      <w:tr w:rsidR="00666A76" w:rsidRPr="00BE7AED" w:rsidTr="00F2335B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tcMar>
              <w:top w:w="120" w:type="dxa"/>
              <w:left w:w="180" w:type="dxa"/>
              <w:bottom w:w="105" w:type="dxa"/>
              <w:right w:w="120" w:type="dxa"/>
            </w:tcMar>
            <w:hideMark/>
          </w:tcPr>
          <w:p w:rsidR="00666A76" w:rsidRPr="00BE7AED" w:rsidRDefault="00666A76" w:rsidP="00F2335B">
            <w:pPr>
              <w:jc w:val="both"/>
              <w:rPr>
                <w:b/>
                <w:bCs/>
                <w:sz w:val="20"/>
                <w:szCs w:val="20"/>
              </w:rPr>
            </w:pPr>
            <w:r w:rsidRPr="00BE7AED">
              <w:rPr>
                <w:b/>
                <w:bCs/>
                <w:sz w:val="20"/>
                <w:szCs w:val="20"/>
              </w:rPr>
              <w:t>Domain</w:t>
            </w:r>
          </w:p>
        </w:tc>
        <w:tc>
          <w:tcPr>
            <w:tcW w:w="0" w:type="auto"/>
            <w:tcBorders>
              <w:top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tcMar>
              <w:top w:w="120" w:type="dxa"/>
              <w:left w:w="180" w:type="dxa"/>
              <w:bottom w:w="105" w:type="dxa"/>
              <w:right w:w="120" w:type="dxa"/>
            </w:tcMar>
            <w:hideMark/>
          </w:tcPr>
          <w:p w:rsidR="00666A76" w:rsidRPr="00BE7AED" w:rsidRDefault="00666A76" w:rsidP="00F2335B">
            <w:pPr>
              <w:jc w:val="both"/>
              <w:rPr>
                <w:b/>
                <w:bCs/>
                <w:sz w:val="20"/>
                <w:szCs w:val="20"/>
              </w:rPr>
            </w:pPr>
            <w:r w:rsidRPr="00BE7AED">
              <w:rPr>
                <w:b/>
                <w:bCs/>
                <w:sz w:val="20"/>
                <w:szCs w:val="20"/>
              </w:rPr>
              <w:t>Common Themes</w:t>
            </w:r>
          </w:p>
        </w:tc>
        <w:tc>
          <w:tcPr>
            <w:tcW w:w="0" w:type="auto"/>
            <w:tcBorders>
              <w:top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tcMar>
              <w:top w:w="120" w:type="dxa"/>
              <w:left w:w="180" w:type="dxa"/>
              <w:bottom w:w="105" w:type="dxa"/>
              <w:right w:w="120" w:type="dxa"/>
            </w:tcMar>
            <w:hideMark/>
          </w:tcPr>
          <w:p w:rsidR="00666A76" w:rsidRPr="00BE7AED" w:rsidRDefault="00666A76" w:rsidP="00F2335B">
            <w:pPr>
              <w:jc w:val="both"/>
              <w:rPr>
                <w:b/>
                <w:bCs/>
                <w:sz w:val="20"/>
                <w:szCs w:val="20"/>
              </w:rPr>
            </w:pPr>
            <w:r w:rsidRPr="00BE7AED">
              <w:rPr>
                <w:b/>
                <w:bCs/>
                <w:sz w:val="20"/>
                <w:szCs w:val="20"/>
              </w:rPr>
              <w:t>Key Trends</w:t>
            </w:r>
          </w:p>
        </w:tc>
        <w:tc>
          <w:tcPr>
            <w:tcW w:w="0" w:type="auto"/>
            <w:tcBorders>
              <w:top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tcMar>
              <w:top w:w="120" w:type="dxa"/>
              <w:left w:w="180" w:type="dxa"/>
              <w:bottom w:w="105" w:type="dxa"/>
              <w:right w:w="120" w:type="dxa"/>
            </w:tcMar>
            <w:hideMark/>
          </w:tcPr>
          <w:p w:rsidR="00666A76" w:rsidRPr="00BE7AED" w:rsidRDefault="00666A76" w:rsidP="00F2335B">
            <w:pPr>
              <w:jc w:val="both"/>
              <w:rPr>
                <w:b/>
                <w:bCs/>
                <w:sz w:val="20"/>
                <w:szCs w:val="20"/>
              </w:rPr>
            </w:pPr>
            <w:r w:rsidRPr="00BE7AED">
              <w:rPr>
                <w:b/>
                <w:bCs/>
                <w:sz w:val="20"/>
                <w:szCs w:val="20"/>
              </w:rPr>
              <w:t>Notable Gaps</w:t>
            </w:r>
          </w:p>
        </w:tc>
        <w:tc>
          <w:tcPr>
            <w:tcW w:w="0" w:type="auto"/>
            <w:tcBorders>
              <w:top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tcMar>
              <w:top w:w="120" w:type="dxa"/>
              <w:left w:w="180" w:type="dxa"/>
              <w:bottom w:w="105" w:type="dxa"/>
              <w:right w:w="120" w:type="dxa"/>
            </w:tcMar>
            <w:hideMark/>
          </w:tcPr>
          <w:p w:rsidR="00666A76" w:rsidRPr="00BE7AED" w:rsidRDefault="00666A76" w:rsidP="00F2335B">
            <w:pPr>
              <w:jc w:val="both"/>
              <w:rPr>
                <w:b/>
                <w:bCs/>
                <w:sz w:val="20"/>
                <w:szCs w:val="20"/>
              </w:rPr>
            </w:pPr>
            <w:r w:rsidRPr="00BE7AED">
              <w:rPr>
                <w:b/>
                <w:bCs/>
                <w:sz w:val="20"/>
                <w:szCs w:val="20"/>
              </w:rPr>
              <w:t>Representative Theoretical Advancements</w:t>
            </w:r>
          </w:p>
        </w:tc>
      </w:tr>
      <w:tr w:rsidR="00666A76" w:rsidRPr="00BE7AED" w:rsidTr="00F2335B">
        <w:trPr>
          <w:tblCellSpacing w:w="15" w:type="dxa"/>
        </w:trPr>
        <w:tc>
          <w:tcPr>
            <w:tcW w:w="0" w:type="auto"/>
            <w:tcBorders>
              <w:left w:val="single" w:sz="6" w:space="0" w:color="E6E6E6"/>
              <w:bottom w:val="single" w:sz="6" w:space="0" w:color="E6E6E6"/>
              <w:right w:val="single" w:sz="6" w:space="0" w:color="E6E6E6"/>
            </w:tcBorders>
            <w:tcMar>
              <w:top w:w="120" w:type="dxa"/>
              <w:left w:w="180" w:type="dxa"/>
              <w:bottom w:w="105" w:type="dxa"/>
              <w:right w:w="120" w:type="dxa"/>
            </w:tcMar>
            <w:hideMark/>
          </w:tcPr>
          <w:p w:rsidR="00666A76" w:rsidRPr="00BE7AED" w:rsidRDefault="00666A76" w:rsidP="00F2335B">
            <w:pPr>
              <w:jc w:val="both"/>
              <w:rPr>
                <w:sz w:val="20"/>
                <w:szCs w:val="20"/>
              </w:rPr>
            </w:pPr>
            <w:r w:rsidRPr="00BE7AED">
              <w:rPr>
                <w:b/>
                <w:bCs/>
                <w:sz w:val="20"/>
                <w:szCs w:val="20"/>
              </w:rPr>
              <w:t>Asset Pricing</w:t>
            </w:r>
          </w:p>
        </w:tc>
        <w:tc>
          <w:tcPr>
            <w:tcW w:w="0" w:type="auto"/>
            <w:tcBorders>
              <w:bottom w:val="single" w:sz="6" w:space="0" w:color="E6E6E6"/>
              <w:right w:val="single" w:sz="6" w:space="0" w:color="E6E6E6"/>
            </w:tcBorders>
            <w:tcMar>
              <w:top w:w="120" w:type="dxa"/>
              <w:left w:w="180" w:type="dxa"/>
              <w:bottom w:w="105" w:type="dxa"/>
              <w:right w:w="120" w:type="dxa"/>
            </w:tcMar>
            <w:hideMark/>
          </w:tcPr>
          <w:p w:rsidR="00666A76" w:rsidRPr="00BE7AED" w:rsidRDefault="00666A76" w:rsidP="00F2335B">
            <w:pPr>
              <w:jc w:val="both"/>
              <w:rPr>
                <w:sz w:val="20"/>
                <w:szCs w:val="20"/>
              </w:rPr>
            </w:pPr>
            <w:r w:rsidRPr="00BE7AED">
              <w:rPr>
                <w:sz w:val="20"/>
                <w:szCs w:val="20"/>
              </w:rPr>
              <w:t>Strategic pricing models, equilibrium analysis, risk-sharing mechanisms</w:t>
            </w:r>
          </w:p>
        </w:tc>
        <w:tc>
          <w:tcPr>
            <w:tcW w:w="0" w:type="auto"/>
            <w:tcBorders>
              <w:bottom w:val="single" w:sz="6" w:space="0" w:color="E6E6E6"/>
              <w:right w:val="single" w:sz="6" w:space="0" w:color="E6E6E6"/>
            </w:tcBorders>
            <w:tcMar>
              <w:top w:w="120" w:type="dxa"/>
              <w:left w:w="180" w:type="dxa"/>
              <w:bottom w:w="105" w:type="dxa"/>
              <w:right w:w="120" w:type="dxa"/>
            </w:tcMar>
            <w:hideMark/>
          </w:tcPr>
          <w:p w:rsidR="00666A76" w:rsidRPr="00BE7AED" w:rsidRDefault="00666A76" w:rsidP="00F2335B">
            <w:pPr>
              <w:jc w:val="both"/>
              <w:rPr>
                <w:sz w:val="20"/>
                <w:szCs w:val="20"/>
              </w:rPr>
            </w:pPr>
            <w:r w:rsidRPr="00BE7AED">
              <w:rPr>
                <w:sz w:val="20"/>
                <w:szCs w:val="20"/>
              </w:rPr>
              <w:t>Integration of game-theoretic models with asset valuation and market microstructure</w:t>
            </w:r>
          </w:p>
        </w:tc>
        <w:tc>
          <w:tcPr>
            <w:tcW w:w="0" w:type="auto"/>
            <w:tcBorders>
              <w:bottom w:val="single" w:sz="6" w:space="0" w:color="E6E6E6"/>
              <w:right w:val="single" w:sz="6" w:space="0" w:color="E6E6E6"/>
            </w:tcBorders>
            <w:tcMar>
              <w:top w:w="120" w:type="dxa"/>
              <w:left w:w="180" w:type="dxa"/>
              <w:bottom w:w="105" w:type="dxa"/>
              <w:right w:w="120" w:type="dxa"/>
            </w:tcMar>
            <w:hideMark/>
          </w:tcPr>
          <w:p w:rsidR="00666A76" w:rsidRPr="00BE7AED" w:rsidRDefault="00666A76" w:rsidP="00F2335B">
            <w:pPr>
              <w:jc w:val="both"/>
              <w:rPr>
                <w:sz w:val="20"/>
                <w:szCs w:val="20"/>
              </w:rPr>
            </w:pPr>
            <w:r w:rsidRPr="00BE7AED">
              <w:rPr>
                <w:sz w:val="20"/>
                <w:szCs w:val="20"/>
              </w:rPr>
              <w:t>Limited exploration of ESG factors and decentralized finance in pricing models</w:t>
            </w:r>
          </w:p>
        </w:tc>
        <w:tc>
          <w:tcPr>
            <w:tcW w:w="0" w:type="auto"/>
            <w:tcBorders>
              <w:bottom w:val="single" w:sz="6" w:space="0" w:color="E6E6E6"/>
              <w:right w:val="single" w:sz="6" w:space="0" w:color="E6E6E6"/>
            </w:tcBorders>
            <w:tcMar>
              <w:top w:w="120" w:type="dxa"/>
              <w:left w:w="180" w:type="dxa"/>
              <w:bottom w:w="105" w:type="dxa"/>
              <w:right w:w="120" w:type="dxa"/>
            </w:tcMar>
            <w:hideMark/>
          </w:tcPr>
          <w:p w:rsidR="00666A76" w:rsidRPr="00BE7AED" w:rsidRDefault="00666A76" w:rsidP="00F2335B">
            <w:pPr>
              <w:jc w:val="both"/>
              <w:rPr>
                <w:sz w:val="20"/>
                <w:szCs w:val="20"/>
              </w:rPr>
            </w:pPr>
            <w:r w:rsidRPr="00BE7AED">
              <w:rPr>
                <w:sz w:val="20"/>
                <w:szCs w:val="20"/>
              </w:rPr>
              <w:t>Application of Nash equilibrium and signaling games in asset pricing</w:t>
            </w:r>
          </w:p>
        </w:tc>
      </w:tr>
      <w:tr w:rsidR="00666A76" w:rsidRPr="00BE7AED" w:rsidTr="00F2335B">
        <w:trPr>
          <w:tblCellSpacing w:w="15" w:type="dxa"/>
        </w:trPr>
        <w:tc>
          <w:tcPr>
            <w:tcW w:w="0" w:type="auto"/>
            <w:tcBorders>
              <w:left w:val="single" w:sz="6" w:space="0" w:color="E6E6E6"/>
              <w:bottom w:val="single" w:sz="6" w:space="0" w:color="E6E6E6"/>
              <w:right w:val="single" w:sz="6" w:space="0" w:color="E6E6E6"/>
            </w:tcBorders>
            <w:tcMar>
              <w:top w:w="120" w:type="dxa"/>
              <w:left w:w="180" w:type="dxa"/>
              <w:bottom w:w="105" w:type="dxa"/>
              <w:right w:w="120" w:type="dxa"/>
            </w:tcMar>
            <w:hideMark/>
          </w:tcPr>
          <w:p w:rsidR="00666A76" w:rsidRPr="00BE7AED" w:rsidRDefault="00666A76" w:rsidP="00F2335B">
            <w:pPr>
              <w:jc w:val="both"/>
              <w:rPr>
                <w:sz w:val="20"/>
                <w:szCs w:val="20"/>
              </w:rPr>
            </w:pPr>
            <w:r w:rsidRPr="00BE7AED">
              <w:rPr>
                <w:b/>
                <w:bCs/>
                <w:sz w:val="20"/>
                <w:szCs w:val="20"/>
              </w:rPr>
              <w:t>Corporate Finance</w:t>
            </w:r>
          </w:p>
        </w:tc>
        <w:tc>
          <w:tcPr>
            <w:tcW w:w="0" w:type="auto"/>
            <w:tcBorders>
              <w:bottom w:val="single" w:sz="6" w:space="0" w:color="E6E6E6"/>
              <w:right w:val="single" w:sz="6" w:space="0" w:color="E6E6E6"/>
            </w:tcBorders>
            <w:tcMar>
              <w:top w:w="120" w:type="dxa"/>
              <w:left w:w="180" w:type="dxa"/>
              <w:bottom w:w="105" w:type="dxa"/>
              <w:right w:w="120" w:type="dxa"/>
            </w:tcMar>
            <w:hideMark/>
          </w:tcPr>
          <w:p w:rsidR="00666A76" w:rsidRPr="00BE7AED" w:rsidRDefault="00666A76" w:rsidP="00F2335B">
            <w:pPr>
              <w:jc w:val="both"/>
              <w:rPr>
                <w:sz w:val="20"/>
                <w:szCs w:val="20"/>
              </w:rPr>
            </w:pPr>
            <w:r w:rsidRPr="00BE7AED">
              <w:rPr>
                <w:sz w:val="20"/>
                <w:szCs w:val="20"/>
              </w:rPr>
              <w:t>Capital structure decisions, agency conflicts, signaling in IPOs</w:t>
            </w:r>
          </w:p>
        </w:tc>
        <w:tc>
          <w:tcPr>
            <w:tcW w:w="0" w:type="auto"/>
            <w:tcBorders>
              <w:bottom w:val="single" w:sz="6" w:space="0" w:color="E6E6E6"/>
              <w:right w:val="single" w:sz="6" w:space="0" w:color="E6E6E6"/>
            </w:tcBorders>
            <w:tcMar>
              <w:top w:w="120" w:type="dxa"/>
              <w:left w:w="180" w:type="dxa"/>
              <w:bottom w:w="105" w:type="dxa"/>
              <w:right w:w="120" w:type="dxa"/>
            </w:tcMar>
            <w:hideMark/>
          </w:tcPr>
          <w:p w:rsidR="00666A76" w:rsidRPr="00084D63" w:rsidRDefault="00666A76" w:rsidP="00F2335B">
            <w:pPr>
              <w:jc w:val="both"/>
              <w:rPr>
                <w:sz w:val="18"/>
                <w:szCs w:val="18"/>
              </w:rPr>
            </w:pPr>
            <w:r w:rsidRPr="00084D63">
              <w:rPr>
                <w:sz w:val="18"/>
                <w:szCs w:val="18"/>
              </w:rPr>
              <w:t>Use of dynamic games to model managerial behavior and governance</w:t>
            </w:r>
          </w:p>
        </w:tc>
        <w:tc>
          <w:tcPr>
            <w:tcW w:w="0" w:type="auto"/>
            <w:tcBorders>
              <w:bottom w:val="single" w:sz="6" w:space="0" w:color="E6E6E6"/>
              <w:right w:val="single" w:sz="6" w:space="0" w:color="E6E6E6"/>
            </w:tcBorders>
            <w:tcMar>
              <w:top w:w="120" w:type="dxa"/>
              <w:left w:w="180" w:type="dxa"/>
              <w:bottom w:w="105" w:type="dxa"/>
              <w:right w:w="120" w:type="dxa"/>
            </w:tcMar>
            <w:hideMark/>
          </w:tcPr>
          <w:p w:rsidR="00666A76" w:rsidRPr="00BE7AED" w:rsidRDefault="00666A76" w:rsidP="00F2335B">
            <w:pPr>
              <w:jc w:val="both"/>
              <w:rPr>
                <w:sz w:val="20"/>
                <w:szCs w:val="20"/>
              </w:rPr>
            </w:pPr>
            <w:r w:rsidRPr="00BE7AED">
              <w:rPr>
                <w:sz w:val="20"/>
                <w:szCs w:val="20"/>
              </w:rPr>
              <w:t>Insufficient coverage of sustainability-linked financing and stakeholder games</w:t>
            </w:r>
          </w:p>
        </w:tc>
        <w:tc>
          <w:tcPr>
            <w:tcW w:w="0" w:type="auto"/>
            <w:tcBorders>
              <w:bottom w:val="single" w:sz="6" w:space="0" w:color="E6E6E6"/>
              <w:right w:val="single" w:sz="6" w:space="0" w:color="E6E6E6"/>
            </w:tcBorders>
            <w:tcMar>
              <w:top w:w="120" w:type="dxa"/>
              <w:left w:w="180" w:type="dxa"/>
              <w:bottom w:w="105" w:type="dxa"/>
              <w:right w:w="120" w:type="dxa"/>
            </w:tcMar>
            <w:hideMark/>
          </w:tcPr>
          <w:p w:rsidR="00666A76" w:rsidRPr="00084D63" w:rsidRDefault="00666A76" w:rsidP="00F2335B">
            <w:pPr>
              <w:jc w:val="both"/>
              <w:rPr>
                <w:sz w:val="18"/>
                <w:szCs w:val="18"/>
              </w:rPr>
            </w:pPr>
            <w:proofErr w:type="spellStart"/>
            <w:r w:rsidRPr="00084D63">
              <w:rPr>
                <w:sz w:val="18"/>
                <w:szCs w:val="18"/>
              </w:rPr>
              <w:t>Stackelberg</w:t>
            </w:r>
            <w:proofErr w:type="spellEnd"/>
            <w:r w:rsidRPr="00084D63">
              <w:rPr>
                <w:sz w:val="18"/>
                <w:szCs w:val="18"/>
              </w:rPr>
              <w:t xml:space="preserve"> competition models and signaling theory in financing decisions</w:t>
            </w:r>
          </w:p>
        </w:tc>
      </w:tr>
      <w:tr w:rsidR="00666A76" w:rsidRPr="00BE7AED" w:rsidTr="00F2335B">
        <w:trPr>
          <w:tblCellSpacing w:w="15" w:type="dxa"/>
        </w:trPr>
        <w:tc>
          <w:tcPr>
            <w:tcW w:w="0" w:type="auto"/>
            <w:tcBorders>
              <w:left w:val="single" w:sz="6" w:space="0" w:color="E6E6E6"/>
              <w:bottom w:val="single" w:sz="6" w:space="0" w:color="E6E6E6"/>
              <w:right w:val="single" w:sz="6" w:space="0" w:color="E6E6E6"/>
            </w:tcBorders>
            <w:tcMar>
              <w:top w:w="120" w:type="dxa"/>
              <w:left w:w="180" w:type="dxa"/>
              <w:bottom w:w="105" w:type="dxa"/>
              <w:right w:w="120" w:type="dxa"/>
            </w:tcMar>
            <w:hideMark/>
          </w:tcPr>
          <w:p w:rsidR="00666A76" w:rsidRPr="00BE7AED" w:rsidRDefault="00666A76" w:rsidP="00F2335B">
            <w:pPr>
              <w:jc w:val="both"/>
              <w:rPr>
                <w:sz w:val="20"/>
                <w:szCs w:val="20"/>
              </w:rPr>
            </w:pPr>
            <w:r w:rsidRPr="00BE7AED">
              <w:rPr>
                <w:b/>
                <w:bCs/>
                <w:sz w:val="20"/>
                <w:szCs w:val="20"/>
              </w:rPr>
              <w:t>Investment Strategies</w:t>
            </w:r>
          </w:p>
        </w:tc>
        <w:tc>
          <w:tcPr>
            <w:tcW w:w="0" w:type="auto"/>
            <w:tcBorders>
              <w:bottom w:val="single" w:sz="6" w:space="0" w:color="E6E6E6"/>
              <w:right w:val="single" w:sz="6" w:space="0" w:color="E6E6E6"/>
            </w:tcBorders>
            <w:tcMar>
              <w:top w:w="120" w:type="dxa"/>
              <w:left w:w="180" w:type="dxa"/>
              <w:bottom w:w="105" w:type="dxa"/>
              <w:right w:w="120" w:type="dxa"/>
            </w:tcMar>
            <w:hideMark/>
          </w:tcPr>
          <w:p w:rsidR="00666A76" w:rsidRPr="00BE7AED" w:rsidRDefault="00666A76" w:rsidP="00F2335B">
            <w:pPr>
              <w:jc w:val="both"/>
              <w:rPr>
                <w:sz w:val="20"/>
                <w:szCs w:val="20"/>
              </w:rPr>
            </w:pPr>
            <w:r w:rsidRPr="00BE7AED">
              <w:rPr>
                <w:sz w:val="20"/>
                <w:szCs w:val="20"/>
              </w:rPr>
              <w:t>Portfolio optimization, strategic interaction among investors</w:t>
            </w:r>
          </w:p>
        </w:tc>
        <w:tc>
          <w:tcPr>
            <w:tcW w:w="0" w:type="auto"/>
            <w:tcBorders>
              <w:bottom w:val="single" w:sz="6" w:space="0" w:color="E6E6E6"/>
              <w:right w:val="single" w:sz="6" w:space="0" w:color="E6E6E6"/>
            </w:tcBorders>
            <w:tcMar>
              <w:top w:w="120" w:type="dxa"/>
              <w:left w:w="180" w:type="dxa"/>
              <w:bottom w:w="105" w:type="dxa"/>
              <w:right w:w="120" w:type="dxa"/>
            </w:tcMar>
            <w:hideMark/>
          </w:tcPr>
          <w:p w:rsidR="00666A76" w:rsidRPr="00084D63" w:rsidRDefault="00666A76" w:rsidP="00F2335B">
            <w:pPr>
              <w:jc w:val="both"/>
              <w:rPr>
                <w:sz w:val="18"/>
                <w:szCs w:val="18"/>
              </w:rPr>
            </w:pPr>
            <w:r w:rsidRPr="00084D63">
              <w:rPr>
                <w:sz w:val="18"/>
                <w:szCs w:val="18"/>
              </w:rPr>
              <w:t>Behavioral game theory and evolutionary stable strategies in investment behavior</w:t>
            </w:r>
          </w:p>
        </w:tc>
        <w:tc>
          <w:tcPr>
            <w:tcW w:w="0" w:type="auto"/>
            <w:tcBorders>
              <w:bottom w:val="single" w:sz="6" w:space="0" w:color="E6E6E6"/>
              <w:right w:val="single" w:sz="6" w:space="0" w:color="E6E6E6"/>
            </w:tcBorders>
            <w:tcMar>
              <w:top w:w="120" w:type="dxa"/>
              <w:left w:w="180" w:type="dxa"/>
              <w:bottom w:w="105" w:type="dxa"/>
              <w:right w:w="120" w:type="dxa"/>
            </w:tcMar>
            <w:hideMark/>
          </w:tcPr>
          <w:p w:rsidR="00666A76" w:rsidRPr="00BE7AED" w:rsidRDefault="00666A76" w:rsidP="00F2335B">
            <w:pPr>
              <w:jc w:val="both"/>
              <w:rPr>
                <w:sz w:val="20"/>
                <w:szCs w:val="20"/>
              </w:rPr>
            </w:pPr>
            <w:r w:rsidRPr="00BE7AED">
              <w:rPr>
                <w:sz w:val="20"/>
                <w:szCs w:val="20"/>
              </w:rPr>
              <w:t>Limited empirical validation of strategic investment models</w:t>
            </w:r>
          </w:p>
        </w:tc>
        <w:tc>
          <w:tcPr>
            <w:tcW w:w="0" w:type="auto"/>
            <w:tcBorders>
              <w:bottom w:val="single" w:sz="6" w:space="0" w:color="E6E6E6"/>
              <w:right w:val="single" w:sz="6" w:space="0" w:color="E6E6E6"/>
            </w:tcBorders>
            <w:tcMar>
              <w:top w:w="120" w:type="dxa"/>
              <w:left w:w="180" w:type="dxa"/>
              <w:bottom w:w="105" w:type="dxa"/>
              <w:right w:w="120" w:type="dxa"/>
            </w:tcMar>
            <w:hideMark/>
          </w:tcPr>
          <w:p w:rsidR="00666A76" w:rsidRPr="00BE7AED" w:rsidRDefault="00666A76" w:rsidP="00F2335B">
            <w:pPr>
              <w:jc w:val="both"/>
              <w:rPr>
                <w:sz w:val="20"/>
                <w:szCs w:val="20"/>
              </w:rPr>
            </w:pPr>
            <w:r w:rsidRPr="00BE7AED">
              <w:rPr>
                <w:sz w:val="20"/>
                <w:szCs w:val="20"/>
              </w:rPr>
              <w:t>Repeated games and Bayesian games in portfolio selection</w:t>
            </w:r>
          </w:p>
        </w:tc>
      </w:tr>
      <w:tr w:rsidR="00666A76" w:rsidRPr="00BE7AED" w:rsidTr="00F2335B">
        <w:trPr>
          <w:tblCellSpacing w:w="15" w:type="dxa"/>
        </w:trPr>
        <w:tc>
          <w:tcPr>
            <w:tcW w:w="0" w:type="auto"/>
            <w:tcBorders>
              <w:left w:val="single" w:sz="6" w:space="0" w:color="E6E6E6"/>
              <w:bottom w:val="single" w:sz="6" w:space="0" w:color="E6E6E6"/>
              <w:right w:val="single" w:sz="6" w:space="0" w:color="E6E6E6"/>
            </w:tcBorders>
            <w:tcMar>
              <w:top w:w="120" w:type="dxa"/>
              <w:left w:w="180" w:type="dxa"/>
              <w:bottom w:w="105" w:type="dxa"/>
              <w:right w:w="120" w:type="dxa"/>
            </w:tcMar>
            <w:hideMark/>
          </w:tcPr>
          <w:p w:rsidR="00666A76" w:rsidRPr="00BE7AED" w:rsidRDefault="00666A76" w:rsidP="00F2335B">
            <w:pPr>
              <w:jc w:val="both"/>
              <w:rPr>
                <w:sz w:val="20"/>
                <w:szCs w:val="20"/>
              </w:rPr>
            </w:pPr>
            <w:r w:rsidRPr="00BE7AED">
              <w:rPr>
                <w:b/>
                <w:bCs/>
                <w:sz w:val="20"/>
                <w:szCs w:val="20"/>
              </w:rPr>
              <w:t>Financial Markets</w:t>
            </w:r>
          </w:p>
        </w:tc>
        <w:tc>
          <w:tcPr>
            <w:tcW w:w="0" w:type="auto"/>
            <w:tcBorders>
              <w:bottom w:val="single" w:sz="6" w:space="0" w:color="E6E6E6"/>
              <w:right w:val="single" w:sz="6" w:space="0" w:color="E6E6E6"/>
            </w:tcBorders>
            <w:tcMar>
              <w:top w:w="120" w:type="dxa"/>
              <w:left w:w="180" w:type="dxa"/>
              <w:bottom w:w="105" w:type="dxa"/>
              <w:right w:w="120" w:type="dxa"/>
            </w:tcMar>
            <w:hideMark/>
          </w:tcPr>
          <w:p w:rsidR="00666A76" w:rsidRPr="00BE7AED" w:rsidRDefault="00666A76" w:rsidP="00F2335B">
            <w:pPr>
              <w:jc w:val="both"/>
              <w:rPr>
                <w:sz w:val="20"/>
                <w:szCs w:val="20"/>
              </w:rPr>
            </w:pPr>
            <w:r w:rsidRPr="00BE7AED">
              <w:rPr>
                <w:sz w:val="20"/>
                <w:szCs w:val="20"/>
              </w:rPr>
              <w:t>Market design, auction theory, trading strategies</w:t>
            </w:r>
          </w:p>
        </w:tc>
        <w:tc>
          <w:tcPr>
            <w:tcW w:w="0" w:type="auto"/>
            <w:tcBorders>
              <w:bottom w:val="single" w:sz="6" w:space="0" w:color="E6E6E6"/>
              <w:right w:val="single" w:sz="6" w:space="0" w:color="E6E6E6"/>
            </w:tcBorders>
            <w:tcMar>
              <w:top w:w="120" w:type="dxa"/>
              <w:left w:w="180" w:type="dxa"/>
              <w:bottom w:w="105" w:type="dxa"/>
              <w:right w:w="120" w:type="dxa"/>
            </w:tcMar>
            <w:hideMark/>
          </w:tcPr>
          <w:p w:rsidR="00666A76" w:rsidRPr="00BE7AED" w:rsidRDefault="00666A76" w:rsidP="00F2335B">
            <w:pPr>
              <w:jc w:val="both"/>
              <w:rPr>
                <w:sz w:val="20"/>
                <w:szCs w:val="20"/>
              </w:rPr>
            </w:pPr>
            <w:r w:rsidRPr="00BE7AED">
              <w:rPr>
                <w:sz w:val="20"/>
                <w:szCs w:val="20"/>
              </w:rPr>
              <w:t>Application of mechanism design and strategic bidding models</w:t>
            </w:r>
          </w:p>
        </w:tc>
        <w:tc>
          <w:tcPr>
            <w:tcW w:w="0" w:type="auto"/>
            <w:tcBorders>
              <w:bottom w:val="single" w:sz="6" w:space="0" w:color="E6E6E6"/>
              <w:right w:val="single" w:sz="6" w:space="0" w:color="E6E6E6"/>
            </w:tcBorders>
            <w:tcMar>
              <w:top w:w="120" w:type="dxa"/>
              <w:left w:w="180" w:type="dxa"/>
              <w:bottom w:w="105" w:type="dxa"/>
              <w:right w:w="120" w:type="dxa"/>
            </w:tcMar>
            <w:hideMark/>
          </w:tcPr>
          <w:p w:rsidR="00666A76" w:rsidRPr="00BE7AED" w:rsidRDefault="00666A76" w:rsidP="00F2335B">
            <w:pPr>
              <w:jc w:val="both"/>
              <w:rPr>
                <w:sz w:val="20"/>
                <w:szCs w:val="20"/>
              </w:rPr>
            </w:pPr>
            <w:r w:rsidRPr="00BE7AED">
              <w:rPr>
                <w:sz w:val="20"/>
                <w:szCs w:val="20"/>
              </w:rPr>
              <w:t xml:space="preserve">Underrepresentation of </w:t>
            </w:r>
            <w:proofErr w:type="spellStart"/>
            <w:r w:rsidRPr="00BE7AED">
              <w:rPr>
                <w:sz w:val="20"/>
                <w:szCs w:val="20"/>
              </w:rPr>
              <w:t>blockchain</w:t>
            </w:r>
            <w:proofErr w:type="spellEnd"/>
            <w:r w:rsidRPr="00BE7AED">
              <w:rPr>
                <w:sz w:val="20"/>
                <w:szCs w:val="20"/>
              </w:rPr>
              <w:t>-enabled market interactions</w:t>
            </w:r>
          </w:p>
        </w:tc>
        <w:tc>
          <w:tcPr>
            <w:tcW w:w="0" w:type="auto"/>
            <w:tcBorders>
              <w:bottom w:val="single" w:sz="6" w:space="0" w:color="E6E6E6"/>
              <w:right w:val="single" w:sz="6" w:space="0" w:color="E6E6E6"/>
            </w:tcBorders>
            <w:tcMar>
              <w:top w:w="120" w:type="dxa"/>
              <w:left w:w="180" w:type="dxa"/>
              <w:bottom w:w="105" w:type="dxa"/>
              <w:right w:w="120" w:type="dxa"/>
            </w:tcMar>
            <w:hideMark/>
          </w:tcPr>
          <w:p w:rsidR="00666A76" w:rsidRPr="00BE7AED" w:rsidRDefault="00666A76" w:rsidP="00F2335B">
            <w:pPr>
              <w:jc w:val="both"/>
              <w:rPr>
                <w:sz w:val="20"/>
                <w:szCs w:val="20"/>
              </w:rPr>
            </w:pPr>
            <w:r w:rsidRPr="00BE7AED">
              <w:rPr>
                <w:sz w:val="20"/>
                <w:szCs w:val="20"/>
              </w:rPr>
              <w:t>Auction theory and strategic market entry models</w:t>
            </w:r>
          </w:p>
        </w:tc>
      </w:tr>
      <w:tr w:rsidR="00666A76" w:rsidRPr="00BE7AED" w:rsidTr="00F2335B">
        <w:trPr>
          <w:tblCellSpacing w:w="15" w:type="dxa"/>
        </w:trPr>
        <w:tc>
          <w:tcPr>
            <w:tcW w:w="0" w:type="auto"/>
            <w:tcBorders>
              <w:left w:val="single" w:sz="6" w:space="0" w:color="E6E6E6"/>
              <w:bottom w:val="single" w:sz="6" w:space="0" w:color="E6E6E6"/>
              <w:right w:val="single" w:sz="6" w:space="0" w:color="E6E6E6"/>
            </w:tcBorders>
            <w:tcMar>
              <w:top w:w="120" w:type="dxa"/>
              <w:left w:w="180" w:type="dxa"/>
              <w:bottom w:w="90" w:type="dxa"/>
              <w:right w:w="120" w:type="dxa"/>
            </w:tcMar>
            <w:hideMark/>
          </w:tcPr>
          <w:p w:rsidR="00666A76" w:rsidRPr="00BE7AED" w:rsidRDefault="00666A76" w:rsidP="00F2335B">
            <w:pPr>
              <w:jc w:val="both"/>
              <w:rPr>
                <w:sz w:val="20"/>
                <w:szCs w:val="20"/>
              </w:rPr>
            </w:pPr>
            <w:r w:rsidRPr="00BE7AED">
              <w:rPr>
                <w:b/>
                <w:bCs/>
                <w:sz w:val="20"/>
                <w:szCs w:val="20"/>
              </w:rPr>
              <w:t>Behavioral Finance</w:t>
            </w:r>
          </w:p>
        </w:tc>
        <w:tc>
          <w:tcPr>
            <w:tcW w:w="0" w:type="auto"/>
            <w:tcBorders>
              <w:bottom w:val="single" w:sz="6" w:space="0" w:color="E6E6E6"/>
              <w:right w:val="single" w:sz="6" w:space="0" w:color="E6E6E6"/>
            </w:tcBorders>
            <w:tcMar>
              <w:top w:w="120" w:type="dxa"/>
              <w:left w:w="180" w:type="dxa"/>
              <w:bottom w:w="90" w:type="dxa"/>
              <w:right w:w="120" w:type="dxa"/>
            </w:tcMar>
            <w:hideMark/>
          </w:tcPr>
          <w:p w:rsidR="00666A76" w:rsidRPr="00BE7AED" w:rsidRDefault="00666A76" w:rsidP="00F2335B">
            <w:pPr>
              <w:jc w:val="both"/>
              <w:rPr>
                <w:sz w:val="20"/>
                <w:szCs w:val="20"/>
              </w:rPr>
            </w:pPr>
            <w:r w:rsidRPr="00BE7AED">
              <w:rPr>
                <w:sz w:val="20"/>
                <w:szCs w:val="20"/>
              </w:rPr>
              <w:t>Investor psychology, bounded rationality, strategic learning</w:t>
            </w:r>
          </w:p>
        </w:tc>
        <w:tc>
          <w:tcPr>
            <w:tcW w:w="0" w:type="auto"/>
            <w:tcBorders>
              <w:bottom w:val="single" w:sz="6" w:space="0" w:color="E6E6E6"/>
              <w:right w:val="single" w:sz="6" w:space="0" w:color="E6E6E6"/>
            </w:tcBorders>
            <w:tcMar>
              <w:top w:w="120" w:type="dxa"/>
              <w:left w:w="180" w:type="dxa"/>
              <w:bottom w:w="90" w:type="dxa"/>
              <w:right w:w="120" w:type="dxa"/>
            </w:tcMar>
            <w:hideMark/>
          </w:tcPr>
          <w:p w:rsidR="00666A76" w:rsidRPr="00BE7AED" w:rsidRDefault="00666A76" w:rsidP="00F2335B">
            <w:pPr>
              <w:jc w:val="both"/>
              <w:rPr>
                <w:sz w:val="20"/>
                <w:szCs w:val="20"/>
              </w:rPr>
            </w:pPr>
            <w:r w:rsidRPr="00BE7AED">
              <w:rPr>
                <w:sz w:val="20"/>
                <w:szCs w:val="20"/>
              </w:rPr>
              <w:t>Integration of behavioral insights with game-theoretic constructs</w:t>
            </w:r>
          </w:p>
        </w:tc>
        <w:tc>
          <w:tcPr>
            <w:tcW w:w="0" w:type="auto"/>
            <w:tcBorders>
              <w:bottom w:val="single" w:sz="6" w:space="0" w:color="E6E6E6"/>
              <w:right w:val="single" w:sz="6" w:space="0" w:color="E6E6E6"/>
            </w:tcBorders>
            <w:tcMar>
              <w:top w:w="120" w:type="dxa"/>
              <w:left w:w="180" w:type="dxa"/>
              <w:bottom w:w="90" w:type="dxa"/>
              <w:right w:w="120" w:type="dxa"/>
            </w:tcMar>
            <w:hideMark/>
          </w:tcPr>
          <w:p w:rsidR="00666A76" w:rsidRPr="00BE7AED" w:rsidRDefault="00666A76" w:rsidP="00F2335B">
            <w:pPr>
              <w:jc w:val="both"/>
              <w:rPr>
                <w:sz w:val="20"/>
                <w:szCs w:val="20"/>
              </w:rPr>
            </w:pPr>
            <w:r w:rsidRPr="00BE7AED">
              <w:rPr>
                <w:sz w:val="20"/>
                <w:szCs w:val="20"/>
              </w:rPr>
              <w:t>Sparse modeling of ESG preferences and cognitive biases in strategic settings</w:t>
            </w:r>
          </w:p>
        </w:tc>
        <w:tc>
          <w:tcPr>
            <w:tcW w:w="0" w:type="auto"/>
            <w:tcBorders>
              <w:bottom w:val="single" w:sz="6" w:space="0" w:color="E6E6E6"/>
              <w:right w:val="single" w:sz="6" w:space="0" w:color="E6E6E6"/>
            </w:tcBorders>
            <w:tcMar>
              <w:top w:w="120" w:type="dxa"/>
              <w:left w:w="180" w:type="dxa"/>
              <w:bottom w:w="90" w:type="dxa"/>
              <w:right w:w="120" w:type="dxa"/>
            </w:tcMar>
            <w:hideMark/>
          </w:tcPr>
          <w:p w:rsidR="00666A76" w:rsidRPr="00BE7AED" w:rsidRDefault="00666A76" w:rsidP="00F2335B">
            <w:pPr>
              <w:jc w:val="both"/>
              <w:rPr>
                <w:sz w:val="20"/>
                <w:szCs w:val="20"/>
              </w:rPr>
            </w:pPr>
            <w:r w:rsidRPr="00BE7AED">
              <w:rPr>
                <w:sz w:val="20"/>
                <w:szCs w:val="20"/>
              </w:rPr>
              <w:t>Evolutionary game theory and learning models in financial decision-making</w:t>
            </w:r>
          </w:p>
        </w:tc>
      </w:tr>
    </w:tbl>
    <w:p w:rsidR="00666A76" w:rsidRPr="00572CB2" w:rsidRDefault="00666A76" w:rsidP="00666A76">
      <w:pPr>
        <w:tabs>
          <w:tab w:val="left" w:pos="3920"/>
        </w:tabs>
        <w:jc w:val="both"/>
        <w:rPr>
          <w:sz w:val="20"/>
          <w:szCs w:val="20"/>
        </w:rPr>
      </w:pPr>
      <w:r w:rsidRPr="00BE7AED">
        <w:rPr>
          <w:sz w:val="20"/>
          <w:szCs w:val="20"/>
        </w:rPr>
        <w:t xml:space="preserve"> Source:</w:t>
      </w:r>
      <w:r>
        <w:rPr>
          <w:sz w:val="20"/>
          <w:szCs w:val="20"/>
        </w:rPr>
        <w:t xml:space="preserve"> Author’s Review of the Literature</w:t>
      </w:r>
      <w:r w:rsidRPr="00BE7AED">
        <w:rPr>
          <w:sz w:val="20"/>
          <w:szCs w:val="20"/>
        </w:rPr>
        <w:t xml:space="preserve"> </w:t>
      </w:r>
      <w:r>
        <w:rPr>
          <w:sz w:val="20"/>
          <w:szCs w:val="20"/>
        </w:rPr>
        <w:tab/>
      </w:r>
    </w:p>
    <w:p w:rsidR="005D22FE" w:rsidRDefault="005D22FE">
      <w:bookmarkStart w:id="0" w:name="_GoBack"/>
      <w:bookmarkEnd w:id="0"/>
    </w:p>
    <w:sectPr w:rsidR="005D22FE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4837" w:rsidRDefault="00666A7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6940071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84837" w:rsidRDefault="00666A76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D84837" w:rsidRDefault="00666A7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4837" w:rsidRDefault="00666A76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4837" w:rsidRDefault="00666A7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4837" w:rsidRDefault="00666A7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4837" w:rsidRDefault="00666A7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6A76"/>
    <w:rsid w:val="005D22FE"/>
    <w:rsid w:val="00666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21D615D-EE31-4687-9132-9FC306603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66A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66A7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66A76"/>
    <w:rPr>
      <w:rFonts w:ascii="Times New Roman" w:eastAsia="Times New Roman" w:hAnsi="Times New Roman" w:cs="Times New Roman"/>
      <w:sz w:val="24"/>
      <w:szCs w:val="24"/>
      <w:lang w:val="en-US"/>
      <w14:ligatures w14:val="standardContextual"/>
    </w:rPr>
  </w:style>
  <w:style w:type="paragraph" w:styleId="Footer">
    <w:name w:val="footer"/>
    <w:basedOn w:val="Normal"/>
    <w:link w:val="FooterChar"/>
    <w:uiPriority w:val="99"/>
    <w:unhideWhenUsed/>
    <w:rsid w:val="00666A7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66A76"/>
    <w:rPr>
      <w:rFonts w:ascii="Times New Roman" w:eastAsia="Times New Roman" w:hAnsi="Times New Roman" w:cs="Times New Roman"/>
      <w:sz w:val="24"/>
      <w:szCs w:val="24"/>
      <w:lang w:val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2.xml"/><Relationship Id="rId11" Type="http://schemas.openxmlformats.org/officeDocument/2006/relationships/fontTable" Target="fontTable.xml"/><Relationship Id="rId5" Type="http://schemas.openxmlformats.org/officeDocument/2006/relationships/header" Target="header1.xml"/><Relationship Id="rId10" Type="http://schemas.openxmlformats.org/officeDocument/2006/relationships/footer" Target="footer3.xml"/><Relationship Id="rId4" Type="http://schemas.openxmlformats.org/officeDocument/2006/relationships/image" Target="media/image1.png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294</Words>
  <Characters>1682</Characters>
  <Application>Microsoft Office Word</Application>
  <DocSecurity>0</DocSecurity>
  <Lines>14</Lines>
  <Paragraphs>3</Paragraphs>
  <ScaleCrop>false</ScaleCrop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Sivakeerthika S</dc:creator>
  <cp:keywords/>
  <dc:description/>
  <cp:lastModifiedBy>Sivakeerthika S</cp:lastModifiedBy>
  <cp:revision>1</cp:revision>
  <dcterms:created xsi:type="dcterms:W3CDTF">2025-09-25T17:46:00Z</dcterms:created>
  <dcterms:modified xsi:type="dcterms:W3CDTF">2025-09-25T17:47:00Z</dcterms:modified>
</cp:coreProperties>
</file>