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A1F8FD" w14:textId="4E038D13" w:rsidR="00F27B3E" w:rsidRDefault="00F27B3E" w:rsidP="00F27B3E">
      <w:pPr>
        <w:spacing w:line="360" w:lineRule="auto"/>
        <w:jc w:val="center"/>
        <w:rPr>
          <w:rFonts w:ascii="Times New Roman" w:hAnsi="Times New Roman" w:cs="Times New Roman"/>
          <w:i/>
          <w:iCs/>
          <w:color w:val="000000" w:themeColor="text1"/>
          <w:lang w:val="en-GB"/>
        </w:rPr>
      </w:pPr>
      <w:r>
        <w:rPr>
          <w:rFonts w:ascii="Times New Roman" w:hAnsi="Times New Roman" w:cs="Times New Roman"/>
          <w:i/>
          <w:iCs/>
          <w:color w:val="000000" w:themeColor="text1"/>
          <w:lang w:val="en-GB"/>
        </w:rPr>
        <w:t>Supplementary Materials</w:t>
      </w:r>
      <w:bookmarkStart w:id="0" w:name="_GoBack"/>
      <w:bookmarkEnd w:id="0"/>
    </w:p>
    <w:p w14:paraId="799E76A6" w14:textId="07FD1793" w:rsidR="00195F1F" w:rsidRPr="00F43A95" w:rsidRDefault="00195F1F" w:rsidP="00195F1F">
      <w:pPr>
        <w:spacing w:line="360" w:lineRule="auto"/>
        <w:jc w:val="center"/>
        <w:rPr>
          <w:rFonts w:ascii="Times New Roman" w:hAnsi="Times New Roman" w:cs="Times New Roman"/>
          <w:i/>
          <w:iCs/>
          <w:color w:val="000000" w:themeColor="text1"/>
          <w:sz w:val="28"/>
          <w:lang w:val="en-GB"/>
        </w:rPr>
      </w:pPr>
      <w:r w:rsidRPr="00F43A95">
        <w:rPr>
          <w:rFonts w:ascii="Times New Roman" w:hAnsi="Times New Roman" w:cs="Times New Roman"/>
          <w:i/>
          <w:iCs/>
          <w:color w:val="000000" w:themeColor="text1"/>
          <w:lang w:val="en-GB"/>
        </w:rPr>
        <w:t xml:space="preserve">Table S1. </w:t>
      </w:r>
      <w:r w:rsidR="00A90092" w:rsidRPr="00F43A95">
        <w:rPr>
          <w:rFonts w:ascii="Times New Roman" w:hAnsi="Times New Roman" w:cs="Times New Roman"/>
          <w:i/>
          <w:iCs/>
          <w:color w:val="000000" w:themeColor="text1"/>
          <w:lang w:val="en-GB"/>
        </w:rPr>
        <w:t>A</w:t>
      </w:r>
      <w:r w:rsidRPr="00F43A95">
        <w:rPr>
          <w:rFonts w:ascii="Times New Roman" w:hAnsi="Times New Roman" w:cs="Times New Roman"/>
          <w:i/>
          <w:iCs/>
          <w:color w:val="000000" w:themeColor="text1"/>
          <w:lang w:val="en-GB"/>
        </w:rPr>
        <w:t>nalysis of the reviewed scientific paper</w:t>
      </w:r>
      <w:r w:rsidR="00E73A83" w:rsidRPr="00F43A95">
        <w:rPr>
          <w:rFonts w:ascii="Times New Roman" w:hAnsi="Times New Roman" w:cs="Times New Roman"/>
          <w:i/>
          <w:iCs/>
          <w:color w:val="000000" w:themeColor="text1"/>
          <w:lang w:val="en-GB"/>
        </w:rPr>
        <w:t>. Source: Authors' own work</w:t>
      </w:r>
    </w:p>
    <w:tbl>
      <w:tblPr>
        <w:tblW w:w="5000" w:type="pct"/>
        <w:tblLook w:val="04A0" w:firstRow="1" w:lastRow="0" w:firstColumn="1" w:lastColumn="0" w:noHBand="0" w:noVBand="1"/>
      </w:tblPr>
      <w:tblGrid>
        <w:gridCol w:w="1415"/>
        <w:gridCol w:w="2864"/>
        <w:gridCol w:w="2288"/>
        <w:gridCol w:w="2335"/>
        <w:gridCol w:w="1625"/>
        <w:gridCol w:w="3457"/>
      </w:tblGrid>
      <w:tr w:rsidR="00F43A95" w:rsidRPr="00F43A95" w14:paraId="46553378" w14:textId="77777777" w:rsidTr="00195F1F">
        <w:trPr>
          <w:trHeight w:val="290"/>
          <w:tblHeader/>
        </w:trPr>
        <w:tc>
          <w:tcPr>
            <w:tcW w:w="506" w:type="pct"/>
            <w:tcBorders>
              <w:top w:val="single" w:sz="8" w:space="0" w:color="auto"/>
              <w:left w:val="single" w:sz="8" w:space="0" w:color="auto"/>
              <w:bottom w:val="single" w:sz="8" w:space="0" w:color="auto"/>
              <w:right w:val="single" w:sz="4" w:space="0" w:color="000000"/>
            </w:tcBorders>
            <w:shd w:val="clear" w:color="auto" w:fill="auto"/>
            <w:vAlign w:val="center"/>
            <w:hideMark/>
          </w:tcPr>
          <w:p w14:paraId="0ACD03B1" w14:textId="77777777" w:rsidR="00195F1F" w:rsidRPr="00F43A95" w:rsidRDefault="00195F1F" w:rsidP="00195F1F">
            <w:pPr>
              <w:spacing w:after="0" w:line="240" w:lineRule="auto"/>
              <w:jc w:val="center"/>
              <w:rPr>
                <w:rFonts w:ascii="Times New Roman" w:eastAsia="Times New Roman" w:hAnsi="Times New Roman" w:cs="Times New Roman"/>
                <w:b/>
                <w:bCs/>
                <w:color w:val="000000" w:themeColor="text1"/>
                <w:kern w:val="0"/>
                <w:sz w:val="18"/>
                <w:szCs w:val="18"/>
                <w:lang w:val="en-GB" w:eastAsia="en-GB"/>
                <w14:ligatures w14:val="none"/>
              </w:rPr>
            </w:pPr>
            <w:r w:rsidRPr="00F43A95">
              <w:rPr>
                <w:rFonts w:ascii="Times New Roman" w:eastAsia="Times New Roman" w:hAnsi="Times New Roman" w:cs="Times New Roman"/>
                <w:b/>
                <w:bCs/>
                <w:color w:val="000000" w:themeColor="text1"/>
                <w:kern w:val="0"/>
                <w:sz w:val="18"/>
                <w:szCs w:val="18"/>
                <w:lang w:val="en-GB" w:eastAsia="en-GB"/>
                <w14:ligatures w14:val="none"/>
              </w:rPr>
              <w:t>Paper</w:t>
            </w:r>
          </w:p>
        </w:tc>
        <w:tc>
          <w:tcPr>
            <w:tcW w:w="1024" w:type="pct"/>
            <w:tcBorders>
              <w:top w:val="single" w:sz="8" w:space="0" w:color="auto"/>
              <w:left w:val="nil"/>
              <w:bottom w:val="single" w:sz="8" w:space="0" w:color="auto"/>
              <w:right w:val="single" w:sz="4" w:space="0" w:color="000000"/>
            </w:tcBorders>
            <w:shd w:val="clear" w:color="auto" w:fill="auto"/>
            <w:vAlign w:val="center"/>
            <w:hideMark/>
          </w:tcPr>
          <w:p w14:paraId="614D6E97" w14:textId="77777777" w:rsidR="00195F1F" w:rsidRPr="00F43A95" w:rsidRDefault="00195F1F" w:rsidP="00195F1F">
            <w:pPr>
              <w:spacing w:after="0" w:line="240" w:lineRule="auto"/>
              <w:jc w:val="center"/>
              <w:rPr>
                <w:rFonts w:ascii="Times New Roman" w:eastAsia="Times New Roman" w:hAnsi="Times New Roman" w:cs="Times New Roman"/>
                <w:b/>
                <w:bCs/>
                <w:color w:val="000000" w:themeColor="text1"/>
                <w:kern w:val="0"/>
                <w:sz w:val="18"/>
                <w:szCs w:val="18"/>
                <w:lang w:val="en-GB" w:eastAsia="en-GB"/>
                <w14:ligatures w14:val="none"/>
              </w:rPr>
            </w:pPr>
            <w:r w:rsidRPr="00F43A95">
              <w:rPr>
                <w:rFonts w:ascii="Times New Roman" w:eastAsia="Times New Roman" w:hAnsi="Times New Roman" w:cs="Times New Roman"/>
                <w:b/>
                <w:bCs/>
                <w:color w:val="000000" w:themeColor="text1"/>
                <w:kern w:val="0"/>
                <w:sz w:val="18"/>
                <w:szCs w:val="18"/>
                <w:lang w:val="en-GB" w:eastAsia="en-GB"/>
                <w14:ligatures w14:val="none"/>
              </w:rPr>
              <w:t>Diversity</w:t>
            </w:r>
          </w:p>
        </w:tc>
        <w:tc>
          <w:tcPr>
            <w:tcW w:w="818" w:type="pct"/>
            <w:tcBorders>
              <w:top w:val="single" w:sz="8" w:space="0" w:color="auto"/>
              <w:left w:val="nil"/>
              <w:bottom w:val="single" w:sz="8" w:space="0" w:color="auto"/>
              <w:right w:val="single" w:sz="4" w:space="0" w:color="000000"/>
            </w:tcBorders>
            <w:shd w:val="clear" w:color="auto" w:fill="auto"/>
            <w:vAlign w:val="center"/>
            <w:hideMark/>
          </w:tcPr>
          <w:p w14:paraId="72986E98" w14:textId="77777777" w:rsidR="00195F1F" w:rsidRPr="00F43A95" w:rsidRDefault="00195F1F" w:rsidP="00195F1F">
            <w:pPr>
              <w:spacing w:after="0" w:line="240" w:lineRule="auto"/>
              <w:jc w:val="center"/>
              <w:rPr>
                <w:rFonts w:ascii="Times New Roman" w:eastAsia="Times New Roman" w:hAnsi="Times New Roman" w:cs="Times New Roman"/>
                <w:b/>
                <w:bCs/>
                <w:color w:val="000000" w:themeColor="text1"/>
                <w:kern w:val="0"/>
                <w:sz w:val="18"/>
                <w:szCs w:val="18"/>
                <w:lang w:val="en-GB" w:eastAsia="en-GB"/>
                <w14:ligatures w14:val="none"/>
              </w:rPr>
            </w:pPr>
            <w:r w:rsidRPr="00F43A95">
              <w:rPr>
                <w:rFonts w:ascii="Times New Roman" w:eastAsia="Times New Roman" w:hAnsi="Times New Roman" w:cs="Times New Roman"/>
                <w:b/>
                <w:bCs/>
                <w:color w:val="000000" w:themeColor="text1"/>
                <w:kern w:val="0"/>
                <w:sz w:val="18"/>
                <w:szCs w:val="18"/>
                <w:lang w:val="en-GB" w:eastAsia="en-GB"/>
                <w14:ligatures w14:val="none"/>
              </w:rPr>
              <w:t>Objective</w:t>
            </w:r>
          </w:p>
        </w:tc>
        <w:tc>
          <w:tcPr>
            <w:tcW w:w="835" w:type="pct"/>
            <w:tcBorders>
              <w:top w:val="single" w:sz="8" w:space="0" w:color="auto"/>
              <w:left w:val="nil"/>
              <w:bottom w:val="single" w:sz="8" w:space="0" w:color="auto"/>
              <w:right w:val="single" w:sz="4" w:space="0" w:color="000000"/>
            </w:tcBorders>
            <w:shd w:val="clear" w:color="auto" w:fill="auto"/>
            <w:vAlign w:val="center"/>
            <w:hideMark/>
          </w:tcPr>
          <w:p w14:paraId="5CD7B1F5" w14:textId="77777777" w:rsidR="00195F1F" w:rsidRPr="00F43A95" w:rsidRDefault="00195F1F" w:rsidP="00195F1F">
            <w:pPr>
              <w:spacing w:after="0" w:line="240" w:lineRule="auto"/>
              <w:jc w:val="center"/>
              <w:rPr>
                <w:rFonts w:ascii="Times New Roman" w:eastAsia="Times New Roman" w:hAnsi="Times New Roman" w:cs="Times New Roman"/>
                <w:b/>
                <w:bCs/>
                <w:color w:val="000000" w:themeColor="text1"/>
                <w:kern w:val="0"/>
                <w:sz w:val="18"/>
                <w:szCs w:val="18"/>
                <w:lang w:val="en-GB" w:eastAsia="en-GB"/>
                <w14:ligatures w14:val="none"/>
              </w:rPr>
            </w:pPr>
            <w:r w:rsidRPr="00F43A95">
              <w:rPr>
                <w:rFonts w:ascii="Times New Roman" w:eastAsia="Times New Roman" w:hAnsi="Times New Roman" w:cs="Times New Roman"/>
                <w:b/>
                <w:bCs/>
                <w:color w:val="000000" w:themeColor="text1"/>
                <w:kern w:val="0"/>
                <w:sz w:val="18"/>
                <w:szCs w:val="18"/>
                <w:lang w:val="en-GB" w:eastAsia="en-GB"/>
                <w14:ligatures w14:val="none"/>
              </w:rPr>
              <w:t>Method</w:t>
            </w:r>
          </w:p>
        </w:tc>
        <w:tc>
          <w:tcPr>
            <w:tcW w:w="581" w:type="pct"/>
            <w:tcBorders>
              <w:top w:val="single" w:sz="8" w:space="0" w:color="auto"/>
              <w:left w:val="nil"/>
              <w:bottom w:val="single" w:sz="8" w:space="0" w:color="auto"/>
              <w:right w:val="single" w:sz="4" w:space="0" w:color="000000"/>
            </w:tcBorders>
            <w:shd w:val="clear" w:color="auto" w:fill="auto"/>
            <w:vAlign w:val="center"/>
            <w:hideMark/>
          </w:tcPr>
          <w:p w14:paraId="59D2DDD7" w14:textId="77777777" w:rsidR="00195F1F" w:rsidRPr="00F43A95" w:rsidRDefault="00195F1F" w:rsidP="00195F1F">
            <w:pPr>
              <w:spacing w:after="0" w:line="240" w:lineRule="auto"/>
              <w:jc w:val="center"/>
              <w:rPr>
                <w:rFonts w:ascii="Times New Roman" w:eastAsia="Times New Roman" w:hAnsi="Times New Roman" w:cs="Times New Roman"/>
                <w:b/>
                <w:bCs/>
                <w:color w:val="000000" w:themeColor="text1"/>
                <w:kern w:val="0"/>
                <w:sz w:val="18"/>
                <w:szCs w:val="18"/>
                <w:lang w:val="en-GB" w:eastAsia="en-GB"/>
                <w14:ligatures w14:val="none"/>
              </w:rPr>
            </w:pPr>
            <w:r w:rsidRPr="00F43A95">
              <w:rPr>
                <w:rFonts w:ascii="Times New Roman" w:eastAsia="Times New Roman" w:hAnsi="Times New Roman" w:cs="Times New Roman"/>
                <w:b/>
                <w:bCs/>
                <w:color w:val="000000" w:themeColor="text1"/>
                <w:kern w:val="0"/>
                <w:sz w:val="18"/>
                <w:szCs w:val="18"/>
                <w:lang w:val="en-GB" w:eastAsia="en-GB"/>
                <w14:ligatures w14:val="none"/>
              </w:rPr>
              <w:t>Type of Space</w:t>
            </w:r>
          </w:p>
        </w:tc>
        <w:tc>
          <w:tcPr>
            <w:tcW w:w="1236" w:type="pct"/>
            <w:tcBorders>
              <w:top w:val="single" w:sz="8" w:space="0" w:color="auto"/>
              <w:left w:val="nil"/>
              <w:bottom w:val="single" w:sz="8" w:space="0" w:color="auto"/>
              <w:right w:val="single" w:sz="8" w:space="0" w:color="auto"/>
            </w:tcBorders>
            <w:shd w:val="clear" w:color="auto" w:fill="auto"/>
            <w:vAlign w:val="center"/>
            <w:hideMark/>
          </w:tcPr>
          <w:p w14:paraId="09957925" w14:textId="77777777" w:rsidR="00195F1F" w:rsidRPr="00F43A95" w:rsidRDefault="00195F1F" w:rsidP="00195F1F">
            <w:pPr>
              <w:spacing w:after="0" w:line="240" w:lineRule="auto"/>
              <w:jc w:val="center"/>
              <w:rPr>
                <w:rFonts w:ascii="Times New Roman" w:eastAsia="Times New Roman" w:hAnsi="Times New Roman" w:cs="Times New Roman"/>
                <w:b/>
                <w:bCs/>
                <w:color w:val="000000" w:themeColor="text1"/>
                <w:kern w:val="0"/>
                <w:sz w:val="18"/>
                <w:szCs w:val="18"/>
                <w:lang w:val="en-GB" w:eastAsia="en-GB"/>
                <w14:ligatures w14:val="none"/>
              </w:rPr>
            </w:pPr>
            <w:r w:rsidRPr="00F43A95">
              <w:rPr>
                <w:rFonts w:ascii="Times New Roman" w:eastAsia="Times New Roman" w:hAnsi="Times New Roman" w:cs="Times New Roman"/>
                <w:b/>
                <w:bCs/>
                <w:color w:val="000000" w:themeColor="text1"/>
                <w:kern w:val="0"/>
                <w:sz w:val="18"/>
                <w:szCs w:val="18"/>
                <w:lang w:val="en-GB" w:eastAsia="en-GB"/>
                <w14:ligatures w14:val="none"/>
              </w:rPr>
              <w:t>Outcome</w:t>
            </w:r>
          </w:p>
        </w:tc>
      </w:tr>
      <w:tr w:rsidR="00F43A95" w:rsidRPr="00F43A95" w14:paraId="1C2E3E96" w14:textId="77777777" w:rsidTr="00195F1F">
        <w:trPr>
          <w:trHeight w:val="2900"/>
        </w:trPr>
        <w:tc>
          <w:tcPr>
            <w:tcW w:w="506" w:type="pct"/>
            <w:tcBorders>
              <w:top w:val="single" w:sz="8" w:space="0" w:color="auto"/>
              <w:left w:val="single" w:sz="4" w:space="0" w:color="000000"/>
              <w:bottom w:val="single" w:sz="4" w:space="0" w:color="000000"/>
              <w:right w:val="single" w:sz="4" w:space="0" w:color="000000"/>
            </w:tcBorders>
            <w:shd w:val="clear" w:color="auto" w:fill="auto"/>
            <w:vAlign w:val="center"/>
            <w:hideMark/>
          </w:tcPr>
          <w:p w14:paraId="4DA450D2"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it-IT" w:eastAsia="en-GB"/>
                <w14:ligatures w14:val="none"/>
              </w:rPr>
            </w:pPr>
            <w:r w:rsidRPr="00F43A95">
              <w:rPr>
                <w:rFonts w:ascii="Times New Roman" w:eastAsia="Times New Roman" w:hAnsi="Times New Roman" w:cs="Times New Roman"/>
                <w:color w:val="000000" w:themeColor="text1"/>
                <w:kern w:val="0"/>
                <w:sz w:val="18"/>
                <w:szCs w:val="18"/>
                <w:lang w:val="it-IT" w:eastAsia="en-GB"/>
                <w14:ligatures w14:val="none"/>
              </w:rPr>
              <w:t>Felipe Contin de Oliveira S., Aletta F., Kang J. (2023)</w:t>
            </w:r>
          </w:p>
        </w:tc>
        <w:tc>
          <w:tcPr>
            <w:tcW w:w="1024" w:type="pct"/>
            <w:tcBorders>
              <w:top w:val="single" w:sz="8" w:space="0" w:color="auto"/>
              <w:left w:val="nil"/>
              <w:bottom w:val="single" w:sz="4" w:space="0" w:color="000000"/>
              <w:right w:val="single" w:sz="4" w:space="0" w:color="000000"/>
            </w:tcBorders>
            <w:shd w:val="clear" w:color="auto" w:fill="auto"/>
            <w:vAlign w:val="center"/>
            <w:hideMark/>
          </w:tcPr>
          <w:p w14:paraId="014DF5FA"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Individual traits (e.g. noise sensitivity)</w:t>
            </w:r>
          </w:p>
        </w:tc>
        <w:tc>
          <w:tcPr>
            <w:tcW w:w="818" w:type="pct"/>
            <w:tcBorders>
              <w:top w:val="single" w:sz="8" w:space="0" w:color="auto"/>
              <w:left w:val="nil"/>
              <w:bottom w:val="single" w:sz="4" w:space="0" w:color="000000"/>
              <w:right w:val="single" w:sz="4" w:space="0" w:color="000000"/>
            </w:tcBorders>
            <w:shd w:val="clear" w:color="auto" w:fill="auto"/>
            <w:vAlign w:val="center"/>
            <w:hideMark/>
          </w:tcPr>
          <w:p w14:paraId="26E23257"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Identify, evaluate and summarise the available studies about real interventions in Open Plan Offices (OPO) regarding workers perception of noise impacts in their health and well-being, to make evidence more accessible.</w:t>
            </w:r>
          </w:p>
        </w:tc>
        <w:tc>
          <w:tcPr>
            <w:tcW w:w="835" w:type="pct"/>
            <w:tcBorders>
              <w:top w:val="single" w:sz="8" w:space="0" w:color="auto"/>
              <w:left w:val="nil"/>
              <w:bottom w:val="single" w:sz="4" w:space="0" w:color="000000"/>
              <w:right w:val="single" w:sz="4" w:space="0" w:color="000000"/>
            </w:tcBorders>
            <w:shd w:val="clear" w:color="auto" w:fill="auto"/>
            <w:vAlign w:val="center"/>
            <w:hideMark/>
          </w:tcPr>
          <w:p w14:paraId="4EB20820"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Literature review (PRISMA protocol) of papers adopting surveys and questionnaires held in open-plan offices with the intention of analysing the workers’ individual perception of the acoustic performance of the space</w:t>
            </w:r>
          </w:p>
        </w:tc>
        <w:tc>
          <w:tcPr>
            <w:tcW w:w="581" w:type="pct"/>
            <w:tcBorders>
              <w:top w:val="single" w:sz="8" w:space="0" w:color="auto"/>
              <w:left w:val="nil"/>
              <w:bottom w:val="single" w:sz="4" w:space="0" w:color="000000"/>
              <w:right w:val="single" w:sz="4" w:space="0" w:color="000000"/>
            </w:tcBorders>
            <w:shd w:val="clear" w:color="auto" w:fill="auto"/>
            <w:vAlign w:val="center"/>
            <w:hideMark/>
          </w:tcPr>
          <w:p w14:paraId="1EEE94C6"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11 different OPOs</w:t>
            </w:r>
          </w:p>
        </w:tc>
        <w:tc>
          <w:tcPr>
            <w:tcW w:w="1236" w:type="pct"/>
            <w:tcBorders>
              <w:top w:val="single" w:sz="8" w:space="0" w:color="auto"/>
              <w:left w:val="nil"/>
              <w:bottom w:val="single" w:sz="4" w:space="0" w:color="000000"/>
              <w:right w:val="single" w:sz="4" w:space="0" w:color="000000"/>
            </w:tcBorders>
            <w:shd w:val="clear" w:color="auto" w:fill="auto"/>
            <w:vAlign w:val="center"/>
            <w:hideMark/>
          </w:tcPr>
          <w:p w14:paraId="41CE2355"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Noise perception is a result of the interaction between individual factors and the physical environment. Indoor soundscapes will vary greatly and this can impact workers’ health and well-being. It depends on the workplace environment.</w:t>
            </w:r>
          </w:p>
        </w:tc>
      </w:tr>
      <w:tr w:rsidR="00F43A95" w:rsidRPr="00F43A95" w14:paraId="4C679222" w14:textId="77777777" w:rsidTr="00195F1F">
        <w:trPr>
          <w:trHeight w:val="2320"/>
        </w:trPr>
        <w:tc>
          <w:tcPr>
            <w:tcW w:w="506" w:type="pct"/>
            <w:tcBorders>
              <w:top w:val="nil"/>
              <w:left w:val="single" w:sz="4" w:space="0" w:color="000000"/>
              <w:bottom w:val="single" w:sz="4" w:space="0" w:color="000000"/>
              <w:right w:val="single" w:sz="4" w:space="0" w:color="000000"/>
            </w:tcBorders>
            <w:shd w:val="clear" w:color="auto" w:fill="auto"/>
            <w:vAlign w:val="center"/>
            <w:hideMark/>
          </w:tcPr>
          <w:p w14:paraId="3523B7A4"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Reddy R. (2022)</w:t>
            </w:r>
          </w:p>
        </w:tc>
        <w:tc>
          <w:tcPr>
            <w:tcW w:w="1024" w:type="pct"/>
            <w:tcBorders>
              <w:top w:val="nil"/>
              <w:left w:val="nil"/>
              <w:bottom w:val="single" w:sz="4" w:space="0" w:color="000000"/>
              <w:right w:val="single" w:sz="4" w:space="0" w:color="000000"/>
            </w:tcBorders>
            <w:shd w:val="clear" w:color="auto" w:fill="auto"/>
            <w:vAlign w:val="center"/>
            <w:hideMark/>
          </w:tcPr>
          <w:p w14:paraId="243D373D"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Gender</w:t>
            </w:r>
          </w:p>
        </w:tc>
        <w:tc>
          <w:tcPr>
            <w:tcW w:w="818" w:type="pct"/>
            <w:tcBorders>
              <w:top w:val="nil"/>
              <w:left w:val="nil"/>
              <w:bottom w:val="single" w:sz="4" w:space="0" w:color="000000"/>
              <w:right w:val="single" w:sz="4" w:space="0" w:color="000000"/>
            </w:tcBorders>
            <w:shd w:val="clear" w:color="auto" w:fill="auto"/>
            <w:vAlign w:val="center"/>
            <w:hideMark/>
          </w:tcPr>
          <w:p w14:paraId="5B7CD961"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Demonstrate that while researcher’s background could be a factor in gaining access to research, other elements help in overcoming gender barriers in interviewing the participants</w:t>
            </w:r>
          </w:p>
        </w:tc>
        <w:tc>
          <w:tcPr>
            <w:tcW w:w="835" w:type="pct"/>
            <w:tcBorders>
              <w:top w:val="nil"/>
              <w:left w:val="nil"/>
              <w:bottom w:val="single" w:sz="4" w:space="0" w:color="000000"/>
              <w:right w:val="single" w:sz="4" w:space="0" w:color="000000"/>
            </w:tcBorders>
            <w:shd w:val="clear" w:color="auto" w:fill="auto"/>
            <w:vAlign w:val="center"/>
            <w:hideMark/>
          </w:tcPr>
          <w:p w14:paraId="5FAC3D3F"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Institutional ethnography fieldwork (in-depth interviews)</w:t>
            </w:r>
          </w:p>
        </w:tc>
        <w:tc>
          <w:tcPr>
            <w:tcW w:w="581" w:type="pct"/>
            <w:tcBorders>
              <w:top w:val="nil"/>
              <w:left w:val="nil"/>
              <w:bottom w:val="single" w:sz="4" w:space="0" w:color="000000"/>
              <w:right w:val="single" w:sz="4" w:space="0" w:color="000000"/>
            </w:tcBorders>
            <w:shd w:val="clear" w:color="auto" w:fill="auto"/>
            <w:vAlign w:val="center"/>
            <w:hideMark/>
          </w:tcPr>
          <w:p w14:paraId="6DB68003"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Office of an IT organization (located far from the city in an isolated area which requires attention from the company in providing safe and secure trasport arrangements especially for women)</w:t>
            </w:r>
          </w:p>
        </w:tc>
        <w:tc>
          <w:tcPr>
            <w:tcW w:w="1236" w:type="pct"/>
            <w:tcBorders>
              <w:top w:val="nil"/>
              <w:left w:val="nil"/>
              <w:bottom w:val="single" w:sz="4" w:space="0" w:color="000000"/>
              <w:right w:val="single" w:sz="4" w:space="0" w:color="000000"/>
            </w:tcBorders>
            <w:shd w:val="clear" w:color="auto" w:fill="auto"/>
            <w:vAlign w:val="center"/>
            <w:hideMark/>
          </w:tcPr>
          <w:p w14:paraId="0D59E309"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It shows a “point of entry” that any researcher can occupy to study any socially constructed “other”. It also shows that a researcher could seek opportunities for establishing a trusted outsider position to enable research participants to willingly participate in the study, through identifying spaces of engagement where the interests of the researcher, organization, and the participants intersect.</w:t>
            </w:r>
          </w:p>
        </w:tc>
      </w:tr>
      <w:tr w:rsidR="00F43A95" w:rsidRPr="00F43A95" w14:paraId="0664009A" w14:textId="77777777" w:rsidTr="00195F1F">
        <w:trPr>
          <w:trHeight w:val="6090"/>
        </w:trPr>
        <w:tc>
          <w:tcPr>
            <w:tcW w:w="506" w:type="pct"/>
            <w:tcBorders>
              <w:top w:val="nil"/>
              <w:left w:val="single" w:sz="4" w:space="0" w:color="000000"/>
              <w:bottom w:val="single" w:sz="4" w:space="0" w:color="000000"/>
              <w:right w:val="single" w:sz="4" w:space="0" w:color="000000"/>
            </w:tcBorders>
            <w:shd w:val="clear" w:color="auto" w:fill="auto"/>
            <w:vAlign w:val="center"/>
            <w:hideMark/>
          </w:tcPr>
          <w:p w14:paraId="3C5DEF3B"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lastRenderedPageBreak/>
              <w:t>Van Laer K., Jammaers E., Hoeven W. (2022)</w:t>
            </w:r>
          </w:p>
        </w:tc>
        <w:tc>
          <w:tcPr>
            <w:tcW w:w="1024" w:type="pct"/>
            <w:tcBorders>
              <w:top w:val="nil"/>
              <w:left w:val="nil"/>
              <w:bottom w:val="single" w:sz="4" w:space="0" w:color="000000"/>
              <w:right w:val="single" w:sz="4" w:space="0" w:color="000000"/>
            </w:tcBorders>
            <w:shd w:val="clear" w:color="auto" w:fill="auto"/>
            <w:vAlign w:val="center"/>
            <w:hideMark/>
          </w:tcPr>
          <w:p w14:paraId="36C92D43"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Physical and sensory impairments. Physical impairments including individuals officially classified as having certain limitations related to physical activities, mobility, dexterity, or stamina (e.g. individuals with neuromuscular disorders, spinal cord injuries, spina bifida, respiratory disorders or cerebral palsy) while the group with sensory impairments includes individuals officially classified as having certain degrees of vision (e.g. individuals with cataract or glaucoma) or hearing loss (e.g. individuals with auditory neuropathy or Usher syndrome).</w:t>
            </w:r>
          </w:p>
        </w:tc>
        <w:tc>
          <w:tcPr>
            <w:tcW w:w="818" w:type="pct"/>
            <w:tcBorders>
              <w:top w:val="nil"/>
              <w:left w:val="nil"/>
              <w:bottom w:val="single" w:sz="4" w:space="0" w:color="000000"/>
              <w:right w:val="single" w:sz="4" w:space="0" w:color="000000"/>
            </w:tcBorders>
            <w:shd w:val="clear" w:color="auto" w:fill="auto"/>
            <w:vAlign w:val="center"/>
            <w:hideMark/>
          </w:tcPr>
          <w:p w14:paraId="5EDA3D7A"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Show how organizational spaces can disable employees with impairments and contribute to the unequal power relations between disabled and non-disabled</w:t>
            </w:r>
            <w:r w:rsidRPr="00F43A95">
              <w:rPr>
                <w:rFonts w:ascii="Times New Roman" w:eastAsia="Times New Roman" w:hAnsi="Times New Roman" w:cs="Times New Roman"/>
                <w:color w:val="000000" w:themeColor="text1"/>
                <w:kern w:val="0"/>
                <w:sz w:val="18"/>
                <w:szCs w:val="18"/>
                <w:lang w:val="en-GB" w:eastAsia="en-GB"/>
                <w14:ligatures w14:val="none"/>
              </w:rPr>
              <w:br/>
              <w:t>employees.</w:t>
            </w:r>
          </w:p>
        </w:tc>
        <w:tc>
          <w:tcPr>
            <w:tcW w:w="835" w:type="pct"/>
            <w:tcBorders>
              <w:top w:val="nil"/>
              <w:left w:val="nil"/>
              <w:bottom w:val="single" w:sz="4" w:space="0" w:color="000000"/>
              <w:right w:val="single" w:sz="4" w:space="0" w:color="000000"/>
            </w:tcBorders>
            <w:shd w:val="clear" w:color="auto" w:fill="auto"/>
            <w:vAlign w:val="center"/>
            <w:hideMark/>
          </w:tcPr>
          <w:p w14:paraId="75755EDD"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65 interviews to workers with disability</w:t>
            </w:r>
          </w:p>
        </w:tc>
        <w:tc>
          <w:tcPr>
            <w:tcW w:w="581" w:type="pct"/>
            <w:tcBorders>
              <w:top w:val="nil"/>
              <w:left w:val="nil"/>
              <w:bottom w:val="single" w:sz="4" w:space="0" w:color="000000"/>
              <w:right w:val="single" w:sz="4" w:space="0" w:color="000000"/>
            </w:tcBorders>
            <w:shd w:val="clear" w:color="auto" w:fill="auto"/>
            <w:vAlign w:val="center"/>
            <w:hideMark/>
          </w:tcPr>
          <w:p w14:paraId="32C5338E"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Various office in Flanders, Belgium</w:t>
            </w:r>
          </w:p>
        </w:tc>
        <w:tc>
          <w:tcPr>
            <w:tcW w:w="1236" w:type="pct"/>
            <w:tcBorders>
              <w:top w:val="nil"/>
              <w:left w:val="nil"/>
              <w:bottom w:val="single" w:sz="4" w:space="0" w:color="000000"/>
              <w:right w:val="single" w:sz="4" w:space="0" w:color="000000"/>
            </w:tcBorders>
            <w:shd w:val="clear" w:color="auto" w:fill="auto"/>
            <w:vAlign w:val="center"/>
            <w:hideMark/>
          </w:tcPr>
          <w:p w14:paraId="52579E62" w14:textId="6A264BBB"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 xml:space="preserve">There is a way in which organizational spaces are generally designed for normal bodies in an </w:t>
            </w:r>
            <w:r w:rsidR="00357551" w:rsidRPr="00F43A95">
              <w:rPr>
                <w:rFonts w:ascii="Times New Roman" w:eastAsia="Times New Roman" w:hAnsi="Times New Roman" w:cs="Times New Roman"/>
                <w:color w:val="000000" w:themeColor="text1"/>
                <w:kern w:val="0"/>
                <w:sz w:val="18"/>
                <w:szCs w:val="18"/>
                <w:lang w:val="en-GB" w:eastAsia="en-GB"/>
                <w14:ligatures w14:val="none"/>
              </w:rPr>
              <w:t>ableist</w:t>
            </w:r>
            <w:r w:rsidRPr="00F43A95">
              <w:rPr>
                <w:rFonts w:ascii="Times New Roman" w:eastAsia="Times New Roman" w:hAnsi="Times New Roman" w:cs="Times New Roman"/>
                <w:color w:val="000000" w:themeColor="text1"/>
                <w:kern w:val="0"/>
                <w:sz w:val="18"/>
                <w:szCs w:val="18"/>
                <w:lang w:val="en-GB" w:eastAsia="en-GB"/>
                <w14:ligatures w14:val="none"/>
              </w:rPr>
              <w:t xml:space="preserve"> way. There is an ableist notions of the ‘ideal employee’, the reproduction of ableist discourses, and embodied experiences of ableism in organizations. The specific nature of the employment relation is defined by a power inequality between the employer and the employee and disability accentuate this disequilibrium. Workspace’s organization has impact (disabling or enabling) on productive participation, social inclusion, physical comfort and safety.  The physical access is the minimum requirement to guarantee.</w:t>
            </w:r>
          </w:p>
        </w:tc>
      </w:tr>
      <w:tr w:rsidR="00F43A95" w:rsidRPr="00F43A95" w14:paraId="7D4E4231" w14:textId="77777777" w:rsidTr="00195F1F">
        <w:trPr>
          <w:trHeight w:val="1740"/>
        </w:trPr>
        <w:tc>
          <w:tcPr>
            <w:tcW w:w="506" w:type="pct"/>
            <w:tcBorders>
              <w:top w:val="nil"/>
              <w:left w:val="single" w:sz="4" w:space="0" w:color="000000"/>
              <w:bottom w:val="single" w:sz="4" w:space="0" w:color="000000"/>
              <w:right w:val="single" w:sz="4" w:space="0" w:color="000000"/>
            </w:tcBorders>
            <w:shd w:val="clear" w:color="auto" w:fill="auto"/>
            <w:vAlign w:val="center"/>
            <w:hideMark/>
          </w:tcPr>
          <w:p w14:paraId="4577D61B"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Ince J. (2022)</w:t>
            </w:r>
          </w:p>
        </w:tc>
        <w:tc>
          <w:tcPr>
            <w:tcW w:w="1024" w:type="pct"/>
            <w:tcBorders>
              <w:top w:val="nil"/>
              <w:left w:val="nil"/>
              <w:bottom w:val="single" w:sz="4" w:space="0" w:color="000000"/>
              <w:right w:val="single" w:sz="4" w:space="0" w:color="000000"/>
            </w:tcBorders>
            <w:shd w:val="clear" w:color="auto" w:fill="auto"/>
            <w:vAlign w:val="center"/>
            <w:hideMark/>
          </w:tcPr>
          <w:p w14:paraId="2297EF3E"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Race/Ethnicity</w:t>
            </w:r>
          </w:p>
        </w:tc>
        <w:tc>
          <w:tcPr>
            <w:tcW w:w="818" w:type="pct"/>
            <w:tcBorders>
              <w:top w:val="nil"/>
              <w:left w:val="nil"/>
              <w:bottom w:val="single" w:sz="4" w:space="0" w:color="000000"/>
              <w:right w:val="single" w:sz="4" w:space="0" w:color="000000"/>
            </w:tcBorders>
            <w:shd w:val="clear" w:color="auto" w:fill="auto"/>
            <w:vAlign w:val="center"/>
            <w:hideMark/>
          </w:tcPr>
          <w:p w14:paraId="39C1E874"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Study how and why racial reconciliation efforts ‘‘work’’ for different groups within individual houses of worship. How they change the attitudes of racial minorities, who are less likely to affirm structural explanations for racial inequality</w:t>
            </w:r>
          </w:p>
        </w:tc>
        <w:tc>
          <w:tcPr>
            <w:tcW w:w="835" w:type="pct"/>
            <w:tcBorders>
              <w:top w:val="nil"/>
              <w:left w:val="nil"/>
              <w:bottom w:val="single" w:sz="4" w:space="0" w:color="000000"/>
              <w:right w:val="single" w:sz="4" w:space="0" w:color="000000"/>
            </w:tcBorders>
            <w:shd w:val="clear" w:color="auto" w:fill="auto"/>
            <w:vAlign w:val="center"/>
            <w:hideMark/>
          </w:tcPr>
          <w:p w14:paraId="5EFF7631" w14:textId="122E6455" w:rsidR="00195F1F" w:rsidRPr="00F43A95" w:rsidRDefault="00C0486B"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Ethnographic</w:t>
            </w:r>
            <w:r w:rsidR="00195F1F" w:rsidRPr="00F43A95">
              <w:rPr>
                <w:rFonts w:ascii="Times New Roman" w:eastAsia="Times New Roman" w:hAnsi="Times New Roman" w:cs="Times New Roman"/>
                <w:color w:val="000000" w:themeColor="text1"/>
                <w:kern w:val="0"/>
                <w:sz w:val="18"/>
                <w:szCs w:val="18"/>
                <w:lang w:val="en-GB" w:eastAsia="en-GB"/>
                <w14:ligatures w14:val="none"/>
              </w:rPr>
              <w:t xml:space="preserve"> data (observation of 94 service and 50 formal interviews)</w:t>
            </w:r>
          </w:p>
        </w:tc>
        <w:tc>
          <w:tcPr>
            <w:tcW w:w="581" w:type="pct"/>
            <w:tcBorders>
              <w:top w:val="nil"/>
              <w:left w:val="nil"/>
              <w:bottom w:val="single" w:sz="4" w:space="0" w:color="000000"/>
              <w:right w:val="single" w:sz="4" w:space="0" w:color="000000"/>
            </w:tcBorders>
            <w:shd w:val="clear" w:color="auto" w:fill="auto"/>
            <w:vAlign w:val="center"/>
            <w:hideMark/>
          </w:tcPr>
          <w:p w14:paraId="09661DA8"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None. The study focuses on houses of worship</w:t>
            </w:r>
          </w:p>
        </w:tc>
        <w:tc>
          <w:tcPr>
            <w:tcW w:w="1236" w:type="pct"/>
            <w:tcBorders>
              <w:top w:val="nil"/>
              <w:left w:val="nil"/>
              <w:bottom w:val="single" w:sz="4" w:space="0" w:color="000000"/>
              <w:right w:val="single" w:sz="4" w:space="0" w:color="000000"/>
            </w:tcBorders>
            <w:shd w:val="clear" w:color="auto" w:fill="auto"/>
            <w:vAlign w:val="center"/>
            <w:hideMark/>
          </w:tcPr>
          <w:p w14:paraId="2D8C6011"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The racial reconciliation movement reflects the complex ongoing racial dynamics in U.S. urban cities. Members’ experience with the diversity demeanor complicates their capacity for proper racial integration</w:t>
            </w:r>
          </w:p>
        </w:tc>
      </w:tr>
      <w:tr w:rsidR="00F43A95" w:rsidRPr="00F43A95" w14:paraId="3B4F2568" w14:textId="77777777" w:rsidTr="00195F1F">
        <w:trPr>
          <w:trHeight w:val="3190"/>
        </w:trPr>
        <w:tc>
          <w:tcPr>
            <w:tcW w:w="506" w:type="pct"/>
            <w:tcBorders>
              <w:top w:val="nil"/>
              <w:left w:val="single" w:sz="4" w:space="0" w:color="000000"/>
              <w:bottom w:val="single" w:sz="4" w:space="0" w:color="000000"/>
              <w:right w:val="single" w:sz="4" w:space="0" w:color="000000"/>
            </w:tcBorders>
            <w:shd w:val="clear" w:color="auto" w:fill="auto"/>
            <w:vAlign w:val="center"/>
            <w:hideMark/>
          </w:tcPr>
          <w:p w14:paraId="3E4E3FB9"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lastRenderedPageBreak/>
              <w:t>Narenthiran O.P., Torero J., Woodrow M. (2022)</w:t>
            </w:r>
          </w:p>
        </w:tc>
        <w:tc>
          <w:tcPr>
            <w:tcW w:w="1024" w:type="pct"/>
            <w:tcBorders>
              <w:top w:val="nil"/>
              <w:left w:val="nil"/>
              <w:bottom w:val="single" w:sz="4" w:space="0" w:color="000000"/>
              <w:right w:val="single" w:sz="4" w:space="0" w:color="000000"/>
            </w:tcBorders>
            <w:shd w:val="clear" w:color="auto" w:fill="auto"/>
            <w:vAlign w:val="center"/>
            <w:hideMark/>
          </w:tcPr>
          <w:p w14:paraId="2C829F36"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Neurodiversity (including conditions such as ADHD, autism, dyslexia, and dyspraxia)</w:t>
            </w:r>
          </w:p>
        </w:tc>
        <w:tc>
          <w:tcPr>
            <w:tcW w:w="818" w:type="pct"/>
            <w:tcBorders>
              <w:top w:val="nil"/>
              <w:left w:val="nil"/>
              <w:bottom w:val="single" w:sz="4" w:space="0" w:color="000000"/>
              <w:right w:val="single" w:sz="4" w:space="0" w:color="000000"/>
            </w:tcBorders>
            <w:shd w:val="clear" w:color="auto" w:fill="auto"/>
            <w:vAlign w:val="center"/>
            <w:hideMark/>
          </w:tcPr>
          <w:p w14:paraId="2A229609"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Identify key ways of reducing physical barriers faced by people with a disability and understand how people</w:t>
            </w:r>
            <w:r w:rsidRPr="00F43A95">
              <w:rPr>
                <w:rFonts w:ascii="Times New Roman" w:eastAsia="Times New Roman" w:hAnsi="Times New Roman" w:cs="Times New Roman"/>
                <w:color w:val="000000" w:themeColor="text1"/>
                <w:kern w:val="0"/>
                <w:sz w:val="18"/>
                <w:szCs w:val="18"/>
                <w:lang w:val="en-GB" w:eastAsia="en-GB"/>
                <w14:ligatures w14:val="none"/>
              </w:rPr>
              <w:br/>
              <w:t>have adapted their home spaces to study and work from home and what barriers they continue to face, therefore encourage more comfortable and productive use of workspaces</w:t>
            </w:r>
          </w:p>
        </w:tc>
        <w:tc>
          <w:tcPr>
            <w:tcW w:w="835" w:type="pct"/>
            <w:tcBorders>
              <w:top w:val="nil"/>
              <w:left w:val="nil"/>
              <w:bottom w:val="single" w:sz="4" w:space="0" w:color="000000"/>
              <w:right w:val="single" w:sz="4" w:space="0" w:color="000000"/>
            </w:tcBorders>
            <w:shd w:val="clear" w:color="auto" w:fill="auto"/>
            <w:vAlign w:val="center"/>
            <w:hideMark/>
          </w:tcPr>
          <w:p w14:paraId="0BE2B2B0"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A mix of qualitative and quantitative survey questions sent to 75 among staff and students at a large university in the UK. Themes and quotes were extracted, then analysed and compared with the literature.</w:t>
            </w:r>
          </w:p>
        </w:tc>
        <w:tc>
          <w:tcPr>
            <w:tcW w:w="581" w:type="pct"/>
            <w:tcBorders>
              <w:top w:val="nil"/>
              <w:left w:val="nil"/>
              <w:bottom w:val="single" w:sz="4" w:space="0" w:color="000000"/>
              <w:right w:val="single" w:sz="4" w:space="0" w:color="000000"/>
            </w:tcBorders>
            <w:shd w:val="clear" w:color="auto" w:fill="auto"/>
            <w:vAlign w:val="center"/>
            <w:hideMark/>
          </w:tcPr>
          <w:p w14:paraId="12EDAE22"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 xml:space="preserve"> A large university in the UK (working remotely from home)</w:t>
            </w:r>
          </w:p>
        </w:tc>
        <w:tc>
          <w:tcPr>
            <w:tcW w:w="1236" w:type="pct"/>
            <w:tcBorders>
              <w:top w:val="nil"/>
              <w:left w:val="nil"/>
              <w:bottom w:val="single" w:sz="4" w:space="0" w:color="000000"/>
              <w:right w:val="single" w:sz="4" w:space="0" w:color="000000"/>
            </w:tcBorders>
            <w:shd w:val="clear" w:color="auto" w:fill="auto"/>
            <w:vAlign w:val="center"/>
            <w:hideMark/>
          </w:tcPr>
          <w:p w14:paraId="433DF790"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Specific personal needs in relation to individual workspaces, such as the relationship between mobility disabilities and ergonomics, and between neurodivergence and zoning/partitioning should be detected by involving uses in design. Also the control over one’s environment is crucial. The importance of interacting with users and understanding the drivers behind workspace design can provide creative solutions that actively include all users.</w:t>
            </w:r>
          </w:p>
        </w:tc>
      </w:tr>
      <w:tr w:rsidR="00F43A95" w:rsidRPr="00F43A95" w14:paraId="3C896627" w14:textId="77777777" w:rsidTr="00195F1F">
        <w:trPr>
          <w:trHeight w:val="3190"/>
        </w:trPr>
        <w:tc>
          <w:tcPr>
            <w:tcW w:w="506" w:type="pct"/>
            <w:tcBorders>
              <w:top w:val="nil"/>
              <w:left w:val="single" w:sz="4" w:space="0" w:color="000000"/>
              <w:bottom w:val="single" w:sz="4" w:space="0" w:color="000000"/>
              <w:right w:val="single" w:sz="4" w:space="0" w:color="000000"/>
            </w:tcBorders>
            <w:shd w:val="clear" w:color="auto" w:fill="auto"/>
            <w:vAlign w:val="center"/>
            <w:hideMark/>
          </w:tcPr>
          <w:p w14:paraId="665AD54E"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it-IT" w:eastAsia="en-GB"/>
                <w14:ligatures w14:val="none"/>
              </w:rPr>
            </w:pPr>
            <w:r w:rsidRPr="00F43A95">
              <w:rPr>
                <w:rFonts w:ascii="Times New Roman" w:eastAsia="Times New Roman" w:hAnsi="Times New Roman" w:cs="Times New Roman"/>
                <w:color w:val="000000" w:themeColor="text1"/>
                <w:kern w:val="0"/>
                <w:sz w:val="18"/>
                <w:szCs w:val="18"/>
                <w:lang w:val="it-IT" w:eastAsia="en-GB"/>
                <w14:ligatures w14:val="none"/>
              </w:rPr>
              <w:t>Migliore A., Rossi-Lamastra C., Tagliaro C. (2022)</w:t>
            </w:r>
          </w:p>
        </w:tc>
        <w:tc>
          <w:tcPr>
            <w:tcW w:w="1024" w:type="pct"/>
            <w:tcBorders>
              <w:top w:val="nil"/>
              <w:left w:val="nil"/>
              <w:bottom w:val="single" w:sz="4" w:space="0" w:color="000000"/>
              <w:right w:val="single" w:sz="4" w:space="0" w:color="000000"/>
            </w:tcBorders>
            <w:shd w:val="clear" w:color="auto" w:fill="auto"/>
            <w:vAlign w:val="center"/>
            <w:hideMark/>
          </w:tcPr>
          <w:p w14:paraId="711CD739" w14:textId="77777777" w:rsidR="00195F1F" w:rsidRPr="00F43A95" w:rsidRDefault="00195F1F" w:rsidP="00835BC3">
            <w:pPr>
              <w:spacing w:after="0" w:line="240" w:lineRule="auto"/>
              <w:jc w:val="both"/>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Gender</w:t>
            </w:r>
          </w:p>
        </w:tc>
        <w:tc>
          <w:tcPr>
            <w:tcW w:w="818" w:type="pct"/>
            <w:tcBorders>
              <w:top w:val="nil"/>
              <w:left w:val="nil"/>
              <w:bottom w:val="single" w:sz="4" w:space="0" w:color="000000"/>
              <w:right w:val="single" w:sz="4" w:space="0" w:color="000000"/>
            </w:tcBorders>
            <w:shd w:val="clear" w:color="auto" w:fill="auto"/>
            <w:vAlign w:val="center"/>
            <w:hideMark/>
          </w:tcPr>
          <w:p w14:paraId="7A798816"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Show how the workspace influences female workers and gender equality</w:t>
            </w:r>
          </w:p>
        </w:tc>
        <w:tc>
          <w:tcPr>
            <w:tcW w:w="835" w:type="pct"/>
            <w:tcBorders>
              <w:top w:val="nil"/>
              <w:left w:val="nil"/>
              <w:bottom w:val="single" w:sz="4" w:space="0" w:color="000000"/>
              <w:right w:val="single" w:sz="4" w:space="0" w:color="000000"/>
            </w:tcBorders>
            <w:shd w:val="clear" w:color="auto" w:fill="auto"/>
            <w:vAlign w:val="center"/>
            <w:hideMark/>
          </w:tcPr>
          <w:p w14:paraId="2366A0DD"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SLR - Systematic Literature Review (68 papers)</w:t>
            </w:r>
          </w:p>
        </w:tc>
        <w:tc>
          <w:tcPr>
            <w:tcW w:w="581" w:type="pct"/>
            <w:tcBorders>
              <w:top w:val="nil"/>
              <w:left w:val="nil"/>
              <w:bottom w:val="single" w:sz="4" w:space="0" w:color="000000"/>
              <w:right w:val="single" w:sz="4" w:space="0" w:color="000000"/>
            </w:tcBorders>
            <w:shd w:val="clear" w:color="auto" w:fill="auto"/>
            <w:vAlign w:val="center"/>
            <w:hideMark/>
          </w:tcPr>
          <w:p w14:paraId="33361547"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Various office types + Home as a workspace + New working spaces</w:t>
            </w:r>
          </w:p>
        </w:tc>
        <w:tc>
          <w:tcPr>
            <w:tcW w:w="1236" w:type="pct"/>
            <w:tcBorders>
              <w:top w:val="nil"/>
              <w:left w:val="nil"/>
              <w:bottom w:val="single" w:sz="4" w:space="0" w:color="000000"/>
              <w:right w:val="single" w:sz="4" w:space="0" w:color="000000"/>
            </w:tcBorders>
            <w:shd w:val="clear" w:color="auto" w:fill="auto"/>
            <w:vAlign w:val="center"/>
            <w:hideMark/>
          </w:tcPr>
          <w:p w14:paraId="3CDB1A36"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Scholarly conversations neglect the effects of specific spatial arrangements on women’s work outcomes (e.g., productivity) and relationships with colleagues. Authors call for further research on new working spaces (e.g., co-working spaces or maker spaces).</w:t>
            </w:r>
          </w:p>
        </w:tc>
      </w:tr>
      <w:tr w:rsidR="00F43A95" w:rsidRPr="00F43A95" w14:paraId="60809CB5" w14:textId="77777777" w:rsidTr="00195F1F">
        <w:trPr>
          <w:trHeight w:val="4350"/>
        </w:trPr>
        <w:tc>
          <w:tcPr>
            <w:tcW w:w="506" w:type="pct"/>
            <w:tcBorders>
              <w:top w:val="nil"/>
              <w:left w:val="single" w:sz="4" w:space="0" w:color="000000"/>
              <w:bottom w:val="single" w:sz="4" w:space="0" w:color="000000"/>
              <w:right w:val="single" w:sz="4" w:space="0" w:color="000000"/>
            </w:tcBorders>
            <w:shd w:val="clear" w:color="auto" w:fill="auto"/>
            <w:vAlign w:val="center"/>
            <w:hideMark/>
          </w:tcPr>
          <w:p w14:paraId="7E20CC84"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lastRenderedPageBreak/>
              <w:t xml:space="preserve">Marzban et al. (2021) </w:t>
            </w:r>
          </w:p>
        </w:tc>
        <w:tc>
          <w:tcPr>
            <w:tcW w:w="1024" w:type="pct"/>
            <w:tcBorders>
              <w:top w:val="nil"/>
              <w:left w:val="nil"/>
              <w:bottom w:val="single" w:sz="4" w:space="0" w:color="000000"/>
              <w:right w:val="single" w:sz="4" w:space="0" w:color="000000"/>
            </w:tcBorders>
            <w:shd w:val="clear" w:color="auto" w:fill="auto"/>
            <w:vAlign w:val="center"/>
            <w:hideMark/>
          </w:tcPr>
          <w:p w14:paraId="46B9DC42"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 xml:space="preserve">Gender, Age, Personality (introverts VS extroverts, agreeableness)  and more </w:t>
            </w:r>
          </w:p>
        </w:tc>
        <w:tc>
          <w:tcPr>
            <w:tcW w:w="818" w:type="pct"/>
            <w:tcBorders>
              <w:top w:val="nil"/>
              <w:left w:val="nil"/>
              <w:bottom w:val="single" w:sz="4" w:space="0" w:color="000000"/>
              <w:right w:val="single" w:sz="4" w:space="0" w:color="000000"/>
            </w:tcBorders>
            <w:shd w:val="clear" w:color="auto" w:fill="auto"/>
            <w:vAlign w:val="center"/>
            <w:hideMark/>
          </w:tcPr>
          <w:p w14:paraId="6343BD5F"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 xml:space="preserve">Map findings from research conducted in workspaces designed to support ABW and describe negative and positive outcomes under organizational, physical and human-related aspects to inform post-Covid19 workplaces </w:t>
            </w:r>
          </w:p>
        </w:tc>
        <w:tc>
          <w:tcPr>
            <w:tcW w:w="835" w:type="pct"/>
            <w:tcBorders>
              <w:top w:val="nil"/>
              <w:left w:val="nil"/>
              <w:bottom w:val="single" w:sz="4" w:space="0" w:color="000000"/>
              <w:right w:val="single" w:sz="4" w:space="0" w:color="000000"/>
            </w:tcBorders>
            <w:shd w:val="clear" w:color="auto" w:fill="auto"/>
            <w:vAlign w:val="center"/>
            <w:hideMark/>
          </w:tcPr>
          <w:p w14:paraId="38C4C6D8"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 xml:space="preserve">Literature review </w:t>
            </w:r>
          </w:p>
        </w:tc>
        <w:tc>
          <w:tcPr>
            <w:tcW w:w="581" w:type="pct"/>
            <w:tcBorders>
              <w:top w:val="nil"/>
              <w:left w:val="nil"/>
              <w:bottom w:val="single" w:sz="4" w:space="0" w:color="000000"/>
              <w:right w:val="single" w:sz="4" w:space="0" w:color="000000"/>
            </w:tcBorders>
            <w:shd w:val="clear" w:color="auto" w:fill="auto"/>
            <w:vAlign w:val="center"/>
            <w:hideMark/>
          </w:tcPr>
          <w:p w14:paraId="700D246F"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ABW</w:t>
            </w:r>
          </w:p>
        </w:tc>
        <w:tc>
          <w:tcPr>
            <w:tcW w:w="1236" w:type="pct"/>
            <w:tcBorders>
              <w:top w:val="nil"/>
              <w:left w:val="nil"/>
              <w:bottom w:val="single" w:sz="4" w:space="0" w:color="000000"/>
              <w:right w:val="single" w:sz="4" w:space="0" w:color="000000"/>
            </w:tcBorders>
            <w:shd w:val="clear" w:color="auto" w:fill="auto"/>
            <w:vAlign w:val="center"/>
            <w:hideMark/>
          </w:tcPr>
          <w:p w14:paraId="433B999B"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 xml:space="preserve">ABW approaches can help meet individual needs in the after-Covid19 workplace </w:t>
            </w:r>
          </w:p>
        </w:tc>
      </w:tr>
      <w:tr w:rsidR="00F43A95" w:rsidRPr="00F43A95" w14:paraId="49A63308" w14:textId="77777777" w:rsidTr="00195F1F">
        <w:trPr>
          <w:trHeight w:val="3770"/>
        </w:trPr>
        <w:tc>
          <w:tcPr>
            <w:tcW w:w="506" w:type="pct"/>
            <w:tcBorders>
              <w:top w:val="nil"/>
              <w:left w:val="single" w:sz="4" w:space="0" w:color="000000"/>
              <w:bottom w:val="single" w:sz="4" w:space="0" w:color="000000"/>
              <w:right w:val="single" w:sz="4" w:space="0" w:color="000000"/>
            </w:tcBorders>
            <w:shd w:val="clear" w:color="auto" w:fill="auto"/>
            <w:vAlign w:val="center"/>
            <w:hideMark/>
          </w:tcPr>
          <w:p w14:paraId="4108BDF2"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Appel-Meulenbroek R., Weijs-Perrée M., Orel M., Gauger F., Pfnür A. (2021)</w:t>
            </w:r>
          </w:p>
        </w:tc>
        <w:tc>
          <w:tcPr>
            <w:tcW w:w="1024" w:type="pct"/>
            <w:tcBorders>
              <w:top w:val="nil"/>
              <w:left w:val="nil"/>
              <w:bottom w:val="single" w:sz="4" w:space="0" w:color="000000"/>
              <w:right w:val="single" w:sz="4" w:space="0" w:color="000000"/>
            </w:tcBorders>
            <w:shd w:val="clear" w:color="auto" w:fill="auto"/>
            <w:vAlign w:val="center"/>
            <w:hideMark/>
          </w:tcPr>
          <w:p w14:paraId="4BAC37AF"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National culture</w:t>
            </w:r>
          </w:p>
        </w:tc>
        <w:tc>
          <w:tcPr>
            <w:tcW w:w="818" w:type="pct"/>
            <w:tcBorders>
              <w:top w:val="nil"/>
              <w:left w:val="nil"/>
              <w:bottom w:val="single" w:sz="4" w:space="0" w:color="000000"/>
              <w:right w:val="single" w:sz="4" w:space="0" w:color="000000"/>
            </w:tcBorders>
            <w:shd w:val="clear" w:color="auto" w:fill="auto"/>
            <w:vAlign w:val="center"/>
            <w:hideMark/>
          </w:tcPr>
          <w:p w14:paraId="28E10978"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 xml:space="preserve">To investigate whether user preferences for the physical workspace design are consistent across countries, which the uniformity seems to suggest. </w:t>
            </w:r>
          </w:p>
        </w:tc>
        <w:tc>
          <w:tcPr>
            <w:tcW w:w="835" w:type="pct"/>
            <w:tcBorders>
              <w:top w:val="nil"/>
              <w:left w:val="nil"/>
              <w:bottom w:val="single" w:sz="4" w:space="0" w:color="000000"/>
              <w:right w:val="single" w:sz="4" w:space="0" w:color="000000"/>
            </w:tcBorders>
            <w:shd w:val="clear" w:color="auto" w:fill="auto"/>
            <w:vAlign w:val="center"/>
            <w:hideMark/>
          </w:tcPr>
          <w:p w14:paraId="5C3512B7"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 xml:space="preserve">Online questionnaire in two parts. First, top 3 of motivations to work at a coworking space from a list + personal questions. The second part was a stated-choice experiment preferences for the coworking space attributes. The sample includes the Netherlands (n=219), Germany (n=98) and Czech Republic (n=79). </w:t>
            </w:r>
          </w:p>
        </w:tc>
        <w:tc>
          <w:tcPr>
            <w:tcW w:w="581" w:type="pct"/>
            <w:tcBorders>
              <w:top w:val="nil"/>
              <w:left w:val="nil"/>
              <w:bottom w:val="single" w:sz="4" w:space="0" w:color="000000"/>
              <w:right w:val="single" w:sz="4" w:space="0" w:color="000000"/>
            </w:tcBorders>
            <w:shd w:val="clear" w:color="auto" w:fill="auto"/>
            <w:vAlign w:val="center"/>
            <w:hideMark/>
          </w:tcPr>
          <w:p w14:paraId="7B1BD350"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Coworking spaces</w:t>
            </w:r>
          </w:p>
        </w:tc>
        <w:tc>
          <w:tcPr>
            <w:tcW w:w="1236" w:type="pct"/>
            <w:tcBorders>
              <w:top w:val="nil"/>
              <w:left w:val="nil"/>
              <w:bottom w:val="single" w:sz="4" w:space="0" w:color="000000"/>
              <w:right w:val="single" w:sz="4" w:space="0" w:color="000000"/>
            </w:tcBorders>
            <w:shd w:val="clear" w:color="auto" w:fill="auto"/>
            <w:vAlign w:val="center"/>
            <w:hideMark/>
          </w:tcPr>
          <w:p w14:paraId="7586A649" w14:textId="4E0B211C"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 xml:space="preserve">Significant differences in the </w:t>
            </w:r>
            <w:r w:rsidR="00C0486B" w:rsidRPr="00F43A95">
              <w:rPr>
                <w:rFonts w:ascii="Times New Roman" w:eastAsia="Times New Roman" w:hAnsi="Times New Roman" w:cs="Times New Roman"/>
                <w:color w:val="000000" w:themeColor="text1"/>
                <w:kern w:val="0"/>
                <w:sz w:val="18"/>
                <w:szCs w:val="18"/>
                <w:lang w:val="en-GB" w:eastAsia="en-GB"/>
                <w14:ligatures w14:val="none"/>
              </w:rPr>
              <w:t>desired</w:t>
            </w:r>
            <w:r w:rsidRPr="00F43A95">
              <w:rPr>
                <w:rFonts w:ascii="Times New Roman" w:eastAsia="Times New Roman" w:hAnsi="Times New Roman" w:cs="Times New Roman"/>
                <w:color w:val="000000" w:themeColor="text1"/>
                <w:kern w:val="0"/>
                <w:sz w:val="18"/>
                <w:szCs w:val="18"/>
                <w:lang w:val="en-GB" w:eastAsia="en-GB"/>
                <w14:ligatures w14:val="none"/>
              </w:rPr>
              <w:t xml:space="preserve"> quality levels of specific attributes are found, therefore </w:t>
            </w:r>
            <w:r w:rsidR="00C0486B" w:rsidRPr="00F43A95">
              <w:rPr>
                <w:rFonts w:ascii="Times New Roman" w:eastAsia="Times New Roman" w:hAnsi="Times New Roman" w:cs="Times New Roman"/>
                <w:color w:val="000000" w:themeColor="text1"/>
                <w:kern w:val="0"/>
                <w:sz w:val="18"/>
                <w:szCs w:val="18"/>
                <w:lang w:val="en-GB" w:eastAsia="en-GB"/>
                <w14:ligatures w14:val="none"/>
              </w:rPr>
              <w:t>identical</w:t>
            </w:r>
            <w:r w:rsidRPr="00F43A95">
              <w:rPr>
                <w:rFonts w:ascii="Times New Roman" w:eastAsia="Times New Roman" w:hAnsi="Times New Roman" w:cs="Times New Roman"/>
                <w:color w:val="000000" w:themeColor="text1"/>
                <w:kern w:val="0"/>
                <w:sz w:val="18"/>
                <w:szCs w:val="18"/>
                <w:lang w:val="en-GB" w:eastAsia="en-GB"/>
                <w14:ligatures w14:val="none"/>
              </w:rPr>
              <w:t xml:space="preserve"> world-wide implementations of the same concept possibly will not attract local users of coworking spaces. The preferences </w:t>
            </w:r>
            <w:r w:rsidR="00C0486B" w:rsidRPr="00F43A95">
              <w:rPr>
                <w:rFonts w:ascii="Times New Roman" w:eastAsia="Times New Roman" w:hAnsi="Times New Roman" w:cs="Times New Roman"/>
                <w:color w:val="000000" w:themeColor="text1"/>
                <w:kern w:val="0"/>
                <w:sz w:val="18"/>
                <w:szCs w:val="18"/>
                <w:lang w:val="en-GB" w:eastAsia="en-GB"/>
                <w14:ligatures w14:val="none"/>
              </w:rPr>
              <w:t>identified</w:t>
            </w:r>
            <w:r w:rsidRPr="00F43A95">
              <w:rPr>
                <w:rFonts w:ascii="Times New Roman" w:eastAsia="Times New Roman" w:hAnsi="Times New Roman" w:cs="Times New Roman"/>
                <w:color w:val="000000" w:themeColor="text1"/>
                <w:kern w:val="0"/>
                <w:sz w:val="18"/>
                <w:szCs w:val="18"/>
                <w:lang w:val="en-GB" w:eastAsia="en-GB"/>
                <w14:ligatures w14:val="none"/>
              </w:rPr>
              <w:t xml:space="preserve"> can form the basis for sourcing decisions, facilitate location decisions and provide information on which employees feel most comfortable in which form of workplace. The coworking population is  very </w:t>
            </w:r>
            <w:r w:rsidR="00C0486B" w:rsidRPr="00F43A95">
              <w:rPr>
                <w:rFonts w:ascii="Times New Roman" w:eastAsia="Times New Roman" w:hAnsi="Times New Roman" w:cs="Times New Roman"/>
                <w:color w:val="000000" w:themeColor="text1"/>
                <w:kern w:val="0"/>
                <w:sz w:val="18"/>
                <w:szCs w:val="18"/>
                <w:lang w:val="en-GB" w:eastAsia="en-GB"/>
                <w14:ligatures w14:val="none"/>
              </w:rPr>
              <w:t>different</w:t>
            </w:r>
            <w:r w:rsidRPr="00F43A95">
              <w:rPr>
                <w:rFonts w:ascii="Times New Roman" w:eastAsia="Times New Roman" w:hAnsi="Times New Roman" w:cs="Times New Roman"/>
                <w:color w:val="000000" w:themeColor="text1"/>
                <w:kern w:val="0"/>
                <w:sz w:val="18"/>
                <w:szCs w:val="18"/>
                <w:lang w:val="en-GB" w:eastAsia="en-GB"/>
                <w14:ligatures w14:val="none"/>
              </w:rPr>
              <w:t xml:space="preserve"> from the regular population. The diversity of users, the variety of facilities and the space design might be additional </w:t>
            </w:r>
            <w:r w:rsidR="00C0486B" w:rsidRPr="00F43A95">
              <w:rPr>
                <w:rFonts w:ascii="Times New Roman" w:eastAsia="Times New Roman" w:hAnsi="Times New Roman" w:cs="Times New Roman"/>
                <w:color w:val="000000" w:themeColor="text1"/>
                <w:kern w:val="0"/>
                <w:sz w:val="18"/>
                <w:szCs w:val="18"/>
                <w:lang w:val="en-GB" w:eastAsia="en-GB"/>
                <w14:ligatures w14:val="none"/>
              </w:rPr>
              <w:t>benefits</w:t>
            </w:r>
            <w:r w:rsidRPr="00F43A95">
              <w:rPr>
                <w:rFonts w:ascii="Times New Roman" w:eastAsia="Times New Roman" w:hAnsi="Times New Roman" w:cs="Times New Roman"/>
                <w:color w:val="000000" w:themeColor="text1"/>
                <w:kern w:val="0"/>
                <w:sz w:val="18"/>
                <w:szCs w:val="18"/>
                <w:lang w:val="en-GB" w:eastAsia="en-GB"/>
                <w14:ligatures w14:val="none"/>
              </w:rPr>
              <w:t xml:space="preserve"> for corporates through the use of coworking spaces.</w:t>
            </w:r>
          </w:p>
        </w:tc>
      </w:tr>
      <w:tr w:rsidR="00F43A95" w:rsidRPr="00F43A95" w14:paraId="2C48F33C" w14:textId="77777777" w:rsidTr="00195F1F">
        <w:trPr>
          <w:trHeight w:val="3480"/>
        </w:trPr>
        <w:tc>
          <w:tcPr>
            <w:tcW w:w="506" w:type="pct"/>
            <w:tcBorders>
              <w:top w:val="nil"/>
              <w:left w:val="single" w:sz="4" w:space="0" w:color="000000"/>
              <w:bottom w:val="single" w:sz="4" w:space="0" w:color="000000"/>
              <w:right w:val="single" w:sz="4" w:space="0" w:color="000000"/>
            </w:tcBorders>
            <w:shd w:val="clear" w:color="auto" w:fill="auto"/>
            <w:vAlign w:val="center"/>
            <w:hideMark/>
          </w:tcPr>
          <w:p w14:paraId="0800A522"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lastRenderedPageBreak/>
              <w:t>Kwon C.-K. (2021)</w:t>
            </w:r>
          </w:p>
        </w:tc>
        <w:tc>
          <w:tcPr>
            <w:tcW w:w="1024" w:type="pct"/>
            <w:tcBorders>
              <w:top w:val="nil"/>
              <w:left w:val="nil"/>
              <w:bottom w:val="single" w:sz="4" w:space="0" w:color="000000"/>
              <w:right w:val="single" w:sz="4" w:space="0" w:color="000000"/>
            </w:tcBorders>
            <w:shd w:val="clear" w:color="auto" w:fill="auto"/>
            <w:vAlign w:val="center"/>
            <w:hideMark/>
          </w:tcPr>
          <w:p w14:paraId="71AD8778"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Disabilities (along with female and older workers) - the researcher himself is visually impaired</w:t>
            </w:r>
          </w:p>
        </w:tc>
        <w:tc>
          <w:tcPr>
            <w:tcW w:w="818" w:type="pct"/>
            <w:tcBorders>
              <w:top w:val="nil"/>
              <w:left w:val="nil"/>
              <w:bottom w:val="single" w:sz="4" w:space="0" w:color="000000"/>
              <w:right w:val="single" w:sz="4" w:space="0" w:color="000000"/>
            </w:tcBorders>
            <w:shd w:val="clear" w:color="auto" w:fill="auto"/>
            <w:vAlign w:val="center"/>
            <w:hideMark/>
          </w:tcPr>
          <w:p w14:paraId="29330560"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Examine the discursive practices of constructing positive identities of employees with disabilities in Deliberately Developmental Organizations (DDOs)</w:t>
            </w:r>
          </w:p>
        </w:tc>
        <w:tc>
          <w:tcPr>
            <w:tcW w:w="835" w:type="pct"/>
            <w:tcBorders>
              <w:top w:val="nil"/>
              <w:left w:val="nil"/>
              <w:bottom w:val="single" w:sz="4" w:space="0" w:color="000000"/>
              <w:right w:val="single" w:sz="4" w:space="0" w:color="000000"/>
            </w:tcBorders>
            <w:shd w:val="clear" w:color="auto" w:fill="auto"/>
            <w:vAlign w:val="center"/>
            <w:hideMark/>
          </w:tcPr>
          <w:p w14:paraId="2561F43E"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 xml:space="preserve"> Discourse analysis through interviews (Social constructionist approach, specifically poststructuralism).</w:t>
            </w:r>
          </w:p>
        </w:tc>
        <w:tc>
          <w:tcPr>
            <w:tcW w:w="581" w:type="pct"/>
            <w:tcBorders>
              <w:top w:val="nil"/>
              <w:left w:val="nil"/>
              <w:bottom w:val="single" w:sz="4" w:space="0" w:color="000000"/>
              <w:right w:val="single" w:sz="4" w:space="0" w:color="000000"/>
            </w:tcBorders>
            <w:shd w:val="clear" w:color="auto" w:fill="auto"/>
            <w:vAlign w:val="center"/>
            <w:hideMark/>
          </w:tcPr>
          <w:p w14:paraId="39E3A320"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 xml:space="preserve"> Workplace – alternative organizational space (Deliberatly Developmental Organization - DDO) where the principle of productivity is not dominant, but continuous learning, growth and development are at the center</w:t>
            </w:r>
          </w:p>
        </w:tc>
        <w:tc>
          <w:tcPr>
            <w:tcW w:w="1236" w:type="pct"/>
            <w:tcBorders>
              <w:top w:val="nil"/>
              <w:left w:val="nil"/>
              <w:bottom w:val="single" w:sz="4" w:space="0" w:color="000000"/>
              <w:right w:val="single" w:sz="4" w:space="0" w:color="000000"/>
            </w:tcBorders>
            <w:shd w:val="clear" w:color="auto" w:fill="auto"/>
            <w:vAlign w:val="center"/>
            <w:hideMark/>
          </w:tcPr>
          <w:p w14:paraId="6CF5C9BB"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People with disabilities are not mere objects shaped by such a grand discourse but active subjects who constantly struggle to transform and liberate their stereotyped identity. Are political agents with power to challenge ableism and enhance the representation of people with disabilities at work. The DDOs perhaps could be an alternative organizational space for disability inclusion. Research remains theoretical, DDOs are a promising alternative organizational space for inclusion (as it comprehends a vast spectrum of diversity – women, people of color, LGBTQ people, people with disabilities, and more)</w:t>
            </w:r>
          </w:p>
        </w:tc>
      </w:tr>
      <w:tr w:rsidR="00F43A95" w:rsidRPr="00F43A95" w14:paraId="29C8F3EE" w14:textId="77777777" w:rsidTr="00195F1F">
        <w:trPr>
          <w:trHeight w:val="3770"/>
        </w:trPr>
        <w:tc>
          <w:tcPr>
            <w:tcW w:w="506" w:type="pct"/>
            <w:tcBorders>
              <w:top w:val="nil"/>
              <w:left w:val="single" w:sz="4" w:space="0" w:color="000000"/>
              <w:bottom w:val="single" w:sz="4" w:space="0" w:color="000000"/>
              <w:right w:val="single" w:sz="4" w:space="0" w:color="000000"/>
            </w:tcBorders>
            <w:shd w:val="clear" w:color="auto" w:fill="auto"/>
            <w:vAlign w:val="center"/>
            <w:hideMark/>
          </w:tcPr>
          <w:p w14:paraId="05A818A5"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Das M., Tang J., Ringland K.E., Piper A.M. (2021)</w:t>
            </w:r>
          </w:p>
        </w:tc>
        <w:tc>
          <w:tcPr>
            <w:tcW w:w="1024" w:type="pct"/>
            <w:tcBorders>
              <w:top w:val="nil"/>
              <w:left w:val="nil"/>
              <w:bottom w:val="single" w:sz="4" w:space="0" w:color="000000"/>
              <w:right w:val="single" w:sz="4" w:space="0" w:color="000000"/>
            </w:tcBorders>
            <w:shd w:val="clear" w:color="auto" w:fill="auto"/>
            <w:vAlign w:val="center"/>
            <w:hideMark/>
          </w:tcPr>
          <w:p w14:paraId="7A0EDA99" w14:textId="6220382D"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 xml:space="preserve">Neurodiversity (Autism Spectrum Disorder; Attention </w:t>
            </w:r>
            <w:r w:rsidR="00C0486B" w:rsidRPr="00F43A95">
              <w:rPr>
                <w:rFonts w:ascii="Times New Roman" w:eastAsia="Times New Roman" w:hAnsi="Times New Roman" w:cs="Times New Roman"/>
                <w:color w:val="000000" w:themeColor="text1"/>
                <w:kern w:val="0"/>
                <w:sz w:val="18"/>
                <w:szCs w:val="18"/>
                <w:lang w:val="en-GB" w:eastAsia="en-GB"/>
                <w14:ligatures w14:val="none"/>
              </w:rPr>
              <w:t>Deficit</w:t>
            </w:r>
            <w:r w:rsidRPr="00F43A95">
              <w:rPr>
                <w:rFonts w:ascii="Times New Roman" w:eastAsia="Times New Roman" w:hAnsi="Times New Roman" w:cs="Times New Roman"/>
                <w:color w:val="000000" w:themeColor="text1"/>
                <w:kern w:val="0"/>
                <w:sz w:val="18"/>
                <w:szCs w:val="18"/>
                <w:lang w:val="en-GB" w:eastAsia="en-GB"/>
                <w14:ligatures w14:val="none"/>
              </w:rPr>
              <w:t xml:space="preserve"> Hyperactivity Disorder; learning disabilities e.g., dyslexia; and psychosocial disabilities, e.g., anxiety, depression)</w:t>
            </w:r>
          </w:p>
        </w:tc>
        <w:tc>
          <w:tcPr>
            <w:tcW w:w="818" w:type="pct"/>
            <w:tcBorders>
              <w:top w:val="nil"/>
              <w:left w:val="nil"/>
              <w:bottom w:val="single" w:sz="4" w:space="0" w:color="000000"/>
              <w:right w:val="single" w:sz="4" w:space="0" w:color="000000"/>
            </w:tcBorders>
            <w:shd w:val="clear" w:color="auto" w:fill="auto"/>
            <w:vAlign w:val="center"/>
            <w:hideMark/>
          </w:tcPr>
          <w:p w14:paraId="26E51C90"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To understand and rethink accessibility in remote work</w:t>
            </w:r>
          </w:p>
        </w:tc>
        <w:tc>
          <w:tcPr>
            <w:tcW w:w="835" w:type="pct"/>
            <w:tcBorders>
              <w:top w:val="nil"/>
              <w:left w:val="nil"/>
              <w:bottom w:val="single" w:sz="4" w:space="0" w:color="000000"/>
              <w:right w:val="single" w:sz="4" w:space="0" w:color="000000"/>
            </w:tcBorders>
            <w:shd w:val="clear" w:color="auto" w:fill="auto"/>
            <w:vAlign w:val="center"/>
            <w:hideMark/>
          </w:tcPr>
          <w:p w14:paraId="3E859941"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Semi-structured interviews with 36 neurodivergent professionals who are working from home during the pandemic</w:t>
            </w:r>
          </w:p>
        </w:tc>
        <w:tc>
          <w:tcPr>
            <w:tcW w:w="581" w:type="pct"/>
            <w:tcBorders>
              <w:top w:val="nil"/>
              <w:left w:val="nil"/>
              <w:bottom w:val="single" w:sz="4" w:space="0" w:color="000000"/>
              <w:right w:val="single" w:sz="4" w:space="0" w:color="000000"/>
            </w:tcBorders>
            <w:shd w:val="clear" w:color="auto" w:fill="auto"/>
            <w:vAlign w:val="center"/>
            <w:hideMark/>
          </w:tcPr>
          <w:p w14:paraId="26551D65"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Work from home</w:t>
            </w:r>
          </w:p>
        </w:tc>
        <w:tc>
          <w:tcPr>
            <w:tcW w:w="1236" w:type="pct"/>
            <w:tcBorders>
              <w:top w:val="nil"/>
              <w:left w:val="nil"/>
              <w:bottom w:val="single" w:sz="4" w:space="0" w:color="000000"/>
              <w:right w:val="single" w:sz="4" w:space="0" w:color="000000"/>
            </w:tcBorders>
            <w:shd w:val="clear" w:color="auto" w:fill="auto"/>
            <w:vAlign w:val="center"/>
            <w:hideMark/>
          </w:tcPr>
          <w:p w14:paraId="2A5569CF" w14:textId="5D64665E"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 xml:space="preserve">Working from home offers neurodivergent professionals much needed flexibility in work routines and environments, they must perform </w:t>
            </w:r>
            <w:r w:rsidR="00C0486B" w:rsidRPr="00F43A95">
              <w:rPr>
                <w:rFonts w:ascii="Times New Roman" w:eastAsia="Times New Roman" w:hAnsi="Times New Roman" w:cs="Times New Roman"/>
                <w:color w:val="000000" w:themeColor="text1"/>
                <w:kern w:val="0"/>
                <w:sz w:val="18"/>
                <w:szCs w:val="18"/>
                <w:lang w:val="en-GB" w:eastAsia="en-GB"/>
                <w14:ligatures w14:val="none"/>
              </w:rPr>
              <w:t>significant</w:t>
            </w:r>
            <w:r w:rsidRPr="00F43A95">
              <w:rPr>
                <w:rFonts w:ascii="Times New Roman" w:eastAsia="Times New Roman" w:hAnsi="Times New Roman" w:cs="Times New Roman"/>
                <w:color w:val="000000" w:themeColor="text1"/>
                <w:kern w:val="0"/>
                <w:sz w:val="18"/>
                <w:szCs w:val="18"/>
                <w:lang w:val="en-GB" w:eastAsia="en-GB"/>
                <w14:ligatures w14:val="none"/>
              </w:rPr>
              <w:t xml:space="preserve"> cognitive and emotional labor in configuring an accessible physical and virtual workspace at home and negotiating accessible remote communication practices.</w:t>
            </w:r>
          </w:p>
        </w:tc>
      </w:tr>
      <w:tr w:rsidR="00F43A95" w:rsidRPr="00F43A95" w14:paraId="7BC63879" w14:textId="77777777" w:rsidTr="00195F1F">
        <w:trPr>
          <w:trHeight w:val="3770"/>
        </w:trPr>
        <w:tc>
          <w:tcPr>
            <w:tcW w:w="506" w:type="pct"/>
            <w:tcBorders>
              <w:top w:val="nil"/>
              <w:left w:val="single" w:sz="4" w:space="0" w:color="000000"/>
              <w:bottom w:val="single" w:sz="4" w:space="0" w:color="000000"/>
              <w:right w:val="single" w:sz="4" w:space="0" w:color="000000"/>
            </w:tcBorders>
            <w:shd w:val="clear" w:color="auto" w:fill="auto"/>
            <w:vAlign w:val="center"/>
            <w:hideMark/>
          </w:tcPr>
          <w:p w14:paraId="1D42C11D"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lastRenderedPageBreak/>
              <w:t>Adenipekun M.T., Ajibola M.O., Oluwunmi A.O. (2021)</w:t>
            </w:r>
          </w:p>
        </w:tc>
        <w:tc>
          <w:tcPr>
            <w:tcW w:w="1024" w:type="pct"/>
            <w:tcBorders>
              <w:top w:val="nil"/>
              <w:left w:val="nil"/>
              <w:bottom w:val="single" w:sz="4" w:space="0" w:color="000000"/>
              <w:right w:val="single" w:sz="4" w:space="0" w:color="000000"/>
            </w:tcBorders>
            <w:shd w:val="clear" w:color="auto" w:fill="auto"/>
            <w:vAlign w:val="center"/>
            <w:hideMark/>
          </w:tcPr>
          <w:p w14:paraId="3968C434"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Work pattern; Health</w:t>
            </w:r>
          </w:p>
        </w:tc>
        <w:tc>
          <w:tcPr>
            <w:tcW w:w="818" w:type="pct"/>
            <w:tcBorders>
              <w:top w:val="nil"/>
              <w:left w:val="nil"/>
              <w:bottom w:val="single" w:sz="4" w:space="0" w:color="000000"/>
              <w:right w:val="single" w:sz="4" w:space="0" w:color="000000"/>
            </w:tcBorders>
            <w:shd w:val="clear" w:color="auto" w:fill="auto"/>
            <w:vAlign w:val="center"/>
            <w:hideMark/>
          </w:tcPr>
          <w:p w14:paraId="033BC088"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Articulate the user-centred variables in academic work environment with holistically sustainable Academic Workspace Evaluation (AWE) framework for universities</w:t>
            </w:r>
          </w:p>
        </w:tc>
        <w:tc>
          <w:tcPr>
            <w:tcW w:w="835" w:type="pct"/>
            <w:tcBorders>
              <w:top w:val="nil"/>
              <w:left w:val="nil"/>
              <w:bottom w:val="single" w:sz="4" w:space="0" w:color="000000"/>
              <w:right w:val="single" w:sz="4" w:space="0" w:color="000000"/>
            </w:tcBorders>
            <w:shd w:val="clear" w:color="auto" w:fill="auto"/>
            <w:vAlign w:val="center"/>
            <w:hideMark/>
          </w:tcPr>
          <w:p w14:paraId="2655D961"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Literature review</w:t>
            </w:r>
          </w:p>
        </w:tc>
        <w:tc>
          <w:tcPr>
            <w:tcW w:w="581" w:type="pct"/>
            <w:tcBorders>
              <w:top w:val="nil"/>
              <w:left w:val="nil"/>
              <w:bottom w:val="single" w:sz="4" w:space="0" w:color="000000"/>
              <w:right w:val="single" w:sz="4" w:space="0" w:color="000000"/>
            </w:tcBorders>
            <w:shd w:val="clear" w:color="auto" w:fill="auto"/>
            <w:vAlign w:val="center"/>
            <w:hideMark/>
          </w:tcPr>
          <w:p w14:paraId="46812C04"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Academic Workspace</w:t>
            </w:r>
          </w:p>
        </w:tc>
        <w:tc>
          <w:tcPr>
            <w:tcW w:w="1236" w:type="pct"/>
            <w:tcBorders>
              <w:top w:val="nil"/>
              <w:left w:val="nil"/>
              <w:bottom w:val="single" w:sz="4" w:space="0" w:color="000000"/>
              <w:right w:val="single" w:sz="4" w:space="0" w:color="000000"/>
            </w:tcBorders>
            <w:shd w:val="clear" w:color="auto" w:fill="auto"/>
            <w:vAlign w:val="center"/>
            <w:hideMark/>
          </w:tcPr>
          <w:p w14:paraId="648274C3"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The study identifies 109 user-centred cognate variables as</w:t>
            </w:r>
            <w:r w:rsidRPr="00F43A95">
              <w:rPr>
                <w:rFonts w:ascii="Times New Roman" w:eastAsia="Times New Roman" w:hAnsi="Times New Roman" w:cs="Times New Roman"/>
                <w:color w:val="000000" w:themeColor="text1"/>
                <w:kern w:val="0"/>
                <w:sz w:val="18"/>
                <w:szCs w:val="18"/>
                <w:lang w:val="en-GB" w:eastAsia="en-GB"/>
                <w14:ligatures w14:val="none"/>
              </w:rPr>
              <w:br/>
              <w:t>prerequisite of AWE. These variables fall into three basic units for ease of analysis: the organisation culture, the employees‟ work environment, and the academic workspace condition. This study has shown that gap exists in the provision of academic workspace standards globally. There is lack of universal holistic academic workspace standard to compare benchmarks for minimum acceptable workspace quality among workforce across the world</w:t>
            </w:r>
          </w:p>
        </w:tc>
      </w:tr>
      <w:tr w:rsidR="00F43A95" w:rsidRPr="00F43A95" w14:paraId="1F99464B" w14:textId="77777777" w:rsidTr="00195F1F">
        <w:trPr>
          <w:trHeight w:val="2300"/>
        </w:trPr>
        <w:tc>
          <w:tcPr>
            <w:tcW w:w="506" w:type="pct"/>
            <w:tcBorders>
              <w:top w:val="nil"/>
              <w:left w:val="single" w:sz="4" w:space="0" w:color="000000"/>
              <w:bottom w:val="single" w:sz="4" w:space="0" w:color="000000"/>
              <w:right w:val="single" w:sz="4" w:space="0" w:color="000000"/>
            </w:tcBorders>
            <w:shd w:val="clear" w:color="auto" w:fill="auto"/>
            <w:vAlign w:val="center"/>
            <w:hideMark/>
          </w:tcPr>
          <w:p w14:paraId="7E717FC7"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Nash L. (2021)</w:t>
            </w:r>
          </w:p>
        </w:tc>
        <w:tc>
          <w:tcPr>
            <w:tcW w:w="1024" w:type="pct"/>
            <w:tcBorders>
              <w:top w:val="nil"/>
              <w:left w:val="nil"/>
              <w:bottom w:val="single" w:sz="4" w:space="0" w:color="000000"/>
              <w:right w:val="single" w:sz="4" w:space="0" w:color="000000"/>
            </w:tcBorders>
            <w:shd w:val="clear" w:color="auto" w:fill="auto"/>
            <w:vAlign w:val="center"/>
            <w:hideMark/>
          </w:tcPr>
          <w:p w14:paraId="245B81AF"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Gender</w:t>
            </w:r>
          </w:p>
        </w:tc>
        <w:tc>
          <w:tcPr>
            <w:tcW w:w="818" w:type="pct"/>
            <w:tcBorders>
              <w:top w:val="nil"/>
              <w:left w:val="nil"/>
              <w:bottom w:val="single" w:sz="4" w:space="0" w:color="000000"/>
              <w:right w:val="single" w:sz="4" w:space="0" w:color="000000"/>
            </w:tcBorders>
            <w:shd w:val="clear" w:color="auto" w:fill="auto"/>
            <w:vAlign w:val="center"/>
            <w:hideMark/>
          </w:tcPr>
          <w:p w14:paraId="658AD942" w14:textId="09EDF54F"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 xml:space="preserve">The </w:t>
            </w:r>
            <w:r w:rsidR="00C0486B" w:rsidRPr="00F43A95">
              <w:rPr>
                <w:rFonts w:ascii="Times New Roman" w:eastAsia="Times New Roman" w:hAnsi="Times New Roman" w:cs="Times New Roman"/>
                <w:color w:val="000000" w:themeColor="text1"/>
                <w:kern w:val="0"/>
                <w:sz w:val="18"/>
                <w:szCs w:val="18"/>
                <w:lang w:val="en-GB" w:eastAsia="en-GB"/>
                <w14:ligatures w14:val="none"/>
              </w:rPr>
              <w:t>study</w:t>
            </w:r>
            <w:r w:rsidRPr="00F43A95">
              <w:rPr>
                <w:rFonts w:ascii="Times New Roman" w:eastAsia="Times New Roman" w:hAnsi="Times New Roman" w:cs="Times New Roman"/>
                <w:color w:val="000000" w:themeColor="text1"/>
                <w:kern w:val="0"/>
                <w:sz w:val="18"/>
                <w:szCs w:val="18"/>
                <w:lang w:val="en-GB" w:eastAsia="en-GB"/>
                <w14:ligatures w14:val="none"/>
              </w:rPr>
              <w:t xml:space="preserve"> concerns how the City of London is imagined, constructed and experienced in and through gender performativity of workers which can be expressed rhythmically</w:t>
            </w:r>
          </w:p>
        </w:tc>
        <w:tc>
          <w:tcPr>
            <w:tcW w:w="835" w:type="pct"/>
            <w:tcBorders>
              <w:top w:val="nil"/>
              <w:left w:val="nil"/>
              <w:bottom w:val="single" w:sz="4" w:space="0" w:color="000000"/>
              <w:right w:val="single" w:sz="4" w:space="0" w:color="000000"/>
            </w:tcBorders>
            <w:shd w:val="clear" w:color="auto" w:fill="auto"/>
            <w:vAlign w:val="center"/>
            <w:hideMark/>
          </w:tcPr>
          <w:p w14:paraId="1ABDAC25"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Rythmanalysis through fieldwork (autoethnography, urban walking, photographic data + 18 interviews)</w:t>
            </w:r>
          </w:p>
        </w:tc>
        <w:tc>
          <w:tcPr>
            <w:tcW w:w="581" w:type="pct"/>
            <w:tcBorders>
              <w:top w:val="nil"/>
              <w:left w:val="nil"/>
              <w:bottom w:val="single" w:sz="4" w:space="0" w:color="000000"/>
              <w:right w:val="single" w:sz="4" w:space="0" w:color="000000"/>
            </w:tcBorders>
            <w:shd w:val="clear" w:color="auto" w:fill="auto"/>
            <w:vAlign w:val="center"/>
            <w:hideMark/>
          </w:tcPr>
          <w:p w14:paraId="7981C1E2" w14:textId="7B822F44"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 xml:space="preserve">The urban space as a workplace (metaphorical) - interviewees working in finance, professional </w:t>
            </w:r>
            <w:r w:rsidR="00C0486B" w:rsidRPr="00F43A95">
              <w:rPr>
                <w:rFonts w:ascii="Times New Roman" w:eastAsia="Times New Roman" w:hAnsi="Times New Roman" w:cs="Times New Roman"/>
                <w:color w:val="000000" w:themeColor="text1"/>
                <w:kern w:val="0"/>
                <w:sz w:val="18"/>
                <w:szCs w:val="18"/>
                <w:lang w:val="en-GB" w:eastAsia="en-GB"/>
                <w14:ligatures w14:val="none"/>
              </w:rPr>
              <w:t>services</w:t>
            </w:r>
            <w:r w:rsidRPr="00F43A95">
              <w:rPr>
                <w:rFonts w:ascii="Times New Roman" w:eastAsia="Times New Roman" w:hAnsi="Times New Roman" w:cs="Times New Roman"/>
                <w:color w:val="000000" w:themeColor="text1"/>
                <w:kern w:val="0"/>
                <w:sz w:val="18"/>
                <w:szCs w:val="18"/>
                <w:lang w:val="en-GB" w:eastAsia="en-GB"/>
                <w14:ligatures w14:val="none"/>
              </w:rPr>
              <w:t xml:space="preserve">, technology and consulting. </w:t>
            </w:r>
          </w:p>
        </w:tc>
        <w:tc>
          <w:tcPr>
            <w:tcW w:w="1236" w:type="pct"/>
            <w:tcBorders>
              <w:top w:val="nil"/>
              <w:left w:val="nil"/>
              <w:bottom w:val="single" w:sz="4" w:space="0" w:color="000000"/>
              <w:right w:val="single" w:sz="4" w:space="0" w:color="000000"/>
            </w:tcBorders>
            <w:shd w:val="clear" w:color="auto" w:fill="auto"/>
            <w:vAlign w:val="center"/>
            <w:hideMark/>
          </w:tcPr>
          <w:p w14:paraId="01F7EF05"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 xml:space="preserve">The place is perceived as something special, set apart and distinct, and it reinforces itself again and again through repeating rhythms. Eurythmia in the City characterises the attitude of men by navigational confidence with the spatio-temporal rhythms; arrhythmia characterises the attitude of women especially by feeling of anxiety, fatigue, displacement and exclusion. </w:t>
            </w:r>
          </w:p>
        </w:tc>
      </w:tr>
      <w:tr w:rsidR="00F43A95" w:rsidRPr="00F43A95" w14:paraId="3FB4B103" w14:textId="77777777" w:rsidTr="00195F1F">
        <w:trPr>
          <w:trHeight w:val="2900"/>
        </w:trPr>
        <w:tc>
          <w:tcPr>
            <w:tcW w:w="506" w:type="pct"/>
            <w:tcBorders>
              <w:top w:val="nil"/>
              <w:left w:val="single" w:sz="4" w:space="0" w:color="000000"/>
              <w:bottom w:val="single" w:sz="4" w:space="0" w:color="000000"/>
              <w:right w:val="single" w:sz="4" w:space="0" w:color="000000"/>
            </w:tcBorders>
            <w:shd w:val="clear" w:color="auto" w:fill="auto"/>
            <w:vAlign w:val="center"/>
            <w:hideMark/>
          </w:tcPr>
          <w:p w14:paraId="562A7CEB"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lastRenderedPageBreak/>
              <w:t>Bend and Priola (2021) </w:t>
            </w:r>
          </w:p>
        </w:tc>
        <w:tc>
          <w:tcPr>
            <w:tcW w:w="1024" w:type="pct"/>
            <w:tcBorders>
              <w:top w:val="nil"/>
              <w:left w:val="nil"/>
              <w:bottom w:val="single" w:sz="4" w:space="0" w:color="000000"/>
              <w:right w:val="single" w:sz="4" w:space="0" w:color="000000"/>
            </w:tcBorders>
            <w:shd w:val="clear" w:color="auto" w:fill="auto"/>
            <w:vAlign w:val="center"/>
            <w:hideMark/>
          </w:tcPr>
          <w:p w14:paraId="2A59AB5D"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Disabled men and women who work in sheltered employment </w:t>
            </w:r>
          </w:p>
        </w:tc>
        <w:tc>
          <w:tcPr>
            <w:tcW w:w="818" w:type="pct"/>
            <w:tcBorders>
              <w:top w:val="nil"/>
              <w:left w:val="nil"/>
              <w:bottom w:val="single" w:sz="4" w:space="0" w:color="000000"/>
              <w:right w:val="single" w:sz="4" w:space="0" w:color="000000"/>
            </w:tcBorders>
            <w:shd w:val="clear" w:color="auto" w:fill="auto"/>
            <w:vAlign w:val="center"/>
            <w:hideMark/>
          </w:tcPr>
          <w:p w14:paraId="4D0FDB5D"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The paper analyses how the entanglement of socio-material practices affects disabled workers’ co-constructions of work and disability </w:t>
            </w:r>
          </w:p>
        </w:tc>
        <w:tc>
          <w:tcPr>
            <w:tcW w:w="835" w:type="pct"/>
            <w:tcBorders>
              <w:top w:val="nil"/>
              <w:left w:val="nil"/>
              <w:bottom w:val="single" w:sz="4" w:space="0" w:color="000000"/>
              <w:right w:val="single" w:sz="4" w:space="0" w:color="000000"/>
            </w:tcBorders>
            <w:shd w:val="clear" w:color="auto" w:fill="auto"/>
            <w:vAlign w:val="center"/>
            <w:hideMark/>
          </w:tcPr>
          <w:p w14:paraId="745F4AAF"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Participant observations and interviews with management and workers at a sheltered workshop </w:t>
            </w:r>
          </w:p>
        </w:tc>
        <w:tc>
          <w:tcPr>
            <w:tcW w:w="581" w:type="pct"/>
            <w:tcBorders>
              <w:top w:val="nil"/>
              <w:left w:val="nil"/>
              <w:bottom w:val="single" w:sz="4" w:space="0" w:color="000000"/>
              <w:right w:val="single" w:sz="4" w:space="0" w:color="000000"/>
            </w:tcBorders>
            <w:shd w:val="clear" w:color="auto" w:fill="auto"/>
            <w:vAlign w:val="center"/>
            <w:hideMark/>
          </w:tcPr>
          <w:p w14:paraId="06C11BDB"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Shop Floor – open Plan </w:t>
            </w:r>
          </w:p>
        </w:tc>
        <w:tc>
          <w:tcPr>
            <w:tcW w:w="1236" w:type="pct"/>
            <w:tcBorders>
              <w:top w:val="nil"/>
              <w:left w:val="nil"/>
              <w:bottom w:val="single" w:sz="4" w:space="0" w:color="000000"/>
              <w:right w:val="single" w:sz="4" w:space="0" w:color="000000"/>
            </w:tcBorders>
            <w:shd w:val="clear" w:color="auto" w:fill="auto"/>
            <w:vAlign w:val="center"/>
            <w:hideMark/>
          </w:tcPr>
          <w:p w14:paraId="395652D6"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The entanglement of bodies, space, objects and discourses affects materialisations of disability in ways that appear more inclusive than in mainstream employment </w:t>
            </w:r>
          </w:p>
        </w:tc>
      </w:tr>
      <w:tr w:rsidR="00F43A95" w:rsidRPr="00F43A95" w14:paraId="5590ED8A" w14:textId="77777777" w:rsidTr="00195F1F">
        <w:trPr>
          <w:trHeight w:val="2610"/>
        </w:trPr>
        <w:tc>
          <w:tcPr>
            <w:tcW w:w="506" w:type="pct"/>
            <w:tcBorders>
              <w:top w:val="nil"/>
              <w:left w:val="single" w:sz="4" w:space="0" w:color="000000"/>
              <w:bottom w:val="single" w:sz="4" w:space="0" w:color="000000"/>
              <w:right w:val="single" w:sz="4" w:space="0" w:color="000000"/>
            </w:tcBorders>
            <w:shd w:val="clear" w:color="auto" w:fill="auto"/>
            <w:vAlign w:val="center"/>
            <w:hideMark/>
          </w:tcPr>
          <w:p w14:paraId="11F78EB1"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 xml:space="preserve">Pacchi and Mariotti (2021) </w:t>
            </w:r>
          </w:p>
        </w:tc>
        <w:tc>
          <w:tcPr>
            <w:tcW w:w="1024" w:type="pct"/>
            <w:tcBorders>
              <w:top w:val="nil"/>
              <w:left w:val="nil"/>
              <w:bottom w:val="single" w:sz="4" w:space="0" w:color="000000"/>
              <w:right w:val="single" w:sz="4" w:space="0" w:color="000000"/>
            </w:tcBorders>
            <w:shd w:val="clear" w:color="auto" w:fill="auto"/>
            <w:vAlign w:val="center"/>
            <w:hideMark/>
          </w:tcPr>
          <w:p w14:paraId="1F311325"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 xml:space="preserve">Precarious workers </w:t>
            </w:r>
          </w:p>
        </w:tc>
        <w:tc>
          <w:tcPr>
            <w:tcW w:w="818" w:type="pct"/>
            <w:tcBorders>
              <w:top w:val="nil"/>
              <w:left w:val="nil"/>
              <w:bottom w:val="single" w:sz="4" w:space="0" w:color="000000"/>
              <w:right w:val="single" w:sz="4" w:space="0" w:color="000000"/>
            </w:tcBorders>
            <w:shd w:val="clear" w:color="auto" w:fill="auto"/>
            <w:vAlign w:val="center"/>
            <w:hideMark/>
          </w:tcPr>
          <w:p w14:paraId="38B82ED6"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 xml:space="preserve">Understand if new shared workspaces act more as shelters from a difficult and exclusionary job market than a boost of job opportunities. </w:t>
            </w:r>
          </w:p>
        </w:tc>
        <w:tc>
          <w:tcPr>
            <w:tcW w:w="835" w:type="pct"/>
            <w:tcBorders>
              <w:top w:val="nil"/>
              <w:left w:val="nil"/>
              <w:bottom w:val="single" w:sz="4" w:space="0" w:color="000000"/>
              <w:right w:val="single" w:sz="4" w:space="0" w:color="000000"/>
            </w:tcBorders>
            <w:shd w:val="clear" w:color="auto" w:fill="auto"/>
            <w:vAlign w:val="center"/>
            <w:hideMark/>
          </w:tcPr>
          <w:p w14:paraId="0CE98AA8"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 xml:space="preserve">Survey – online questionnaires to 326 people in different Italian coworking spaces </w:t>
            </w:r>
          </w:p>
        </w:tc>
        <w:tc>
          <w:tcPr>
            <w:tcW w:w="581" w:type="pct"/>
            <w:tcBorders>
              <w:top w:val="nil"/>
              <w:left w:val="nil"/>
              <w:bottom w:val="single" w:sz="4" w:space="0" w:color="000000"/>
              <w:right w:val="single" w:sz="4" w:space="0" w:color="000000"/>
            </w:tcBorders>
            <w:shd w:val="clear" w:color="auto" w:fill="auto"/>
            <w:vAlign w:val="center"/>
            <w:hideMark/>
          </w:tcPr>
          <w:p w14:paraId="76790A5F"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 xml:space="preserve">Coworking spaces </w:t>
            </w:r>
          </w:p>
        </w:tc>
        <w:tc>
          <w:tcPr>
            <w:tcW w:w="1236" w:type="pct"/>
            <w:tcBorders>
              <w:top w:val="nil"/>
              <w:left w:val="nil"/>
              <w:bottom w:val="single" w:sz="4" w:space="0" w:color="000000"/>
              <w:right w:val="single" w:sz="4" w:space="0" w:color="000000"/>
            </w:tcBorders>
            <w:shd w:val="clear" w:color="auto" w:fill="auto"/>
            <w:vAlign w:val="center"/>
            <w:hideMark/>
          </w:tcPr>
          <w:p w14:paraId="1C8FD952"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 xml:space="preserve">Coworking spaces are places in which precarious and insecure professionals find some form of protection, but at the same time this does not become for them neither a springboard for securing more stable and profitable careers. Coworking spaces can provide benefit in terms of: knowledge sharing, proximity and the creation of communities as defensive strategies in a difficult labour market. </w:t>
            </w:r>
          </w:p>
        </w:tc>
      </w:tr>
      <w:tr w:rsidR="00F43A95" w:rsidRPr="00F43A95" w14:paraId="45CFF361" w14:textId="77777777" w:rsidTr="00195F1F">
        <w:trPr>
          <w:trHeight w:val="3480"/>
        </w:trPr>
        <w:tc>
          <w:tcPr>
            <w:tcW w:w="506" w:type="pct"/>
            <w:tcBorders>
              <w:top w:val="nil"/>
              <w:left w:val="single" w:sz="4" w:space="0" w:color="000000"/>
              <w:bottom w:val="single" w:sz="4" w:space="0" w:color="000000"/>
              <w:right w:val="single" w:sz="4" w:space="0" w:color="000000"/>
            </w:tcBorders>
            <w:shd w:val="clear" w:color="auto" w:fill="auto"/>
            <w:vAlign w:val="center"/>
            <w:hideMark/>
          </w:tcPr>
          <w:p w14:paraId="33F59D4D"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lastRenderedPageBreak/>
              <w:t>Zhang L., Sanake S. (2020)</w:t>
            </w:r>
          </w:p>
        </w:tc>
        <w:tc>
          <w:tcPr>
            <w:tcW w:w="1024" w:type="pct"/>
            <w:tcBorders>
              <w:top w:val="nil"/>
              <w:left w:val="nil"/>
              <w:bottom w:val="single" w:sz="4" w:space="0" w:color="000000"/>
              <w:right w:val="single" w:sz="4" w:space="0" w:color="000000"/>
            </w:tcBorders>
            <w:shd w:val="clear" w:color="auto" w:fill="auto"/>
            <w:vAlign w:val="center"/>
            <w:hideMark/>
          </w:tcPr>
          <w:p w14:paraId="54D480BC"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Personal perceptions of the thermal, humidity, indoor air quality, acoustic, and visual comfort (related to demographic information like age, gender, ethnicity and occupation)</w:t>
            </w:r>
          </w:p>
        </w:tc>
        <w:tc>
          <w:tcPr>
            <w:tcW w:w="818" w:type="pct"/>
            <w:tcBorders>
              <w:top w:val="nil"/>
              <w:left w:val="nil"/>
              <w:bottom w:val="single" w:sz="4" w:space="0" w:color="000000"/>
              <w:right w:val="single" w:sz="4" w:space="0" w:color="000000"/>
            </w:tcBorders>
            <w:shd w:val="clear" w:color="auto" w:fill="auto"/>
            <w:vAlign w:val="center"/>
            <w:hideMark/>
          </w:tcPr>
          <w:p w14:paraId="775B8E86"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This research contributes to the body of knowledge by providing a new model for measuring group occupants’ comfort</w:t>
            </w:r>
          </w:p>
        </w:tc>
        <w:tc>
          <w:tcPr>
            <w:tcW w:w="835" w:type="pct"/>
            <w:tcBorders>
              <w:top w:val="nil"/>
              <w:left w:val="nil"/>
              <w:bottom w:val="single" w:sz="4" w:space="0" w:color="000000"/>
              <w:right w:val="single" w:sz="4" w:space="0" w:color="000000"/>
            </w:tcBorders>
            <w:shd w:val="clear" w:color="auto" w:fill="auto"/>
            <w:vAlign w:val="center"/>
            <w:hideMark/>
          </w:tcPr>
          <w:p w14:paraId="0E77AFE8" w14:textId="5C722C0B"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 xml:space="preserve">3 hypothetical cases of generic open office and 2 real case studies of 2 </w:t>
            </w:r>
            <w:r w:rsidR="00C0486B" w:rsidRPr="00F43A95">
              <w:rPr>
                <w:rFonts w:ascii="Times New Roman" w:eastAsia="Times New Roman" w:hAnsi="Times New Roman" w:cs="Times New Roman"/>
                <w:color w:val="000000" w:themeColor="text1"/>
                <w:kern w:val="0"/>
                <w:sz w:val="18"/>
                <w:szCs w:val="18"/>
                <w:lang w:val="en-GB" w:eastAsia="en-GB"/>
                <w14:ligatures w14:val="none"/>
              </w:rPr>
              <w:t>University</w:t>
            </w:r>
            <w:r w:rsidRPr="00F43A95">
              <w:rPr>
                <w:rFonts w:ascii="Times New Roman" w:eastAsia="Times New Roman" w:hAnsi="Times New Roman" w:cs="Times New Roman"/>
                <w:color w:val="000000" w:themeColor="text1"/>
                <w:kern w:val="0"/>
                <w:sz w:val="18"/>
                <w:szCs w:val="18"/>
                <w:lang w:val="en-GB" w:eastAsia="en-GB"/>
                <w14:ligatures w14:val="none"/>
              </w:rPr>
              <w:t xml:space="preserve"> Colleges (including open office and classrooms investigated by questionnaires, interviews, and consensus group meetings)</w:t>
            </w:r>
          </w:p>
        </w:tc>
        <w:tc>
          <w:tcPr>
            <w:tcW w:w="581" w:type="pct"/>
            <w:tcBorders>
              <w:top w:val="nil"/>
              <w:left w:val="nil"/>
              <w:bottom w:val="single" w:sz="4" w:space="0" w:color="000000"/>
              <w:right w:val="single" w:sz="4" w:space="0" w:color="000000"/>
            </w:tcBorders>
            <w:shd w:val="clear" w:color="auto" w:fill="auto"/>
            <w:vAlign w:val="center"/>
            <w:hideMark/>
          </w:tcPr>
          <w:p w14:paraId="20A40943"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 xml:space="preserve">Multi-occupancy environments (open office) </w:t>
            </w:r>
            <w:r w:rsidRPr="00F43A95">
              <w:rPr>
                <w:rFonts w:ascii="Times New Roman" w:eastAsia="Times New Roman" w:hAnsi="Times New Roman" w:cs="Times New Roman"/>
                <w:color w:val="000000" w:themeColor="text1"/>
                <w:kern w:val="0"/>
                <w:sz w:val="18"/>
                <w:szCs w:val="18"/>
                <w:lang w:val="en-GB" w:eastAsia="en-GB"/>
                <w14:ligatures w14:val="none"/>
              </w:rPr>
              <w:br/>
              <w:t>- Indoor Environmental Quality (IEQ)</w:t>
            </w:r>
          </w:p>
        </w:tc>
        <w:tc>
          <w:tcPr>
            <w:tcW w:w="1236" w:type="pct"/>
            <w:tcBorders>
              <w:top w:val="nil"/>
              <w:left w:val="nil"/>
              <w:bottom w:val="single" w:sz="4" w:space="0" w:color="000000"/>
              <w:right w:val="single" w:sz="4" w:space="0" w:color="000000"/>
            </w:tcBorders>
            <w:shd w:val="clear" w:color="auto" w:fill="auto"/>
            <w:vAlign w:val="center"/>
            <w:hideMark/>
          </w:tcPr>
          <w:p w14:paraId="500408BC" w14:textId="42C062EC"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 xml:space="preserve">It provides a new human comfort aggregation model (called Social Welfare-Based Human Comfort Aggregation Model) to define group comfort levels based on individual comfort levels, the inequality of comfort distribution, and the extreme discomfort. This research proposes a way for measuring the equality/inequality of occupant comfort in a quantitative manner. This work supports human-centered design approach to offer more comfortable, </w:t>
            </w:r>
            <w:r w:rsidR="00C0486B" w:rsidRPr="00F43A95">
              <w:rPr>
                <w:rFonts w:ascii="Times New Roman" w:eastAsia="Times New Roman" w:hAnsi="Times New Roman" w:cs="Times New Roman"/>
                <w:color w:val="000000" w:themeColor="text1"/>
                <w:kern w:val="0"/>
                <w:sz w:val="18"/>
                <w:szCs w:val="18"/>
                <w:lang w:val="en-GB" w:eastAsia="en-GB"/>
                <w14:ligatures w14:val="none"/>
              </w:rPr>
              <w:t>healthy</w:t>
            </w:r>
            <w:r w:rsidRPr="00F43A95">
              <w:rPr>
                <w:rFonts w:ascii="Times New Roman" w:eastAsia="Times New Roman" w:hAnsi="Times New Roman" w:cs="Times New Roman"/>
                <w:color w:val="000000" w:themeColor="text1"/>
                <w:kern w:val="0"/>
                <w:sz w:val="18"/>
                <w:szCs w:val="18"/>
                <w:lang w:val="en-GB" w:eastAsia="en-GB"/>
                <w14:ligatures w14:val="none"/>
              </w:rPr>
              <w:t xml:space="preserve">, and inclusive built environments to occupants. </w:t>
            </w:r>
          </w:p>
        </w:tc>
      </w:tr>
      <w:tr w:rsidR="00F43A95" w:rsidRPr="00F43A95" w14:paraId="7A04733C" w14:textId="77777777" w:rsidTr="00195F1F">
        <w:trPr>
          <w:trHeight w:val="2900"/>
        </w:trPr>
        <w:tc>
          <w:tcPr>
            <w:tcW w:w="506" w:type="pct"/>
            <w:tcBorders>
              <w:top w:val="nil"/>
              <w:left w:val="single" w:sz="4" w:space="0" w:color="000000"/>
              <w:bottom w:val="single" w:sz="4" w:space="0" w:color="000000"/>
              <w:right w:val="single" w:sz="4" w:space="0" w:color="000000"/>
            </w:tcBorders>
            <w:shd w:val="clear" w:color="auto" w:fill="auto"/>
            <w:vAlign w:val="center"/>
            <w:hideMark/>
          </w:tcPr>
          <w:p w14:paraId="2F86246A"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Jeske D., Ruwe T. (2019)</w:t>
            </w:r>
          </w:p>
        </w:tc>
        <w:tc>
          <w:tcPr>
            <w:tcW w:w="1024" w:type="pct"/>
            <w:tcBorders>
              <w:top w:val="nil"/>
              <w:left w:val="nil"/>
              <w:bottom w:val="single" w:sz="4" w:space="0" w:color="000000"/>
              <w:right w:val="single" w:sz="4" w:space="0" w:color="000000"/>
            </w:tcBorders>
            <w:shd w:val="clear" w:color="auto" w:fill="auto"/>
            <w:vAlign w:val="center"/>
            <w:hideMark/>
          </w:tcPr>
          <w:p w14:paraId="6C5603A4"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Employed workers working remotely from coworking spaces</w:t>
            </w:r>
          </w:p>
        </w:tc>
        <w:tc>
          <w:tcPr>
            <w:tcW w:w="818" w:type="pct"/>
            <w:tcBorders>
              <w:top w:val="nil"/>
              <w:left w:val="nil"/>
              <w:bottom w:val="single" w:sz="4" w:space="0" w:color="000000"/>
              <w:right w:val="single" w:sz="4" w:space="0" w:color="000000"/>
            </w:tcBorders>
            <w:shd w:val="clear" w:color="auto" w:fill="auto"/>
            <w:vAlign w:val="center"/>
            <w:hideMark/>
          </w:tcPr>
          <w:p w14:paraId="3AD69D98"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Provide an overview of co-working trends, drivers, and explore how the use of such workspaces may support employers wishing to increase the sense of belonging and acceptance at work.</w:t>
            </w:r>
          </w:p>
        </w:tc>
        <w:tc>
          <w:tcPr>
            <w:tcW w:w="835" w:type="pct"/>
            <w:tcBorders>
              <w:top w:val="nil"/>
              <w:left w:val="nil"/>
              <w:bottom w:val="single" w:sz="4" w:space="0" w:color="000000"/>
              <w:right w:val="single" w:sz="4" w:space="0" w:color="000000"/>
            </w:tcBorders>
            <w:shd w:val="clear" w:color="auto" w:fill="auto"/>
            <w:vAlign w:val="center"/>
            <w:hideMark/>
          </w:tcPr>
          <w:p w14:paraId="5668A32A"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Review of recent literature on co-working with a particular focus on the social aspects of co-working</w:t>
            </w:r>
          </w:p>
        </w:tc>
        <w:tc>
          <w:tcPr>
            <w:tcW w:w="581" w:type="pct"/>
            <w:tcBorders>
              <w:top w:val="nil"/>
              <w:left w:val="nil"/>
              <w:bottom w:val="single" w:sz="4" w:space="0" w:color="000000"/>
              <w:right w:val="single" w:sz="4" w:space="0" w:color="000000"/>
            </w:tcBorders>
            <w:shd w:val="clear" w:color="auto" w:fill="auto"/>
            <w:vAlign w:val="center"/>
            <w:hideMark/>
          </w:tcPr>
          <w:p w14:paraId="07485F06"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Co-working spaces</w:t>
            </w:r>
          </w:p>
        </w:tc>
        <w:tc>
          <w:tcPr>
            <w:tcW w:w="1236" w:type="pct"/>
            <w:tcBorders>
              <w:top w:val="nil"/>
              <w:left w:val="nil"/>
              <w:bottom w:val="single" w:sz="4" w:space="0" w:color="000000"/>
              <w:right w:val="single" w:sz="4" w:space="0" w:color="000000"/>
            </w:tcBorders>
            <w:shd w:val="clear" w:color="auto" w:fill="auto"/>
            <w:vAlign w:val="center"/>
            <w:hideMark/>
          </w:tcPr>
          <w:p w14:paraId="7E7217B5"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Co-working spaces provide important sources of support, learning and networking opportunities (and inclusion), which may offset the lack of community and opportunities that mobile workers face when working outside the main offices of their employers. Several research gaps are also delineated for researchers interested in this area.</w:t>
            </w:r>
          </w:p>
        </w:tc>
      </w:tr>
      <w:tr w:rsidR="00F43A95" w:rsidRPr="00F43A95" w14:paraId="0A7C1B7D" w14:textId="77777777" w:rsidTr="00195F1F">
        <w:trPr>
          <w:trHeight w:val="4060"/>
        </w:trPr>
        <w:tc>
          <w:tcPr>
            <w:tcW w:w="506" w:type="pct"/>
            <w:tcBorders>
              <w:top w:val="nil"/>
              <w:left w:val="single" w:sz="4" w:space="0" w:color="000000"/>
              <w:bottom w:val="single" w:sz="4" w:space="0" w:color="000000"/>
              <w:right w:val="single" w:sz="4" w:space="0" w:color="000000"/>
            </w:tcBorders>
            <w:shd w:val="clear" w:color="auto" w:fill="auto"/>
            <w:vAlign w:val="center"/>
            <w:hideMark/>
          </w:tcPr>
          <w:p w14:paraId="17C5C800"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lastRenderedPageBreak/>
              <w:t>Smolland &amp; Morrison (2019) </w:t>
            </w:r>
          </w:p>
        </w:tc>
        <w:tc>
          <w:tcPr>
            <w:tcW w:w="1024" w:type="pct"/>
            <w:tcBorders>
              <w:top w:val="nil"/>
              <w:left w:val="nil"/>
              <w:bottom w:val="single" w:sz="4" w:space="0" w:color="000000"/>
              <w:right w:val="single" w:sz="4" w:space="0" w:color="000000"/>
            </w:tcBorders>
            <w:shd w:val="clear" w:color="auto" w:fill="auto"/>
            <w:vAlign w:val="center"/>
            <w:hideMark/>
          </w:tcPr>
          <w:p w14:paraId="3890A55F"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Not focused on a specific dimension of diversity. Workers and their individual perceptions </w:t>
            </w:r>
          </w:p>
        </w:tc>
        <w:tc>
          <w:tcPr>
            <w:tcW w:w="818" w:type="pct"/>
            <w:tcBorders>
              <w:top w:val="nil"/>
              <w:left w:val="nil"/>
              <w:bottom w:val="single" w:sz="4" w:space="0" w:color="000000"/>
              <w:right w:val="single" w:sz="4" w:space="0" w:color="000000"/>
            </w:tcBorders>
            <w:shd w:val="clear" w:color="auto" w:fill="auto"/>
            <w:vAlign w:val="center"/>
            <w:hideMark/>
          </w:tcPr>
          <w:p w14:paraId="2025069B"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Compare different employee perceptions of the success of one change: a move to new offices and an open-plan design. What impact does the experience of new office space have on communication, organizational culture and the acceptance of the change? </w:t>
            </w:r>
          </w:p>
        </w:tc>
        <w:tc>
          <w:tcPr>
            <w:tcW w:w="835" w:type="pct"/>
            <w:tcBorders>
              <w:top w:val="nil"/>
              <w:left w:val="nil"/>
              <w:bottom w:val="single" w:sz="4" w:space="0" w:color="000000"/>
              <w:right w:val="single" w:sz="4" w:space="0" w:color="000000"/>
            </w:tcBorders>
            <w:shd w:val="clear" w:color="auto" w:fill="auto"/>
            <w:vAlign w:val="center"/>
            <w:hideMark/>
          </w:tcPr>
          <w:p w14:paraId="477B1AA9"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25 interviews were carried out in a New Zealand law firm that six months earlier had moved to new premises. </w:t>
            </w:r>
          </w:p>
        </w:tc>
        <w:tc>
          <w:tcPr>
            <w:tcW w:w="581" w:type="pct"/>
            <w:tcBorders>
              <w:top w:val="nil"/>
              <w:left w:val="nil"/>
              <w:bottom w:val="single" w:sz="4" w:space="0" w:color="000000"/>
              <w:right w:val="single" w:sz="4" w:space="0" w:color="000000"/>
            </w:tcBorders>
            <w:shd w:val="clear" w:color="auto" w:fill="auto"/>
            <w:vAlign w:val="center"/>
            <w:hideMark/>
          </w:tcPr>
          <w:p w14:paraId="58BAA1A1"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Offices (open-plan setting) </w:t>
            </w:r>
          </w:p>
        </w:tc>
        <w:tc>
          <w:tcPr>
            <w:tcW w:w="1236" w:type="pct"/>
            <w:tcBorders>
              <w:top w:val="nil"/>
              <w:left w:val="nil"/>
              <w:bottom w:val="single" w:sz="4" w:space="0" w:color="000000"/>
              <w:right w:val="single" w:sz="4" w:space="0" w:color="000000"/>
            </w:tcBorders>
            <w:shd w:val="clear" w:color="auto" w:fill="auto"/>
            <w:vAlign w:val="center"/>
            <w:hideMark/>
          </w:tcPr>
          <w:p w14:paraId="0AD78E55"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Open-plan offices have positive impact on: attitudes and lack of complaints, recruitment and retention, efficiency, happiness, pride, openness to more change. Communication and organizational culture were fundamental aspects, both as causes and outcomes of processes of change in creating the new workspaces. </w:t>
            </w:r>
          </w:p>
        </w:tc>
      </w:tr>
      <w:tr w:rsidR="00F43A95" w:rsidRPr="00F43A95" w14:paraId="3C5FAEA5" w14:textId="77777777" w:rsidTr="00195F1F">
        <w:trPr>
          <w:trHeight w:val="2610"/>
        </w:trPr>
        <w:tc>
          <w:tcPr>
            <w:tcW w:w="506" w:type="pct"/>
            <w:tcBorders>
              <w:top w:val="nil"/>
              <w:left w:val="single" w:sz="4" w:space="0" w:color="000000"/>
              <w:bottom w:val="single" w:sz="4" w:space="0" w:color="000000"/>
              <w:right w:val="single" w:sz="4" w:space="0" w:color="000000"/>
            </w:tcBorders>
            <w:shd w:val="clear" w:color="auto" w:fill="auto"/>
            <w:vAlign w:val="center"/>
            <w:hideMark/>
          </w:tcPr>
          <w:p w14:paraId="56373E42"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Lo &amp; Diochon, (2019) </w:t>
            </w:r>
          </w:p>
        </w:tc>
        <w:tc>
          <w:tcPr>
            <w:tcW w:w="1024" w:type="pct"/>
            <w:tcBorders>
              <w:top w:val="nil"/>
              <w:left w:val="nil"/>
              <w:bottom w:val="single" w:sz="4" w:space="0" w:color="000000"/>
              <w:right w:val="single" w:sz="4" w:space="0" w:color="000000"/>
            </w:tcBorders>
            <w:shd w:val="clear" w:color="auto" w:fill="auto"/>
            <w:vAlign w:val="center"/>
            <w:hideMark/>
          </w:tcPr>
          <w:p w14:paraId="12A1CC90"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Culture and identity, Diversity of innovation culture – creation of sub-culture </w:t>
            </w:r>
          </w:p>
        </w:tc>
        <w:tc>
          <w:tcPr>
            <w:tcW w:w="818" w:type="pct"/>
            <w:tcBorders>
              <w:top w:val="nil"/>
              <w:left w:val="nil"/>
              <w:bottom w:val="single" w:sz="4" w:space="0" w:color="000000"/>
              <w:right w:val="single" w:sz="4" w:space="0" w:color="000000"/>
            </w:tcBorders>
            <w:shd w:val="clear" w:color="auto" w:fill="auto"/>
            <w:vAlign w:val="center"/>
            <w:hideMark/>
          </w:tcPr>
          <w:p w14:paraId="64315A0C"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Understanding how a corporate Fab Lab enables low power actors to empower themselves </w:t>
            </w:r>
          </w:p>
        </w:tc>
        <w:tc>
          <w:tcPr>
            <w:tcW w:w="835" w:type="pct"/>
            <w:tcBorders>
              <w:top w:val="nil"/>
              <w:left w:val="nil"/>
              <w:bottom w:val="single" w:sz="4" w:space="0" w:color="000000"/>
              <w:right w:val="single" w:sz="4" w:space="0" w:color="000000"/>
            </w:tcBorders>
            <w:shd w:val="clear" w:color="auto" w:fill="auto"/>
            <w:vAlign w:val="center"/>
            <w:hideMark/>
          </w:tcPr>
          <w:p w14:paraId="54585EDE"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Participant observation + interviews, Renault technocenter </w:t>
            </w:r>
          </w:p>
        </w:tc>
        <w:tc>
          <w:tcPr>
            <w:tcW w:w="581" w:type="pct"/>
            <w:tcBorders>
              <w:top w:val="nil"/>
              <w:left w:val="nil"/>
              <w:bottom w:val="single" w:sz="4" w:space="0" w:color="000000"/>
              <w:right w:val="single" w:sz="4" w:space="0" w:color="000000"/>
            </w:tcBorders>
            <w:shd w:val="clear" w:color="auto" w:fill="auto"/>
            <w:vAlign w:val="center"/>
            <w:hideMark/>
          </w:tcPr>
          <w:p w14:paraId="5D3C42B0"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Social and political dimension of spaces, Third spaces (i.e. FabLab), Space arrangement and decoration allow for a permissive and inclusive context distinct from the usual business-units’ spaces </w:t>
            </w:r>
          </w:p>
        </w:tc>
        <w:tc>
          <w:tcPr>
            <w:tcW w:w="1236" w:type="pct"/>
            <w:tcBorders>
              <w:top w:val="nil"/>
              <w:left w:val="nil"/>
              <w:bottom w:val="single" w:sz="4" w:space="0" w:color="000000"/>
              <w:right w:val="single" w:sz="4" w:space="0" w:color="000000"/>
            </w:tcBorders>
            <w:shd w:val="clear" w:color="auto" w:fill="auto"/>
            <w:vAlign w:val="center"/>
            <w:hideMark/>
          </w:tcPr>
          <w:p w14:paraId="6BD7442F"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Third spaces within companies can be a place for exploration and transgression compared to the dominant culture </w:t>
            </w:r>
          </w:p>
        </w:tc>
      </w:tr>
      <w:tr w:rsidR="00F43A95" w:rsidRPr="00F43A95" w14:paraId="72D55DE1" w14:textId="77777777" w:rsidTr="00195F1F">
        <w:trPr>
          <w:trHeight w:val="2030"/>
        </w:trPr>
        <w:tc>
          <w:tcPr>
            <w:tcW w:w="506" w:type="pct"/>
            <w:tcBorders>
              <w:top w:val="nil"/>
              <w:left w:val="single" w:sz="4" w:space="0" w:color="000000"/>
              <w:bottom w:val="single" w:sz="4" w:space="0" w:color="000000"/>
              <w:right w:val="single" w:sz="4" w:space="0" w:color="000000"/>
            </w:tcBorders>
            <w:shd w:val="clear" w:color="auto" w:fill="auto"/>
            <w:vAlign w:val="center"/>
            <w:hideMark/>
          </w:tcPr>
          <w:p w14:paraId="3DBBB540"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lastRenderedPageBreak/>
              <w:t>Harvie-Clark J., Larrieu F., Opsanger C. (2019)</w:t>
            </w:r>
          </w:p>
        </w:tc>
        <w:tc>
          <w:tcPr>
            <w:tcW w:w="1024" w:type="pct"/>
            <w:tcBorders>
              <w:top w:val="nil"/>
              <w:left w:val="nil"/>
              <w:bottom w:val="single" w:sz="4" w:space="0" w:color="000000"/>
              <w:right w:val="single" w:sz="4" w:space="0" w:color="000000"/>
            </w:tcBorders>
            <w:shd w:val="clear" w:color="auto" w:fill="auto"/>
            <w:vAlign w:val="center"/>
            <w:hideMark/>
          </w:tcPr>
          <w:p w14:paraId="5F194CDD"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Different types of use and activity in the space</w:t>
            </w:r>
          </w:p>
        </w:tc>
        <w:tc>
          <w:tcPr>
            <w:tcW w:w="818" w:type="pct"/>
            <w:tcBorders>
              <w:top w:val="nil"/>
              <w:left w:val="nil"/>
              <w:bottom w:val="single" w:sz="4" w:space="0" w:color="000000"/>
              <w:right w:val="single" w:sz="4" w:space="0" w:color="000000"/>
            </w:tcBorders>
            <w:shd w:val="clear" w:color="auto" w:fill="auto"/>
            <w:vAlign w:val="center"/>
            <w:hideMark/>
          </w:tcPr>
          <w:p w14:paraId="68A694F2"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The Apex Method approach is proposed to assess acoustic conditions within activity-based working (ABW) offices.</w:t>
            </w:r>
          </w:p>
        </w:tc>
        <w:tc>
          <w:tcPr>
            <w:tcW w:w="835" w:type="pct"/>
            <w:tcBorders>
              <w:top w:val="nil"/>
              <w:left w:val="nil"/>
              <w:bottom w:val="single" w:sz="4" w:space="0" w:color="000000"/>
              <w:right w:val="single" w:sz="4" w:space="0" w:color="000000"/>
            </w:tcBorders>
            <w:shd w:val="clear" w:color="auto" w:fill="auto"/>
            <w:vAlign w:val="center"/>
            <w:hideMark/>
          </w:tcPr>
          <w:p w14:paraId="59ACFFDF"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Laboratory experiments to demonstrate the decrease in performance that can be objectively measured when people perform tasks when subject to noise containing intelligible speech.</w:t>
            </w:r>
          </w:p>
        </w:tc>
        <w:tc>
          <w:tcPr>
            <w:tcW w:w="581" w:type="pct"/>
            <w:tcBorders>
              <w:top w:val="nil"/>
              <w:left w:val="nil"/>
              <w:bottom w:val="single" w:sz="4" w:space="0" w:color="000000"/>
              <w:right w:val="single" w:sz="4" w:space="0" w:color="000000"/>
            </w:tcBorders>
            <w:shd w:val="clear" w:color="auto" w:fill="auto"/>
            <w:vAlign w:val="center"/>
            <w:hideMark/>
          </w:tcPr>
          <w:p w14:paraId="5CE106CB"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ABW - Activity-Based Working Offices</w:t>
            </w:r>
          </w:p>
        </w:tc>
        <w:tc>
          <w:tcPr>
            <w:tcW w:w="1236" w:type="pct"/>
            <w:tcBorders>
              <w:top w:val="nil"/>
              <w:left w:val="nil"/>
              <w:bottom w:val="single" w:sz="4" w:space="0" w:color="000000"/>
              <w:right w:val="single" w:sz="4" w:space="0" w:color="000000"/>
            </w:tcBorders>
            <w:shd w:val="clear" w:color="auto" w:fill="auto"/>
            <w:vAlign w:val="center"/>
            <w:hideMark/>
          </w:tcPr>
          <w:p w14:paraId="3FCE9275"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 xml:space="preserve">Acoustic satisfaction in real workplaces is only loosely correlated with the radius of distraction, rD, measured over the floor plate. Control over one's environment is likely to be a stronger indicator for worker's satisfaction with acoustics than any technical acoustic features. </w:t>
            </w:r>
          </w:p>
        </w:tc>
      </w:tr>
      <w:tr w:rsidR="00F43A95" w:rsidRPr="00F43A95" w14:paraId="7858C337" w14:textId="77777777" w:rsidTr="00195F1F">
        <w:trPr>
          <w:trHeight w:val="3480"/>
        </w:trPr>
        <w:tc>
          <w:tcPr>
            <w:tcW w:w="506" w:type="pct"/>
            <w:tcBorders>
              <w:top w:val="nil"/>
              <w:left w:val="single" w:sz="4" w:space="0" w:color="000000"/>
              <w:bottom w:val="single" w:sz="4" w:space="0" w:color="000000"/>
              <w:right w:val="single" w:sz="4" w:space="0" w:color="000000"/>
            </w:tcBorders>
            <w:shd w:val="clear" w:color="auto" w:fill="auto"/>
            <w:vAlign w:val="center"/>
            <w:hideMark/>
          </w:tcPr>
          <w:p w14:paraId="7E7F7699"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Wang and Piper (2018) </w:t>
            </w:r>
          </w:p>
        </w:tc>
        <w:tc>
          <w:tcPr>
            <w:tcW w:w="1024" w:type="pct"/>
            <w:tcBorders>
              <w:top w:val="nil"/>
              <w:left w:val="nil"/>
              <w:bottom w:val="single" w:sz="4" w:space="0" w:color="000000"/>
              <w:right w:val="single" w:sz="4" w:space="0" w:color="000000"/>
            </w:tcBorders>
            <w:shd w:val="clear" w:color="auto" w:fill="auto"/>
            <w:vAlign w:val="center"/>
            <w:hideMark/>
          </w:tcPr>
          <w:p w14:paraId="40FF8221"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Deaf people </w:t>
            </w:r>
          </w:p>
        </w:tc>
        <w:tc>
          <w:tcPr>
            <w:tcW w:w="818" w:type="pct"/>
            <w:tcBorders>
              <w:top w:val="nil"/>
              <w:left w:val="nil"/>
              <w:bottom w:val="single" w:sz="4" w:space="0" w:color="000000"/>
              <w:right w:val="single" w:sz="4" w:space="0" w:color="000000"/>
            </w:tcBorders>
            <w:shd w:val="clear" w:color="auto" w:fill="auto"/>
            <w:vAlign w:val="center"/>
            <w:hideMark/>
          </w:tcPr>
          <w:p w14:paraId="2530162A"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Understand how mixed-ability teams (deaf and hearing professionals), communicate and coordinate in technology-rich workspaces </w:t>
            </w:r>
          </w:p>
        </w:tc>
        <w:tc>
          <w:tcPr>
            <w:tcW w:w="835" w:type="pct"/>
            <w:tcBorders>
              <w:top w:val="nil"/>
              <w:left w:val="nil"/>
              <w:bottom w:val="single" w:sz="4" w:space="0" w:color="000000"/>
              <w:right w:val="single" w:sz="4" w:space="0" w:color="000000"/>
            </w:tcBorders>
            <w:shd w:val="clear" w:color="auto" w:fill="auto"/>
            <w:vAlign w:val="center"/>
            <w:hideMark/>
          </w:tcPr>
          <w:p w14:paraId="40CF0B7F"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Semi-structured interviews (7 deaf + 7 hearing people) and 6 observation sessions </w:t>
            </w:r>
          </w:p>
        </w:tc>
        <w:tc>
          <w:tcPr>
            <w:tcW w:w="581" w:type="pct"/>
            <w:tcBorders>
              <w:top w:val="nil"/>
              <w:left w:val="nil"/>
              <w:bottom w:val="single" w:sz="4" w:space="0" w:color="000000"/>
              <w:right w:val="single" w:sz="4" w:space="0" w:color="000000"/>
            </w:tcBorders>
            <w:shd w:val="clear" w:color="auto" w:fill="auto"/>
            <w:vAlign w:val="center"/>
            <w:hideMark/>
          </w:tcPr>
          <w:p w14:paraId="61F8D07D"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Workplaces and home workplace </w:t>
            </w:r>
          </w:p>
        </w:tc>
        <w:tc>
          <w:tcPr>
            <w:tcW w:w="1236" w:type="pct"/>
            <w:tcBorders>
              <w:top w:val="nil"/>
              <w:left w:val="nil"/>
              <w:bottom w:val="single" w:sz="4" w:space="0" w:color="000000"/>
              <w:right w:val="single" w:sz="4" w:space="0" w:color="000000"/>
            </w:tcBorders>
            <w:shd w:val="clear" w:color="auto" w:fill="auto"/>
            <w:vAlign w:val="center"/>
            <w:hideMark/>
          </w:tcPr>
          <w:p w14:paraId="216344F2"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Deaf-hearing teams create accessibility in a complex process that is learned over time through their moment-to-moment interaction and  develop strategies to manage the demands of visual communication </w:t>
            </w:r>
          </w:p>
        </w:tc>
      </w:tr>
      <w:tr w:rsidR="00F43A95" w:rsidRPr="00F43A95" w14:paraId="749049EF" w14:textId="77777777" w:rsidTr="00195F1F">
        <w:trPr>
          <w:trHeight w:val="2900"/>
        </w:trPr>
        <w:tc>
          <w:tcPr>
            <w:tcW w:w="506" w:type="pct"/>
            <w:tcBorders>
              <w:top w:val="nil"/>
              <w:left w:val="single" w:sz="4" w:space="0" w:color="000000"/>
              <w:bottom w:val="single" w:sz="4" w:space="0" w:color="000000"/>
              <w:right w:val="single" w:sz="4" w:space="0" w:color="000000"/>
            </w:tcBorders>
            <w:shd w:val="clear" w:color="auto" w:fill="auto"/>
            <w:vAlign w:val="center"/>
            <w:hideMark/>
          </w:tcPr>
          <w:p w14:paraId="004603E1"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Kämpf-Dern and Konkol (2017) </w:t>
            </w:r>
          </w:p>
        </w:tc>
        <w:tc>
          <w:tcPr>
            <w:tcW w:w="1024" w:type="pct"/>
            <w:tcBorders>
              <w:top w:val="nil"/>
              <w:left w:val="nil"/>
              <w:bottom w:val="single" w:sz="4" w:space="0" w:color="000000"/>
              <w:right w:val="single" w:sz="4" w:space="0" w:color="000000"/>
            </w:tcBorders>
            <w:shd w:val="clear" w:color="auto" w:fill="auto"/>
            <w:vAlign w:val="center"/>
            <w:hideMark/>
          </w:tcPr>
          <w:p w14:paraId="0206550A"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Not focused on a specific dimension of diversity. It, instead, considers conceptually the inclusion of individual characteristics (age, gender, cultural or national background, experience and personal traits) to design performance- oriented workspaces </w:t>
            </w:r>
          </w:p>
        </w:tc>
        <w:tc>
          <w:tcPr>
            <w:tcW w:w="818" w:type="pct"/>
            <w:tcBorders>
              <w:top w:val="nil"/>
              <w:left w:val="nil"/>
              <w:bottom w:val="single" w:sz="4" w:space="0" w:color="000000"/>
              <w:right w:val="single" w:sz="4" w:space="0" w:color="000000"/>
            </w:tcBorders>
            <w:shd w:val="clear" w:color="auto" w:fill="auto"/>
            <w:vAlign w:val="center"/>
            <w:hideMark/>
          </w:tcPr>
          <w:p w14:paraId="47F90D0C"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Introduce a comprehensive framework that covers the major dimensions of performance-oriented office environments including involved actors and performance parameters on the one hand, and the processes and success factors of implementation and change management of such workspace projects on the other hand </w:t>
            </w:r>
          </w:p>
        </w:tc>
        <w:tc>
          <w:tcPr>
            <w:tcW w:w="835" w:type="pct"/>
            <w:tcBorders>
              <w:top w:val="nil"/>
              <w:left w:val="nil"/>
              <w:bottom w:val="single" w:sz="4" w:space="0" w:color="000000"/>
              <w:right w:val="single" w:sz="4" w:space="0" w:color="000000"/>
            </w:tcBorders>
            <w:shd w:val="clear" w:color="auto" w:fill="auto"/>
            <w:vAlign w:val="center"/>
            <w:hideMark/>
          </w:tcPr>
          <w:p w14:paraId="38765C09"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Review of literature and practice </w:t>
            </w:r>
          </w:p>
        </w:tc>
        <w:tc>
          <w:tcPr>
            <w:tcW w:w="581" w:type="pct"/>
            <w:tcBorders>
              <w:top w:val="nil"/>
              <w:left w:val="nil"/>
              <w:bottom w:val="single" w:sz="4" w:space="0" w:color="000000"/>
              <w:right w:val="single" w:sz="4" w:space="0" w:color="000000"/>
            </w:tcBorders>
            <w:shd w:val="clear" w:color="auto" w:fill="auto"/>
            <w:vAlign w:val="center"/>
            <w:hideMark/>
          </w:tcPr>
          <w:p w14:paraId="2FB59DB0"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None. The paper offers a conceptual framework for all the office types </w:t>
            </w:r>
          </w:p>
        </w:tc>
        <w:tc>
          <w:tcPr>
            <w:tcW w:w="1236" w:type="pct"/>
            <w:tcBorders>
              <w:top w:val="nil"/>
              <w:left w:val="nil"/>
              <w:bottom w:val="single" w:sz="4" w:space="0" w:color="000000"/>
              <w:right w:val="single" w:sz="4" w:space="0" w:color="000000"/>
            </w:tcBorders>
            <w:shd w:val="clear" w:color="auto" w:fill="auto"/>
            <w:vAlign w:val="center"/>
            <w:hideMark/>
          </w:tcPr>
          <w:p w14:paraId="656F294D"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The conceptual framework itself is the finding of the paper </w:t>
            </w:r>
          </w:p>
        </w:tc>
      </w:tr>
      <w:tr w:rsidR="00F43A95" w:rsidRPr="00F43A95" w14:paraId="630E465B" w14:textId="77777777" w:rsidTr="00195F1F">
        <w:trPr>
          <w:trHeight w:val="2320"/>
        </w:trPr>
        <w:tc>
          <w:tcPr>
            <w:tcW w:w="506" w:type="pct"/>
            <w:tcBorders>
              <w:top w:val="nil"/>
              <w:left w:val="single" w:sz="4" w:space="0" w:color="000000"/>
              <w:bottom w:val="single" w:sz="4" w:space="0" w:color="000000"/>
              <w:right w:val="single" w:sz="4" w:space="0" w:color="000000"/>
            </w:tcBorders>
            <w:shd w:val="clear" w:color="auto" w:fill="auto"/>
            <w:vAlign w:val="center"/>
            <w:hideMark/>
          </w:tcPr>
          <w:p w14:paraId="5E71434B"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lastRenderedPageBreak/>
              <w:t>Mathiansen &amp; Frandsen (2016) </w:t>
            </w:r>
          </w:p>
        </w:tc>
        <w:tc>
          <w:tcPr>
            <w:tcW w:w="1024" w:type="pct"/>
            <w:tcBorders>
              <w:top w:val="nil"/>
              <w:left w:val="nil"/>
              <w:bottom w:val="single" w:sz="4" w:space="0" w:color="000000"/>
              <w:right w:val="single" w:sz="4" w:space="0" w:color="000000"/>
            </w:tcBorders>
            <w:shd w:val="clear" w:color="auto" w:fill="auto"/>
            <w:vAlign w:val="center"/>
            <w:hideMark/>
          </w:tcPr>
          <w:p w14:paraId="4ACCBA93"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Disabled people (deaf and deaf-blind user in particular) </w:t>
            </w:r>
          </w:p>
        </w:tc>
        <w:tc>
          <w:tcPr>
            <w:tcW w:w="818" w:type="pct"/>
            <w:tcBorders>
              <w:top w:val="nil"/>
              <w:left w:val="nil"/>
              <w:bottom w:val="single" w:sz="4" w:space="0" w:color="000000"/>
              <w:right w:val="single" w:sz="4" w:space="0" w:color="000000"/>
            </w:tcBorders>
            <w:shd w:val="clear" w:color="auto" w:fill="auto"/>
            <w:vAlign w:val="center"/>
            <w:hideMark/>
          </w:tcPr>
          <w:p w14:paraId="2B1E78F0"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Build the most accessible office building in the world for the Disabled People’s Organization Denmark, with a focus on universal lighting design </w:t>
            </w:r>
          </w:p>
        </w:tc>
        <w:tc>
          <w:tcPr>
            <w:tcW w:w="835" w:type="pct"/>
            <w:tcBorders>
              <w:top w:val="nil"/>
              <w:left w:val="nil"/>
              <w:bottom w:val="single" w:sz="4" w:space="0" w:color="000000"/>
              <w:right w:val="single" w:sz="4" w:space="0" w:color="000000"/>
            </w:tcBorders>
            <w:shd w:val="clear" w:color="auto" w:fill="auto"/>
            <w:vAlign w:val="center"/>
            <w:hideMark/>
          </w:tcPr>
          <w:p w14:paraId="4B12595E"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Post-occupancy evaluation (mixed method – interviews + quantitative measurement and qualitative studies) on the DPOD HQ </w:t>
            </w:r>
          </w:p>
        </w:tc>
        <w:tc>
          <w:tcPr>
            <w:tcW w:w="581" w:type="pct"/>
            <w:tcBorders>
              <w:top w:val="nil"/>
              <w:left w:val="nil"/>
              <w:bottom w:val="single" w:sz="4" w:space="0" w:color="000000"/>
              <w:right w:val="single" w:sz="4" w:space="0" w:color="000000"/>
            </w:tcBorders>
            <w:shd w:val="clear" w:color="auto" w:fill="auto"/>
            <w:vAlign w:val="center"/>
            <w:hideMark/>
          </w:tcPr>
          <w:p w14:paraId="19FB3E3F"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Lighting design (artificial and daylight), Both single offices (one-man) and open-plan offices </w:t>
            </w:r>
          </w:p>
        </w:tc>
        <w:tc>
          <w:tcPr>
            <w:tcW w:w="1236" w:type="pct"/>
            <w:tcBorders>
              <w:top w:val="nil"/>
              <w:left w:val="nil"/>
              <w:bottom w:val="single" w:sz="4" w:space="0" w:color="000000"/>
              <w:right w:val="single" w:sz="4" w:space="0" w:color="000000"/>
            </w:tcBorders>
            <w:shd w:val="clear" w:color="auto" w:fill="auto"/>
            <w:vAlign w:val="center"/>
            <w:hideMark/>
          </w:tcPr>
          <w:p w14:paraId="568FBB38"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Importance of orchestrating the lighting environment individually for a successful universal design </w:t>
            </w:r>
          </w:p>
        </w:tc>
      </w:tr>
      <w:tr w:rsidR="00F43A95" w:rsidRPr="00F43A95" w14:paraId="0FE4FAB1" w14:textId="77777777" w:rsidTr="00195F1F">
        <w:trPr>
          <w:trHeight w:val="4930"/>
        </w:trPr>
        <w:tc>
          <w:tcPr>
            <w:tcW w:w="506" w:type="pct"/>
            <w:tcBorders>
              <w:top w:val="nil"/>
              <w:left w:val="single" w:sz="4" w:space="0" w:color="000000"/>
              <w:bottom w:val="single" w:sz="4" w:space="0" w:color="000000"/>
              <w:right w:val="single" w:sz="4" w:space="0" w:color="000000"/>
            </w:tcBorders>
            <w:shd w:val="clear" w:color="auto" w:fill="auto"/>
            <w:vAlign w:val="center"/>
            <w:hideMark/>
          </w:tcPr>
          <w:p w14:paraId="529FAC70"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Branham and Kane (2015)</w:t>
            </w:r>
          </w:p>
        </w:tc>
        <w:tc>
          <w:tcPr>
            <w:tcW w:w="1024" w:type="pct"/>
            <w:tcBorders>
              <w:top w:val="nil"/>
              <w:left w:val="nil"/>
              <w:bottom w:val="single" w:sz="4" w:space="0" w:color="000000"/>
              <w:right w:val="single" w:sz="4" w:space="0" w:color="000000"/>
            </w:tcBorders>
            <w:shd w:val="clear" w:color="auto" w:fill="auto"/>
            <w:vAlign w:val="center"/>
            <w:hideMark/>
          </w:tcPr>
          <w:p w14:paraId="70D20CA2"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Blind people</w:t>
            </w:r>
          </w:p>
        </w:tc>
        <w:tc>
          <w:tcPr>
            <w:tcW w:w="818" w:type="pct"/>
            <w:tcBorders>
              <w:top w:val="nil"/>
              <w:left w:val="nil"/>
              <w:bottom w:val="single" w:sz="4" w:space="0" w:color="000000"/>
              <w:right w:val="single" w:sz="4" w:space="0" w:color="000000"/>
            </w:tcBorders>
            <w:shd w:val="clear" w:color="auto" w:fill="auto"/>
            <w:vAlign w:val="center"/>
            <w:hideMark/>
          </w:tcPr>
          <w:p w14:paraId="453BA0BB"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 xml:space="preserve">Accessibility </w:t>
            </w:r>
          </w:p>
        </w:tc>
        <w:tc>
          <w:tcPr>
            <w:tcW w:w="835" w:type="pct"/>
            <w:tcBorders>
              <w:top w:val="nil"/>
              <w:left w:val="nil"/>
              <w:bottom w:val="single" w:sz="4" w:space="0" w:color="000000"/>
              <w:right w:val="single" w:sz="4" w:space="0" w:color="000000"/>
            </w:tcBorders>
            <w:shd w:val="clear" w:color="auto" w:fill="auto"/>
            <w:vAlign w:val="center"/>
            <w:hideMark/>
          </w:tcPr>
          <w:p w14:paraId="1B9205C5"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Qualitative field study of five workplaces from the perspective of blind employees</w:t>
            </w:r>
          </w:p>
        </w:tc>
        <w:tc>
          <w:tcPr>
            <w:tcW w:w="581" w:type="pct"/>
            <w:tcBorders>
              <w:top w:val="nil"/>
              <w:left w:val="nil"/>
              <w:bottom w:val="single" w:sz="4" w:space="0" w:color="000000"/>
              <w:right w:val="single" w:sz="4" w:space="0" w:color="000000"/>
            </w:tcBorders>
            <w:shd w:val="clear" w:color="auto" w:fill="auto"/>
            <w:vAlign w:val="center"/>
            <w:hideMark/>
          </w:tcPr>
          <w:p w14:paraId="4BF41641"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Shared Workspaces</w:t>
            </w:r>
          </w:p>
        </w:tc>
        <w:tc>
          <w:tcPr>
            <w:tcW w:w="1236" w:type="pct"/>
            <w:tcBorders>
              <w:top w:val="nil"/>
              <w:left w:val="nil"/>
              <w:bottom w:val="single" w:sz="4" w:space="0" w:color="000000"/>
              <w:right w:val="single" w:sz="4" w:space="0" w:color="000000"/>
            </w:tcBorders>
            <w:shd w:val="clear" w:color="auto" w:fill="auto"/>
            <w:vAlign w:val="center"/>
            <w:hideMark/>
          </w:tcPr>
          <w:p w14:paraId="6E06A496"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Overview of accessibility issues in workspaces (mainly related to visual accessibility)</w:t>
            </w:r>
          </w:p>
        </w:tc>
      </w:tr>
      <w:tr w:rsidR="00F43A95" w:rsidRPr="00F43A95" w14:paraId="7283462A" w14:textId="77777777" w:rsidTr="00195F1F">
        <w:trPr>
          <w:trHeight w:val="2320"/>
        </w:trPr>
        <w:tc>
          <w:tcPr>
            <w:tcW w:w="506" w:type="pct"/>
            <w:tcBorders>
              <w:top w:val="nil"/>
              <w:left w:val="single" w:sz="4" w:space="0" w:color="000000"/>
              <w:bottom w:val="single" w:sz="4" w:space="0" w:color="000000"/>
              <w:right w:val="single" w:sz="4" w:space="0" w:color="000000"/>
            </w:tcBorders>
            <w:shd w:val="clear" w:color="auto" w:fill="auto"/>
            <w:vAlign w:val="center"/>
            <w:hideMark/>
          </w:tcPr>
          <w:p w14:paraId="5E7216DD"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lastRenderedPageBreak/>
              <w:t>Afacan (2015) </w:t>
            </w:r>
          </w:p>
        </w:tc>
        <w:tc>
          <w:tcPr>
            <w:tcW w:w="1024" w:type="pct"/>
            <w:tcBorders>
              <w:top w:val="nil"/>
              <w:left w:val="nil"/>
              <w:bottom w:val="single" w:sz="4" w:space="0" w:color="000000"/>
              <w:right w:val="single" w:sz="4" w:space="0" w:color="000000"/>
            </w:tcBorders>
            <w:shd w:val="clear" w:color="auto" w:fill="auto"/>
            <w:vAlign w:val="center"/>
            <w:hideMark/>
          </w:tcPr>
          <w:p w14:paraId="1D3FEEF1"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Older workers </w:t>
            </w:r>
          </w:p>
        </w:tc>
        <w:tc>
          <w:tcPr>
            <w:tcW w:w="818" w:type="pct"/>
            <w:tcBorders>
              <w:top w:val="nil"/>
              <w:left w:val="nil"/>
              <w:bottom w:val="single" w:sz="4" w:space="0" w:color="000000"/>
              <w:right w:val="single" w:sz="4" w:space="0" w:color="000000"/>
            </w:tcBorders>
            <w:shd w:val="clear" w:color="auto" w:fill="auto"/>
            <w:vAlign w:val="center"/>
            <w:hideMark/>
          </w:tcPr>
          <w:p w14:paraId="38BE4C7F"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Design strategies for the ageing workforce in sustainable office buildings (LEEDS certified) </w:t>
            </w:r>
          </w:p>
        </w:tc>
        <w:tc>
          <w:tcPr>
            <w:tcW w:w="835" w:type="pct"/>
            <w:tcBorders>
              <w:top w:val="nil"/>
              <w:left w:val="nil"/>
              <w:bottom w:val="single" w:sz="4" w:space="0" w:color="000000"/>
              <w:right w:val="single" w:sz="4" w:space="0" w:color="000000"/>
            </w:tcBorders>
            <w:shd w:val="clear" w:color="auto" w:fill="auto"/>
            <w:vAlign w:val="center"/>
            <w:hideMark/>
          </w:tcPr>
          <w:p w14:paraId="77897FC5"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Field survey of 240 office workers (ranging in age from 55 to 75) in three recently constructed sustainable office buildings. Mixed method analysis (quantitative correlation + qualitative analysis of open responses) </w:t>
            </w:r>
          </w:p>
        </w:tc>
        <w:tc>
          <w:tcPr>
            <w:tcW w:w="581" w:type="pct"/>
            <w:tcBorders>
              <w:top w:val="nil"/>
              <w:left w:val="nil"/>
              <w:bottom w:val="single" w:sz="4" w:space="0" w:color="000000"/>
              <w:right w:val="single" w:sz="4" w:space="0" w:color="000000"/>
            </w:tcBorders>
            <w:shd w:val="clear" w:color="auto" w:fill="auto"/>
            <w:vAlign w:val="center"/>
            <w:hideMark/>
          </w:tcPr>
          <w:p w14:paraId="70F7AE63"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Three sustainable office (LEEDS certified buildings) – all with open office layout, located in Ankara, Turkey </w:t>
            </w:r>
          </w:p>
        </w:tc>
        <w:tc>
          <w:tcPr>
            <w:tcW w:w="1236" w:type="pct"/>
            <w:tcBorders>
              <w:top w:val="nil"/>
              <w:left w:val="nil"/>
              <w:bottom w:val="single" w:sz="4" w:space="0" w:color="000000"/>
              <w:right w:val="single" w:sz="4" w:space="0" w:color="000000"/>
            </w:tcBorders>
            <w:shd w:val="clear" w:color="auto" w:fill="auto"/>
            <w:vAlign w:val="center"/>
            <w:hideMark/>
          </w:tcPr>
          <w:p w14:paraId="68E9F5B0"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The study finds sets of common factors (IEQ factors) of a sustainable building system influencing the experience of older office workers. Namely the factors are: Comfortable indoor environmental quality, Intuitive wayfinding system, Flexibility and adaptability in use, Appropriate acoustic condition, User-adjustability in use, Adequate luminance level </w:t>
            </w:r>
          </w:p>
        </w:tc>
      </w:tr>
      <w:tr w:rsidR="00F43A95" w:rsidRPr="00F43A95" w14:paraId="21AB9528" w14:textId="77777777" w:rsidTr="00195F1F">
        <w:trPr>
          <w:trHeight w:val="2610"/>
        </w:trPr>
        <w:tc>
          <w:tcPr>
            <w:tcW w:w="506" w:type="pct"/>
            <w:tcBorders>
              <w:top w:val="nil"/>
              <w:left w:val="single" w:sz="4" w:space="0" w:color="000000"/>
              <w:bottom w:val="single" w:sz="4" w:space="0" w:color="000000"/>
              <w:right w:val="single" w:sz="4" w:space="0" w:color="000000"/>
            </w:tcBorders>
            <w:shd w:val="clear" w:color="auto" w:fill="auto"/>
            <w:vAlign w:val="center"/>
            <w:hideMark/>
          </w:tcPr>
          <w:p w14:paraId="3127A24F"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Moschonas et al. (2014) </w:t>
            </w:r>
          </w:p>
        </w:tc>
        <w:tc>
          <w:tcPr>
            <w:tcW w:w="1024" w:type="pct"/>
            <w:tcBorders>
              <w:top w:val="nil"/>
              <w:left w:val="nil"/>
              <w:bottom w:val="single" w:sz="4" w:space="0" w:color="000000"/>
              <w:right w:val="single" w:sz="4" w:space="0" w:color="000000"/>
            </w:tcBorders>
            <w:shd w:val="clear" w:color="auto" w:fill="auto"/>
            <w:vAlign w:val="center"/>
            <w:hideMark/>
          </w:tcPr>
          <w:p w14:paraId="5403380C"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Elderly with motor, vision, hearing and cognitive impairment, Fully capable VS strength limitations, motor deficiencies, Parkinsonians </w:t>
            </w:r>
          </w:p>
        </w:tc>
        <w:tc>
          <w:tcPr>
            <w:tcW w:w="818" w:type="pct"/>
            <w:tcBorders>
              <w:top w:val="nil"/>
              <w:left w:val="nil"/>
              <w:bottom w:val="single" w:sz="4" w:space="0" w:color="000000"/>
              <w:right w:val="single" w:sz="4" w:space="0" w:color="000000"/>
            </w:tcBorders>
            <w:shd w:val="clear" w:color="auto" w:fill="auto"/>
            <w:vAlign w:val="center"/>
            <w:hideMark/>
          </w:tcPr>
          <w:p w14:paraId="1A8A1009"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Taking into account different users’ capabilities, besides anthropometrics, when developing “design-for-all” workplaces with a Virtual Accessibility Assessment methodology </w:t>
            </w:r>
          </w:p>
        </w:tc>
        <w:tc>
          <w:tcPr>
            <w:tcW w:w="835" w:type="pct"/>
            <w:tcBorders>
              <w:top w:val="nil"/>
              <w:left w:val="nil"/>
              <w:bottom w:val="single" w:sz="4" w:space="0" w:color="000000"/>
              <w:right w:val="single" w:sz="4" w:space="0" w:color="000000"/>
            </w:tcBorders>
            <w:shd w:val="clear" w:color="auto" w:fill="auto"/>
            <w:vAlign w:val="center"/>
            <w:hideMark/>
          </w:tcPr>
          <w:p w14:paraId="3D95DD6C"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(Personas; Participatory design) Virtual User Models (VUMs) in lab simulations </w:t>
            </w:r>
          </w:p>
        </w:tc>
        <w:tc>
          <w:tcPr>
            <w:tcW w:w="581" w:type="pct"/>
            <w:tcBorders>
              <w:top w:val="nil"/>
              <w:left w:val="nil"/>
              <w:bottom w:val="single" w:sz="4" w:space="0" w:color="000000"/>
              <w:right w:val="single" w:sz="4" w:space="0" w:color="000000"/>
            </w:tcBorders>
            <w:shd w:val="clear" w:color="auto" w:fill="auto"/>
            <w:vAlign w:val="center"/>
            <w:hideMark/>
          </w:tcPr>
          <w:p w14:paraId="395C3BE5"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Corridors, telephone, drawer, stapler, printer </w:t>
            </w:r>
          </w:p>
        </w:tc>
        <w:tc>
          <w:tcPr>
            <w:tcW w:w="1236" w:type="pct"/>
            <w:tcBorders>
              <w:top w:val="nil"/>
              <w:left w:val="nil"/>
              <w:bottom w:val="single" w:sz="4" w:space="0" w:color="000000"/>
              <w:right w:val="single" w:sz="4" w:space="0" w:color="000000"/>
            </w:tcBorders>
            <w:shd w:val="clear" w:color="auto" w:fill="auto"/>
            <w:vAlign w:val="center"/>
            <w:hideMark/>
          </w:tcPr>
          <w:p w14:paraId="22729ADB"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Validation of the method </w:t>
            </w:r>
          </w:p>
        </w:tc>
      </w:tr>
      <w:tr w:rsidR="00F43A95" w:rsidRPr="00F43A95" w14:paraId="025213D1" w14:textId="77777777" w:rsidTr="00195F1F">
        <w:trPr>
          <w:trHeight w:val="2900"/>
        </w:trPr>
        <w:tc>
          <w:tcPr>
            <w:tcW w:w="506" w:type="pct"/>
            <w:tcBorders>
              <w:top w:val="nil"/>
              <w:left w:val="single" w:sz="4" w:space="0" w:color="000000"/>
              <w:bottom w:val="single" w:sz="4" w:space="0" w:color="000000"/>
              <w:right w:val="single" w:sz="4" w:space="0" w:color="000000"/>
            </w:tcBorders>
            <w:shd w:val="clear" w:color="auto" w:fill="auto"/>
            <w:vAlign w:val="center"/>
            <w:hideMark/>
          </w:tcPr>
          <w:p w14:paraId="4E85F1F4"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Kar and Mullick (2014) </w:t>
            </w:r>
          </w:p>
        </w:tc>
        <w:tc>
          <w:tcPr>
            <w:tcW w:w="1024" w:type="pct"/>
            <w:tcBorders>
              <w:top w:val="nil"/>
              <w:left w:val="nil"/>
              <w:bottom w:val="single" w:sz="4" w:space="0" w:color="000000"/>
              <w:right w:val="single" w:sz="4" w:space="0" w:color="000000"/>
            </w:tcBorders>
            <w:shd w:val="clear" w:color="auto" w:fill="auto"/>
            <w:vAlign w:val="center"/>
            <w:hideMark/>
          </w:tcPr>
          <w:p w14:paraId="29C6884A"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Older adults and people-with-disabilities </w:t>
            </w:r>
          </w:p>
        </w:tc>
        <w:tc>
          <w:tcPr>
            <w:tcW w:w="818" w:type="pct"/>
            <w:tcBorders>
              <w:top w:val="nil"/>
              <w:left w:val="nil"/>
              <w:bottom w:val="single" w:sz="4" w:space="0" w:color="000000"/>
              <w:right w:val="single" w:sz="4" w:space="0" w:color="000000"/>
            </w:tcBorders>
            <w:shd w:val="clear" w:color="auto" w:fill="auto"/>
            <w:vAlign w:val="center"/>
            <w:hideMark/>
          </w:tcPr>
          <w:p w14:paraId="40674E62"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How principles of Universal Design can be applied to Behind the counter (BhC) workspaces and enable employment opportunities for everyone </w:t>
            </w:r>
          </w:p>
        </w:tc>
        <w:tc>
          <w:tcPr>
            <w:tcW w:w="835" w:type="pct"/>
            <w:tcBorders>
              <w:top w:val="nil"/>
              <w:left w:val="nil"/>
              <w:bottom w:val="single" w:sz="4" w:space="0" w:color="000000"/>
              <w:right w:val="single" w:sz="4" w:space="0" w:color="000000"/>
            </w:tcBorders>
            <w:shd w:val="clear" w:color="auto" w:fill="auto"/>
            <w:vAlign w:val="center"/>
            <w:hideMark/>
          </w:tcPr>
          <w:p w14:paraId="5636D4BA"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 Trace Study (a sequential process, is rooted in three stages: Observation, Analysis and Inference) - User Observations - User Interviews </w:t>
            </w:r>
          </w:p>
        </w:tc>
        <w:tc>
          <w:tcPr>
            <w:tcW w:w="581" w:type="pct"/>
            <w:tcBorders>
              <w:top w:val="nil"/>
              <w:left w:val="nil"/>
              <w:bottom w:val="single" w:sz="4" w:space="0" w:color="000000"/>
              <w:right w:val="single" w:sz="4" w:space="0" w:color="000000"/>
            </w:tcBorders>
            <w:shd w:val="clear" w:color="auto" w:fill="auto"/>
            <w:vAlign w:val="center"/>
            <w:hideMark/>
          </w:tcPr>
          <w:p w14:paraId="108BB638"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Behind the counter (BhC) workspaces., namely, (i) library circulation counter, (ii) hotel check-in counter, (iii) airport check-in counter and (iv) office reception counter </w:t>
            </w:r>
          </w:p>
        </w:tc>
        <w:tc>
          <w:tcPr>
            <w:tcW w:w="1236" w:type="pct"/>
            <w:tcBorders>
              <w:top w:val="nil"/>
              <w:left w:val="nil"/>
              <w:bottom w:val="single" w:sz="4" w:space="0" w:color="000000"/>
              <w:right w:val="single" w:sz="4" w:space="0" w:color="000000"/>
            </w:tcBorders>
            <w:shd w:val="clear" w:color="auto" w:fill="auto"/>
            <w:vAlign w:val="center"/>
            <w:hideMark/>
          </w:tcPr>
          <w:p w14:paraId="5ADA433B"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Design specifications for a basic module, with provision to add-on features for specific work requirements </w:t>
            </w:r>
          </w:p>
        </w:tc>
      </w:tr>
      <w:tr w:rsidR="00195F1F" w:rsidRPr="00F43A95" w14:paraId="6F7D4154" w14:textId="77777777" w:rsidTr="00195F1F">
        <w:trPr>
          <w:trHeight w:val="1453"/>
        </w:trPr>
        <w:tc>
          <w:tcPr>
            <w:tcW w:w="506" w:type="pct"/>
            <w:tcBorders>
              <w:top w:val="nil"/>
              <w:left w:val="single" w:sz="4" w:space="0" w:color="000000"/>
              <w:bottom w:val="single" w:sz="4" w:space="0" w:color="000000"/>
              <w:right w:val="single" w:sz="4" w:space="0" w:color="000000"/>
            </w:tcBorders>
            <w:shd w:val="clear" w:color="auto" w:fill="auto"/>
            <w:vAlign w:val="center"/>
            <w:hideMark/>
          </w:tcPr>
          <w:p w14:paraId="21CEE330"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lastRenderedPageBreak/>
              <w:t>Willis (2009) </w:t>
            </w:r>
          </w:p>
        </w:tc>
        <w:tc>
          <w:tcPr>
            <w:tcW w:w="1024" w:type="pct"/>
            <w:tcBorders>
              <w:top w:val="nil"/>
              <w:left w:val="nil"/>
              <w:bottom w:val="single" w:sz="4" w:space="0" w:color="000000"/>
              <w:right w:val="single" w:sz="4" w:space="0" w:color="000000"/>
            </w:tcBorders>
            <w:shd w:val="clear" w:color="auto" w:fill="auto"/>
            <w:vAlign w:val="center"/>
            <w:hideMark/>
          </w:tcPr>
          <w:p w14:paraId="0DD86B33"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Queer (or non-heterosexual) </w:t>
            </w:r>
          </w:p>
        </w:tc>
        <w:tc>
          <w:tcPr>
            <w:tcW w:w="818" w:type="pct"/>
            <w:tcBorders>
              <w:top w:val="nil"/>
              <w:left w:val="nil"/>
              <w:bottom w:val="single" w:sz="4" w:space="0" w:color="000000"/>
              <w:right w:val="single" w:sz="4" w:space="0" w:color="000000"/>
            </w:tcBorders>
            <w:shd w:val="clear" w:color="auto" w:fill="auto"/>
            <w:vAlign w:val="center"/>
            <w:hideMark/>
          </w:tcPr>
          <w:p w14:paraId="429540F8"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Understand how young people experience the workplace as queer workers and what they perceive as sexually exclusive and inclusive workplaces </w:t>
            </w:r>
          </w:p>
        </w:tc>
        <w:tc>
          <w:tcPr>
            <w:tcW w:w="835" w:type="pct"/>
            <w:tcBorders>
              <w:top w:val="nil"/>
              <w:left w:val="nil"/>
              <w:bottom w:val="single" w:sz="4" w:space="0" w:color="000000"/>
              <w:right w:val="single" w:sz="4" w:space="0" w:color="000000"/>
            </w:tcBorders>
            <w:shd w:val="clear" w:color="auto" w:fill="auto"/>
            <w:vAlign w:val="center"/>
            <w:hideMark/>
          </w:tcPr>
          <w:p w14:paraId="72EA41D5"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Qualitative study - interviews with 34 young people </w:t>
            </w:r>
          </w:p>
        </w:tc>
        <w:tc>
          <w:tcPr>
            <w:tcW w:w="581" w:type="pct"/>
            <w:tcBorders>
              <w:top w:val="nil"/>
              <w:left w:val="nil"/>
              <w:bottom w:val="single" w:sz="4" w:space="0" w:color="000000"/>
              <w:right w:val="single" w:sz="4" w:space="0" w:color="000000"/>
            </w:tcBorders>
            <w:shd w:val="clear" w:color="auto" w:fill="auto"/>
            <w:vAlign w:val="center"/>
            <w:hideMark/>
          </w:tcPr>
          <w:p w14:paraId="1FEC7D1F"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Workplaces </w:t>
            </w:r>
          </w:p>
        </w:tc>
        <w:tc>
          <w:tcPr>
            <w:tcW w:w="1236" w:type="pct"/>
            <w:tcBorders>
              <w:top w:val="nil"/>
              <w:left w:val="nil"/>
              <w:bottom w:val="single" w:sz="4" w:space="0" w:color="000000"/>
              <w:right w:val="single" w:sz="4" w:space="0" w:color="000000"/>
            </w:tcBorders>
            <w:shd w:val="clear" w:color="auto" w:fill="auto"/>
            <w:vAlign w:val="center"/>
            <w:hideMark/>
          </w:tcPr>
          <w:p w14:paraId="4E88C1BD" w14:textId="77777777" w:rsidR="00195F1F" w:rsidRPr="00F43A95" w:rsidRDefault="00195F1F" w:rsidP="00195F1F">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Workplaces can function as both sexually exclusive and inclusive spaces. Organizational relationships, teams and cultures can transcend these divisions and how employees and organizational leaders can foster respect and appreciation for sexual diversity. </w:t>
            </w:r>
          </w:p>
        </w:tc>
      </w:tr>
    </w:tbl>
    <w:p w14:paraId="77D22FF1" w14:textId="77777777" w:rsidR="00D50BA0" w:rsidRPr="00F43A95" w:rsidRDefault="00D50BA0">
      <w:pPr>
        <w:rPr>
          <w:color w:val="000000" w:themeColor="text1"/>
          <w:lang w:val="en-GB"/>
        </w:rPr>
      </w:pPr>
    </w:p>
    <w:p w14:paraId="0A8FF768" w14:textId="77777777" w:rsidR="00034638" w:rsidRPr="00F43A95" w:rsidRDefault="00034638">
      <w:pPr>
        <w:rPr>
          <w:color w:val="000000" w:themeColor="text1"/>
          <w:lang w:val="en-GB"/>
        </w:rPr>
        <w:sectPr w:rsidR="00034638" w:rsidRPr="00F43A95" w:rsidSect="00195F1F">
          <w:pgSz w:w="16840" w:h="11910" w:orient="landscape"/>
          <w:pgMar w:top="1418" w:right="1418" w:bottom="1418" w:left="1418" w:header="708" w:footer="708" w:gutter="0"/>
          <w:cols w:space="708"/>
          <w:docGrid w:linePitch="326"/>
        </w:sectPr>
      </w:pPr>
    </w:p>
    <w:p w14:paraId="50130D53" w14:textId="4277A85B" w:rsidR="00034638" w:rsidRPr="00F43A95" w:rsidRDefault="00034638" w:rsidP="00034638">
      <w:pPr>
        <w:spacing w:line="360" w:lineRule="auto"/>
        <w:jc w:val="center"/>
        <w:rPr>
          <w:rFonts w:ascii="Times New Roman" w:hAnsi="Times New Roman" w:cs="Times New Roman"/>
          <w:i/>
          <w:iCs/>
          <w:color w:val="000000" w:themeColor="text1"/>
          <w:sz w:val="28"/>
          <w:lang w:val="en-GB"/>
        </w:rPr>
      </w:pPr>
      <w:r w:rsidRPr="00F43A95">
        <w:rPr>
          <w:rFonts w:ascii="Times New Roman" w:hAnsi="Times New Roman" w:cs="Times New Roman"/>
          <w:i/>
          <w:iCs/>
          <w:color w:val="000000" w:themeColor="text1"/>
          <w:lang w:val="en-GB"/>
        </w:rPr>
        <w:lastRenderedPageBreak/>
        <w:t>Table S2. Papers and reports by country.</w:t>
      </w:r>
      <w:r w:rsidR="00C0486B" w:rsidRPr="00F43A95">
        <w:rPr>
          <w:rFonts w:ascii="Times New Roman" w:hAnsi="Times New Roman" w:cs="Times New Roman"/>
          <w:i/>
          <w:iCs/>
          <w:color w:val="000000" w:themeColor="text1"/>
          <w:lang w:val="en-GB"/>
        </w:rPr>
        <w:t xml:space="preserve"> Source: Authors' own work</w:t>
      </w:r>
    </w:p>
    <w:tbl>
      <w:tblPr>
        <w:tblW w:w="0" w:type="auto"/>
        <w:jc w:val="center"/>
        <w:tblCellMar>
          <w:top w:w="15" w:type="dxa"/>
        </w:tblCellMar>
        <w:tblLook w:val="04A0" w:firstRow="1" w:lastRow="0" w:firstColumn="1" w:lastColumn="0" w:noHBand="0" w:noVBand="1"/>
      </w:tblPr>
      <w:tblGrid>
        <w:gridCol w:w="3091"/>
        <w:gridCol w:w="1150"/>
        <w:gridCol w:w="1196"/>
        <w:gridCol w:w="222"/>
      </w:tblGrid>
      <w:tr w:rsidR="00F43A95" w:rsidRPr="00F43A95" w14:paraId="6BC11C06" w14:textId="77777777" w:rsidTr="00034638">
        <w:trPr>
          <w:gridAfter w:val="1"/>
          <w:trHeight w:val="290"/>
          <w:jc w:val="center"/>
        </w:trPr>
        <w:tc>
          <w:tcPr>
            <w:tcW w:w="0" w:type="auto"/>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24854301" w14:textId="77777777" w:rsidR="00034638" w:rsidRPr="00F43A95" w:rsidRDefault="00034638" w:rsidP="00034638">
            <w:pPr>
              <w:spacing w:after="0" w:line="240" w:lineRule="auto"/>
              <w:rPr>
                <w:rFonts w:ascii="Times New Roman" w:eastAsia="Times New Roman" w:hAnsi="Times New Roman" w:cs="Times New Roman"/>
                <w:b/>
                <w:bCs/>
                <w:color w:val="000000" w:themeColor="text1"/>
                <w:kern w:val="0"/>
                <w:sz w:val="18"/>
                <w:szCs w:val="18"/>
                <w:lang w:val="en-GB" w:eastAsia="en-GB"/>
                <w14:ligatures w14:val="none"/>
              </w:rPr>
            </w:pPr>
            <w:r w:rsidRPr="00F43A95">
              <w:rPr>
                <w:rFonts w:ascii="Times New Roman" w:eastAsia="Times New Roman" w:hAnsi="Times New Roman" w:cs="Times New Roman"/>
                <w:b/>
                <w:bCs/>
                <w:color w:val="000000" w:themeColor="text1"/>
                <w:kern w:val="0"/>
                <w:sz w:val="18"/>
                <w:szCs w:val="18"/>
                <w:lang w:val="en-GB" w:eastAsia="en-GB"/>
                <w14:ligatures w14:val="none"/>
              </w:rPr>
              <w:t xml:space="preserve">Countries </w:t>
            </w:r>
          </w:p>
        </w:tc>
        <w:tc>
          <w:tcPr>
            <w:tcW w:w="0" w:type="auto"/>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2768314A" w14:textId="5A332BBD" w:rsidR="00034638" w:rsidRPr="00F43A95" w:rsidRDefault="00034638" w:rsidP="00034638">
            <w:pPr>
              <w:spacing w:after="0" w:line="240" w:lineRule="auto"/>
              <w:jc w:val="center"/>
              <w:rPr>
                <w:rFonts w:ascii="Times New Roman" w:eastAsia="Times New Roman" w:hAnsi="Times New Roman" w:cs="Times New Roman"/>
                <w:b/>
                <w:bCs/>
                <w:color w:val="000000" w:themeColor="text1"/>
                <w:kern w:val="0"/>
                <w:sz w:val="18"/>
                <w:szCs w:val="18"/>
                <w:lang w:val="en-GB" w:eastAsia="en-GB"/>
                <w14:ligatures w14:val="none"/>
              </w:rPr>
            </w:pPr>
            <w:r w:rsidRPr="00F43A95">
              <w:rPr>
                <w:rFonts w:ascii="Times New Roman" w:eastAsia="Times New Roman" w:hAnsi="Times New Roman" w:cs="Times New Roman"/>
                <w:b/>
                <w:bCs/>
                <w:color w:val="000000" w:themeColor="text1"/>
                <w:kern w:val="0"/>
                <w:sz w:val="18"/>
                <w:szCs w:val="18"/>
                <w:lang w:val="en-GB" w:eastAsia="en-GB"/>
                <w14:ligatures w14:val="none"/>
              </w:rPr>
              <w:t># of papers</w:t>
            </w:r>
            <w:r w:rsidR="00F46904" w:rsidRPr="00F43A95">
              <w:rPr>
                <w:rFonts w:ascii="Times New Roman" w:eastAsia="Times New Roman" w:hAnsi="Times New Roman" w:cs="Times New Roman"/>
                <w:color w:val="000000" w:themeColor="text1"/>
                <w:kern w:val="0"/>
                <w:sz w:val="18"/>
                <w:szCs w:val="18"/>
                <w:vertAlign w:val="superscript"/>
                <w:lang w:val="en-GB" w:eastAsia="en-GB"/>
                <w14:ligatures w14:val="none"/>
              </w:rPr>
              <w:t xml:space="preserve"> a</w:t>
            </w:r>
          </w:p>
        </w:tc>
        <w:tc>
          <w:tcPr>
            <w:tcW w:w="0" w:type="auto"/>
            <w:tcBorders>
              <w:top w:val="single" w:sz="8" w:space="0" w:color="auto"/>
              <w:left w:val="single" w:sz="4" w:space="0" w:color="auto"/>
              <w:bottom w:val="single" w:sz="4" w:space="0" w:color="auto"/>
              <w:right w:val="single" w:sz="8" w:space="0" w:color="auto"/>
            </w:tcBorders>
            <w:shd w:val="clear" w:color="auto" w:fill="auto"/>
            <w:noWrap/>
            <w:vAlign w:val="bottom"/>
            <w:hideMark/>
          </w:tcPr>
          <w:p w14:paraId="6337B900" w14:textId="000D451E" w:rsidR="00034638" w:rsidRPr="00F43A95" w:rsidRDefault="00034638" w:rsidP="00034638">
            <w:pPr>
              <w:spacing w:after="0" w:line="240" w:lineRule="auto"/>
              <w:jc w:val="center"/>
              <w:rPr>
                <w:rFonts w:ascii="Times New Roman" w:eastAsia="Times New Roman" w:hAnsi="Times New Roman" w:cs="Times New Roman"/>
                <w:b/>
                <w:bCs/>
                <w:color w:val="000000" w:themeColor="text1"/>
                <w:kern w:val="0"/>
                <w:sz w:val="18"/>
                <w:szCs w:val="18"/>
                <w:lang w:val="en-GB" w:eastAsia="en-GB"/>
                <w14:ligatures w14:val="none"/>
              </w:rPr>
            </w:pPr>
            <w:r w:rsidRPr="00F43A95">
              <w:rPr>
                <w:rFonts w:ascii="Times New Roman" w:eastAsia="Times New Roman" w:hAnsi="Times New Roman" w:cs="Times New Roman"/>
                <w:b/>
                <w:bCs/>
                <w:color w:val="000000" w:themeColor="text1"/>
                <w:kern w:val="0"/>
                <w:sz w:val="18"/>
                <w:szCs w:val="18"/>
                <w:lang w:val="en-GB" w:eastAsia="en-GB"/>
                <w14:ligatures w14:val="none"/>
              </w:rPr>
              <w:t># of reports</w:t>
            </w:r>
            <w:r w:rsidR="00F46904" w:rsidRPr="00F43A95">
              <w:rPr>
                <w:rFonts w:ascii="Times New Roman" w:eastAsia="Times New Roman" w:hAnsi="Times New Roman" w:cs="Times New Roman"/>
                <w:color w:val="000000" w:themeColor="text1"/>
                <w:kern w:val="0"/>
                <w:sz w:val="18"/>
                <w:szCs w:val="18"/>
                <w:vertAlign w:val="superscript"/>
                <w:lang w:val="en-GB" w:eastAsia="en-GB"/>
                <w14:ligatures w14:val="none"/>
              </w:rPr>
              <w:t xml:space="preserve"> b</w:t>
            </w:r>
          </w:p>
        </w:tc>
      </w:tr>
      <w:tr w:rsidR="00F43A95" w:rsidRPr="00F43A95" w14:paraId="1F6AD1F4" w14:textId="77777777" w:rsidTr="00034638">
        <w:trPr>
          <w:gridAfter w:val="1"/>
          <w:trHeight w:val="290"/>
          <w:jc w:val="center"/>
        </w:trPr>
        <w:tc>
          <w:tcPr>
            <w:tcW w:w="0" w:type="auto"/>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A5D0904" w14:textId="77777777" w:rsidR="00034638" w:rsidRPr="00F43A95" w:rsidRDefault="00034638" w:rsidP="00034638">
            <w:pPr>
              <w:spacing w:after="0" w:line="240" w:lineRule="auto"/>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United States</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2FBB98"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7</w:t>
            </w:r>
          </w:p>
        </w:tc>
        <w:tc>
          <w:tcPr>
            <w:tcW w:w="0" w:type="auto"/>
            <w:tcBorders>
              <w:top w:val="single" w:sz="4" w:space="0" w:color="auto"/>
              <w:left w:val="single" w:sz="4" w:space="0" w:color="auto"/>
              <w:bottom w:val="single" w:sz="4" w:space="0" w:color="auto"/>
              <w:right w:val="single" w:sz="8" w:space="0" w:color="auto"/>
            </w:tcBorders>
            <w:shd w:val="clear" w:color="auto" w:fill="auto"/>
            <w:noWrap/>
            <w:vAlign w:val="bottom"/>
            <w:hideMark/>
          </w:tcPr>
          <w:p w14:paraId="583C613A"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12</w:t>
            </w:r>
          </w:p>
        </w:tc>
      </w:tr>
      <w:tr w:rsidR="00F43A95" w:rsidRPr="00F43A95" w14:paraId="7EC0FE5D" w14:textId="77777777" w:rsidTr="00034638">
        <w:trPr>
          <w:gridAfter w:val="1"/>
          <w:trHeight w:val="290"/>
          <w:jc w:val="center"/>
        </w:trPr>
        <w:tc>
          <w:tcPr>
            <w:tcW w:w="0" w:type="auto"/>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00535FC" w14:textId="77777777" w:rsidR="00034638" w:rsidRPr="00F43A95" w:rsidRDefault="00034638" w:rsidP="00034638">
            <w:pPr>
              <w:spacing w:after="0" w:line="240" w:lineRule="auto"/>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UK</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F4F52A"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5</w:t>
            </w:r>
          </w:p>
        </w:tc>
        <w:tc>
          <w:tcPr>
            <w:tcW w:w="0" w:type="auto"/>
            <w:tcBorders>
              <w:top w:val="single" w:sz="4" w:space="0" w:color="auto"/>
              <w:left w:val="single" w:sz="4" w:space="0" w:color="auto"/>
              <w:bottom w:val="single" w:sz="4" w:space="0" w:color="auto"/>
              <w:right w:val="single" w:sz="8" w:space="0" w:color="auto"/>
            </w:tcBorders>
            <w:shd w:val="clear" w:color="auto" w:fill="auto"/>
            <w:noWrap/>
            <w:vAlign w:val="bottom"/>
            <w:hideMark/>
          </w:tcPr>
          <w:p w14:paraId="4A6E2652"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2</w:t>
            </w:r>
          </w:p>
        </w:tc>
      </w:tr>
      <w:tr w:rsidR="00F43A95" w:rsidRPr="00F43A95" w14:paraId="40805F05" w14:textId="77777777" w:rsidTr="00034638">
        <w:trPr>
          <w:gridAfter w:val="1"/>
          <w:trHeight w:val="290"/>
          <w:jc w:val="center"/>
        </w:trPr>
        <w:tc>
          <w:tcPr>
            <w:tcW w:w="0" w:type="auto"/>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4CEB292D" w14:textId="77777777" w:rsidR="00034638" w:rsidRPr="00F43A95" w:rsidRDefault="00034638" w:rsidP="00034638">
            <w:pPr>
              <w:spacing w:after="0" w:line="240" w:lineRule="auto"/>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Italy</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9772B2"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2</w:t>
            </w:r>
          </w:p>
        </w:tc>
        <w:tc>
          <w:tcPr>
            <w:tcW w:w="0" w:type="auto"/>
            <w:tcBorders>
              <w:top w:val="single" w:sz="4" w:space="0" w:color="auto"/>
              <w:left w:val="single" w:sz="4" w:space="0" w:color="auto"/>
              <w:bottom w:val="single" w:sz="4" w:space="0" w:color="auto"/>
              <w:right w:val="single" w:sz="8" w:space="0" w:color="auto"/>
            </w:tcBorders>
            <w:shd w:val="clear" w:color="auto" w:fill="auto"/>
            <w:noWrap/>
            <w:vAlign w:val="bottom"/>
            <w:hideMark/>
          </w:tcPr>
          <w:p w14:paraId="7117FE36"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w:t>
            </w:r>
          </w:p>
        </w:tc>
      </w:tr>
      <w:tr w:rsidR="00F43A95" w:rsidRPr="00F43A95" w14:paraId="2F7A2B40" w14:textId="77777777" w:rsidTr="00034638">
        <w:trPr>
          <w:gridAfter w:val="1"/>
          <w:trHeight w:val="290"/>
          <w:jc w:val="center"/>
        </w:trPr>
        <w:tc>
          <w:tcPr>
            <w:tcW w:w="0" w:type="auto"/>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7CA10F8" w14:textId="77777777" w:rsidR="00034638" w:rsidRPr="00F43A95" w:rsidRDefault="00034638" w:rsidP="00034638">
            <w:pPr>
              <w:spacing w:after="0" w:line="240" w:lineRule="auto"/>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Australia</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F9BEE1"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1</w:t>
            </w:r>
          </w:p>
        </w:tc>
        <w:tc>
          <w:tcPr>
            <w:tcW w:w="0" w:type="auto"/>
            <w:tcBorders>
              <w:top w:val="single" w:sz="4" w:space="0" w:color="auto"/>
              <w:left w:val="single" w:sz="4" w:space="0" w:color="auto"/>
              <w:bottom w:val="single" w:sz="4" w:space="0" w:color="auto"/>
              <w:right w:val="single" w:sz="8" w:space="0" w:color="auto"/>
            </w:tcBorders>
            <w:shd w:val="clear" w:color="auto" w:fill="auto"/>
            <w:noWrap/>
            <w:vAlign w:val="bottom"/>
            <w:hideMark/>
          </w:tcPr>
          <w:p w14:paraId="311C8DD6"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w:t>
            </w:r>
          </w:p>
        </w:tc>
      </w:tr>
      <w:tr w:rsidR="00F43A95" w:rsidRPr="00F43A95" w14:paraId="2AD4BEED" w14:textId="77777777" w:rsidTr="00034638">
        <w:trPr>
          <w:gridAfter w:val="1"/>
          <w:trHeight w:val="290"/>
          <w:jc w:val="center"/>
        </w:trPr>
        <w:tc>
          <w:tcPr>
            <w:tcW w:w="0" w:type="auto"/>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7CDA0E4A" w14:textId="77777777" w:rsidR="00034638" w:rsidRPr="00F43A95" w:rsidRDefault="00034638" w:rsidP="00034638">
            <w:pPr>
              <w:spacing w:after="0" w:line="240" w:lineRule="auto"/>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Bangladesh</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631721"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1</w:t>
            </w:r>
          </w:p>
        </w:tc>
        <w:tc>
          <w:tcPr>
            <w:tcW w:w="0" w:type="auto"/>
            <w:tcBorders>
              <w:top w:val="single" w:sz="4" w:space="0" w:color="auto"/>
              <w:left w:val="single" w:sz="4" w:space="0" w:color="auto"/>
              <w:bottom w:val="single" w:sz="4" w:space="0" w:color="auto"/>
              <w:right w:val="single" w:sz="8" w:space="0" w:color="auto"/>
            </w:tcBorders>
            <w:shd w:val="clear" w:color="auto" w:fill="auto"/>
            <w:noWrap/>
            <w:vAlign w:val="bottom"/>
            <w:hideMark/>
          </w:tcPr>
          <w:p w14:paraId="787B3CB4"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w:t>
            </w:r>
          </w:p>
        </w:tc>
      </w:tr>
      <w:tr w:rsidR="00F43A95" w:rsidRPr="00F43A95" w14:paraId="2B37885C" w14:textId="77777777" w:rsidTr="00034638">
        <w:trPr>
          <w:gridAfter w:val="1"/>
          <w:trHeight w:val="290"/>
          <w:jc w:val="center"/>
        </w:trPr>
        <w:tc>
          <w:tcPr>
            <w:tcW w:w="0" w:type="auto"/>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3EAD558D" w14:textId="77777777" w:rsidR="00034638" w:rsidRPr="00F43A95" w:rsidRDefault="00034638" w:rsidP="00034638">
            <w:pPr>
              <w:spacing w:after="0" w:line="240" w:lineRule="auto"/>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Belgium</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B7D8B1"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1</w:t>
            </w:r>
          </w:p>
        </w:tc>
        <w:tc>
          <w:tcPr>
            <w:tcW w:w="0" w:type="auto"/>
            <w:tcBorders>
              <w:top w:val="single" w:sz="4" w:space="0" w:color="auto"/>
              <w:left w:val="single" w:sz="4" w:space="0" w:color="auto"/>
              <w:bottom w:val="single" w:sz="4" w:space="0" w:color="auto"/>
              <w:right w:val="single" w:sz="8" w:space="0" w:color="auto"/>
            </w:tcBorders>
            <w:shd w:val="clear" w:color="auto" w:fill="auto"/>
            <w:noWrap/>
            <w:vAlign w:val="bottom"/>
            <w:hideMark/>
          </w:tcPr>
          <w:p w14:paraId="1A00C94F"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w:t>
            </w:r>
          </w:p>
        </w:tc>
      </w:tr>
      <w:tr w:rsidR="00F43A95" w:rsidRPr="00F43A95" w14:paraId="1C3EBEDC" w14:textId="77777777" w:rsidTr="00034638">
        <w:trPr>
          <w:gridAfter w:val="1"/>
          <w:trHeight w:val="290"/>
          <w:jc w:val="center"/>
        </w:trPr>
        <w:tc>
          <w:tcPr>
            <w:tcW w:w="0" w:type="auto"/>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C76EECB" w14:textId="77777777" w:rsidR="00034638" w:rsidRPr="00F43A95" w:rsidRDefault="00034638" w:rsidP="00034638">
            <w:pPr>
              <w:spacing w:after="0" w:line="240" w:lineRule="auto"/>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Denmark</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B38C28"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1</w:t>
            </w:r>
          </w:p>
        </w:tc>
        <w:tc>
          <w:tcPr>
            <w:tcW w:w="0" w:type="auto"/>
            <w:tcBorders>
              <w:top w:val="single" w:sz="4" w:space="0" w:color="auto"/>
              <w:left w:val="single" w:sz="4" w:space="0" w:color="auto"/>
              <w:bottom w:val="single" w:sz="4" w:space="0" w:color="auto"/>
              <w:right w:val="single" w:sz="8" w:space="0" w:color="auto"/>
            </w:tcBorders>
            <w:shd w:val="clear" w:color="auto" w:fill="auto"/>
            <w:noWrap/>
            <w:vAlign w:val="bottom"/>
            <w:hideMark/>
          </w:tcPr>
          <w:p w14:paraId="0814AD08"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w:t>
            </w:r>
          </w:p>
        </w:tc>
      </w:tr>
      <w:tr w:rsidR="00F43A95" w:rsidRPr="00F43A95" w14:paraId="0D691820" w14:textId="77777777" w:rsidTr="00034638">
        <w:trPr>
          <w:gridAfter w:val="1"/>
          <w:trHeight w:val="290"/>
          <w:jc w:val="center"/>
        </w:trPr>
        <w:tc>
          <w:tcPr>
            <w:tcW w:w="0" w:type="auto"/>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E2CC52E" w14:textId="77777777" w:rsidR="00034638" w:rsidRPr="00F43A95" w:rsidRDefault="00034638" w:rsidP="00034638">
            <w:pPr>
              <w:spacing w:after="0" w:line="240" w:lineRule="auto"/>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France</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954597"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1</w:t>
            </w:r>
          </w:p>
        </w:tc>
        <w:tc>
          <w:tcPr>
            <w:tcW w:w="0" w:type="auto"/>
            <w:tcBorders>
              <w:top w:val="single" w:sz="4" w:space="0" w:color="auto"/>
              <w:left w:val="single" w:sz="4" w:space="0" w:color="auto"/>
              <w:bottom w:val="single" w:sz="4" w:space="0" w:color="auto"/>
              <w:right w:val="single" w:sz="8" w:space="0" w:color="auto"/>
            </w:tcBorders>
            <w:shd w:val="clear" w:color="auto" w:fill="auto"/>
            <w:noWrap/>
            <w:vAlign w:val="bottom"/>
            <w:hideMark/>
          </w:tcPr>
          <w:p w14:paraId="279B5719"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2</w:t>
            </w:r>
          </w:p>
        </w:tc>
      </w:tr>
      <w:tr w:rsidR="00F43A95" w:rsidRPr="00F43A95" w14:paraId="5F838878" w14:textId="77777777" w:rsidTr="00034638">
        <w:trPr>
          <w:gridAfter w:val="1"/>
          <w:trHeight w:val="290"/>
          <w:jc w:val="center"/>
        </w:trPr>
        <w:tc>
          <w:tcPr>
            <w:tcW w:w="0" w:type="auto"/>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3CF4664" w14:textId="77777777" w:rsidR="00034638" w:rsidRPr="00F43A95" w:rsidRDefault="00034638" w:rsidP="00034638">
            <w:pPr>
              <w:spacing w:after="0" w:line="240" w:lineRule="auto"/>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Germany; Switzerland</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CC17BD"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1</w:t>
            </w:r>
          </w:p>
        </w:tc>
        <w:tc>
          <w:tcPr>
            <w:tcW w:w="0" w:type="auto"/>
            <w:tcBorders>
              <w:top w:val="single" w:sz="4" w:space="0" w:color="auto"/>
              <w:left w:val="single" w:sz="4" w:space="0" w:color="auto"/>
              <w:bottom w:val="single" w:sz="4" w:space="0" w:color="auto"/>
              <w:right w:val="single" w:sz="8" w:space="0" w:color="auto"/>
            </w:tcBorders>
            <w:shd w:val="clear" w:color="auto" w:fill="auto"/>
            <w:noWrap/>
            <w:vAlign w:val="bottom"/>
            <w:hideMark/>
          </w:tcPr>
          <w:p w14:paraId="5DB763FB" w14:textId="4E7FF762"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3</w:t>
            </w:r>
            <w:r w:rsidR="00F46904" w:rsidRPr="00F43A95">
              <w:rPr>
                <w:rFonts w:ascii="Times New Roman" w:eastAsia="Times New Roman" w:hAnsi="Times New Roman" w:cs="Times New Roman"/>
                <w:color w:val="000000" w:themeColor="text1"/>
                <w:kern w:val="0"/>
                <w:sz w:val="18"/>
                <w:szCs w:val="18"/>
                <w:vertAlign w:val="superscript"/>
                <w:lang w:val="en-GB" w:eastAsia="en-GB"/>
                <w14:ligatures w14:val="none"/>
              </w:rPr>
              <w:t>c</w:t>
            </w:r>
          </w:p>
        </w:tc>
      </w:tr>
      <w:tr w:rsidR="00F43A95" w:rsidRPr="00F43A95" w14:paraId="736E84D9" w14:textId="77777777" w:rsidTr="00034638">
        <w:trPr>
          <w:gridAfter w:val="1"/>
          <w:trHeight w:val="290"/>
          <w:jc w:val="center"/>
        </w:trPr>
        <w:tc>
          <w:tcPr>
            <w:tcW w:w="0" w:type="auto"/>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4176033" w14:textId="77777777" w:rsidR="00034638" w:rsidRPr="00F43A95" w:rsidRDefault="00034638" w:rsidP="00034638">
            <w:pPr>
              <w:spacing w:after="0" w:line="240" w:lineRule="auto"/>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Greece</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D260FE"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1</w:t>
            </w:r>
          </w:p>
        </w:tc>
        <w:tc>
          <w:tcPr>
            <w:tcW w:w="0" w:type="auto"/>
            <w:tcBorders>
              <w:top w:val="single" w:sz="4" w:space="0" w:color="auto"/>
              <w:left w:val="single" w:sz="4" w:space="0" w:color="auto"/>
              <w:bottom w:val="single" w:sz="4" w:space="0" w:color="auto"/>
              <w:right w:val="single" w:sz="8" w:space="0" w:color="auto"/>
            </w:tcBorders>
            <w:shd w:val="clear" w:color="auto" w:fill="auto"/>
            <w:noWrap/>
            <w:vAlign w:val="bottom"/>
            <w:hideMark/>
          </w:tcPr>
          <w:p w14:paraId="64DFA94B"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w:t>
            </w:r>
          </w:p>
        </w:tc>
      </w:tr>
      <w:tr w:rsidR="00F43A95" w:rsidRPr="00F43A95" w14:paraId="65002EAA" w14:textId="77777777" w:rsidTr="00034638">
        <w:trPr>
          <w:gridAfter w:val="1"/>
          <w:trHeight w:val="290"/>
          <w:jc w:val="center"/>
        </w:trPr>
        <w:tc>
          <w:tcPr>
            <w:tcW w:w="0" w:type="auto"/>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71EB7A88" w14:textId="77777777" w:rsidR="00034638" w:rsidRPr="00F43A95" w:rsidRDefault="00034638" w:rsidP="00034638">
            <w:pPr>
              <w:spacing w:after="0" w:line="240" w:lineRule="auto"/>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Netherlands; Czech Republic; Germany</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C89D6D"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1</w:t>
            </w:r>
          </w:p>
        </w:tc>
        <w:tc>
          <w:tcPr>
            <w:tcW w:w="0" w:type="auto"/>
            <w:tcBorders>
              <w:top w:val="single" w:sz="4" w:space="0" w:color="auto"/>
              <w:left w:val="single" w:sz="4" w:space="0" w:color="auto"/>
              <w:bottom w:val="single" w:sz="4" w:space="0" w:color="auto"/>
              <w:right w:val="single" w:sz="8" w:space="0" w:color="auto"/>
            </w:tcBorders>
            <w:shd w:val="clear" w:color="auto" w:fill="auto"/>
            <w:noWrap/>
            <w:vAlign w:val="bottom"/>
            <w:hideMark/>
          </w:tcPr>
          <w:p w14:paraId="384C5FB3"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w:t>
            </w:r>
          </w:p>
        </w:tc>
      </w:tr>
      <w:tr w:rsidR="00F43A95" w:rsidRPr="00F43A95" w14:paraId="79703F08" w14:textId="77777777" w:rsidTr="00034638">
        <w:trPr>
          <w:gridAfter w:val="1"/>
          <w:trHeight w:val="290"/>
          <w:jc w:val="center"/>
        </w:trPr>
        <w:tc>
          <w:tcPr>
            <w:tcW w:w="0" w:type="auto"/>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30B2B63" w14:textId="77777777" w:rsidR="00034638" w:rsidRPr="00F43A95" w:rsidRDefault="00034638" w:rsidP="00034638">
            <w:pPr>
              <w:spacing w:after="0" w:line="240" w:lineRule="auto"/>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New Zealand</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8C69ED"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1</w:t>
            </w:r>
          </w:p>
        </w:tc>
        <w:tc>
          <w:tcPr>
            <w:tcW w:w="0" w:type="auto"/>
            <w:tcBorders>
              <w:top w:val="single" w:sz="4" w:space="0" w:color="auto"/>
              <w:left w:val="single" w:sz="4" w:space="0" w:color="auto"/>
              <w:bottom w:val="single" w:sz="4" w:space="0" w:color="auto"/>
              <w:right w:val="single" w:sz="8" w:space="0" w:color="auto"/>
            </w:tcBorders>
            <w:shd w:val="clear" w:color="auto" w:fill="auto"/>
            <w:noWrap/>
            <w:vAlign w:val="bottom"/>
            <w:hideMark/>
          </w:tcPr>
          <w:p w14:paraId="1BC897B2"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w:t>
            </w:r>
          </w:p>
        </w:tc>
      </w:tr>
      <w:tr w:rsidR="00F43A95" w:rsidRPr="00F43A95" w14:paraId="7878A60E" w14:textId="77777777" w:rsidTr="00034638">
        <w:trPr>
          <w:gridAfter w:val="1"/>
          <w:trHeight w:val="290"/>
          <w:jc w:val="center"/>
        </w:trPr>
        <w:tc>
          <w:tcPr>
            <w:tcW w:w="0" w:type="auto"/>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22F1F06" w14:textId="77777777" w:rsidR="00034638" w:rsidRPr="00F43A95" w:rsidRDefault="00034638" w:rsidP="00034638">
            <w:pPr>
              <w:spacing w:after="0" w:line="240" w:lineRule="auto"/>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Nigeria</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C6129B"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1</w:t>
            </w:r>
          </w:p>
        </w:tc>
        <w:tc>
          <w:tcPr>
            <w:tcW w:w="0" w:type="auto"/>
            <w:tcBorders>
              <w:top w:val="single" w:sz="4" w:space="0" w:color="auto"/>
              <w:left w:val="single" w:sz="4" w:space="0" w:color="auto"/>
              <w:bottom w:val="single" w:sz="4" w:space="0" w:color="auto"/>
              <w:right w:val="single" w:sz="8" w:space="0" w:color="auto"/>
            </w:tcBorders>
            <w:shd w:val="clear" w:color="auto" w:fill="auto"/>
            <w:noWrap/>
            <w:vAlign w:val="bottom"/>
            <w:hideMark/>
          </w:tcPr>
          <w:p w14:paraId="7DC48D96"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w:t>
            </w:r>
          </w:p>
        </w:tc>
      </w:tr>
      <w:tr w:rsidR="00F43A95" w:rsidRPr="00F43A95" w14:paraId="45A53DF4" w14:textId="77777777" w:rsidTr="00034638">
        <w:trPr>
          <w:gridAfter w:val="1"/>
          <w:trHeight w:val="290"/>
          <w:jc w:val="center"/>
        </w:trPr>
        <w:tc>
          <w:tcPr>
            <w:tcW w:w="0" w:type="auto"/>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47875CF3" w14:textId="77777777" w:rsidR="00034638" w:rsidRPr="00F43A95" w:rsidRDefault="00034638" w:rsidP="00034638">
            <w:pPr>
              <w:spacing w:after="0" w:line="240" w:lineRule="auto"/>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Norway</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05A57A"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1</w:t>
            </w:r>
          </w:p>
        </w:tc>
        <w:tc>
          <w:tcPr>
            <w:tcW w:w="0" w:type="auto"/>
            <w:tcBorders>
              <w:top w:val="single" w:sz="4" w:space="0" w:color="auto"/>
              <w:left w:val="single" w:sz="4" w:space="0" w:color="auto"/>
              <w:bottom w:val="single" w:sz="4" w:space="0" w:color="auto"/>
              <w:right w:val="single" w:sz="8" w:space="0" w:color="auto"/>
            </w:tcBorders>
            <w:shd w:val="clear" w:color="auto" w:fill="auto"/>
            <w:noWrap/>
            <w:vAlign w:val="bottom"/>
            <w:hideMark/>
          </w:tcPr>
          <w:p w14:paraId="06AA12F0"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w:t>
            </w:r>
          </w:p>
        </w:tc>
      </w:tr>
      <w:tr w:rsidR="00F43A95" w:rsidRPr="00F43A95" w14:paraId="048FE51E" w14:textId="77777777" w:rsidTr="00034638">
        <w:trPr>
          <w:gridAfter w:val="1"/>
          <w:trHeight w:val="290"/>
          <w:jc w:val="center"/>
        </w:trPr>
        <w:tc>
          <w:tcPr>
            <w:tcW w:w="0" w:type="auto"/>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F469F64" w14:textId="77777777" w:rsidR="00034638" w:rsidRPr="00F43A95" w:rsidRDefault="00034638" w:rsidP="00034638">
            <w:pPr>
              <w:spacing w:after="0" w:line="240" w:lineRule="auto"/>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Sweden</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5DB2CC"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1</w:t>
            </w:r>
          </w:p>
        </w:tc>
        <w:tc>
          <w:tcPr>
            <w:tcW w:w="0" w:type="auto"/>
            <w:tcBorders>
              <w:top w:val="single" w:sz="4" w:space="0" w:color="auto"/>
              <w:left w:val="single" w:sz="4" w:space="0" w:color="auto"/>
              <w:bottom w:val="single" w:sz="4" w:space="0" w:color="auto"/>
              <w:right w:val="single" w:sz="8" w:space="0" w:color="auto"/>
            </w:tcBorders>
            <w:shd w:val="clear" w:color="auto" w:fill="auto"/>
            <w:noWrap/>
            <w:vAlign w:val="bottom"/>
            <w:hideMark/>
          </w:tcPr>
          <w:p w14:paraId="3CA0EC24"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w:t>
            </w:r>
          </w:p>
        </w:tc>
      </w:tr>
      <w:tr w:rsidR="00F43A95" w:rsidRPr="00F43A95" w14:paraId="19DFE52E" w14:textId="77777777" w:rsidTr="00034638">
        <w:trPr>
          <w:gridAfter w:val="1"/>
          <w:trHeight w:val="290"/>
          <w:jc w:val="center"/>
        </w:trPr>
        <w:tc>
          <w:tcPr>
            <w:tcW w:w="0" w:type="auto"/>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F5560AE" w14:textId="77777777" w:rsidR="00034638" w:rsidRPr="00F43A95" w:rsidRDefault="00034638" w:rsidP="00034638">
            <w:pPr>
              <w:spacing w:after="0" w:line="240" w:lineRule="auto"/>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Argentina</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6AB034"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w:t>
            </w:r>
          </w:p>
        </w:tc>
        <w:tc>
          <w:tcPr>
            <w:tcW w:w="0" w:type="auto"/>
            <w:tcBorders>
              <w:top w:val="single" w:sz="4" w:space="0" w:color="auto"/>
              <w:left w:val="single" w:sz="4" w:space="0" w:color="auto"/>
              <w:bottom w:val="single" w:sz="4" w:space="0" w:color="auto"/>
              <w:right w:val="single" w:sz="8" w:space="0" w:color="auto"/>
            </w:tcBorders>
            <w:shd w:val="clear" w:color="auto" w:fill="auto"/>
            <w:noWrap/>
            <w:vAlign w:val="bottom"/>
            <w:hideMark/>
          </w:tcPr>
          <w:p w14:paraId="7CF68F2E"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2</w:t>
            </w:r>
          </w:p>
        </w:tc>
      </w:tr>
      <w:tr w:rsidR="00F43A95" w:rsidRPr="00F43A95" w14:paraId="4767A30D" w14:textId="77777777" w:rsidTr="00034638">
        <w:trPr>
          <w:gridAfter w:val="1"/>
          <w:trHeight w:val="290"/>
          <w:jc w:val="center"/>
        </w:trPr>
        <w:tc>
          <w:tcPr>
            <w:tcW w:w="0" w:type="auto"/>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3D67C6CA" w14:textId="77777777" w:rsidR="00034638" w:rsidRPr="00F43A95" w:rsidRDefault="00034638" w:rsidP="00034638">
            <w:pPr>
              <w:spacing w:after="0" w:line="240" w:lineRule="auto"/>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Ireland</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420C3F"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w:t>
            </w:r>
          </w:p>
        </w:tc>
        <w:tc>
          <w:tcPr>
            <w:tcW w:w="0" w:type="auto"/>
            <w:tcBorders>
              <w:top w:val="single" w:sz="4" w:space="0" w:color="auto"/>
              <w:left w:val="single" w:sz="4" w:space="0" w:color="auto"/>
              <w:bottom w:val="single" w:sz="4" w:space="0" w:color="auto"/>
              <w:right w:val="single" w:sz="8" w:space="0" w:color="auto"/>
            </w:tcBorders>
            <w:shd w:val="clear" w:color="auto" w:fill="auto"/>
            <w:noWrap/>
            <w:vAlign w:val="bottom"/>
            <w:hideMark/>
          </w:tcPr>
          <w:p w14:paraId="6DDCB70F"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1</w:t>
            </w:r>
          </w:p>
        </w:tc>
      </w:tr>
      <w:tr w:rsidR="00F43A95" w:rsidRPr="00F43A95" w14:paraId="5099A08B" w14:textId="77777777" w:rsidTr="00034638">
        <w:trPr>
          <w:gridAfter w:val="1"/>
          <w:trHeight w:val="290"/>
          <w:jc w:val="center"/>
        </w:trPr>
        <w:tc>
          <w:tcPr>
            <w:tcW w:w="0" w:type="auto"/>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DE6F313" w14:textId="77777777" w:rsidR="00034638" w:rsidRPr="00F43A95" w:rsidRDefault="00034638" w:rsidP="00034638">
            <w:pPr>
              <w:spacing w:after="0" w:line="240" w:lineRule="auto"/>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Canada</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08196F"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w:t>
            </w:r>
          </w:p>
        </w:tc>
        <w:tc>
          <w:tcPr>
            <w:tcW w:w="0" w:type="auto"/>
            <w:tcBorders>
              <w:top w:val="single" w:sz="4" w:space="0" w:color="auto"/>
              <w:left w:val="single" w:sz="4" w:space="0" w:color="auto"/>
              <w:bottom w:val="single" w:sz="4" w:space="0" w:color="auto"/>
              <w:right w:val="single" w:sz="8" w:space="0" w:color="auto"/>
            </w:tcBorders>
            <w:shd w:val="clear" w:color="auto" w:fill="auto"/>
            <w:noWrap/>
            <w:vAlign w:val="bottom"/>
            <w:hideMark/>
          </w:tcPr>
          <w:p w14:paraId="61C4A923"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1</w:t>
            </w:r>
          </w:p>
        </w:tc>
      </w:tr>
      <w:tr w:rsidR="00F43A95" w:rsidRPr="00F43A95" w14:paraId="0F50D2F4" w14:textId="77777777" w:rsidTr="00034638">
        <w:trPr>
          <w:gridAfter w:val="1"/>
          <w:trHeight w:val="290"/>
          <w:jc w:val="center"/>
        </w:trPr>
        <w:tc>
          <w:tcPr>
            <w:tcW w:w="0" w:type="auto"/>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30B0E5DD" w14:textId="77777777" w:rsidR="00034638" w:rsidRPr="00F43A95" w:rsidRDefault="00034638" w:rsidP="00034638">
            <w:pPr>
              <w:spacing w:after="0" w:line="240" w:lineRule="auto"/>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Turkey</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6F224F"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1</w:t>
            </w:r>
          </w:p>
        </w:tc>
        <w:tc>
          <w:tcPr>
            <w:tcW w:w="0" w:type="auto"/>
            <w:tcBorders>
              <w:top w:val="single" w:sz="4" w:space="0" w:color="auto"/>
              <w:left w:val="single" w:sz="4" w:space="0" w:color="auto"/>
              <w:bottom w:val="single" w:sz="4" w:space="0" w:color="auto"/>
              <w:right w:val="single" w:sz="8" w:space="0" w:color="auto"/>
            </w:tcBorders>
            <w:shd w:val="clear" w:color="auto" w:fill="auto"/>
            <w:noWrap/>
            <w:vAlign w:val="bottom"/>
            <w:hideMark/>
          </w:tcPr>
          <w:p w14:paraId="7B83EE10"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w:t>
            </w:r>
          </w:p>
        </w:tc>
      </w:tr>
      <w:tr w:rsidR="00F43A95" w:rsidRPr="00F43A95" w14:paraId="70F05EB8" w14:textId="77777777" w:rsidTr="00034638">
        <w:trPr>
          <w:gridAfter w:val="1"/>
          <w:trHeight w:val="290"/>
          <w:jc w:val="center"/>
        </w:trPr>
        <w:tc>
          <w:tcPr>
            <w:tcW w:w="0" w:type="auto"/>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AB986ED" w14:textId="77777777" w:rsidR="00034638" w:rsidRPr="00F43A95" w:rsidRDefault="00034638" w:rsidP="00034638">
            <w:pPr>
              <w:spacing w:after="0" w:line="240" w:lineRule="auto"/>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Lichtenstein</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79F2FD"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w:t>
            </w:r>
          </w:p>
        </w:tc>
        <w:tc>
          <w:tcPr>
            <w:tcW w:w="0" w:type="auto"/>
            <w:tcBorders>
              <w:top w:val="single" w:sz="4" w:space="0" w:color="auto"/>
              <w:left w:val="single" w:sz="4" w:space="0" w:color="auto"/>
              <w:bottom w:val="single" w:sz="4" w:space="0" w:color="auto"/>
              <w:right w:val="single" w:sz="8" w:space="0" w:color="auto"/>
            </w:tcBorders>
            <w:shd w:val="clear" w:color="auto" w:fill="auto"/>
            <w:noWrap/>
            <w:vAlign w:val="bottom"/>
            <w:hideMark/>
          </w:tcPr>
          <w:p w14:paraId="236B92ED"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1</w:t>
            </w:r>
          </w:p>
        </w:tc>
      </w:tr>
      <w:tr w:rsidR="00F43A95" w:rsidRPr="00F43A95" w14:paraId="4369A924" w14:textId="77777777" w:rsidTr="00034638">
        <w:trPr>
          <w:gridAfter w:val="1"/>
          <w:trHeight w:val="290"/>
          <w:jc w:val="center"/>
        </w:trPr>
        <w:tc>
          <w:tcPr>
            <w:tcW w:w="0" w:type="auto"/>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06EA3C4" w14:textId="0F48FFB0" w:rsidR="00034638" w:rsidRPr="00F43A95" w:rsidRDefault="00A25C0D" w:rsidP="00034638">
            <w:pPr>
              <w:spacing w:after="0" w:line="240" w:lineRule="auto"/>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Luxembourg</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8D77D6"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w:t>
            </w:r>
          </w:p>
        </w:tc>
        <w:tc>
          <w:tcPr>
            <w:tcW w:w="0" w:type="auto"/>
            <w:tcBorders>
              <w:top w:val="single" w:sz="4" w:space="0" w:color="auto"/>
              <w:left w:val="single" w:sz="4" w:space="0" w:color="auto"/>
              <w:bottom w:val="single" w:sz="4" w:space="0" w:color="auto"/>
              <w:right w:val="single" w:sz="8" w:space="0" w:color="auto"/>
            </w:tcBorders>
            <w:shd w:val="clear" w:color="auto" w:fill="auto"/>
            <w:noWrap/>
            <w:vAlign w:val="bottom"/>
            <w:hideMark/>
          </w:tcPr>
          <w:p w14:paraId="313B1A38"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1</w:t>
            </w:r>
          </w:p>
        </w:tc>
      </w:tr>
      <w:tr w:rsidR="00F43A95" w:rsidRPr="00F43A95" w14:paraId="45D0F962" w14:textId="77777777" w:rsidTr="00034638">
        <w:trPr>
          <w:gridAfter w:val="1"/>
          <w:trHeight w:val="29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78A98E7"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Total</w:t>
            </w:r>
          </w:p>
        </w:tc>
        <w:tc>
          <w:tcPr>
            <w:tcW w:w="0" w:type="auto"/>
            <w:tcBorders>
              <w:top w:val="nil"/>
              <w:left w:val="nil"/>
              <w:bottom w:val="single" w:sz="4" w:space="0" w:color="auto"/>
              <w:right w:val="single" w:sz="4" w:space="0" w:color="auto"/>
            </w:tcBorders>
            <w:shd w:val="clear" w:color="auto" w:fill="auto"/>
            <w:noWrap/>
            <w:vAlign w:val="bottom"/>
            <w:hideMark/>
          </w:tcPr>
          <w:p w14:paraId="2B18B30E"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27</w:t>
            </w:r>
          </w:p>
        </w:tc>
        <w:tc>
          <w:tcPr>
            <w:tcW w:w="0" w:type="auto"/>
            <w:tcBorders>
              <w:top w:val="nil"/>
              <w:left w:val="nil"/>
              <w:bottom w:val="single" w:sz="4" w:space="0" w:color="auto"/>
              <w:right w:val="single" w:sz="4" w:space="0" w:color="auto"/>
            </w:tcBorders>
            <w:shd w:val="clear" w:color="auto" w:fill="auto"/>
            <w:noWrap/>
            <w:vAlign w:val="bottom"/>
            <w:hideMark/>
          </w:tcPr>
          <w:p w14:paraId="6D99F175" w14:textId="77777777" w:rsidR="00034638" w:rsidRPr="00F43A95" w:rsidRDefault="00034638" w:rsidP="00034638">
            <w:pPr>
              <w:spacing w:after="0" w:line="240" w:lineRule="auto"/>
              <w:jc w:val="center"/>
              <w:rPr>
                <w:rFonts w:ascii="Times New Roman" w:eastAsia="Times New Roman" w:hAnsi="Times New Roman" w:cs="Times New Roman"/>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lang w:val="en-GB" w:eastAsia="en-GB"/>
                <w14:ligatures w14:val="none"/>
              </w:rPr>
              <w:t>25</w:t>
            </w:r>
          </w:p>
        </w:tc>
      </w:tr>
      <w:tr w:rsidR="00F43A95" w:rsidRPr="00F43A95" w14:paraId="6B1ABE2F" w14:textId="77777777" w:rsidTr="00034638">
        <w:trPr>
          <w:gridAfter w:val="1"/>
          <w:trHeight w:val="450"/>
          <w:jc w:val="center"/>
        </w:trPr>
        <w:tc>
          <w:tcPr>
            <w:tcW w:w="0" w:type="auto"/>
            <w:gridSpan w:val="3"/>
            <w:vMerge w:val="restart"/>
            <w:tcBorders>
              <w:top w:val="single" w:sz="4" w:space="0" w:color="auto"/>
              <w:left w:val="nil"/>
              <w:bottom w:val="nil"/>
              <w:right w:val="nil"/>
            </w:tcBorders>
            <w:shd w:val="clear" w:color="auto" w:fill="auto"/>
            <w:hideMark/>
          </w:tcPr>
          <w:p w14:paraId="0C0B8E8C" w14:textId="77777777" w:rsidR="00F46904" w:rsidRPr="00F43A95" w:rsidRDefault="00F46904" w:rsidP="00034638">
            <w:pPr>
              <w:spacing w:after="0" w:line="240" w:lineRule="auto"/>
              <w:rPr>
                <w:rFonts w:ascii="Times New Roman" w:eastAsia="Times New Roman" w:hAnsi="Times New Roman" w:cs="Times New Roman"/>
                <w:i/>
                <w:iCs/>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vertAlign w:val="superscript"/>
                <w:lang w:val="en-GB" w:eastAsia="en-GB"/>
                <w14:ligatures w14:val="none"/>
              </w:rPr>
              <w:t>a</w:t>
            </w:r>
            <w:r w:rsidRPr="00F43A95">
              <w:rPr>
                <w:rFonts w:ascii="Times New Roman" w:eastAsia="Times New Roman" w:hAnsi="Times New Roman" w:cs="Times New Roman"/>
                <w:i/>
                <w:iCs/>
                <w:color w:val="000000" w:themeColor="text1"/>
                <w:kern w:val="0"/>
                <w:sz w:val="18"/>
                <w:szCs w:val="18"/>
                <w:lang w:val="en-GB" w:eastAsia="en-GB"/>
                <w14:ligatures w14:val="none"/>
              </w:rPr>
              <w:t xml:space="preserve"> </w:t>
            </w:r>
            <w:r w:rsidR="00034638" w:rsidRPr="00F43A95">
              <w:rPr>
                <w:rFonts w:ascii="Times New Roman" w:eastAsia="Times New Roman" w:hAnsi="Times New Roman" w:cs="Times New Roman"/>
                <w:i/>
                <w:iCs/>
                <w:color w:val="000000" w:themeColor="text1"/>
                <w:kern w:val="0"/>
                <w:sz w:val="18"/>
                <w:szCs w:val="18"/>
                <w:lang w:val="en-GB" w:eastAsia="en-GB"/>
                <w14:ligatures w14:val="none"/>
              </w:rPr>
              <w:t>Country is intended as authors' affiliation</w:t>
            </w:r>
            <w:r w:rsidRPr="00F43A95">
              <w:rPr>
                <w:rFonts w:ascii="Times New Roman" w:eastAsia="Times New Roman" w:hAnsi="Times New Roman" w:cs="Times New Roman"/>
                <w:i/>
                <w:iCs/>
                <w:color w:val="000000" w:themeColor="text1"/>
                <w:kern w:val="0"/>
                <w:sz w:val="18"/>
                <w:szCs w:val="18"/>
                <w:lang w:val="en-GB" w:eastAsia="en-GB"/>
                <w14:ligatures w14:val="none"/>
              </w:rPr>
              <w:t>.</w:t>
            </w:r>
          </w:p>
          <w:p w14:paraId="61A12948" w14:textId="77777777" w:rsidR="00034638" w:rsidRPr="00F43A95" w:rsidRDefault="00F46904" w:rsidP="00034638">
            <w:pPr>
              <w:spacing w:after="0" w:line="240" w:lineRule="auto"/>
              <w:rPr>
                <w:rFonts w:ascii="Times New Roman" w:eastAsia="Times New Roman" w:hAnsi="Times New Roman" w:cs="Times New Roman"/>
                <w:i/>
                <w:iCs/>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vertAlign w:val="superscript"/>
                <w:lang w:val="en-GB" w:eastAsia="en-GB"/>
                <w14:ligatures w14:val="none"/>
              </w:rPr>
              <w:t>b</w:t>
            </w:r>
            <w:r w:rsidR="00034638" w:rsidRPr="00F43A95">
              <w:rPr>
                <w:rFonts w:ascii="Times New Roman" w:eastAsia="Times New Roman" w:hAnsi="Times New Roman" w:cs="Times New Roman"/>
                <w:i/>
                <w:iCs/>
                <w:color w:val="000000" w:themeColor="text1"/>
                <w:kern w:val="0"/>
                <w:sz w:val="18"/>
                <w:szCs w:val="18"/>
                <w:lang w:val="en-GB" w:eastAsia="en-GB"/>
                <w14:ligatures w14:val="none"/>
              </w:rPr>
              <w:t xml:space="preserve"> </w:t>
            </w:r>
            <w:r w:rsidRPr="00F43A95">
              <w:rPr>
                <w:rFonts w:ascii="Times New Roman" w:eastAsia="Times New Roman" w:hAnsi="Times New Roman" w:cs="Times New Roman"/>
                <w:i/>
                <w:iCs/>
                <w:color w:val="000000" w:themeColor="text1"/>
                <w:kern w:val="0"/>
                <w:sz w:val="18"/>
                <w:szCs w:val="18"/>
                <w:lang w:val="en-GB" w:eastAsia="en-GB"/>
                <w14:ligatures w14:val="none"/>
              </w:rPr>
              <w:t>Country is inte</w:t>
            </w:r>
            <w:r w:rsidR="00C824C0" w:rsidRPr="00F43A95">
              <w:rPr>
                <w:rFonts w:ascii="Times New Roman" w:eastAsia="Times New Roman" w:hAnsi="Times New Roman" w:cs="Times New Roman"/>
                <w:i/>
                <w:iCs/>
                <w:color w:val="000000" w:themeColor="text1"/>
                <w:kern w:val="0"/>
                <w:sz w:val="18"/>
                <w:szCs w:val="18"/>
                <w:lang w:val="en-GB" w:eastAsia="en-GB"/>
                <w14:ligatures w14:val="none"/>
              </w:rPr>
              <w:t>nded as legal address of the company</w:t>
            </w:r>
          </w:p>
          <w:p w14:paraId="472EFA47" w14:textId="3C89DFB4" w:rsidR="00C824C0" w:rsidRPr="00F43A95" w:rsidRDefault="00C824C0" w:rsidP="00C824C0">
            <w:pPr>
              <w:spacing w:after="0" w:line="240" w:lineRule="auto"/>
              <w:rPr>
                <w:rFonts w:ascii="Times New Roman" w:eastAsia="Times New Roman" w:hAnsi="Times New Roman" w:cs="Times New Roman"/>
                <w:i/>
                <w:iCs/>
                <w:color w:val="000000" w:themeColor="text1"/>
                <w:kern w:val="0"/>
                <w:sz w:val="18"/>
                <w:szCs w:val="18"/>
                <w:lang w:val="en-GB" w:eastAsia="en-GB"/>
                <w14:ligatures w14:val="none"/>
              </w:rPr>
            </w:pPr>
            <w:r w:rsidRPr="00F43A95">
              <w:rPr>
                <w:rFonts w:ascii="Times New Roman" w:eastAsia="Times New Roman" w:hAnsi="Times New Roman" w:cs="Times New Roman"/>
                <w:color w:val="000000" w:themeColor="text1"/>
                <w:kern w:val="0"/>
                <w:sz w:val="18"/>
                <w:szCs w:val="18"/>
                <w:vertAlign w:val="superscript"/>
                <w:lang w:val="en-GB" w:eastAsia="en-GB"/>
                <w14:ligatures w14:val="none"/>
              </w:rPr>
              <w:t>c</w:t>
            </w:r>
            <w:r w:rsidRPr="00F43A95">
              <w:rPr>
                <w:rFonts w:ascii="Times New Roman" w:eastAsia="Times New Roman" w:hAnsi="Times New Roman" w:cs="Times New Roman"/>
                <w:i/>
                <w:iCs/>
                <w:color w:val="000000" w:themeColor="text1"/>
                <w:kern w:val="0"/>
                <w:sz w:val="18"/>
                <w:szCs w:val="18"/>
                <w:lang w:val="en-GB" w:eastAsia="en-GB"/>
                <w14:ligatures w14:val="none"/>
              </w:rPr>
              <w:t xml:space="preserve"> </w:t>
            </w:r>
            <w:r w:rsidR="009171E2" w:rsidRPr="00F43A95">
              <w:rPr>
                <w:rFonts w:ascii="Times New Roman" w:eastAsia="Times New Roman" w:hAnsi="Times New Roman" w:cs="Times New Roman"/>
                <w:i/>
                <w:iCs/>
                <w:color w:val="000000" w:themeColor="text1"/>
                <w:kern w:val="0"/>
                <w:sz w:val="18"/>
                <w:szCs w:val="18"/>
                <w:lang w:val="en-GB" w:eastAsia="en-GB"/>
                <w14:ligatures w14:val="none"/>
              </w:rPr>
              <w:t>Two company reports from Germany and one from Switzerland.</w:t>
            </w:r>
          </w:p>
          <w:p w14:paraId="5AD50F29" w14:textId="77777777" w:rsidR="00C824C0" w:rsidRPr="00F43A95" w:rsidRDefault="00C824C0" w:rsidP="00034638">
            <w:pPr>
              <w:spacing w:after="0" w:line="240" w:lineRule="auto"/>
              <w:rPr>
                <w:rFonts w:ascii="Times New Roman" w:eastAsia="Times New Roman" w:hAnsi="Times New Roman" w:cs="Times New Roman"/>
                <w:i/>
                <w:iCs/>
                <w:color w:val="000000" w:themeColor="text1"/>
                <w:kern w:val="0"/>
                <w:sz w:val="18"/>
                <w:szCs w:val="18"/>
                <w:lang w:val="en-GB" w:eastAsia="en-GB"/>
                <w14:ligatures w14:val="none"/>
              </w:rPr>
            </w:pPr>
          </w:p>
          <w:p w14:paraId="7CFC0362" w14:textId="704442E4" w:rsidR="00553F41" w:rsidRPr="00F43A95" w:rsidRDefault="00553F41" w:rsidP="00034638">
            <w:pPr>
              <w:spacing w:after="0" w:line="240" w:lineRule="auto"/>
              <w:rPr>
                <w:rFonts w:ascii="Times New Roman" w:eastAsia="Times New Roman" w:hAnsi="Times New Roman" w:cs="Times New Roman"/>
                <w:i/>
                <w:iCs/>
                <w:color w:val="000000" w:themeColor="text1"/>
                <w:kern w:val="0"/>
                <w:sz w:val="18"/>
                <w:szCs w:val="18"/>
                <w:lang w:val="en-GB" w:eastAsia="en-GB"/>
                <w14:ligatures w14:val="none"/>
              </w:rPr>
            </w:pPr>
          </w:p>
        </w:tc>
      </w:tr>
      <w:tr w:rsidR="00F43A95" w:rsidRPr="00F43A95" w14:paraId="6188E640" w14:textId="77777777" w:rsidTr="00034638">
        <w:trPr>
          <w:trHeight w:val="290"/>
          <w:jc w:val="center"/>
        </w:trPr>
        <w:tc>
          <w:tcPr>
            <w:tcW w:w="0" w:type="auto"/>
            <w:gridSpan w:val="3"/>
            <w:vMerge/>
            <w:tcBorders>
              <w:top w:val="single" w:sz="4" w:space="0" w:color="auto"/>
              <w:left w:val="nil"/>
              <w:bottom w:val="nil"/>
              <w:right w:val="nil"/>
            </w:tcBorders>
            <w:shd w:val="clear" w:color="auto" w:fill="auto"/>
            <w:vAlign w:val="center"/>
            <w:hideMark/>
          </w:tcPr>
          <w:p w14:paraId="7BFF0D60" w14:textId="77777777" w:rsidR="00034638" w:rsidRPr="00F43A95" w:rsidRDefault="00034638" w:rsidP="00034638">
            <w:pPr>
              <w:spacing w:after="0" w:line="240" w:lineRule="auto"/>
              <w:rPr>
                <w:rFonts w:ascii="Times New Roman" w:eastAsia="Times New Roman" w:hAnsi="Times New Roman" w:cs="Times New Roman"/>
                <w:i/>
                <w:iCs/>
                <w:color w:val="000000" w:themeColor="text1"/>
                <w:kern w:val="0"/>
                <w:sz w:val="18"/>
                <w:szCs w:val="18"/>
                <w:lang w:val="en-GB" w:eastAsia="en-GB"/>
                <w14:ligatures w14:val="none"/>
              </w:rPr>
            </w:pPr>
          </w:p>
        </w:tc>
        <w:tc>
          <w:tcPr>
            <w:tcW w:w="0" w:type="auto"/>
            <w:tcBorders>
              <w:top w:val="nil"/>
              <w:left w:val="nil"/>
              <w:bottom w:val="nil"/>
              <w:right w:val="nil"/>
            </w:tcBorders>
            <w:shd w:val="clear" w:color="auto" w:fill="auto"/>
            <w:noWrap/>
            <w:vAlign w:val="bottom"/>
            <w:hideMark/>
          </w:tcPr>
          <w:p w14:paraId="02B12945" w14:textId="77777777" w:rsidR="00034638" w:rsidRPr="00F43A95" w:rsidRDefault="00034638" w:rsidP="00034638">
            <w:pPr>
              <w:spacing w:after="0" w:line="240" w:lineRule="auto"/>
              <w:rPr>
                <w:rFonts w:ascii="Times New Roman" w:eastAsia="Times New Roman" w:hAnsi="Times New Roman" w:cs="Times New Roman"/>
                <w:i/>
                <w:iCs/>
                <w:color w:val="000000" w:themeColor="text1"/>
                <w:kern w:val="0"/>
                <w:sz w:val="18"/>
                <w:szCs w:val="18"/>
                <w:lang w:val="en-GB" w:eastAsia="en-GB"/>
                <w14:ligatures w14:val="none"/>
              </w:rPr>
            </w:pPr>
          </w:p>
        </w:tc>
      </w:tr>
    </w:tbl>
    <w:p w14:paraId="0C8706F0" w14:textId="77777777" w:rsidR="00AA4B64" w:rsidRPr="00F43A95" w:rsidRDefault="00AA4B64">
      <w:pPr>
        <w:rPr>
          <w:rFonts w:ascii="Times New Roman" w:hAnsi="Times New Roman" w:cs="Times New Roman"/>
          <w:i/>
          <w:iCs/>
          <w:color w:val="000000" w:themeColor="text1"/>
          <w:lang w:val="en-GB"/>
        </w:rPr>
      </w:pPr>
      <w:r w:rsidRPr="00F43A95">
        <w:rPr>
          <w:rFonts w:ascii="Times New Roman" w:hAnsi="Times New Roman" w:cs="Times New Roman"/>
          <w:i/>
          <w:iCs/>
          <w:color w:val="000000" w:themeColor="text1"/>
          <w:lang w:val="en-GB"/>
        </w:rPr>
        <w:lastRenderedPageBreak/>
        <w:br w:type="page"/>
      </w:r>
    </w:p>
    <w:p w14:paraId="020E7BF0" w14:textId="15250230" w:rsidR="00AA4B64" w:rsidRPr="00F43A95" w:rsidRDefault="00AA4B64" w:rsidP="00AA4B64">
      <w:pPr>
        <w:spacing w:line="360" w:lineRule="auto"/>
        <w:jc w:val="center"/>
        <w:rPr>
          <w:rFonts w:ascii="Times New Roman" w:hAnsi="Times New Roman" w:cs="Times New Roman"/>
          <w:i/>
          <w:iCs/>
          <w:color w:val="000000" w:themeColor="text1"/>
          <w:sz w:val="28"/>
          <w:lang w:val="en-GB"/>
        </w:rPr>
      </w:pPr>
      <w:r w:rsidRPr="00F43A95">
        <w:rPr>
          <w:rFonts w:ascii="Times New Roman" w:hAnsi="Times New Roman" w:cs="Times New Roman"/>
          <w:i/>
          <w:iCs/>
          <w:color w:val="000000" w:themeColor="text1"/>
          <w:lang w:val="en-GB"/>
        </w:rPr>
        <w:lastRenderedPageBreak/>
        <w:t>Table S3. GPTW ranking and company information.</w:t>
      </w:r>
      <w:r w:rsidR="00C0486B" w:rsidRPr="00F43A95">
        <w:rPr>
          <w:rFonts w:ascii="Times New Roman" w:hAnsi="Times New Roman" w:cs="Times New Roman"/>
          <w:i/>
          <w:iCs/>
          <w:color w:val="000000" w:themeColor="text1"/>
          <w:lang w:val="en-GB"/>
        </w:rPr>
        <w:t xml:space="preserve"> Source: Authors' own work</w:t>
      </w:r>
    </w:p>
    <w:tbl>
      <w:tblPr>
        <w:tblW w:w="8216" w:type="dxa"/>
        <w:jc w:val="center"/>
        <w:tblCellMar>
          <w:left w:w="70" w:type="dxa"/>
          <w:right w:w="70" w:type="dxa"/>
        </w:tblCellMar>
        <w:tblLook w:val="04A0" w:firstRow="1" w:lastRow="0" w:firstColumn="1" w:lastColumn="0" w:noHBand="0" w:noVBand="1"/>
      </w:tblPr>
      <w:tblGrid>
        <w:gridCol w:w="895"/>
        <w:gridCol w:w="2250"/>
        <w:gridCol w:w="1541"/>
        <w:gridCol w:w="2500"/>
        <w:gridCol w:w="1050"/>
      </w:tblGrid>
      <w:tr w:rsidR="00F43A95" w:rsidRPr="00F43A95" w14:paraId="3EAC6B5A" w14:textId="77777777" w:rsidTr="00AA4B64">
        <w:trPr>
          <w:trHeight w:val="300"/>
          <w:jc w:val="center"/>
        </w:trPr>
        <w:tc>
          <w:tcPr>
            <w:tcW w:w="8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51D9F8" w14:textId="77777777" w:rsidR="00AA4B64" w:rsidRPr="00F43A95" w:rsidRDefault="00AA4B64" w:rsidP="00AA4B64">
            <w:pPr>
              <w:spacing w:after="0" w:line="240" w:lineRule="auto"/>
              <w:rPr>
                <w:rFonts w:ascii="Times New Roman" w:eastAsia="Times New Roman" w:hAnsi="Times New Roman" w:cs="Times New Roman"/>
                <w:b/>
                <w:bCs/>
                <w:color w:val="000000" w:themeColor="text1"/>
                <w:kern w:val="0"/>
                <w:sz w:val="18"/>
                <w:szCs w:val="18"/>
                <w:lang w:val="it-IT" w:eastAsia="it-IT"/>
                <w14:ligatures w14:val="none"/>
              </w:rPr>
            </w:pPr>
            <w:r w:rsidRPr="00F43A95">
              <w:rPr>
                <w:rFonts w:ascii="Times New Roman" w:eastAsia="Times New Roman" w:hAnsi="Times New Roman" w:cs="Times New Roman"/>
                <w:b/>
                <w:bCs/>
                <w:color w:val="000000" w:themeColor="text1"/>
                <w:kern w:val="0"/>
                <w:sz w:val="18"/>
                <w:szCs w:val="18"/>
                <w:lang w:val="it-IT" w:eastAsia="it-IT"/>
                <w14:ligatures w14:val="none"/>
              </w:rPr>
              <w:t>Rank</w:t>
            </w:r>
          </w:p>
        </w:tc>
        <w:tc>
          <w:tcPr>
            <w:tcW w:w="2250" w:type="dxa"/>
            <w:tcBorders>
              <w:top w:val="single" w:sz="4" w:space="0" w:color="auto"/>
              <w:left w:val="nil"/>
              <w:bottom w:val="single" w:sz="4" w:space="0" w:color="auto"/>
              <w:right w:val="single" w:sz="4" w:space="0" w:color="auto"/>
            </w:tcBorders>
            <w:shd w:val="clear" w:color="auto" w:fill="auto"/>
            <w:noWrap/>
            <w:vAlign w:val="center"/>
            <w:hideMark/>
          </w:tcPr>
          <w:p w14:paraId="322403A5" w14:textId="77777777" w:rsidR="00AA4B64" w:rsidRPr="00F43A95" w:rsidRDefault="00AA4B64" w:rsidP="00AA4B64">
            <w:pPr>
              <w:spacing w:after="0" w:line="240" w:lineRule="auto"/>
              <w:rPr>
                <w:rFonts w:ascii="Times New Roman" w:eastAsia="Times New Roman" w:hAnsi="Times New Roman" w:cs="Times New Roman"/>
                <w:b/>
                <w:bCs/>
                <w:color w:val="000000" w:themeColor="text1"/>
                <w:kern w:val="0"/>
                <w:sz w:val="18"/>
                <w:szCs w:val="18"/>
                <w:lang w:val="it-IT" w:eastAsia="it-IT"/>
                <w14:ligatures w14:val="none"/>
              </w:rPr>
            </w:pPr>
            <w:r w:rsidRPr="00F43A95">
              <w:rPr>
                <w:rFonts w:ascii="Times New Roman" w:eastAsia="Times New Roman" w:hAnsi="Times New Roman" w:cs="Times New Roman"/>
                <w:b/>
                <w:bCs/>
                <w:color w:val="000000" w:themeColor="text1"/>
                <w:kern w:val="0"/>
                <w:sz w:val="18"/>
                <w:szCs w:val="18"/>
                <w:lang w:val="it-IT" w:eastAsia="it-IT"/>
                <w14:ligatures w14:val="none"/>
              </w:rPr>
              <w:t>Company Name</w:t>
            </w:r>
          </w:p>
        </w:tc>
        <w:tc>
          <w:tcPr>
            <w:tcW w:w="1541" w:type="dxa"/>
            <w:tcBorders>
              <w:top w:val="single" w:sz="4" w:space="0" w:color="auto"/>
              <w:left w:val="nil"/>
              <w:bottom w:val="single" w:sz="4" w:space="0" w:color="auto"/>
              <w:right w:val="single" w:sz="4" w:space="0" w:color="auto"/>
            </w:tcBorders>
            <w:shd w:val="clear" w:color="auto" w:fill="auto"/>
            <w:noWrap/>
            <w:vAlign w:val="center"/>
            <w:hideMark/>
          </w:tcPr>
          <w:p w14:paraId="2AAC90DB" w14:textId="77777777" w:rsidR="00AA4B64" w:rsidRPr="00F43A95" w:rsidRDefault="00AA4B64" w:rsidP="00AA4B64">
            <w:pPr>
              <w:spacing w:after="0" w:line="240" w:lineRule="auto"/>
              <w:rPr>
                <w:rFonts w:ascii="Times New Roman" w:eastAsia="Times New Roman" w:hAnsi="Times New Roman" w:cs="Times New Roman"/>
                <w:b/>
                <w:bCs/>
                <w:color w:val="000000" w:themeColor="text1"/>
                <w:kern w:val="0"/>
                <w:sz w:val="18"/>
                <w:szCs w:val="18"/>
                <w:lang w:val="it-IT" w:eastAsia="it-IT"/>
                <w14:ligatures w14:val="none"/>
              </w:rPr>
            </w:pPr>
            <w:r w:rsidRPr="00F43A95">
              <w:rPr>
                <w:rFonts w:ascii="Times New Roman" w:eastAsia="Times New Roman" w:hAnsi="Times New Roman" w:cs="Times New Roman"/>
                <w:b/>
                <w:bCs/>
                <w:color w:val="000000" w:themeColor="text1"/>
                <w:kern w:val="0"/>
                <w:sz w:val="18"/>
                <w:szCs w:val="18"/>
                <w:lang w:val="it-IT" w:eastAsia="it-IT"/>
                <w14:ligatures w14:val="none"/>
              </w:rPr>
              <w:t>Country</w:t>
            </w:r>
          </w:p>
        </w:tc>
        <w:tc>
          <w:tcPr>
            <w:tcW w:w="2500" w:type="dxa"/>
            <w:tcBorders>
              <w:top w:val="single" w:sz="4" w:space="0" w:color="auto"/>
              <w:left w:val="nil"/>
              <w:bottom w:val="single" w:sz="4" w:space="0" w:color="auto"/>
              <w:right w:val="single" w:sz="4" w:space="0" w:color="auto"/>
            </w:tcBorders>
            <w:shd w:val="clear" w:color="auto" w:fill="auto"/>
            <w:noWrap/>
            <w:vAlign w:val="center"/>
            <w:hideMark/>
          </w:tcPr>
          <w:p w14:paraId="393DF913" w14:textId="77777777" w:rsidR="00AA4B64" w:rsidRPr="00F43A95" w:rsidRDefault="00AA4B64" w:rsidP="00AA4B64">
            <w:pPr>
              <w:spacing w:after="0" w:line="240" w:lineRule="auto"/>
              <w:rPr>
                <w:rFonts w:ascii="Times New Roman" w:eastAsia="Times New Roman" w:hAnsi="Times New Roman" w:cs="Times New Roman"/>
                <w:b/>
                <w:bCs/>
                <w:color w:val="000000" w:themeColor="text1"/>
                <w:kern w:val="0"/>
                <w:sz w:val="18"/>
                <w:szCs w:val="18"/>
                <w:lang w:val="it-IT" w:eastAsia="it-IT"/>
                <w14:ligatures w14:val="none"/>
              </w:rPr>
            </w:pPr>
            <w:r w:rsidRPr="00F43A95">
              <w:rPr>
                <w:rFonts w:ascii="Times New Roman" w:eastAsia="Times New Roman" w:hAnsi="Times New Roman" w:cs="Times New Roman"/>
                <w:b/>
                <w:bCs/>
                <w:color w:val="000000" w:themeColor="text1"/>
                <w:kern w:val="0"/>
                <w:sz w:val="18"/>
                <w:szCs w:val="18"/>
                <w:lang w:val="it-IT" w:eastAsia="it-IT"/>
                <w14:ligatures w14:val="none"/>
              </w:rPr>
              <w:t>Industry</w:t>
            </w:r>
          </w:p>
        </w:tc>
        <w:tc>
          <w:tcPr>
            <w:tcW w:w="1030" w:type="dxa"/>
            <w:tcBorders>
              <w:top w:val="single" w:sz="4" w:space="0" w:color="auto"/>
              <w:left w:val="nil"/>
              <w:bottom w:val="single" w:sz="4" w:space="0" w:color="auto"/>
              <w:right w:val="single" w:sz="4" w:space="0" w:color="auto"/>
            </w:tcBorders>
            <w:shd w:val="clear" w:color="auto" w:fill="auto"/>
            <w:noWrap/>
            <w:vAlign w:val="center"/>
            <w:hideMark/>
          </w:tcPr>
          <w:p w14:paraId="19892DBD" w14:textId="77777777" w:rsidR="00AA4B64" w:rsidRPr="00F43A95" w:rsidRDefault="00AA4B64" w:rsidP="00AA4B64">
            <w:pPr>
              <w:spacing w:after="0" w:line="240" w:lineRule="auto"/>
              <w:rPr>
                <w:rFonts w:ascii="Times New Roman" w:eastAsia="Times New Roman" w:hAnsi="Times New Roman" w:cs="Times New Roman"/>
                <w:b/>
                <w:bCs/>
                <w:color w:val="000000" w:themeColor="text1"/>
                <w:kern w:val="0"/>
                <w:sz w:val="18"/>
                <w:szCs w:val="18"/>
                <w:lang w:val="it-IT" w:eastAsia="it-IT"/>
                <w14:ligatures w14:val="none"/>
              </w:rPr>
            </w:pPr>
            <w:r w:rsidRPr="00F43A95">
              <w:rPr>
                <w:rFonts w:ascii="Times New Roman" w:eastAsia="Times New Roman" w:hAnsi="Times New Roman" w:cs="Times New Roman"/>
                <w:b/>
                <w:bCs/>
                <w:color w:val="000000" w:themeColor="text1"/>
                <w:kern w:val="0"/>
                <w:sz w:val="18"/>
                <w:szCs w:val="18"/>
                <w:lang w:val="it-IT" w:eastAsia="it-IT"/>
                <w14:ligatures w14:val="none"/>
              </w:rPr>
              <w:t>Size (employees)</w:t>
            </w:r>
          </w:p>
        </w:tc>
      </w:tr>
      <w:tr w:rsidR="00F43A95" w:rsidRPr="00F43A95" w14:paraId="075A1BD8" w14:textId="77777777" w:rsidTr="00AA4B64">
        <w:trPr>
          <w:trHeight w:val="300"/>
          <w:jc w:val="center"/>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779F1E4E"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1</w:t>
            </w:r>
          </w:p>
        </w:tc>
        <w:tc>
          <w:tcPr>
            <w:tcW w:w="2250" w:type="dxa"/>
            <w:tcBorders>
              <w:top w:val="nil"/>
              <w:left w:val="nil"/>
              <w:bottom w:val="single" w:sz="4" w:space="0" w:color="auto"/>
              <w:right w:val="single" w:sz="4" w:space="0" w:color="auto"/>
            </w:tcBorders>
            <w:shd w:val="clear" w:color="auto" w:fill="auto"/>
            <w:noWrap/>
            <w:vAlign w:val="center"/>
            <w:hideMark/>
          </w:tcPr>
          <w:p w14:paraId="2E5A8289"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DHL Express</w:t>
            </w:r>
          </w:p>
        </w:tc>
        <w:tc>
          <w:tcPr>
            <w:tcW w:w="1541" w:type="dxa"/>
            <w:tcBorders>
              <w:top w:val="nil"/>
              <w:left w:val="nil"/>
              <w:bottom w:val="single" w:sz="4" w:space="0" w:color="auto"/>
              <w:right w:val="single" w:sz="4" w:space="0" w:color="auto"/>
            </w:tcBorders>
            <w:shd w:val="clear" w:color="auto" w:fill="auto"/>
            <w:noWrap/>
            <w:vAlign w:val="center"/>
            <w:hideMark/>
          </w:tcPr>
          <w:p w14:paraId="614E8055"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Germany</w:t>
            </w:r>
          </w:p>
        </w:tc>
        <w:tc>
          <w:tcPr>
            <w:tcW w:w="2500" w:type="dxa"/>
            <w:tcBorders>
              <w:top w:val="nil"/>
              <w:left w:val="nil"/>
              <w:bottom w:val="single" w:sz="4" w:space="0" w:color="auto"/>
              <w:right w:val="single" w:sz="4" w:space="0" w:color="auto"/>
            </w:tcBorders>
            <w:shd w:val="clear" w:color="auto" w:fill="auto"/>
            <w:noWrap/>
            <w:vAlign w:val="center"/>
            <w:hideMark/>
          </w:tcPr>
          <w:p w14:paraId="1B9E306C"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Transportation</w:t>
            </w:r>
          </w:p>
        </w:tc>
        <w:tc>
          <w:tcPr>
            <w:tcW w:w="1030" w:type="dxa"/>
            <w:tcBorders>
              <w:top w:val="nil"/>
              <w:left w:val="nil"/>
              <w:bottom w:val="single" w:sz="4" w:space="0" w:color="auto"/>
              <w:right w:val="single" w:sz="4" w:space="0" w:color="auto"/>
            </w:tcBorders>
            <w:shd w:val="clear" w:color="auto" w:fill="auto"/>
            <w:noWrap/>
            <w:vAlign w:val="center"/>
            <w:hideMark/>
          </w:tcPr>
          <w:p w14:paraId="1EB45629"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120.000</w:t>
            </w:r>
          </w:p>
        </w:tc>
      </w:tr>
      <w:tr w:rsidR="00F43A95" w:rsidRPr="00F43A95" w14:paraId="021232CD" w14:textId="77777777" w:rsidTr="00AA4B64">
        <w:trPr>
          <w:trHeight w:val="300"/>
          <w:jc w:val="center"/>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26EAE2BF"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2</w:t>
            </w:r>
          </w:p>
        </w:tc>
        <w:tc>
          <w:tcPr>
            <w:tcW w:w="2250" w:type="dxa"/>
            <w:tcBorders>
              <w:top w:val="nil"/>
              <w:left w:val="nil"/>
              <w:bottom w:val="single" w:sz="4" w:space="0" w:color="auto"/>
              <w:right w:val="single" w:sz="4" w:space="0" w:color="auto"/>
            </w:tcBorders>
            <w:shd w:val="clear" w:color="auto" w:fill="auto"/>
            <w:noWrap/>
            <w:vAlign w:val="center"/>
            <w:hideMark/>
          </w:tcPr>
          <w:p w14:paraId="1C09727C"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Hilton</w:t>
            </w:r>
          </w:p>
        </w:tc>
        <w:tc>
          <w:tcPr>
            <w:tcW w:w="1541" w:type="dxa"/>
            <w:tcBorders>
              <w:top w:val="nil"/>
              <w:left w:val="nil"/>
              <w:bottom w:val="single" w:sz="4" w:space="0" w:color="auto"/>
              <w:right w:val="single" w:sz="4" w:space="0" w:color="auto"/>
            </w:tcBorders>
            <w:shd w:val="clear" w:color="auto" w:fill="auto"/>
            <w:noWrap/>
            <w:vAlign w:val="center"/>
            <w:hideMark/>
          </w:tcPr>
          <w:p w14:paraId="3179C242"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United States</w:t>
            </w:r>
          </w:p>
        </w:tc>
        <w:tc>
          <w:tcPr>
            <w:tcW w:w="2500" w:type="dxa"/>
            <w:tcBorders>
              <w:top w:val="nil"/>
              <w:left w:val="nil"/>
              <w:bottom w:val="single" w:sz="4" w:space="0" w:color="auto"/>
              <w:right w:val="single" w:sz="4" w:space="0" w:color="auto"/>
            </w:tcBorders>
            <w:shd w:val="clear" w:color="auto" w:fill="auto"/>
            <w:noWrap/>
            <w:vAlign w:val="center"/>
            <w:hideMark/>
          </w:tcPr>
          <w:p w14:paraId="271E3532"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Hospitality</w:t>
            </w:r>
          </w:p>
        </w:tc>
        <w:tc>
          <w:tcPr>
            <w:tcW w:w="1030" w:type="dxa"/>
            <w:tcBorders>
              <w:top w:val="nil"/>
              <w:left w:val="nil"/>
              <w:bottom w:val="single" w:sz="4" w:space="0" w:color="auto"/>
              <w:right w:val="single" w:sz="4" w:space="0" w:color="auto"/>
            </w:tcBorders>
            <w:shd w:val="clear" w:color="auto" w:fill="auto"/>
            <w:noWrap/>
            <w:vAlign w:val="center"/>
            <w:hideMark/>
          </w:tcPr>
          <w:p w14:paraId="4CEB8320"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150.050</w:t>
            </w:r>
          </w:p>
        </w:tc>
      </w:tr>
      <w:tr w:rsidR="00F43A95" w:rsidRPr="00F43A95" w14:paraId="5D9DFA31" w14:textId="77777777" w:rsidTr="00AA4B64">
        <w:trPr>
          <w:trHeight w:val="300"/>
          <w:jc w:val="center"/>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0F33A397"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3</w:t>
            </w:r>
          </w:p>
        </w:tc>
        <w:tc>
          <w:tcPr>
            <w:tcW w:w="2250" w:type="dxa"/>
            <w:tcBorders>
              <w:top w:val="nil"/>
              <w:left w:val="nil"/>
              <w:bottom w:val="single" w:sz="4" w:space="0" w:color="auto"/>
              <w:right w:val="single" w:sz="4" w:space="0" w:color="auto"/>
            </w:tcBorders>
            <w:shd w:val="clear" w:color="auto" w:fill="auto"/>
            <w:noWrap/>
            <w:vAlign w:val="center"/>
            <w:hideMark/>
          </w:tcPr>
          <w:p w14:paraId="4B17856A"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Cisco</w:t>
            </w:r>
          </w:p>
        </w:tc>
        <w:tc>
          <w:tcPr>
            <w:tcW w:w="1541" w:type="dxa"/>
            <w:tcBorders>
              <w:top w:val="nil"/>
              <w:left w:val="nil"/>
              <w:bottom w:val="single" w:sz="4" w:space="0" w:color="auto"/>
              <w:right w:val="single" w:sz="4" w:space="0" w:color="auto"/>
            </w:tcBorders>
            <w:shd w:val="clear" w:color="auto" w:fill="auto"/>
            <w:noWrap/>
            <w:vAlign w:val="center"/>
            <w:hideMark/>
          </w:tcPr>
          <w:p w14:paraId="60660EC5"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United States</w:t>
            </w:r>
          </w:p>
        </w:tc>
        <w:tc>
          <w:tcPr>
            <w:tcW w:w="2500" w:type="dxa"/>
            <w:tcBorders>
              <w:top w:val="nil"/>
              <w:left w:val="nil"/>
              <w:bottom w:val="single" w:sz="4" w:space="0" w:color="auto"/>
              <w:right w:val="single" w:sz="4" w:space="0" w:color="auto"/>
            </w:tcBorders>
            <w:shd w:val="clear" w:color="auto" w:fill="auto"/>
            <w:noWrap/>
            <w:vAlign w:val="center"/>
            <w:hideMark/>
          </w:tcPr>
          <w:p w14:paraId="46517E8C"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Information Technology</w:t>
            </w:r>
          </w:p>
        </w:tc>
        <w:tc>
          <w:tcPr>
            <w:tcW w:w="1030" w:type="dxa"/>
            <w:tcBorders>
              <w:top w:val="nil"/>
              <w:left w:val="nil"/>
              <w:bottom w:val="single" w:sz="4" w:space="0" w:color="auto"/>
              <w:right w:val="single" w:sz="4" w:space="0" w:color="auto"/>
            </w:tcBorders>
            <w:shd w:val="clear" w:color="auto" w:fill="auto"/>
            <w:noWrap/>
            <w:vAlign w:val="center"/>
            <w:hideMark/>
          </w:tcPr>
          <w:p w14:paraId="3F7098AD"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116.418</w:t>
            </w:r>
          </w:p>
        </w:tc>
      </w:tr>
      <w:tr w:rsidR="00F43A95" w:rsidRPr="00F43A95" w14:paraId="67C5BE09" w14:textId="77777777" w:rsidTr="00AA4B64">
        <w:trPr>
          <w:trHeight w:val="300"/>
          <w:jc w:val="center"/>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1093FF5F"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4</w:t>
            </w:r>
          </w:p>
        </w:tc>
        <w:tc>
          <w:tcPr>
            <w:tcW w:w="2250" w:type="dxa"/>
            <w:tcBorders>
              <w:top w:val="nil"/>
              <w:left w:val="nil"/>
              <w:bottom w:val="single" w:sz="4" w:space="0" w:color="auto"/>
              <w:right w:val="single" w:sz="4" w:space="0" w:color="auto"/>
            </w:tcBorders>
            <w:shd w:val="clear" w:color="auto" w:fill="auto"/>
            <w:noWrap/>
            <w:vAlign w:val="center"/>
            <w:hideMark/>
          </w:tcPr>
          <w:p w14:paraId="18B8A3A0"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Salesforce</w:t>
            </w:r>
          </w:p>
        </w:tc>
        <w:tc>
          <w:tcPr>
            <w:tcW w:w="1541" w:type="dxa"/>
            <w:tcBorders>
              <w:top w:val="nil"/>
              <w:left w:val="nil"/>
              <w:bottom w:val="single" w:sz="4" w:space="0" w:color="auto"/>
              <w:right w:val="single" w:sz="4" w:space="0" w:color="auto"/>
            </w:tcBorders>
            <w:shd w:val="clear" w:color="auto" w:fill="auto"/>
            <w:noWrap/>
            <w:vAlign w:val="center"/>
            <w:hideMark/>
          </w:tcPr>
          <w:p w14:paraId="7E69E8DE"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United States</w:t>
            </w:r>
          </w:p>
        </w:tc>
        <w:tc>
          <w:tcPr>
            <w:tcW w:w="2500" w:type="dxa"/>
            <w:tcBorders>
              <w:top w:val="nil"/>
              <w:left w:val="nil"/>
              <w:bottom w:val="single" w:sz="4" w:space="0" w:color="auto"/>
              <w:right w:val="single" w:sz="4" w:space="0" w:color="auto"/>
            </w:tcBorders>
            <w:shd w:val="clear" w:color="auto" w:fill="auto"/>
            <w:noWrap/>
            <w:vAlign w:val="center"/>
            <w:hideMark/>
          </w:tcPr>
          <w:p w14:paraId="4017923F"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Information Technology</w:t>
            </w:r>
          </w:p>
        </w:tc>
        <w:tc>
          <w:tcPr>
            <w:tcW w:w="1030" w:type="dxa"/>
            <w:tcBorders>
              <w:top w:val="nil"/>
              <w:left w:val="nil"/>
              <w:bottom w:val="single" w:sz="4" w:space="0" w:color="auto"/>
              <w:right w:val="single" w:sz="4" w:space="0" w:color="auto"/>
            </w:tcBorders>
            <w:shd w:val="clear" w:color="auto" w:fill="auto"/>
            <w:noWrap/>
            <w:vAlign w:val="center"/>
            <w:hideMark/>
          </w:tcPr>
          <w:p w14:paraId="63524FA1"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86.000</w:t>
            </w:r>
          </w:p>
        </w:tc>
      </w:tr>
      <w:tr w:rsidR="00F43A95" w:rsidRPr="00F43A95" w14:paraId="1EB257A3" w14:textId="77777777" w:rsidTr="00AA4B64">
        <w:trPr>
          <w:trHeight w:val="300"/>
          <w:jc w:val="center"/>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28184459"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5</w:t>
            </w:r>
          </w:p>
        </w:tc>
        <w:tc>
          <w:tcPr>
            <w:tcW w:w="2250" w:type="dxa"/>
            <w:tcBorders>
              <w:top w:val="nil"/>
              <w:left w:val="nil"/>
              <w:bottom w:val="single" w:sz="4" w:space="0" w:color="auto"/>
              <w:right w:val="single" w:sz="4" w:space="0" w:color="auto"/>
            </w:tcBorders>
            <w:shd w:val="clear" w:color="auto" w:fill="auto"/>
            <w:noWrap/>
            <w:vAlign w:val="center"/>
            <w:hideMark/>
          </w:tcPr>
          <w:p w14:paraId="4602E572"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Millicom</w:t>
            </w:r>
          </w:p>
        </w:tc>
        <w:tc>
          <w:tcPr>
            <w:tcW w:w="1541" w:type="dxa"/>
            <w:tcBorders>
              <w:top w:val="nil"/>
              <w:left w:val="nil"/>
              <w:bottom w:val="single" w:sz="4" w:space="0" w:color="auto"/>
              <w:right w:val="single" w:sz="4" w:space="0" w:color="auto"/>
            </w:tcBorders>
            <w:shd w:val="clear" w:color="auto" w:fill="auto"/>
            <w:noWrap/>
            <w:vAlign w:val="center"/>
            <w:hideMark/>
          </w:tcPr>
          <w:p w14:paraId="78291B74"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Luxemborg</w:t>
            </w:r>
          </w:p>
        </w:tc>
        <w:tc>
          <w:tcPr>
            <w:tcW w:w="2500" w:type="dxa"/>
            <w:tcBorders>
              <w:top w:val="nil"/>
              <w:left w:val="nil"/>
              <w:bottom w:val="single" w:sz="4" w:space="0" w:color="auto"/>
              <w:right w:val="single" w:sz="4" w:space="0" w:color="auto"/>
            </w:tcBorders>
            <w:shd w:val="clear" w:color="auto" w:fill="auto"/>
            <w:noWrap/>
            <w:vAlign w:val="center"/>
            <w:hideMark/>
          </w:tcPr>
          <w:p w14:paraId="5C0F3790"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Telecommunications</w:t>
            </w:r>
          </w:p>
        </w:tc>
        <w:tc>
          <w:tcPr>
            <w:tcW w:w="1030" w:type="dxa"/>
            <w:tcBorders>
              <w:top w:val="nil"/>
              <w:left w:val="nil"/>
              <w:bottom w:val="single" w:sz="4" w:space="0" w:color="auto"/>
              <w:right w:val="single" w:sz="4" w:space="0" w:color="auto"/>
            </w:tcBorders>
            <w:shd w:val="clear" w:color="auto" w:fill="auto"/>
            <w:noWrap/>
            <w:vAlign w:val="center"/>
            <w:hideMark/>
          </w:tcPr>
          <w:p w14:paraId="4ED3640E"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21.000</w:t>
            </w:r>
          </w:p>
        </w:tc>
      </w:tr>
      <w:tr w:rsidR="00F43A95" w:rsidRPr="00F43A95" w14:paraId="7110E7D5" w14:textId="77777777" w:rsidTr="00AA4B64">
        <w:trPr>
          <w:trHeight w:val="300"/>
          <w:jc w:val="center"/>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3AD8C6EE"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6</w:t>
            </w:r>
          </w:p>
        </w:tc>
        <w:tc>
          <w:tcPr>
            <w:tcW w:w="2250" w:type="dxa"/>
            <w:tcBorders>
              <w:top w:val="nil"/>
              <w:left w:val="nil"/>
              <w:bottom w:val="single" w:sz="4" w:space="0" w:color="auto"/>
              <w:right w:val="single" w:sz="4" w:space="0" w:color="auto"/>
            </w:tcBorders>
            <w:shd w:val="clear" w:color="auto" w:fill="auto"/>
            <w:noWrap/>
            <w:vAlign w:val="center"/>
            <w:hideMark/>
          </w:tcPr>
          <w:p w14:paraId="29547393"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AbbVie</w:t>
            </w:r>
          </w:p>
        </w:tc>
        <w:tc>
          <w:tcPr>
            <w:tcW w:w="1541" w:type="dxa"/>
            <w:tcBorders>
              <w:top w:val="nil"/>
              <w:left w:val="nil"/>
              <w:bottom w:val="single" w:sz="4" w:space="0" w:color="auto"/>
              <w:right w:val="single" w:sz="4" w:space="0" w:color="auto"/>
            </w:tcBorders>
            <w:shd w:val="clear" w:color="auto" w:fill="auto"/>
            <w:noWrap/>
            <w:vAlign w:val="center"/>
            <w:hideMark/>
          </w:tcPr>
          <w:p w14:paraId="27E2A373"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United States</w:t>
            </w:r>
          </w:p>
        </w:tc>
        <w:tc>
          <w:tcPr>
            <w:tcW w:w="2500" w:type="dxa"/>
            <w:tcBorders>
              <w:top w:val="nil"/>
              <w:left w:val="nil"/>
              <w:bottom w:val="single" w:sz="4" w:space="0" w:color="auto"/>
              <w:right w:val="single" w:sz="4" w:space="0" w:color="auto"/>
            </w:tcBorders>
            <w:shd w:val="clear" w:color="auto" w:fill="auto"/>
            <w:noWrap/>
            <w:vAlign w:val="center"/>
            <w:hideMark/>
          </w:tcPr>
          <w:p w14:paraId="3CA52C79"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Biotechnology &amp; Pharmaceuticals</w:t>
            </w:r>
          </w:p>
        </w:tc>
        <w:tc>
          <w:tcPr>
            <w:tcW w:w="1030" w:type="dxa"/>
            <w:tcBorders>
              <w:top w:val="nil"/>
              <w:left w:val="nil"/>
              <w:bottom w:val="single" w:sz="4" w:space="0" w:color="auto"/>
              <w:right w:val="single" w:sz="4" w:space="0" w:color="auto"/>
            </w:tcBorders>
            <w:shd w:val="clear" w:color="auto" w:fill="auto"/>
            <w:noWrap/>
            <w:vAlign w:val="center"/>
            <w:hideMark/>
          </w:tcPr>
          <w:p w14:paraId="27A7F28E"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50.000</w:t>
            </w:r>
          </w:p>
        </w:tc>
      </w:tr>
      <w:tr w:rsidR="00F43A95" w:rsidRPr="00F43A95" w14:paraId="028703E5" w14:textId="77777777" w:rsidTr="00AA4B64">
        <w:trPr>
          <w:trHeight w:val="300"/>
          <w:jc w:val="center"/>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309AC3B3"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7</w:t>
            </w:r>
          </w:p>
        </w:tc>
        <w:tc>
          <w:tcPr>
            <w:tcW w:w="2250" w:type="dxa"/>
            <w:tcBorders>
              <w:top w:val="nil"/>
              <w:left w:val="nil"/>
              <w:bottom w:val="single" w:sz="4" w:space="0" w:color="auto"/>
              <w:right w:val="single" w:sz="4" w:space="0" w:color="auto"/>
            </w:tcBorders>
            <w:shd w:val="clear" w:color="auto" w:fill="auto"/>
            <w:noWrap/>
            <w:vAlign w:val="center"/>
            <w:hideMark/>
          </w:tcPr>
          <w:p w14:paraId="3C528477"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Deloitte</w:t>
            </w:r>
          </w:p>
        </w:tc>
        <w:tc>
          <w:tcPr>
            <w:tcW w:w="1541" w:type="dxa"/>
            <w:tcBorders>
              <w:top w:val="nil"/>
              <w:left w:val="nil"/>
              <w:bottom w:val="single" w:sz="4" w:space="0" w:color="auto"/>
              <w:right w:val="single" w:sz="4" w:space="0" w:color="auto"/>
            </w:tcBorders>
            <w:shd w:val="clear" w:color="auto" w:fill="auto"/>
            <w:noWrap/>
            <w:vAlign w:val="center"/>
            <w:hideMark/>
          </w:tcPr>
          <w:p w14:paraId="44B0AC49"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United Kingdom</w:t>
            </w:r>
          </w:p>
        </w:tc>
        <w:tc>
          <w:tcPr>
            <w:tcW w:w="2500" w:type="dxa"/>
            <w:tcBorders>
              <w:top w:val="nil"/>
              <w:left w:val="nil"/>
              <w:bottom w:val="single" w:sz="4" w:space="0" w:color="auto"/>
              <w:right w:val="single" w:sz="4" w:space="0" w:color="auto"/>
            </w:tcBorders>
            <w:shd w:val="clear" w:color="auto" w:fill="auto"/>
            <w:noWrap/>
            <w:vAlign w:val="center"/>
            <w:hideMark/>
          </w:tcPr>
          <w:p w14:paraId="48CE4B4E"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Professional Services</w:t>
            </w:r>
          </w:p>
        </w:tc>
        <w:tc>
          <w:tcPr>
            <w:tcW w:w="1030" w:type="dxa"/>
            <w:tcBorders>
              <w:top w:val="nil"/>
              <w:left w:val="nil"/>
              <w:bottom w:val="single" w:sz="4" w:space="0" w:color="auto"/>
              <w:right w:val="single" w:sz="4" w:space="0" w:color="auto"/>
            </w:tcBorders>
            <w:shd w:val="clear" w:color="auto" w:fill="auto"/>
            <w:noWrap/>
            <w:vAlign w:val="center"/>
            <w:hideMark/>
          </w:tcPr>
          <w:p w14:paraId="2D2BC08F"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415.000</w:t>
            </w:r>
          </w:p>
        </w:tc>
      </w:tr>
      <w:tr w:rsidR="00F43A95" w:rsidRPr="00F43A95" w14:paraId="19961144" w14:textId="77777777" w:rsidTr="00AA4B64">
        <w:trPr>
          <w:trHeight w:val="300"/>
          <w:jc w:val="center"/>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10AD28C8"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8</w:t>
            </w:r>
          </w:p>
        </w:tc>
        <w:tc>
          <w:tcPr>
            <w:tcW w:w="2250" w:type="dxa"/>
            <w:tcBorders>
              <w:top w:val="nil"/>
              <w:left w:val="nil"/>
              <w:bottom w:val="single" w:sz="4" w:space="0" w:color="auto"/>
              <w:right w:val="single" w:sz="4" w:space="0" w:color="auto"/>
            </w:tcBorders>
            <w:shd w:val="clear" w:color="auto" w:fill="auto"/>
            <w:noWrap/>
            <w:vAlign w:val="center"/>
            <w:hideMark/>
          </w:tcPr>
          <w:p w14:paraId="5E024A29"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Hilti</w:t>
            </w:r>
          </w:p>
        </w:tc>
        <w:tc>
          <w:tcPr>
            <w:tcW w:w="1541" w:type="dxa"/>
            <w:tcBorders>
              <w:top w:val="nil"/>
              <w:left w:val="nil"/>
              <w:bottom w:val="single" w:sz="4" w:space="0" w:color="auto"/>
              <w:right w:val="single" w:sz="4" w:space="0" w:color="auto"/>
            </w:tcBorders>
            <w:shd w:val="clear" w:color="auto" w:fill="auto"/>
            <w:noWrap/>
            <w:vAlign w:val="center"/>
            <w:hideMark/>
          </w:tcPr>
          <w:p w14:paraId="18E3FF02"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Lichtenstein</w:t>
            </w:r>
          </w:p>
        </w:tc>
        <w:tc>
          <w:tcPr>
            <w:tcW w:w="2500" w:type="dxa"/>
            <w:tcBorders>
              <w:top w:val="nil"/>
              <w:left w:val="nil"/>
              <w:bottom w:val="single" w:sz="4" w:space="0" w:color="auto"/>
              <w:right w:val="single" w:sz="4" w:space="0" w:color="auto"/>
            </w:tcBorders>
            <w:shd w:val="clear" w:color="auto" w:fill="auto"/>
            <w:noWrap/>
            <w:vAlign w:val="center"/>
            <w:hideMark/>
          </w:tcPr>
          <w:p w14:paraId="7DBAA9B8"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Manufacturing &amp; Production</w:t>
            </w:r>
          </w:p>
        </w:tc>
        <w:tc>
          <w:tcPr>
            <w:tcW w:w="1030" w:type="dxa"/>
            <w:tcBorders>
              <w:top w:val="nil"/>
              <w:left w:val="nil"/>
              <w:bottom w:val="single" w:sz="4" w:space="0" w:color="auto"/>
              <w:right w:val="single" w:sz="4" w:space="0" w:color="auto"/>
            </w:tcBorders>
            <w:shd w:val="clear" w:color="auto" w:fill="auto"/>
            <w:noWrap/>
            <w:vAlign w:val="center"/>
            <w:hideMark/>
          </w:tcPr>
          <w:p w14:paraId="7D0DE84F"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32.092</w:t>
            </w:r>
          </w:p>
        </w:tc>
      </w:tr>
      <w:tr w:rsidR="00F43A95" w:rsidRPr="00F43A95" w14:paraId="7C86D8FD" w14:textId="77777777" w:rsidTr="00AA4B64">
        <w:trPr>
          <w:trHeight w:val="300"/>
          <w:jc w:val="center"/>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2D212D34"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9</w:t>
            </w:r>
          </w:p>
        </w:tc>
        <w:tc>
          <w:tcPr>
            <w:tcW w:w="2250" w:type="dxa"/>
            <w:tcBorders>
              <w:top w:val="nil"/>
              <w:left w:val="nil"/>
              <w:bottom w:val="single" w:sz="4" w:space="0" w:color="auto"/>
              <w:right w:val="single" w:sz="4" w:space="0" w:color="auto"/>
            </w:tcBorders>
            <w:shd w:val="clear" w:color="auto" w:fill="auto"/>
            <w:noWrap/>
            <w:vAlign w:val="center"/>
            <w:hideMark/>
          </w:tcPr>
          <w:p w14:paraId="6CCFF303"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SC Johnson</w:t>
            </w:r>
          </w:p>
        </w:tc>
        <w:tc>
          <w:tcPr>
            <w:tcW w:w="1541" w:type="dxa"/>
            <w:tcBorders>
              <w:top w:val="nil"/>
              <w:left w:val="nil"/>
              <w:bottom w:val="single" w:sz="4" w:space="0" w:color="auto"/>
              <w:right w:val="single" w:sz="4" w:space="0" w:color="auto"/>
            </w:tcBorders>
            <w:shd w:val="clear" w:color="auto" w:fill="auto"/>
            <w:noWrap/>
            <w:vAlign w:val="center"/>
            <w:hideMark/>
          </w:tcPr>
          <w:p w14:paraId="00AAB31A"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United States</w:t>
            </w:r>
          </w:p>
        </w:tc>
        <w:tc>
          <w:tcPr>
            <w:tcW w:w="2500" w:type="dxa"/>
            <w:tcBorders>
              <w:top w:val="nil"/>
              <w:left w:val="nil"/>
              <w:bottom w:val="single" w:sz="4" w:space="0" w:color="auto"/>
              <w:right w:val="single" w:sz="4" w:space="0" w:color="auto"/>
            </w:tcBorders>
            <w:shd w:val="clear" w:color="auto" w:fill="auto"/>
            <w:noWrap/>
            <w:vAlign w:val="center"/>
            <w:hideMark/>
          </w:tcPr>
          <w:p w14:paraId="2FA5AD69"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Manufacturing &amp; Production</w:t>
            </w:r>
          </w:p>
        </w:tc>
        <w:tc>
          <w:tcPr>
            <w:tcW w:w="1030" w:type="dxa"/>
            <w:tcBorders>
              <w:top w:val="nil"/>
              <w:left w:val="nil"/>
              <w:bottom w:val="single" w:sz="4" w:space="0" w:color="auto"/>
              <w:right w:val="single" w:sz="4" w:space="0" w:color="auto"/>
            </w:tcBorders>
            <w:shd w:val="clear" w:color="auto" w:fill="auto"/>
            <w:noWrap/>
            <w:vAlign w:val="center"/>
            <w:hideMark/>
          </w:tcPr>
          <w:p w14:paraId="01FA5B22"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12.000</w:t>
            </w:r>
          </w:p>
        </w:tc>
      </w:tr>
      <w:tr w:rsidR="00F43A95" w:rsidRPr="00F43A95" w14:paraId="3C45CCA6" w14:textId="77777777" w:rsidTr="00AA4B64">
        <w:trPr>
          <w:trHeight w:val="300"/>
          <w:jc w:val="center"/>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5C3F5BDB"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10</w:t>
            </w:r>
          </w:p>
        </w:tc>
        <w:tc>
          <w:tcPr>
            <w:tcW w:w="2250" w:type="dxa"/>
            <w:tcBorders>
              <w:top w:val="nil"/>
              <w:left w:val="nil"/>
              <w:bottom w:val="single" w:sz="4" w:space="0" w:color="auto"/>
              <w:right w:val="single" w:sz="4" w:space="0" w:color="auto"/>
            </w:tcBorders>
            <w:shd w:val="clear" w:color="auto" w:fill="auto"/>
            <w:noWrap/>
            <w:vAlign w:val="center"/>
            <w:hideMark/>
          </w:tcPr>
          <w:p w14:paraId="05B3D620"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Stryker</w:t>
            </w:r>
          </w:p>
        </w:tc>
        <w:tc>
          <w:tcPr>
            <w:tcW w:w="1541" w:type="dxa"/>
            <w:tcBorders>
              <w:top w:val="nil"/>
              <w:left w:val="nil"/>
              <w:bottom w:val="single" w:sz="4" w:space="0" w:color="auto"/>
              <w:right w:val="single" w:sz="4" w:space="0" w:color="auto"/>
            </w:tcBorders>
            <w:shd w:val="clear" w:color="auto" w:fill="auto"/>
            <w:noWrap/>
            <w:vAlign w:val="center"/>
            <w:hideMark/>
          </w:tcPr>
          <w:p w14:paraId="5F2A3CE0"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United States</w:t>
            </w:r>
          </w:p>
        </w:tc>
        <w:tc>
          <w:tcPr>
            <w:tcW w:w="2500" w:type="dxa"/>
            <w:tcBorders>
              <w:top w:val="nil"/>
              <w:left w:val="nil"/>
              <w:bottom w:val="single" w:sz="4" w:space="0" w:color="auto"/>
              <w:right w:val="single" w:sz="4" w:space="0" w:color="auto"/>
            </w:tcBorders>
            <w:shd w:val="clear" w:color="auto" w:fill="auto"/>
            <w:noWrap/>
            <w:vAlign w:val="center"/>
            <w:hideMark/>
          </w:tcPr>
          <w:p w14:paraId="726E4081"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Manufacturing &amp; Production</w:t>
            </w:r>
          </w:p>
        </w:tc>
        <w:tc>
          <w:tcPr>
            <w:tcW w:w="1030" w:type="dxa"/>
            <w:tcBorders>
              <w:top w:val="nil"/>
              <w:left w:val="nil"/>
              <w:bottom w:val="single" w:sz="4" w:space="0" w:color="auto"/>
              <w:right w:val="single" w:sz="4" w:space="0" w:color="auto"/>
            </w:tcBorders>
            <w:shd w:val="clear" w:color="auto" w:fill="auto"/>
            <w:noWrap/>
            <w:vAlign w:val="center"/>
            <w:hideMark/>
          </w:tcPr>
          <w:p w14:paraId="0AAD7A9F"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48.025</w:t>
            </w:r>
          </w:p>
        </w:tc>
      </w:tr>
      <w:tr w:rsidR="00F43A95" w:rsidRPr="00F43A95" w14:paraId="0239B542" w14:textId="77777777" w:rsidTr="00AA4B64">
        <w:trPr>
          <w:trHeight w:val="300"/>
          <w:jc w:val="center"/>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5CC8E08F"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11</w:t>
            </w:r>
          </w:p>
        </w:tc>
        <w:tc>
          <w:tcPr>
            <w:tcW w:w="2250" w:type="dxa"/>
            <w:tcBorders>
              <w:top w:val="nil"/>
              <w:left w:val="nil"/>
              <w:bottom w:val="single" w:sz="4" w:space="0" w:color="auto"/>
              <w:right w:val="single" w:sz="4" w:space="0" w:color="auto"/>
            </w:tcBorders>
            <w:shd w:val="clear" w:color="auto" w:fill="auto"/>
            <w:noWrap/>
            <w:vAlign w:val="center"/>
            <w:hideMark/>
          </w:tcPr>
          <w:p w14:paraId="215BA924"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Teleperformance</w:t>
            </w:r>
          </w:p>
        </w:tc>
        <w:tc>
          <w:tcPr>
            <w:tcW w:w="1541" w:type="dxa"/>
            <w:tcBorders>
              <w:top w:val="nil"/>
              <w:left w:val="nil"/>
              <w:bottom w:val="single" w:sz="4" w:space="0" w:color="auto"/>
              <w:right w:val="single" w:sz="4" w:space="0" w:color="auto"/>
            </w:tcBorders>
            <w:shd w:val="clear" w:color="auto" w:fill="auto"/>
            <w:noWrap/>
            <w:vAlign w:val="center"/>
            <w:hideMark/>
          </w:tcPr>
          <w:p w14:paraId="54747FBA"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France</w:t>
            </w:r>
          </w:p>
        </w:tc>
        <w:tc>
          <w:tcPr>
            <w:tcW w:w="2500" w:type="dxa"/>
            <w:tcBorders>
              <w:top w:val="nil"/>
              <w:left w:val="nil"/>
              <w:bottom w:val="single" w:sz="4" w:space="0" w:color="auto"/>
              <w:right w:val="single" w:sz="4" w:space="0" w:color="auto"/>
            </w:tcBorders>
            <w:shd w:val="clear" w:color="auto" w:fill="auto"/>
            <w:noWrap/>
            <w:vAlign w:val="center"/>
            <w:hideMark/>
          </w:tcPr>
          <w:p w14:paraId="1454DE83"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Professional Services</w:t>
            </w:r>
          </w:p>
        </w:tc>
        <w:tc>
          <w:tcPr>
            <w:tcW w:w="1030" w:type="dxa"/>
            <w:tcBorders>
              <w:top w:val="nil"/>
              <w:left w:val="nil"/>
              <w:bottom w:val="single" w:sz="4" w:space="0" w:color="auto"/>
              <w:right w:val="single" w:sz="4" w:space="0" w:color="auto"/>
            </w:tcBorders>
            <w:shd w:val="clear" w:color="auto" w:fill="auto"/>
            <w:noWrap/>
            <w:vAlign w:val="center"/>
            <w:hideMark/>
          </w:tcPr>
          <w:p w14:paraId="16E8F633"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403.000</w:t>
            </w:r>
          </w:p>
        </w:tc>
      </w:tr>
      <w:tr w:rsidR="00F43A95" w:rsidRPr="00F43A95" w14:paraId="47904B0C" w14:textId="77777777" w:rsidTr="00AA4B64">
        <w:trPr>
          <w:trHeight w:val="300"/>
          <w:jc w:val="center"/>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7AEB5753"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12</w:t>
            </w:r>
          </w:p>
        </w:tc>
        <w:tc>
          <w:tcPr>
            <w:tcW w:w="2250" w:type="dxa"/>
            <w:tcBorders>
              <w:top w:val="nil"/>
              <w:left w:val="nil"/>
              <w:bottom w:val="single" w:sz="4" w:space="0" w:color="auto"/>
              <w:right w:val="single" w:sz="4" w:space="0" w:color="auto"/>
            </w:tcBorders>
            <w:shd w:val="clear" w:color="auto" w:fill="auto"/>
            <w:noWrap/>
            <w:vAlign w:val="center"/>
            <w:hideMark/>
          </w:tcPr>
          <w:p w14:paraId="31820DC2"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Medtronic</w:t>
            </w:r>
          </w:p>
        </w:tc>
        <w:tc>
          <w:tcPr>
            <w:tcW w:w="1541" w:type="dxa"/>
            <w:tcBorders>
              <w:top w:val="nil"/>
              <w:left w:val="nil"/>
              <w:bottom w:val="single" w:sz="4" w:space="0" w:color="auto"/>
              <w:right w:val="single" w:sz="4" w:space="0" w:color="auto"/>
            </w:tcBorders>
            <w:shd w:val="clear" w:color="auto" w:fill="auto"/>
            <w:noWrap/>
            <w:vAlign w:val="center"/>
            <w:hideMark/>
          </w:tcPr>
          <w:p w14:paraId="65568698"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Ireland</w:t>
            </w:r>
          </w:p>
        </w:tc>
        <w:tc>
          <w:tcPr>
            <w:tcW w:w="2500" w:type="dxa"/>
            <w:tcBorders>
              <w:top w:val="nil"/>
              <w:left w:val="nil"/>
              <w:bottom w:val="single" w:sz="4" w:space="0" w:color="auto"/>
              <w:right w:val="single" w:sz="4" w:space="0" w:color="auto"/>
            </w:tcBorders>
            <w:shd w:val="clear" w:color="auto" w:fill="auto"/>
            <w:noWrap/>
            <w:vAlign w:val="center"/>
            <w:hideMark/>
          </w:tcPr>
          <w:p w14:paraId="43765B1F"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Biotechnology &amp; Pharmaceuticals</w:t>
            </w:r>
          </w:p>
        </w:tc>
        <w:tc>
          <w:tcPr>
            <w:tcW w:w="1030" w:type="dxa"/>
            <w:tcBorders>
              <w:top w:val="nil"/>
              <w:left w:val="nil"/>
              <w:bottom w:val="single" w:sz="4" w:space="0" w:color="auto"/>
              <w:right w:val="single" w:sz="4" w:space="0" w:color="auto"/>
            </w:tcBorders>
            <w:shd w:val="clear" w:color="auto" w:fill="auto"/>
            <w:noWrap/>
            <w:vAlign w:val="center"/>
            <w:hideMark/>
          </w:tcPr>
          <w:p w14:paraId="2E928F4D"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90.000</w:t>
            </w:r>
          </w:p>
        </w:tc>
      </w:tr>
      <w:tr w:rsidR="00F43A95" w:rsidRPr="00F43A95" w14:paraId="4DCAAA4F" w14:textId="77777777" w:rsidTr="00AA4B64">
        <w:trPr>
          <w:trHeight w:val="300"/>
          <w:jc w:val="center"/>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059BEF8B"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13</w:t>
            </w:r>
          </w:p>
        </w:tc>
        <w:tc>
          <w:tcPr>
            <w:tcW w:w="2250" w:type="dxa"/>
            <w:tcBorders>
              <w:top w:val="nil"/>
              <w:left w:val="nil"/>
              <w:bottom w:val="single" w:sz="4" w:space="0" w:color="auto"/>
              <w:right w:val="single" w:sz="4" w:space="0" w:color="auto"/>
            </w:tcBorders>
            <w:shd w:val="clear" w:color="auto" w:fill="auto"/>
            <w:noWrap/>
            <w:vAlign w:val="center"/>
            <w:hideMark/>
          </w:tcPr>
          <w:p w14:paraId="4A41555A"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EY</w:t>
            </w:r>
          </w:p>
        </w:tc>
        <w:tc>
          <w:tcPr>
            <w:tcW w:w="1541" w:type="dxa"/>
            <w:tcBorders>
              <w:top w:val="nil"/>
              <w:left w:val="nil"/>
              <w:bottom w:val="single" w:sz="4" w:space="0" w:color="auto"/>
              <w:right w:val="single" w:sz="4" w:space="0" w:color="auto"/>
            </w:tcBorders>
            <w:shd w:val="clear" w:color="auto" w:fill="auto"/>
            <w:noWrap/>
            <w:vAlign w:val="center"/>
            <w:hideMark/>
          </w:tcPr>
          <w:p w14:paraId="47743DD4"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United Kingdom</w:t>
            </w:r>
          </w:p>
        </w:tc>
        <w:tc>
          <w:tcPr>
            <w:tcW w:w="2500" w:type="dxa"/>
            <w:tcBorders>
              <w:top w:val="nil"/>
              <w:left w:val="nil"/>
              <w:bottom w:val="single" w:sz="4" w:space="0" w:color="auto"/>
              <w:right w:val="single" w:sz="4" w:space="0" w:color="auto"/>
            </w:tcBorders>
            <w:shd w:val="clear" w:color="auto" w:fill="auto"/>
            <w:noWrap/>
            <w:vAlign w:val="center"/>
            <w:hideMark/>
          </w:tcPr>
          <w:p w14:paraId="5174C994"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Professional Services</w:t>
            </w:r>
          </w:p>
        </w:tc>
        <w:tc>
          <w:tcPr>
            <w:tcW w:w="1030" w:type="dxa"/>
            <w:tcBorders>
              <w:top w:val="nil"/>
              <w:left w:val="nil"/>
              <w:bottom w:val="single" w:sz="4" w:space="0" w:color="auto"/>
              <w:right w:val="single" w:sz="4" w:space="0" w:color="auto"/>
            </w:tcBorders>
            <w:shd w:val="clear" w:color="auto" w:fill="auto"/>
            <w:noWrap/>
            <w:vAlign w:val="center"/>
            <w:hideMark/>
          </w:tcPr>
          <w:p w14:paraId="08660B42"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365.399</w:t>
            </w:r>
          </w:p>
        </w:tc>
      </w:tr>
      <w:tr w:rsidR="00F43A95" w:rsidRPr="00F43A95" w14:paraId="683742A6" w14:textId="77777777" w:rsidTr="00AA4B64">
        <w:trPr>
          <w:trHeight w:val="300"/>
          <w:jc w:val="center"/>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72F46F8A"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14</w:t>
            </w:r>
          </w:p>
        </w:tc>
        <w:tc>
          <w:tcPr>
            <w:tcW w:w="2250" w:type="dxa"/>
            <w:tcBorders>
              <w:top w:val="nil"/>
              <w:left w:val="nil"/>
              <w:bottom w:val="single" w:sz="4" w:space="0" w:color="auto"/>
              <w:right w:val="single" w:sz="4" w:space="0" w:color="auto"/>
            </w:tcBorders>
            <w:shd w:val="clear" w:color="auto" w:fill="auto"/>
            <w:noWrap/>
            <w:vAlign w:val="center"/>
            <w:hideMark/>
          </w:tcPr>
          <w:p w14:paraId="2667EEFB"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VRIO: DIRECTV &amp; SKY</w:t>
            </w:r>
          </w:p>
        </w:tc>
        <w:tc>
          <w:tcPr>
            <w:tcW w:w="1541" w:type="dxa"/>
            <w:tcBorders>
              <w:top w:val="nil"/>
              <w:left w:val="nil"/>
              <w:bottom w:val="single" w:sz="4" w:space="0" w:color="auto"/>
              <w:right w:val="single" w:sz="4" w:space="0" w:color="auto"/>
            </w:tcBorders>
            <w:shd w:val="clear" w:color="auto" w:fill="auto"/>
            <w:noWrap/>
            <w:vAlign w:val="center"/>
            <w:hideMark/>
          </w:tcPr>
          <w:p w14:paraId="7C47D1BF"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Argentina</w:t>
            </w:r>
          </w:p>
        </w:tc>
        <w:tc>
          <w:tcPr>
            <w:tcW w:w="2500" w:type="dxa"/>
            <w:tcBorders>
              <w:top w:val="nil"/>
              <w:left w:val="nil"/>
              <w:bottom w:val="single" w:sz="4" w:space="0" w:color="auto"/>
              <w:right w:val="single" w:sz="4" w:space="0" w:color="auto"/>
            </w:tcBorders>
            <w:shd w:val="clear" w:color="auto" w:fill="auto"/>
            <w:noWrap/>
            <w:vAlign w:val="center"/>
            <w:hideMark/>
          </w:tcPr>
          <w:p w14:paraId="6A467FED"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Telecommunications</w:t>
            </w:r>
          </w:p>
        </w:tc>
        <w:tc>
          <w:tcPr>
            <w:tcW w:w="1030" w:type="dxa"/>
            <w:tcBorders>
              <w:top w:val="nil"/>
              <w:left w:val="nil"/>
              <w:bottom w:val="single" w:sz="4" w:space="0" w:color="auto"/>
              <w:right w:val="single" w:sz="4" w:space="0" w:color="auto"/>
            </w:tcBorders>
            <w:shd w:val="clear" w:color="auto" w:fill="auto"/>
            <w:noWrap/>
            <w:vAlign w:val="center"/>
            <w:hideMark/>
          </w:tcPr>
          <w:p w14:paraId="2DA68489"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7.300</w:t>
            </w:r>
          </w:p>
        </w:tc>
      </w:tr>
      <w:tr w:rsidR="00F43A95" w:rsidRPr="00F43A95" w14:paraId="6399A74B" w14:textId="77777777" w:rsidTr="00AA4B64">
        <w:trPr>
          <w:trHeight w:val="300"/>
          <w:jc w:val="center"/>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2B04D411"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15</w:t>
            </w:r>
          </w:p>
        </w:tc>
        <w:tc>
          <w:tcPr>
            <w:tcW w:w="2250" w:type="dxa"/>
            <w:tcBorders>
              <w:top w:val="nil"/>
              <w:left w:val="nil"/>
              <w:bottom w:val="single" w:sz="4" w:space="0" w:color="auto"/>
              <w:right w:val="single" w:sz="4" w:space="0" w:color="auto"/>
            </w:tcBorders>
            <w:shd w:val="clear" w:color="auto" w:fill="auto"/>
            <w:noWrap/>
            <w:vAlign w:val="center"/>
            <w:hideMark/>
          </w:tcPr>
          <w:p w14:paraId="73484A05"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SAP SE</w:t>
            </w:r>
          </w:p>
        </w:tc>
        <w:tc>
          <w:tcPr>
            <w:tcW w:w="1541" w:type="dxa"/>
            <w:tcBorders>
              <w:top w:val="nil"/>
              <w:left w:val="nil"/>
              <w:bottom w:val="single" w:sz="4" w:space="0" w:color="auto"/>
              <w:right w:val="single" w:sz="4" w:space="0" w:color="auto"/>
            </w:tcBorders>
            <w:shd w:val="clear" w:color="auto" w:fill="auto"/>
            <w:noWrap/>
            <w:vAlign w:val="center"/>
            <w:hideMark/>
          </w:tcPr>
          <w:p w14:paraId="374C8459"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Germany</w:t>
            </w:r>
          </w:p>
        </w:tc>
        <w:tc>
          <w:tcPr>
            <w:tcW w:w="2500" w:type="dxa"/>
            <w:tcBorders>
              <w:top w:val="nil"/>
              <w:left w:val="nil"/>
              <w:bottom w:val="single" w:sz="4" w:space="0" w:color="auto"/>
              <w:right w:val="single" w:sz="4" w:space="0" w:color="auto"/>
            </w:tcBorders>
            <w:shd w:val="clear" w:color="auto" w:fill="auto"/>
            <w:noWrap/>
            <w:vAlign w:val="center"/>
            <w:hideMark/>
          </w:tcPr>
          <w:p w14:paraId="0D7E1EC8"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Information Technology</w:t>
            </w:r>
          </w:p>
        </w:tc>
        <w:tc>
          <w:tcPr>
            <w:tcW w:w="1030" w:type="dxa"/>
            <w:tcBorders>
              <w:top w:val="nil"/>
              <w:left w:val="nil"/>
              <w:bottom w:val="single" w:sz="4" w:space="0" w:color="auto"/>
              <w:right w:val="single" w:sz="4" w:space="0" w:color="auto"/>
            </w:tcBorders>
            <w:shd w:val="clear" w:color="auto" w:fill="auto"/>
            <w:noWrap/>
            <w:vAlign w:val="center"/>
            <w:hideMark/>
          </w:tcPr>
          <w:p w14:paraId="3A6F86F8"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112.106</w:t>
            </w:r>
          </w:p>
        </w:tc>
      </w:tr>
      <w:tr w:rsidR="00F43A95" w:rsidRPr="00F43A95" w14:paraId="661002A7" w14:textId="77777777" w:rsidTr="00AA4B64">
        <w:trPr>
          <w:trHeight w:val="300"/>
          <w:jc w:val="center"/>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18B3C1DD"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16</w:t>
            </w:r>
          </w:p>
        </w:tc>
        <w:tc>
          <w:tcPr>
            <w:tcW w:w="2250" w:type="dxa"/>
            <w:tcBorders>
              <w:top w:val="nil"/>
              <w:left w:val="nil"/>
              <w:bottom w:val="single" w:sz="4" w:space="0" w:color="auto"/>
              <w:right w:val="single" w:sz="4" w:space="0" w:color="auto"/>
            </w:tcBorders>
            <w:shd w:val="clear" w:color="auto" w:fill="auto"/>
            <w:noWrap/>
            <w:vAlign w:val="center"/>
            <w:hideMark/>
          </w:tcPr>
          <w:p w14:paraId="4320F80D"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Scotiabank</w:t>
            </w:r>
          </w:p>
        </w:tc>
        <w:tc>
          <w:tcPr>
            <w:tcW w:w="1541" w:type="dxa"/>
            <w:tcBorders>
              <w:top w:val="nil"/>
              <w:left w:val="nil"/>
              <w:bottom w:val="single" w:sz="4" w:space="0" w:color="auto"/>
              <w:right w:val="single" w:sz="4" w:space="0" w:color="auto"/>
            </w:tcBorders>
            <w:shd w:val="clear" w:color="auto" w:fill="auto"/>
            <w:noWrap/>
            <w:vAlign w:val="center"/>
            <w:hideMark/>
          </w:tcPr>
          <w:p w14:paraId="62D8F079"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Canada</w:t>
            </w:r>
          </w:p>
        </w:tc>
        <w:tc>
          <w:tcPr>
            <w:tcW w:w="2500" w:type="dxa"/>
            <w:tcBorders>
              <w:top w:val="nil"/>
              <w:left w:val="nil"/>
              <w:bottom w:val="single" w:sz="4" w:space="0" w:color="auto"/>
              <w:right w:val="single" w:sz="4" w:space="0" w:color="auto"/>
            </w:tcBorders>
            <w:shd w:val="clear" w:color="auto" w:fill="auto"/>
            <w:noWrap/>
            <w:vAlign w:val="center"/>
            <w:hideMark/>
          </w:tcPr>
          <w:p w14:paraId="378E456C"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Financial Services &amp; Insurance</w:t>
            </w:r>
          </w:p>
        </w:tc>
        <w:tc>
          <w:tcPr>
            <w:tcW w:w="1030" w:type="dxa"/>
            <w:tcBorders>
              <w:top w:val="nil"/>
              <w:left w:val="nil"/>
              <w:bottom w:val="single" w:sz="4" w:space="0" w:color="auto"/>
              <w:right w:val="single" w:sz="4" w:space="0" w:color="auto"/>
            </w:tcBorders>
            <w:shd w:val="clear" w:color="auto" w:fill="auto"/>
            <w:noWrap/>
            <w:vAlign w:val="center"/>
            <w:hideMark/>
          </w:tcPr>
          <w:p w14:paraId="680A168D"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89.500</w:t>
            </w:r>
          </w:p>
        </w:tc>
      </w:tr>
      <w:tr w:rsidR="00F43A95" w:rsidRPr="00F43A95" w14:paraId="4D724E73" w14:textId="77777777" w:rsidTr="00AA4B64">
        <w:trPr>
          <w:trHeight w:val="300"/>
          <w:jc w:val="center"/>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0F429BEF"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17</w:t>
            </w:r>
          </w:p>
        </w:tc>
        <w:tc>
          <w:tcPr>
            <w:tcW w:w="2250" w:type="dxa"/>
            <w:tcBorders>
              <w:top w:val="nil"/>
              <w:left w:val="nil"/>
              <w:bottom w:val="single" w:sz="4" w:space="0" w:color="auto"/>
              <w:right w:val="single" w:sz="4" w:space="0" w:color="auto"/>
            </w:tcBorders>
            <w:shd w:val="clear" w:color="auto" w:fill="auto"/>
            <w:noWrap/>
            <w:vAlign w:val="center"/>
            <w:hideMark/>
          </w:tcPr>
          <w:p w14:paraId="0964DC72"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Accenture</w:t>
            </w:r>
          </w:p>
        </w:tc>
        <w:tc>
          <w:tcPr>
            <w:tcW w:w="1541" w:type="dxa"/>
            <w:tcBorders>
              <w:top w:val="nil"/>
              <w:left w:val="nil"/>
              <w:bottom w:val="single" w:sz="4" w:space="0" w:color="auto"/>
              <w:right w:val="single" w:sz="4" w:space="0" w:color="auto"/>
            </w:tcBorders>
            <w:shd w:val="clear" w:color="auto" w:fill="auto"/>
            <w:noWrap/>
            <w:vAlign w:val="center"/>
            <w:hideMark/>
          </w:tcPr>
          <w:p w14:paraId="7D69B2DD"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United States</w:t>
            </w:r>
          </w:p>
        </w:tc>
        <w:tc>
          <w:tcPr>
            <w:tcW w:w="2500" w:type="dxa"/>
            <w:tcBorders>
              <w:top w:val="nil"/>
              <w:left w:val="nil"/>
              <w:bottom w:val="single" w:sz="4" w:space="0" w:color="auto"/>
              <w:right w:val="single" w:sz="4" w:space="0" w:color="auto"/>
            </w:tcBorders>
            <w:shd w:val="clear" w:color="auto" w:fill="auto"/>
            <w:noWrap/>
            <w:vAlign w:val="center"/>
            <w:hideMark/>
          </w:tcPr>
          <w:p w14:paraId="5AFFC3FE"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Professional Services</w:t>
            </w:r>
          </w:p>
        </w:tc>
        <w:tc>
          <w:tcPr>
            <w:tcW w:w="1030" w:type="dxa"/>
            <w:tcBorders>
              <w:top w:val="nil"/>
              <w:left w:val="nil"/>
              <w:bottom w:val="single" w:sz="4" w:space="0" w:color="auto"/>
              <w:right w:val="single" w:sz="4" w:space="0" w:color="auto"/>
            </w:tcBorders>
            <w:shd w:val="clear" w:color="auto" w:fill="auto"/>
            <w:noWrap/>
            <w:vAlign w:val="center"/>
            <w:hideMark/>
          </w:tcPr>
          <w:p w14:paraId="210EBCEB"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710.000</w:t>
            </w:r>
          </w:p>
        </w:tc>
      </w:tr>
      <w:tr w:rsidR="00F43A95" w:rsidRPr="00F43A95" w14:paraId="65D02417" w14:textId="77777777" w:rsidTr="00AA4B64">
        <w:trPr>
          <w:trHeight w:val="300"/>
          <w:jc w:val="center"/>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35386BC4"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18</w:t>
            </w:r>
          </w:p>
        </w:tc>
        <w:tc>
          <w:tcPr>
            <w:tcW w:w="2250" w:type="dxa"/>
            <w:tcBorders>
              <w:top w:val="nil"/>
              <w:left w:val="nil"/>
              <w:bottom w:val="single" w:sz="4" w:space="0" w:color="auto"/>
              <w:right w:val="single" w:sz="4" w:space="0" w:color="auto"/>
            </w:tcBorders>
            <w:shd w:val="clear" w:color="auto" w:fill="auto"/>
            <w:noWrap/>
            <w:vAlign w:val="center"/>
            <w:hideMark/>
          </w:tcPr>
          <w:p w14:paraId="508B1DD0"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Nestle</w:t>
            </w:r>
          </w:p>
        </w:tc>
        <w:tc>
          <w:tcPr>
            <w:tcW w:w="1541" w:type="dxa"/>
            <w:tcBorders>
              <w:top w:val="nil"/>
              <w:left w:val="nil"/>
              <w:bottom w:val="single" w:sz="4" w:space="0" w:color="auto"/>
              <w:right w:val="single" w:sz="4" w:space="0" w:color="auto"/>
            </w:tcBorders>
            <w:shd w:val="clear" w:color="auto" w:fill="auto"/>
            <w:noWrap/>
            <w:vAlign w:val="center"/>
            <w:hideMark/>
          </w:tcPr>
          <w:p w14:paraId="040385B7"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Switzerland</w:t>
            </w:r>
          </w:p>
        </w:tc>
        <w:tc>
          <w:tcPr>
            <w:tcW w:w="2500" w:type="dxa"/>
            <w:tcBorders>
              <w:top w:val="nil"/>
              <w:left w:val="nil"/>
              <w:bottom w:val="single" w:sz="4" w:space="0" w:color="auto"/>
              <w:right w:val="single" w:sz="4" w:space="0" w:color="auto"/>
            </w:tcBorders>
            <w:shd w:val="clear" w:color="auto" w:fill="auto"/>
            <w:noWrap/>
            <w:vAlign w:val="center"/>
            <w:hideMark/>
          </w:tcPr>
          <w:p w14:paraId="162D6618"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Manufacturing &amp; Production</w:t>
            </w:r>
          </w:p>
        </w:tc>
        <w:tc>
          <w:tcPr>
            <w:tcW w:w="1030" w:type="dxa"/>
            <w:tcBorders>
              <w:top w:val="nil"/>
              <w:left w:val="nil"/>
              <w:bottom w:val="single" w:sz="4" w:space="0" w:color="auto"/>
              <w:right w:val="single" w:sz="4" w:space="0" w:color="auto"/>
            </w:tcBorders>
            <w:shd w:val="clear" w:color="auto" w:fill="auto"/>
            <w:noWrap/>
            <w:vAlign w:val="center"/>
            <w:hideMark/>
          </w:tcPr>
          <w:p w14:paraId="66B26B6D"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270.000</w:t>
            </w:r>
          </w:p>
        </w:tc>
      </w:tr>
      <w:tr w:rsidR="00F43A95" w:rsidRPr="00F43A95" w14:paraId="6214FE4D" w14:textId="77777777" w:rsidTr="00AA4B64">
        <w:trPr>
          <w:trHeight w:val="300"/>
          <w:jc w:val="center"/>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7D056AFB"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19</w:t>
            </w:r>
          </w:p>
        </w:tc>
        <w:tc>
          <w:tcPr>
            <w:tcW w:w="2250" w:type="dxa"/>
            <w:tcBorders>
              <w:top w:val="nil"/>
              <w:left w:val="nil"/>
              <w:bottom w:val="single" w:sz="4" w:space="0" w:color="auto"/>
              <w:right w:val="single" w:sz="4" w:space="0" w:color="auto"/>
            </w:tcBorders>
            <w:shd w:val="clear" w:color="auto" w:fill="auto"/>
            <w:noWrap/>
            <w:vAlign w:val="center"/>
            <w:hideMark/>
          </w:tcPr>
          <w:p w14:paraId="53E61D36"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Cadence</w:t>
            </w:r>
          </w:p>
        </w:tc>
        <w:tc>
          <w:tcPr>
            <w:tcW w:w="1541" w:type="dxa"/>
            <w:tcBorders>
              <w:top w:val="nil"/>
              <w:left w:val="nil"/>
              <w:bottom w:val="single" w:sz="4" w:space="0" w:color="auto"/>
              <w:right w:val="single" w:sz="4" w:space="0" w:color="auto"/>
            </w:tcBorders>
            <w:shd w:val="clear" w:color="auto" w:fill="auto"/>
            <w:noWrap/>
            <w:vAlign w:val="center"/>
            <w:hideMark/>
          </w:tcPr>
          <w:p w14:paraId="3DFB8E8A"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United States</w:t>
            </w:r>
          </w:p>
        </w:tc>
        <w:tc>
          <w:tcPr>
            <w:tcW w:w="2500" w:type="dxa"/>
            <w:tcBorders>
              <w:top w:val="nil"/>
              <w:left w:val="nil"/>
              <w:bottom w:val="single" w:sz="4" w:space="0" w:color="auto"/>
              <w:right w:val="single" w:sz="4" w:space="0" w:color="auto"/>
            </w:tcBorders>
            <w:shd w:val="clear" w:color="auto" w:fill="auto"/>
            <w:noWrap/>
            <w:vAlign w:val="center"/>
            <w:hideMark/>
          </w:tcPr>
          <w:p w14:paraId="76980983"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Electronics</w:t>
            </w:r>
          </w:p>
        </w:tc>
        <w:tc>
          <w:tcPr>
            <w:tcW w:w="1030" w:type="dxa"/>
            <w:tcBorders>
              <w:top w:val="nil"/>
              <w:left w:val="nil"/>
              <w:bottom w:val="single" w:sz="4" w:space="0" w:color="auto"/>
              <w:right w:val="single" w:sz="4" w:space="0" w:color="auto"/>
            </w:tcBorders>
            <w:shd w:val="clear" w:color="auto" w:fill="auto"/>
            <w:noWrap/>
            <w:vAlign w:val="center"/>
            <w:hideMark/>
          </w:tcPr>
          <w:p w14:paraId="41B1EE6F"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9.797</w:t>
            </w:r>
          </w:p>
        </w:tc>
      </w:tr>
      <w:tr w:rsidR="00F43A95" w:rsidRPr="00F43A95" w14:paraId="6F94675E" w14:textId="77777777" w:rsidTr="00AA4B64">
        <w:trPr>
          <w:trHeight w:val="300"/>
          <w:jc w:val="center"/>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5A6CB1FA"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20</w:t>
            </w:r>
          </w:p>
        </w:tc>
        <w:tc>
          <w:tcPr>
            <w:tcW w:w="2250" w:type="dxa"/>
            <w:tcBorders>
              <w:top w:val="nil"/>
              <w:left w:val="nil"/>
              <w:bottom w:val="single" w:sz="4" w:space="0" w:color="auto"/>
              <w:right w:val="single" w:sz="4" w:space="0" w:color="auto"/>
            </w:tcBorders>
            <w:shd w:val="clear" w:color="auto" w:fill="auto"/>
            <w:noWrap/>
            <w:vAlign w:val="center"/>
            <w:hideMark/>
          </w:tcPr>
          <w:p w14:paraId="16F4B424"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Mercado Libre</w:t>
            </w:r>
          </w:p>
        </w:tc>
        <w:tc>
          <w:tcPr>
            <w:tcW w:w="1541" w:type="dxa"/>
            <w:tcBorders>
              <w:top w:val="nil"/>
              <w:left w:val="nil"/>
              <w:bottom w:val="single" w:sz="4" w:space="0" w:color="auto"/>
              <w:right w:val="single" w:sz="4" w:space="0" w:color="auto"/>
            </w:tcBorders>
            <w:shd w:val="clear" w:color="auto" w:fill="auto"/>
            <w:noWrap/>
            <w:vAlign w:val="center"/>
            <w:hideMark/>
          </w:tcPr>
          <w:p w14:paraId="44AF8745"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Argentina</w:t>
            </w:r>
          </w:p>
        </w:tc>
        <w:tc>
          <w:tcPr>
            <w:tcW w:w="2500" w:type="dxa"/>
            <w:tcBorders>
              <w:top w:val="nil"/>
              <w:left w:val="nil"/>
              <w:bottom w:val="single" w:sz="4" w:space="0" w:color="auto"/>
              <w:right w:val="single" w:sz="4" w:space="0" w:color="auto"/>
            </w:tcBorders>
            <w:shd w:val="clear" w:color="auto" w:fill="auto"/>
            <w:noWrap/>
            <w:vAlign w:val="center"/>
            <w:hideMark/>
          </w:tcPr>
          <w:p w14:paraId="1CE532C4"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Information Technology</w:t>
            </w:r>
          </w:p>
        </w:tc>
        <w:tc>
          <w:tcPr>
            <w:tcW w:w="1030" w:type="dxa"/>
            <w:tcBorders>
              <w:top w:val="nil"/>
              <w:left w:val="nil"/>
              <w:bottom w:val="single" w:sz="4" w:space="0" w:color="auto"/>
              <w:right w:val="single" w:sz="4" w:space="0" w:color="auto"/>
            </w:tcBorders>
            <w:shd w:val="clear" w:color="auto" w:fill="auto"/>
            <w:noWrap/>
            <w:vAlign w:val="center"/>
            <w:hideMark/>
          </w:tcPr>
          <w:p w14:paraId="1FD954BC"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30.000</w:t>
            </w:r>
          </w:p>
        </w:tc>
      </w:tr>
      <w:tr w:rsidR="00F43A95" w:rsidRPr="00F43A95" w14:paraId="3DF230AA" w14:textId="77777777" w:rsidTr="00AA4B64">
        <w:trPr>
          <w:trHeight w:val="300"/>
          <w:jc w:val="center"/>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2B4E6E65"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21</w:t>
            </w:r>
          </w:p>
        </w:tc>
        <w:tc>
          <w:tcPr>
            <w:tcW w:w="2250" w:type="dxa"/>
            <w:tcBorders>
              <w:top w:val="nil"/>
              <w:left w:val="nil"/>
              <w:bottom w:val="single" w:sz="4" w:space="0" w:color="auto"/>
              <w:right w:val="single" w:sz="4" w:space="0" w:color="auto"/>
            </w:tcBorders>
            <w:shd w:val="clear" w:color="auto" w:fill="auto"/>
            <w:noWrap/>
            <w:vAlign w:val="center"/>
            <w:hideMark/>
          </w:tcPr>
          <w:p w14:paraId="7AEDEC3C"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FedEx</w:t>
            </w:r>
          </w:p>
        </w:tc>
        <w:tc>
          <w:tcPr>
            <w:tcW w:w="1541" w:type="dxa"/>
            <w:tcBorders>
              <w:top w:val="nil"/>
              <w:left w:val="nil"/>
              <w:bottom w:val="single" w:sz="4" w:space="0" w:color="auto"/>
              <w:right w:val="single" w:sz="4" w:space="0" w:color="auto"/>
            </w:tcBorders>
            <w:shd w:val="clear" w:color="auto" w:fill="auto"/>
            <w:noWrap/>
            <w:vAlign w:val="center"/>
            <w:hideMark/>
          </w:tcPr>
          <w:p w14:paraId="148CA7F2"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United States</w:t>
            </w:r>
          </w:p>
        </w:tc>
        <w:tc>
          <w:tcPr>
            <w:tcW w:w="2500" w:type="dxa"/>
            <w:tcBorders>
              <w:top w:val="nil"/>
              <w:left w:val="nil"/>
              <w:bottom w:val="single" w:sz="4" w:space="0" w:color="auto"/>
              <w:right w:val="single" w:sz="4" w:space="0" w:color="auto"/>
            </w:tcBorders>
            <w:shd w:val="clear" w:color="auto" w:fill="auto"/>
            <w:noWrap/>
            <w:vAlign w:val="center"/>
            <w:hideMark/>
          </w:tcPr>
          <w:p w14:paraId="7313A2FD"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Transportation</w:t>
            </w:r>
          </w:p>
        </w:tc>
        <w:tc>
          <w:tcPr>
            <w:tcW w:w="1030" w:type="dxa"/>
            <w:tcBorders>
              <w:top w:val="nil"/>
              <w:left w:val="nil"/>
              <w:bottom w:val="single" w:sz="4" w:space="0" w:color="auto"/>
              <w:right w:val="single" w:sz="4" w:space="0" w:color="auto"/>
            </w:tcBorders>
            <w:shd w:val="clear" w:color="auto" w:fill="auto"/>
            <w:noWrap/>
            <w:vAlign w:val="center"/>
            <w:hideMark/>
          </w:tcPr>
          <w:p w14:paraId="5360A6F7"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550.000</w:t>
            </w:r>
          </w:p>
        </w:tc>
      </w:tr>
      <w:tr w:rsidR="00F43A95" w:rsidRPr="00F43A95" w14:paraId="283CF402" w14:textId="77777777" w:rsidTr="00AA4B64">
        <w:trPr>
          <w:trHeight w:val="300"/>
          <w:jc w:val="center"/>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0F41C8EC"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22</w:t>
            </w:r>
          </w:p>
        </w:tc>
        <w:tc>
          <w:tcPr>
            <w:tcW w:w="2250" w:type="dxa"/>
            <w:tcBorders>
              <w:top w:val="nil"/>
              <w:left w:val="nil"/>
              <w:bottom w:val="single" w:sz="4" w:space="0" w:color="auto"/>
              <w:right w:val="single" w:sz="4" w:space="0" w:color="auto"/>
            </w:tcBorders>
            <w:shd w:val="clear" w:color="auto" w:fill="auto"/>
            <w:noWrap/>
            <w:vAlign w:val="center"/>
            <w:hideMark/>
          </w:tcPr>
          <w:p w14:paraId="69C5AD12"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Concentrix</w:t>
            </w:r>
          </w:p>
        </w:tc>
        <w:tc>
          <w:tcPr>
            <w:tcW w:w="1541" w:type="dxa"/>
            <w:tcBorders>
              <w:top w:val="nil"/>
              <w:left w:val="nil"/>
              <w:bottom w:val="single" w:sz="4" w:space="0" w:color="auto"/>
              <w:right w:val="single" w:sz="4" w:space="0" w:color="auto"/>
            </w:tcBorders>
            <w:shd w:val="clear" w:color="auto" w:fill="auto"/>
            <w:noWrap/>
            <w:vAlign w:val="center"/>
            <w:hideMark/>
          </w:tcPr>
          <w:p w14:paraId="5F8D733D"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United States</w:t>
            </w:r>
          </w:p>
        </w:tc>
        <w:tc>
          <w:tcPr>
            <w:tcW w:w="2500" w:type="dxa"/>
            <w:tcBorders>
              <w:top w:val="nil"/>
              <w:left w:val="nil"/>
              <w:bottom w:val="single" w:sz="4" w:space="0" w:color="auto"/>
              <w:right w:val="single" w:sz="4" w:space="0" w:color="auto"/>
            </w:tcBorders>
            <w:shd w:val="clear" w:color="auto" w:fill="auto"/>
            <w:noWrap/>
            <w:vAlign w:val="center"/>
            <w:hideMark/>
          </w:tcPr>
          <w:p w14:paraId="508AD3FC"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Professional Services</w:t>
            </w:r>
          </w:p>
        </w:tc>
        <w:tc>
          <w:tcPr>
            <w:tcW w:w="1030" w:type="dxa"/>
            <w:tcBorders>
              <w:top w:val="nil"/>
              <w:left w:val="nil"/>
              <w:bottom w:val="single" w:sz="4" w:space="0" w:color="auto"/>
              <w:right w:val="single" w:sz="4" w:space="0" w:color="auto"/>
            </w:tcBorders>
            <w:shd w:val="clear" w:color="auto" w:fill="auto"/>
            <w:noWrap/>
            <w:vAlign w:val="center"/>
            <w:hideMark/>
          </w:tcPr>
          <w:p w14:paraId="78F348CE"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290.000</w:t>
            </w:r>
          </w:p>
        </w:tc>
      </w:tr>
      <w:tr w:rsidR="00F43A95" w:rsidRPr="00F43A95" w14:paraId="798273E5" w14:textId="77777777" w:rsidTr="00AA4B64">
        <w:trPr>
          <w:trHeight w:val="300"/>
          <w:jc w:val="center"/>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4569BD3A"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23</w:t>
            </w:r>
          </w:p>
        </w:tc>
        <w:tc>
          <w:tcPr>
            <w:tcW w:w="2250" w:type="dxa"/>
            <w:tcBorders>
              <w:top w:val="nil"/>
              <w:left w:val="nil"/>
              <w:bottom w:val="single" w:sz="4" w:space="0" w:color="auto"/>
              <w:right w:val="single" w:sz="4" w:space="0" w:color="auto"/>
            </w:tcBorders>
            <w:shd w:val="clear" w:color="auto" w:fill="auto"/>
            <w:noWrap/>
            <w:vAlign w:val="center"/>
            <w:hideMark/>
          </w:tcPr>
          <w:p w14:paraId="048D455F"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Sopra Steria</w:t>
            </w:r>
          </w:p>
        </w:tc>
        <w:tc>
          <w:tcPr>
            <w:tcW w:w="1541" w:type="dxa"/>
            <w:tcBorders>
              <w:top w:val="nil"/>
              <w:left w:val="nil"/>
              <w:bottom w:val="single" w:sz="4" w:space="0" w:color="auto"/>
              <w:right w:val="single" w:sz="4" w:space="0" w:color="auto"/>
            </w:tcBorders>
            <w:shd w:val="clear" w:color="auto" w:fill="auto"/>
            <w:noWrap/>
            <w:vAlign w:val="center"/>
            <w:hideMark/>
          </w:tcPr>
          <w:p w14:paraId="3AAB052F"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France</w:t>
            </w:r>
          </w:p>
        </w:tc>
        <w:tc>
          <w:tcPr>
            <w:tcW w:w="2500" w:type="dxa"/>
            <w:tcBorders>
              <w:top w:val="nil"/>
              <w:left w:val="nil"/>
              <w:bottom w:val="single" w:sz="4" w:space="0" w:color="auto"/>
              <w:right w:val="single" w:sz="4" w:space="0" w:color="auto"/>
            </w:tcBorders>
            <w:shd w:val="clear" w:color="auto" w:fill="auto"/>
            <w:noWrap/>
            <w:vAlign w:val="center"/>
            <w:hideMark/>
          </w:tcPr>
          <w:p w14:paraId="4DF2B457"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Information Technology</w:t>
            </w:r>
          </w:p>
        </w:tc>
        <w:tc>
          <w:tcPr>
            <w:tcW w:w="1030" w:type="dxa"/>
            <w:tcBorders>
              <w:top w:val="nil"/>
              <w:left w:val="nil"/>
              <w:bottom w:val="single" w:sz="4" w:space="0" w:color="auto"/>
              <w:right w:val="single" w:sz="4" w:space="0" w:color="auto"/>
            </w:tcBorders>
            <w:shd w:val="clear" w:color="auto" w:fill="auto"/>
            <w:noWrap/>
            <w:vAlign w:val="center"/>
            <w:hideMark/>
          </w:tcPr>
          <w:p w14:paraId="72FD4665"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47.000</w:t>
            </w:r>
          </w:p>
        </w:tc>
      </w:tr>
      <w:tr w:rsidR="00F43A95" w:rsidRPr="00F43A95" w14:paraId="5BFB1280" w14:textId="77777777" w:rsidTr="00AA4B64">
        <w:trPr>
          <w:trHeight w:val="300"/>
          <w:jc w:val="center"/>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1CA504EA"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24</w:t>
            </w:r>
          </w:p>
        </w:tc>
        <w:tc>
          <w:tcPr>
            <w:tcW w:w="2250" w:type="dxa"/>
            <w:tcBorders>
              <w:top w:val="nil"/>
              <w:left w:val="nil"/>
              <w:bottom w:val="single" w:sz="4" w:space="0" w:color="auto"/>
              <w:right w:val="single" w:sz="4" w:space="0" w:color="auto"/>
            </w:tcBorders>
            <w:shd w:val="clear" w:color="auto" w:fill="auto"/>
            <w:noWrap/>
            <w:vAlign w:val="center"/>
            <w:hideMark/>
          </w:tcPr>
          <w:p w14:paraId="01BA4E11"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Adobe</w:t>
            </w:r>
          </w:p>
        </w:tc>
        <w:tc>
          <w:tcPr>
            <w:tcW w:w="1541" w:type="dxa"/>
            <w:tcBorders>
              <w:top w:val="nil"/>
              <w:left w:val="nil"/>
              <w:bottom w:val="single" w:sz="4" w:space="0" w:color="auto"/>
              <w:right w:val="single" w:sz="4" w:space="0" w:color="auto"/>
            </w:tcBorders>
            <w:shd w:val="clear" w:color="auto" w:fill="auto"/>
            <w:noWrap/>
            <w:vAlign w:val="center"/>
            <w:hideMark/>
          </w:tcPr>
          <w:p w14:paraId="63519979"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United States</w:t>
            </w:r>
          </w:p>
        </w:tc>
        <w:tc>
          <w:tcPr>
            <w:tcW w:w="2500" w:type="dxa"/>
            <w:tcBorders>
              <w:top w:val="nil"/>
              <w:left w:val="nil"/>
              <w:bottom w:val="single" w:sz="4" w:space="0" w:color="auto"/>
              <w:right w:val="single" w:sz="4" w:space="0" w:color="auto"/>
            </w:tcBorders>
            <w:shd w:val="clear" w:color="auto" w:fill="auto"/>
            <w:noWrap/>
            <w:vAlign w:val="center"/>
            <w:hideMark/>
          </w:tcPr>
          <w:p w14:paraId="4C7992BF"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Information Technology</w:t>
            </w:r>
          </w:p>
        </w:tc>
        <w:tc>
          <w:tcPr>
            <w:tcW w:w="1030" w:type="dxa"/>
            <w:tcBorders>
              <w:top w:val="nil"/>
              <w:left w:val="nil"/>
              <w:bottom w:val="single" w:sz="4" w:space="0" w:color="auto"/>
              <w:right w:val="single" w:sz="4" w:space="0" w:color="auto"/>
            </w:tcBorders>
            <w:shd w:val="clear" w:color="auto" w:fill="auto"/>
            <w:noWrap/>
            <w:vAlign w:val="center"/>
            <w:hideMark/>
          </w:tcPr>
          <w:p w14:paraId="6EFF876B"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28.167</w:t>
            </w:r>
          </w:p>
        </w:tc>
      </w:tr>
      <w:tr w:rsidR="00AA4B64" w:rsidRPr="00F43A95" w14:paraId="319F30AC" w14:textId="77777777" w:rsidTr="00AA4B64">
        <w:trPr>
          <w:trHeight w:val="300"/>
          <w:jc w:val="center"/>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4A019171"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25</w:t>
            </w:r>
          </w:p>
        </w:tc>
        <w:tc>
          <w:tcPr>
            <w:tcW w:w="2250" w:type="dxa"/>
            <w:tcBorders>
              <w:top w:val="nil"/>
              <w:left w:val="nil"/>
              <w:bottom w:val="single" w:sz="4" w:space="0" w:color="auto"/>
              <w:right w:val="single" w:sz="4" w:space="0" w:color="auto"/>
            </w:tcBorders>
            <w:shd w:val="clear" w:color="auto" w:fill="auto"/>
            <w:noWrap/>
            <w:vAlign w:val="center"/>
            <w:hideMark/>
          </w:tcPr>
          <w:p w14:paraId="393566D4"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Bristol-Myers Squibb</w:t>
            </w:r>
          </w:p>
        </w:tc>
        <w:tc>
          <w:tcPr>
            <w:tcW w:w="1541" w:type="dxa"/>
            <w:tcBorders>
              <w:top w:val="nil"/>
              <w:left w:val="nil"/>
              <w:bottom w:val="single" w:sz="4" w:space="0" w:color="auto"/>
              <w:right w:val="single" w:sz="4" w:space="0" w:color="auto"/>
            </w:tcBorders>
            <w:shd w:val="clear" w:color="auto" w:fill="auto"/>
            <w:noWrap/>
            <w:vAlign w:val="center"/>
            <w:hideMark/>
          </w:tcPr>
          <w:p w14:paraId="50B6B77E"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United States</w:t>
            </w:r>
          </w:p>
        </w:tc>
        <w:tc>
          <w:tcPr>
            <w:tcW w:w="2500" w:type="dxa"/>
            <w:tcBorders>
              <w:top w:val="nil"/>
              <w:left w:val="nil"/>
              <w:bottom w:val="single" w:sz="4" w:space="0" w:color="auto"/>
              <w:right w:val="single" w:sz="4" w:space="0" w:color="auto"/>
            </w:tcBorders>
            <w:shd w:val="clear" w:color="auto" w:fill="auto"/>
            <w:noWrap/>
            <w:vAlign w:val="center"/>
            <w:hideMark/>
          </w:tcPr>
          <w:p w14:paraId="0CAA4CDF"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Biotechnology &amp; Pharmaceuticals</w:t>
            </w:r>
          </w:p>
        </w:tc>
        <w:tc>
          <w:tcPr>
            <w:tcW w:w="1030" w:type="dxa"/>
            <w:tcBorders>
              <w:top w:val="nil"/>
              <w:left w:val="nil"/>
              <w:bottom w:val="single" w:sz="4" w:space="0" w:color="auto"/>
              <w:right w:val="single" w:sz="4" w:space="0" w:color="auto"/>
            </w:tcBorders>
            <w:shd w:val="clear" w:color="auto" w:fill="auto"/>
            <w:noWrap/>
            <w:vAlign w:val="center"/>
            <w:hideMark/>
          </w:tcPr>
          <w:p w14:paraId="7C53B04B" w14:textId="77777777" w:rsidR="00AA4B64" w:rsidRPr="00F43A95" w:rsidRDefault="00AA4B64" w:rsidP="00AA4B64">
            <w:pPr>
              <w:spacing w:after="0" w:line="240" w:lineRule="auto"/>
              <w:rPr>
                <w:rFonts w:ascii="Times New Roman" w:eastAsia="Times New Roman" w:hAnsi="Times New Roman" w:cs="Times New Roman"/>
                <w:color w:val="000000" w:themeColor="text1"/>
                <w:kern w:val="0"/>
                <w:sz w:val="18"/>
                <w:szCs w:val="18"/>
                <w:lang w:val="it-IT" w:eastAsia="it-IT"/>
                <w14:ligatures w14:val="none"/>
              </w:rPr>
            </w:pPr>
            <w:r w:rsidRPr="00F43A95">
              <w:rPr>
                <w:rFonts w:ascii="Times New Roman" w:eastAsia="Times New Roman" w:hAnsi="Times New Roman" w:cs="Times New Roman"/>
                <w:color w:val="000000" w:themeColor="text1"/>
                <w:kern w:val="0"/>
                <w:sz w:val="18"/>
                <w:szCs w:val="18"/>
                <w:lang w:val="it-IT" w:eastAsia="it-IT"/>
                <w14:ligatures w14:val="none"/>
              </w:rPr>
              <w:t>32.200</w:t>
            </w:r>
          </w:p>
        </w:tc>
      </w:tr>
    </w:tbl>
    <w:p w14:paraId="2185FBEA" w14:textId="67481C33" w:rsidR="00BE0DA6" w:rsidRPr="00F43A95" w:rsidRDefault="00BE0DA6">
      <w:pPr>
        <w:rPr>
          <w:color w:val="000000" w:themeColor="text1"/>
          <w:lang w:val="en-GB"/>
        </w:rPr>
      </w:pPr>
    </w:p>
    <w:p w14:paraId="165B63DB" w14:textId="77777777" w:rsidR="00034638" w:rsidRPr="00F43A95" w:rsidRDefault="00034638">
      <w:pPr>
        <w:rPr>
          <w:color w:val="000000" w:themeColor="text1"/>
          <w:lang w:val="en-GB"/>
        </w:rPr>
      </w:pPr>
    </w:p>
    <w:sectPr w:rsidR="00034638" w:rsidRPr="00F43A95" w:rsidSect="00195F1F">
      <w:pgSz w:w="16840" w:h="11910" w:orient="landscape"/>
      <w:pgMar w:top="1418" w:right="1418" w:bottom="1418" w:left="1418" w:header="708" w:footer="708"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735757" w14:textId="77777777" w:rsidR="0047519F" w:rsidRDefault="0047519F" w:rsidP="007F0C2A">
      <w:pPr>
        <w:spacing w:after="0" w:line="240" w:lineRule="auto"/>
      </w:pPr>
      <w:r>
        <w:separator/>
      </w:r>
    </w:p>
  </w:endnote>
  <w:endnote w:type="continuationSeparator" w:id="0">
    <w:p w14:paraId="165B201A" w14:textId="77777777" w:rsidR="0047519F" w:rsidRDefault="0047519F" w:rsidP="007F0C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57E88C" w14:textId="77777777" w:rsidR="0047519F" w:rsidRDefault="0047519F" w:rsidP="007F0C2A">
      <w:pPr>
        <w:spacing w:after="0" w:line="240" w:lineRule="auto"/>
      </w:pPr>
      <w:r>
        <w:separator/>
      </w:r>
    </w:p>
  </w:footnote>
  <w:footnote w:type="continuationSeparator" w:id="0">
    <w:p w14:paraId="1DE5D1F1" w14:textId="77777777" w:rsidR="0047519F" w:rsidRDefault="0047519F" w:rsidP="007F0C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hyphenationZone w:val="283"/>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F1F"/>
    <w:rsid w:val="00001CD1"/>
    <w:rsid w:val="00034638"/>
    <w:rsid w:val="000C5085"/>
    <w:rsid w:val="00195F1F"/>
    <w:rsid w:val="00357551"/>
    <w:rsid w:val="00445B94"/>
    <w:rsid w:val="0047519F"/>
    <w:rsid w:val="00543A77"/>
    <w:rsid w:val="00553F41"/>
    <w:rsid w:val="005A1AB2"/>
    <w:rsid w:val="00603F86"/>
    <w:rsid w:val="007F0C2A"/>
    <w:rsid w:val="00835BC3"/>
    <w:rsid w:val="00840D32"/>
    <w:rsid w:val="008D3C24"/>
    <w:rsid w:val="009171E2"/>
    <w:rsid w:val="009941FF"/>
    <w:rsid w:val="00A25C0D"/>
    <w:rsid w:val="00A90092"/>
    <w:rsid w:val="00AA4B64"/>
    <w:rsid w:val="00BE0DA6"/>
    <w:rsid w:val="00C0486B"/>
    <w:rsid w:val="00C824C0"/>
    <w:rsid w:val="00CB0A26"/>
    <w:rsid w:val="00D50BA0"/>
    <w:rsid w:val="00E73A83"/>
    <w:rsid w:val="00F27B3E"/>
    <w:rsid w:val="00F313C4"/>
    <w:rsid w:val="00F43A95"/>
    <w:rsid w:val="00F469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041C2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C2A"/>
    <w:pPr>
      <w:tabs>
        <w:tab w:val="center" w:pos="4819"/>
        <w:tab w:val="right" w:pos="9638"/>
      </w:tabs>
      <w:spacing w:after="0" w:line="240" w:lineRule="auto"/>
    </w:pPr>
  </w:style>
  <w:style w:type="character" w:customStyle="1" w:styleId="HeaderChar">
    <w:name w:val="Header Char"/>
    <w:basedOn w:val="DefaultParagraphFont"/>
    <w:link w:val="Header"/>
    <w:uiPriority w:val="99"/>
    <w:rsid w:val="007F0C2A"/>
    <w:rPr>
      <w:lang w:val="en-US"/>
    </w:rPr>
  </w:style>
  <w:style w:type="paragraph" w:styleId="Footer">
    <w:name w:val="footer"/>
    <w:basedOn w:val="Normal"/>
    <w:link w:val="FooterChar"/>
    <w:uiPriority w:val="99"/>
    <w:unhideWhenUsed/>
    <w:rsid w:val="007F0C2A"/>
    <w:pPr>
      <w:tabs>
        <w:tab w:val="center" w:pos="4819"/>
        <w:tab w:val="right" w:pos="9638"/>
      </w:tabs>
      <w:spacing w:after="0" w:line="240" w:lineRule="auto"/>
    </w:pPr>
  </w:style>
  <w:style w:type="character" w:customStyle="1" w:styleId="FooterChar">
    <w:name w:val="Footer Char"/>
    <w:basedOn w:val="DefaultParagraphFont"/>
    <w:link w:val="Footer"/>
    <w:uiPriority w:val="99"/>
    <w:rsid w:val="007F0C2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3350992">
      <w:bodyDiv w:val="1"/>
      <w:marLeft w:val="0"/>
      <w:marRight w:val="0"/>
      <w:marTop w:val="0"/>
      <w:marBottom w:val="0"/>
      <w:divBdr>
        <w:top w:val="none" w:sz="0" w:space="0" w:color="auto"/>
        <w:left w:val="none" w:sz="0" w:space="0" w:color="auto"/>
        <w:bottom w:val="none" w:sz="0" w:space="0" w:color="auto"/>
        <w:right w:val="none" w:sz="0" w:space="0" w:color="auto"/>
      </w:divBdr>
    </w:div>
    <w:div w:id="632295317">
      <w:bodyDiv w:val="1"/>
      <w:marLeft w:val="0"/>
      <w:marRight w:val="0"/>
      <w:marTop w:val="0"/>
      <w:marBottom w:val="0"/>
      <w:divBdr>
        <w:top w:val="none" w:sz="0" w:space="0" w:color="auto"/>
        <w:left w:val="none" w:sz="0" w:space="0" w:color="auto"/>
        <w:bottom w:val="none" w:sz="0" w:space="0" w:color="auto"/>
        <w:right w:val="none" w:sz="0" w:space="0" w:color="auto"/>
      </w:divBdr>
    </w:div>
    <w:div w:id="893856579">
      <w:bodyDiv w:val="1"/>
      <w:marLeft w:val="0"/>
      <w:marRight w:val="0"/>
      <w:marTop w:val="0"/>
      <w:marBottom w:val="0"/>
      <w:divBdr>
        <w:top w:val="none" w:sz="0" w:space="0" w:color="auto"/>
        <w:left w:val="none" w:sz="0" w:space="0" w:color="auto"/>
        <w:bottom w:val="none" w:sz="0" w:space="0" w:color="auto"/>
        <w:right w:val="none" w:sz="0" w:space="0" w:color="auto"/>
      </w:divBdr>
    </w:div>
    <w:div w:id="950431257">
      <w:bodyDiv w:val="1"/>
      <w:marLeft w:val="0"/>
      <w:marRight w:val="0"/>
      <w:marTop w:val="0"/>
      <w:marBottom w:val="0"/>
      <w:divBdr>
        <w:top w:val="none" w:sz="0" w:space="0" w:color="auto"/>
        <w:left w:val="none" w:sz="0" w:space="0" w:color="auto"/>
        <w:bottom w:val="none" w:sz="0" w:space="0" w:color="auto"/>
        <w:right w:val="none" w:sz="0" w:space="0" w:color="auto"/>
      </w:divBdr>
    </w:div>
    <w:div w:id="1966084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3320</Words>
  <Characters>18930</Characters>
  <Application>Microsoft Office Word</Application>
  <DocSecurity>0</DocSecurity>
  <Lines>157</Lines>
  <Paragraphs>44</Paragraphs>
  <ScaleCrop>false</ScaleCrop>
  <Company/>
  <LinksUpToDate>false</LinksUpToDate>
  <CharactersWithSpaces>22206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2023-10-17T07:21:00Z</dcterms:created>
  <dcterms:modified xsi:type="dcterms:W3CDTF">2023-10-24T10:04:00Z</dcterms:modified>
</cp:coreProperties>
</file>