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A66" w:rsidRPr="0062309D" w:rsidRDefault="00E73A66" w:rsidP="00E73A6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2309D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Appendix A. </w:t>
      </w:r>
      <w:r w:rsidRPr="0062309D">
        <w:rPr>
          <w:rFonts w:ascii="Times New Roman" w:hAnsi="Times New Roman" w:cs="Times New Roman"/>
          <w:b/>
          <w:bCs/>
          <w:sz w:val="24"/>
          <w:szCs w:val="24"/>
        </w:rPr>
        <w:t xml:space="preserve">Derivation of the </w:t>
      </w:r>
      <w:r w:rsidRPr="0062309D">
        <w:rPr>
          <w:rFonts w:ascii="Times New Roman" w:hAnsi="Times New Roman" w:cs="Times New Roman" w:hint="eastAsia"/>
          <w:b/>
          <w:bCs/>
          <w:sz w:val="24"/>
          <w:szCs w:val="24"/>
        </w:rPr>
        <w:t>r</w:t>
      </w:r>
      <w:r w:rsidRPr="0062309D">
        <w:rPr>
          <w:rFonts w:ascii="Times New Roman" w:hAnsi="Times New Roman" w:cs="Times New Roman"/>
          <w:b/>
          <w:bCs/>
          <w:sz w:val="24"/>
          <w:szCs w:val="24"/>
        </w:rPr>
        <w:t>isk-</w:t>
      </w:r>
      <w:r w:rsidRPr="0062309D">
        <w:rPr>
          <w:rFonts w:ascii="Times New Roman" w:hAnsi="Times New Roman" w:cs="Times New Roman" w:hint="eastAsia"/>
          <w:b/>
          <w:bCs/>
          <w:sz w:val="24"/>
          <w:szCs w:val="24"/>
        </w:rPr>
        <w:t>n</w:t>
      </w:r>
      <w:r w:rsidRPr="0062309D">
        <w:rPr>
          <w:rFonts w:ascii="Times New Roman" w:hAnsi="Times New Roman" w:cs="Times New Roman"/>
          <w:b/>
          <w:bCs/>
          <w:sz w:val="24"/>
          <w:szCs w:val="24"/>
        </w:rPr>
        <w:t xml:space="preserve">eutral Weibull </w:t>
      </w:r>
      <w:r w:rsidRPr="0062309D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62309D">
        <w:rPr>
          <w:rFonts w:ascii="Times New Roman" w:hAnsi="Times New Roman" w:cs="Times New Roman"/>
          <w:b/>
          <w:bCs/>
          <w:sz w:val="24"/>
          <w:szCs w:val="24"/>
        </w:rPr>
        <w:t>pecification</w:t>
      </w:r>
    </w:p>
    <w:p w:rsidR="00E73A66" w:rsidRPr="0062309D" w:rsidRDefault="00E73A66" w:rsidP="00E73A6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309D">
        <w:rPr>
          <w:rFonts w:ascii="Times New Roman" w:hAnsi="Times New Roman" w:cs="Times New Roman"/>
          <w:sz w:val="24"/>
          <w:szCs w:val="24"/>
        </w:rPr>
        <w:t xml:space="preserve">Let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</m:oMath>
      <w:r w:rsidRPr="0062309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2309D">
        <w:rPr>
          <w:rFonts w:ascii="Times New Roman" w:hAnsi="Times New Roman" w:cs="Times New Roman"/>
          <w:sz w:val="24"/>
          <w:szCs w:val="24"/>
        </w:rPr>
        <w:t xml:space="preserve">denote the terminal residual value at </w:t>
      </w:r>
      <w:proofErr w:type="gramStart"/>
      <w:r w:rsidRPr="0062309D">
        <w:rPr>
          <w:rFonts w:ascii="Times New Roman" w:hAnsi="Times New Roman" w:cs="Times New Roman"/>
          <w:sz w:val="24"/>
          <w:szCs w:val="24"/>
        </w:rPr>
        <w:t xml:space="preserve">maturity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T</m:t>
        </m:r>
      </m:oMath>
      <w:r w:rsidRPr="0062309D">
        <w:rPr>
          <w:rFonts w:ascii="Times New Roman" w:hAnsi="Times New Roman" w:cs="Times New Roman"/>
          <w:sz w:val="24"/>
          <w:szCs w:val="24"/>
        </w:rPr>
        <w:t xml:space="preserve">. Under the physical </w:t>
      </w:r>
      <w:proofErr w:type="gramStart"/>
      <w:r w:rsidRPr="0062309D">
        <w:rPr>
          <w:rFonts w:ascii="Times New Roman" w:hAnsi="Times New Roman" w:cs="Times New Roman"/>
          <w:sz w:val="24"/>
          <w:szCs w:val="24"/>
        </w:rPr>
        <w:t xml:space="preserve">measure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P</m:t>
        </m:r>
      </m:oMath>
      <w:r w:rsidRPr="0062309D">
        <w:rPr>
          <w:rFonts w:ascii="Times New Roman" w:hAnsi="Times New Roman" w:cs="Times New Roman"/>
          <w:sz w:val="24"/>
          <w:szCs w:val="24"/>
        </w:rPr>
        <w:t>, assume</w:t>
      </w:r>
      <w:r w:rsidRPr="0062309D">
        <w:rPr>
          <w:rFonts w:ascii="Times New Roman" w:hAnsi="Times New Roman" w:cs="Times New Roman" w:hint="eastAsia"/>
          <w:sz w:val="24"/>
          <w:szCs w:val="24"/>
        </w:rPr>
        <w:t xml:space="preserve"> </w:t>
      </w:r>
      <w:bookmarkStart w:id="0" w:name="_Hlk215996390"/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~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Weibull</m:t>
        </m:r>
        <m:r>
          <w:rPr>
            <w:rFonts w:ascii="Cambria Math" w:hAnsi="Cambria Math" w:cs="Times New Roman"/>
            <w:sz w:val="24"/>
            <w:szCs w:val="24"/>
          </w:rPr>
          <m:t xml:space="preserve"> (θ,</m:t>
        </m:r>
      </m:oMath>
      <w:r w:rsidRPr="0062309D">
        <w:rPr>
          <w:rFonts w:ascii="Times New Roman" w:hAnsi="Times New Roman" w:cs="Times New Roman" w:hint="eastAsia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δ)</m:t>
        </m:r>
      </m:oMath>
      <w:r w:rsidRPr="0062309D">
        <w:rPr>
          <w:rFonts w:ascii="Times New Roman" w:hAnsi="Times New Roman" w:cs="Times New Roman" w:hint="eastAsia"/>
          <w:sz w:val="24"/>
          <w:szCs w:val="24"/>
        </w:rPr>
        <w:t xml:space="preserve"> </w:t>
      </w:r>
      <w:bookmarkEnd w:id="0"/>
      <w:r w:rsidRPr="0062309D">
        <w:rPr>
          <w:rFonts w:ascii="Times New Roman" w:hAnsi="Times New Roman" w:cs="Times New Roman" w:hint="eastAsia"/>
          <w:sz w:val="24"/>
          <w:szCs w:val="24"/>
        </w:rPr>
        <w:t xml:space="preserve">where </w:t>
      </w:r>
      <w:r w:rsidRPr="0062309D">
        <w:rPr>
          <w:rFonts w:ascii="Times New Roman" w:hAnsi="Times New Roman" w:cs="Times New Roman"/>
          <w:sz w:val="24"/>
          <w:szCs w:val="24"/>
        </w:rPr>
        <w:t xml:space="preserve">scale </w:t>
      </w:r>
      <m:oMath>
        <m:r>
          <w:rPr>
            <w:rFonts w:ascii="Cambria Math" w:hAnsi="Cambria Math" w:cs="Times New Roman"/>
            <w:sz w:val="24"/>
            <w:szCs w:val="24"/>
          </w:rPr>
          <m:t>θ&gt;0</m:t>
        </m:r>
      </m:oMath>
      <w:r w:rsidRPr="0062309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2309D">
        <w:rPr>
          <w:rFonts w:ascii="Times New Roman" w:hAnsi="Times New Roman" w:cs="Times New Roman"/>
          <w:sz w:val="24"/>
          <w:szCs w:val="24"/>
        </w:rPr>
        <w:t xml:space="preserve">and shape </w:t>
      </w:r>
      <m:oMath>
        <m:r>
          <w:rPr>
            <w:rFonts w:ascii="Cambria Math" w:hAnsi="Cambria Math" w:cs="Times New Roman"/>
            <w:sz w:val="24"/>
            <w:szCs w:val="24"/>
          </w:rPr>
          <m:t>δ&gt;0</m:t>
        </m:r>
      </m:oMath>
      <w:r w:rsidRPr="0062309D">
        <w:rPr>
          <w:rFonts w:ascii="Times New Roman" w:hAnsi="Times New Roman" w:cs="Times New Roman"/>
          <w:sz w:val="24"/>
          <w:szCs w:val="24"/>
        </w:rPr>
        <w:t>, with density</w:t>
      </w:r>
      <w:r w:rsidRPr="0062309D">
        <w:rPr>
          <w:rFonts w:ascii="Times New Roman" w:hAnsi="Times New Roman" w:cs="Times New Roman" w:hint="eastAsia"/>
          <w:sz w:val="24"/>
          <w:szCs w:val="24"/>
        </w:rPr>
        <w:t>,</w:t>
      </w:r>
    </w:p>
    <w:p w:rsidR="00E73A66" w:rsidRPr="0062309D" w:rsidRDefault="00BD0938" w:rsidP="00E73A6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P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s;θ,δ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δ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θ</m:t>
              </m:r>
            </m:den>
          </m:f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s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θ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δ-1</m:t>
              </m:r>
            </m:sup>
          </m:sSup>
          <m:func>
            <m:func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exp</m:t>
              </m:r>
            </m:fName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s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θ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δ</m:t>
                      </m:r>
                    </m:sup>
                  </m:sSup>
                </m:e>
              </m:d>
            </m:e>
          </m:func>
          <m:r>
            <w:rPr>
              <w:rFonts w:ascii="Cambria Math" w:hAnsi="Cambria Math" w:cs="Times New Roman"/>
              <w:sz w:val="24"/>
              <w:szCs w:val="24"/>
            </w:rPr>
            <m:t>,  s≥0.</m:t>
          </m:r>
        </m:oMath>
      </m:oMathPara>
    </w:p>
    <w:p w:rsidR="00E73A66" w:rsidRPr="0062309D" w:rsidRDefault="00E73A66" w:rsidP="00E73A6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309D">
        <w:rPr>
          <w:rFonts w:ascii="Times New Roman" w:hAnsi="Times New Roman" w:cs="Times New Roman" w:hint="eastAsia"/>
          <w:sz w:val="24"/>
          <w:szCs w:val="24"/>
        </w:rPr>
        <w:t>T</w:t>
      </w:r>
      <w:r w:rsidRPr="0062309D">
        <w:rPr>
          <w:rFonts w:ascii="Times New Roman" w:hAnsi="Times New Roman" w:cs="Times New Roman"/>
          <w:sz w:val="24"/>
          <w:szCs w:val="24"/>
        </w:rPr>
        <w:t xml:space="preserve">o preserve the structural durability patterns encoded in the Weibull shape parameter, we impose that the risk-neutral terminal distribution belongs to the same parametric family and shares the same shape parameter. Accordingly, under the risk-neutral </w:t>
      </w:r>
      <w:proofErr w:type="gramStart"/>
      <w:r w:rsidRPr="0062309D">
        <w:rPr>
          <w:rFonts w:ascii="Times New Roman" w:hAnsi="Times New Roman" w:cs="Times New Roman"/>
          <w:sz w:val="24"/>
          <w:szCs w:val="24"/>
        </w:rPr>
        <w:t xml:space="preserve">measure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Q</m:t>
        </m:r>
      </m:oMath>
      <w:r w:rsidRPr="0062309D">
        <w:rPr>
          <w:rFonts w:ascii="Times New Roman" w:hAnsi="Times New Roman" w:cs="Times New Roman"/>
          <w:sz w:val="24"/>
          <w:szCs w:val="24"/>
        </w:rPr>
        <w:t>,</w:t>
      </w:r>
      <w:r w:rsidRPr="0062309D">
        <w:rPr>
          <w:rFonts w:ascii="Times New Roman" w:hAnsi="Times New Roman" w:cs="Times New Roman" w:hint="eastAsia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~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Weibull</m:t>
        </m:r>
        <m:r>
          <w:rPr>
            <w:rFonts w:ascii="Cambria Math" w:hAnsi="Cambria Math" w:cs="Times New Roman"/>
            <w:sz w:val="24"/>
            <w:szCs w:val="24"/>
          </w:rPr>
          <m:t xml:space="preserve"> (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θ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Q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,</m:t>
        </m:r>
      </m:oMath>
      <w:r w:rsidRPr="0062309D">
        <w:rPr>
          <w:rFonts w:ascii="Times New Roman" w:hAnsi="Times New Roman" w:cs="Times New Roman" w:hint="eastAsia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δ)</m:t>
        </m:r>
      </m:oMath>
      <w:r w:rsidRPr="0062309D">
        <w:rPr>
          <w:rFonts w:ascii="Times New Roman" w:hAnsi="Times New Roman" w:cs="Times New Roman" w:hint="eastAsia"/>
          <w:sz w:val="24"/>
          <w:szCs w:val="24"/>
        </w:rPr>
        <w:t xml:space="preserve"> , </w:t>
      </w:r>
      <w:r w:rsidRPr="0062309D">
        <w:rPr>
          <w:rFonts w:ascii="Times New Roman" w:hAnsi="Times New Roman" w:cs="Times New Roman"/>
          <w:sz w:val="24"/>
          <w:szCs w:val="24"/>
        </w:rPr>
        <w:t xml:space="preserve">where the scale parameter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θ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Q</m:t>
            </m:r>
          </m:sub>
        </m:sSub>
      </m:oMath>
      <w:r w:rsidRPr="0062309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2309D">
        <w:rPr>
          <w:rFonts w:ascii="Times New Roman" w:hAnsi="Times New Roman" w:cs="Times New Roman"/>
          <w:sz w:val="24"/>
          <w:szCs w:val="24"/>
        </w:rPr>
        <w:t xml:space="preserve">is allowed to </w:t>
      </w:r>
      <w:r w:rsidRPr="0062309D">
        <w:rPr>
          <w:rFonts w:ascii="Times New Roman" w:hAnsi="Times New Roman" w:cs="Times New Roman" w:hint="eastAsia"/>
          <w:sz w:val="24"/>
          <w:szCs w:val="24"/>
        </w:rPr>
        <w:t>adjust</w:t>
      </w:r>
      <w:r w:rsidRPr="0062309D">
        <w:rPr>
          <w:rFonts w:ascii="Times New Roman" w:hAnsi="Times New Roman" w:cs="Times New Roman"/>
          <w:sz w:val="24"/>
          <w:szCs w:val="24"/>
        </w:rPr>
        <w:t>. This shape invariance is a deliberate</w:t>
      </w:r>
      <w:r w:rsidRPr="0062309D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62309D">
        <w:rPr>
          <w:rFonts w:ascii="Times New Roman" w:hAnsi="Times New Roman" w:cs="Times New Roman"/>
          <w:sz w:val="24"/>
          <w:szCs w:val="24"/>
        </w:rPr>
        <w:t xml:space="preserve">potentially restrictive </w:t>
      </w:r>
      <w:proofErr w:type="spellStart"/>
      <w:r w:rsidRPr="0062309D">
        <w:rPr>
          <w:rFonts w:ascii="Times New Roman" w:hAnsi="Times New Roman" w:cs="Times New Roman"/>
          <w:sz w:val="24"/>
          <w:szCs w:val="24"/>
        </w:rPr>
        <w:t>modeling</w:t>
      </w:r>
      <w:proofErr w:type="spellEnd"/>
      <w:r w:rsidRPr="0062309D">
        <w:rPr>
          <w:rFonts w:ascii="Times New Roman" w:hAnsi="Times New Roman" w:cs="Times New Roman"/>
          <w:sz w:val="24"/>
          <w:szCs w:val="24"/>
        </w:rPr>
        <w:t xml:space="preserve"> choice for the pricing kernel: among the many admissible risk-neutral measures, we select the one that preserves </w:t>
      </w:r>
      <m:oMath>
        <m:r>
          <w:rPr>
            <w:rFonts w:ascii="Cambria Math" w:hAnsi="Cambria Math" w:cs="Times New Roman"/>
            <w:sz w:val="24"/>
            <w:szCs w:val="24"/>
          </w:rPr>
          <m:t>δ</m:t>
        </m:r>
      </m:oMath>
      <w:r w:rsidRPr="0062309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2309D">
        <w:rPr>
          <w:rFonts w:ascii="Times New Roman" w:hAnsi="Times New Roman" w:cs="Times New Roman"/>
          <w:sz w:val="24"/>
          <w:szCs w:val="24"/>
        </w:rPr>
        <w:t xml:space="preserve">and modifies only </w:t>
      </w:r>
      <m:oMath>
        <m:r>
          <w:rPr>
            <w:rFonts w:ascii="Cambria Math" w:hAnsi="Cambria Math" w:cs="Times New Roman"/>
            <w:sz w:val="24"/>
            <w:szCs w:val="24"/>
          </w:rPr>
          <m:t>θ</m:t>
        </m:r>
      </m:oMath>
      <w:r w:rsidRPr="0062309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2309D">
        <w:rPr>
          <w:rFonts w:ascii="Times New Roman" w:hAnsi="Times New Roman" w:cs="Times New Roman"/>
          <w:sz w:val="24"/>
          <w:szCs w:val="24"/>
        </w:rPr>
        <w:t>so as to satisfy the no-arbitrage</w:t>
      </w:r>
      <w:r w:rsidRPr="0062309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2309D">
        <w:rPr>
          <w:rFonts w:ascii="Times New Roman" w:hAnsi="Times New Roman" w:cs="Times New Roman"/>
          <w:sz w:val="24"/>
          <w:szCs w:val="24"/>
        </w:rPr>
        <w:t>condition.</w:t>
      </w:r>
    </w:p>
    <w:p w:rsidR="00E73A66" w:rsidRPr="0062309D" w:rsidRDefault="00E73A66" w:rsidP="00E73A66">
      <w:pPr>
        <w:spacing w:after="0"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62309D">
        <w:rPr>
          <w:rFonts w:ascii="Times New Roman" w:hAnsi="Times New Roman" w:cs="Times New Roman"/>
          <w:sz w:val="24"/>
          <w:szCs w:val="24"/>
        </w:rPr>
        <w:t xml:space="preserve">The change of measure from </w:t>
      </w:r>
      <m:oMath>
        <m:r>
          <w:rPr>
            <w:rFonts w:ascii="Cambria Math" w:hAnsi="Cambria Math" w:cs="Times New Roman"/>
            <w:sz w:val="24"/>
            <w:szCs w:val="24"/>
          </w:rPr>
          <m:t>P</m:t>
        </m:r>
      </m:oMath>
      <w:r w:rsidRPr="0062309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2309D">
        <w:rPr>
          <w:rFonts w:ascii="Times New Roman" w:hAnsi="Times New Roman" w:cs="Times New Roman"/>
          <w:sz w:val="24"/>
          <w:szCs w:val="24"/>
        </w:rPr>
        <w:t xml:space="preserve">to </w:t>
      </w:r>
      <m:oMath>
        <m:r>
          <w:rPr>
            <w:rFonts w:ascii="Cambria Math" w:hAnsi="Cambria Math" w:cs="Times New Roman"/>
            <w:sz w:val="24"/>
            <w:szCs w:val="24"/>
          </w:rPr>
          <m:t>Q</m:t>
        </m:r>
      </m:oMath>
      <w:r w:rsidRPr="0062309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2309D">
        <w:rPr>
          <w:rFonts w:ascii="Times New Roman" w:hAnsi="Times New Roman" w:cs="Times New Roman"/>
          <w:sz w:val="24"/>
          <w:szCs w:val="24"/>
        </w:rPr>
        <w:t>is defined through the Radon–</w:t>
      </w:r>
      <w:proofErr w:type="spellStart"/>
      <w:r w:rsidRPr="0062309D">
        <w:rPr>
          <w:rFonts w:ascii="Times New Roman" w:hAnsi="Times New Roman" w:cs="Times New Roman"/>
          <w:sz w:val="24"/>
          <w:szCs w:val="24"/>
        </w:rPr>
        <w:t>Nikodym</w:t>
      </w:r>
      <w:proofErr w:type="spellEnd"/>
      <w:r w:rsidRPr="0062309D">
        <w:rPr>
          <w:rFonts w:ascii="Times New Roman" w:hAnsi="Times New Roman" w:cs="Times New Roman"/>
          <w:sz w:val="24"/>
          <w:szCs w:val="24"/>
        </w:rPr>
        <w:t xml:space="preserve"> derivative</w:t>
      </w:r>
      <w:r w:rsidRPr="0062309D">
        <w:rPr>
          <w:rFonts w:ascii="Times New Roman" w:hAnsi="Times New Roman" w:cs="Times New Roman" w:hint="eastAsia"/>
          <w:sz w:val="24"/>
          <w:szCs w:val="24"/>
        </w:rPr>
        <w:t>,</w:t>
      </w:r>
    </w:p>
    <w:p w:rsidR="00E73A66" w:rsidRPr="0062309D" w:rsidRDefault="00BD0938" w:rsidP="00E73A6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Λ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T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dQ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dP</m:t>
              </m:r>
            </m:den>
          </m:f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T</m:t>
                  </m:r>
                </m:sub>
              </m:sSub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Q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;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Q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,δ</m:t>
                  </m:r>
                </m:e>
              </m:d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P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;θ,δ</m:t>
                  </m:r>
                </m:e>
              </m:d>
            </m:den>
          </m:f>
          <m:r>
            <w:rPr>
              <w:rFonts w:ascii="Cambria Math" w:hAnsi="Cambria Math" w:cs="Times New Roman"/>
              <w:sz w:val="24"/>
              <w:szCs w:val="24"/>
            </w:rPr>
            <m:t>.</m:t>
          </m:r>
        </m:oMath>
      </m:oMathPara>
    </w:p>
    <w:p w:rsidR="00E73A66" w:rsidRPr="0062309D" w:rsidRDefault="00E73A66" w:rsidP="00E73A6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309D">
        <w:rPr>
          <w:rFonts w:ascii="Times New Roman" w:hAnsi="Times New Roman" w:cs="Times New Roman"/>
          <w:sz w:val="24"/>
          <w:szCs w:val="24"/>
        </w:rPr>
        <w:t>By direct integration,</w:t>
      </w:r>
    </w:p>
    <w:p w:rsidR="00E73A66" w:rsidRPr="0062309D" w:rsidRDefault="00BD0938" w:rsidP="00E73A6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P</m:t>
              </m:r>
            </m:sub>
          </m:sSub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Λ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T</m:t>
                  </m:r>
                </m:sub>
              </m:sSub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∞</m:t>
              </m:r>
            </m:sup>
            <m:e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Q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s;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θ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Q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,δ</m:t>
                      </m:r>
                    </m:e>
                  </m:d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P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s;θ,δ</m:t>
                      </m:r>
                    </m:e>
                  </m:d>
                </m:den>
              </m:f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P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s;θ,δ</m:t>
                  </m:r>
                </m:e>
              </m:d>
              <m:r>
                <m:rPr>
                  <m:nor/>
                </m:rPr>
                <w:rPr>
                  <w:rFonts w:ascii="Times New Roman" w:hAnsi="Times New Roman" w:cs="Times New Roman"/>
                  <w:sz w:val="24"/>
                  <w:szCs w:val="24"/>
                </w:rPr>
                <m:t> 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ds</m:t>
              </m:r>
            </m:e>
          </m:nary>
          <m:r>
            <w:rPr>
              <w:rFonts w:ascii="Cambria Math" w:hAnsi="Cambria Math" w:cs="Times New Roman"/>
              <w:sz w:val="24"/>
              <w:szCs w:val="24"/>
            </w:rPr>
            <m:t>=</m:t>
          </m:r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∞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Q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s;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Q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,δ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ds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4"/>
                  <w:szCs w:val="24"/>
                </w:rPr>
                <m:t> </m:t>
              </m:r>
            </m:e>
          </m:nary>
          <m:r>
            <w:rPr>
              <w:rFonts w:ascii="Cambria Math" w:hAnsi="Cambria Math" w:cs="Times New Roman"/>
              <w:sz w:val="24"/>
              <w:szCs w:val="24"/>
            </w:rPr>
            <m:t>=1.</m:t>
          </m:r>
        </m:oMath>
      </m:oMathPara>
    </w:p>
    <w:p w:rsidR="00E73A66" w:rsidRPr="0062309D" w:rsidRDefault="00E73A66" w:rsidP="00E73A6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309D">
        <w:rPr>
          <w:rFonts w:ascii="Times New Roman" w:hAnsi="Times New Roman" w:cs="Times New Roman" w:hint="eastAsia"/>
          <w:sz w:val="24"/>
          <w:szCs w:val="24"/>
        </w:rPr>
        <w:t>S</w:t>
      </w:r>
      <w:r w:rsidRPr="0062309D">
        <w:rPr>
          <w:rFonts w:ascii="Times New Roman" w:hAnsi="Times New Roman" w:cs="Times New Roman"/>
          <w:sz w:val="24"/>
          <w:szCs w:val="24"/>
        </w:rPr>
        <w:t>o</w:t>
      </w:r>
      <w:r w:rsidRPr="0062309D">
        <w:rPr>
          <w:rFonts w:ascii="Times New Roman" w:hAnsi="Times New Roman" w:cs="Times New Roman" w:hint="eastAsia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Q</m:t>
        </m:r>
      </m:oMath>
      <w:r w:rsidRPr="0062309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2309D">
        <w:rPr>
          <w:rFonts w:ascii="Times New Roman" w:hAnsi="Times New Roman" w:cs="Times New Roman"/>
          <w:sz w:val="24"/>
          <w:szCs w:val="24"/>
        </w:rPr>
        <w:t xml:space="preserve">is a well-defined probability measure that is absolutely continuous with respect </w:t>
      </w:r>
      <w:proofErr w:type="gramStart"/>
      <w:r w:rsidRPr="0062309D">
        <w:rPr>
          <w:rFonts w:ascii="Times New Roman" w:hAnsi="Times New Roman" w:cs="Times New Roman"/>
          <w:sz w:val="24"/>
          <w:szCs w:val="24"/>
        </w:rPr>
        <w:t xml:space="preserve">to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P</m:t>
        </m:r>
      </m:oMath>
      <w:r w:rsidRPr="0062309D">
        <w:rPr>
          <w:rFonts w:ascii="Times New Roman" w:hAnsi="Times New Roman" w:cs="Times New Roman"/>
          <w:sz w:val="24"/>
          <w:szCs w:val="24"/>
        </w:rPr>
        <w:t>.</w:t>
      </w:r>
    </w:p>
    <w:p w:rsidR="00E73A66" w:rsidRPr="0062309D" w:rsidRDefault="00E73A66" w:rsidP="00E73A66">
      <w:pPr>
        <w:spacing w:after="0"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62309D">
        <w:rPr>
          <w:rFonts w:ascii="Times New Roman" w:hAnsi="Times New Roman" w:cs="Times New Roman"/>
          <w:sz w:val="24"/>
          <w:szCs w:val="24"/>
        </w:rPr>
        <w:t>Risk-neutral valuation requires that the expected terminal residual value satisfies the standard no-arbitrage condition</w:t>
      </w:r>
      <w:proofErr w:type="gramStart"/>
      <w:r w:rsidRPr="0062309D">
        <w:rPr>
          <w:rFonts w:ascii="Times New Roman" w:hAnsi="Times New Roman" w:cs="Times New Roman"/>
          <w:sz w:val="24"/>
          <w:szCs w:val="24"/>
        </w:rPr>
        <w:t>,</w:t>
      </w:r>
      <w:r w:rsidRPr="0062309D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gramEnd"/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Q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[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]=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rT</m:t>
            </m:r>
          </m:sup>
        </m:sSup>
      </m:oMath>
      <w:r w:rsidRPr="0062309D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62309D">
        <w:rPr>
          <w:rFonts w:ascii="Times New Roman" w:hAnsi="Times New Roman" w:cs="Times New Roman"/>
          <w:sz w:val="24"/>
          <w:szCs w:val="24"/>
        </w:rPr>
        <w:t>For a Weibull</w:t>
      </w:r>
      <m:oMath>
        <m:r>
          <w:rPr>
            <w:rFonts w:ascii="Cambria Math" w:hAnsi="Cambria Math" w:cs="Times New Roman"/>
            <w:sz w:val="24"/>
            <w:szCs w:val="24"/>
          </w:rPr>
          <m:t>(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θ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Q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,δ)</m:t>
        </m:r>
      </m:oMath>
      <w:r w:rsidRPr="0062309D">
        <w:rPr>
          <w:rFonts w:ascii="Times New Roman" w:hAnsi="Times New Roman" w:cs="Times New Roman"/>
          <w:sz w:val="24"/>
          <w:szCs w:val="24"/>
        </w:rPr>
        <w:t xml:space="preserve"> random variable</w:t>
      </w:r>
      <w:proofErr w:type="gramStart"/>
      <w:r w:rsidRPr="0062309D">
        <w:rPr>
          <w:rFonts w:ascii="Times New Roman" w:hAnsi="Times New Roman" w:cs="Times New Roman"/>
          <w:sz w:val="24"/>
          <w:szCs w:val="24"/>
        </w:rPr>
        <w:t>,</w:t>
      </w:r>
      <w:r w:rsidRPr="0062309D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gramEnd"/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Q</m:t>
            </m:r>
          </m:sub>
        </m:sSub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</m:sub>
            </m:sSub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θ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Q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Γ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1+</m:t>
            </m:r>
            <m:f>
              <m:fPr>
                <m:type m:val="lin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δ</m:t>
                </m:r>
              </m:den>
            </m:f>
          </m:e>
        </m:d>
      </m:oMath>
      <w:r w:rsidRPr="0062309D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62309D">
        <w:rPr>
          <w:rFonts w:ascii="Times New Roman" w:hAnsi="Times New Roman" w:cs="Times New Roman"/>
          <w:sz w:val="24"/>
          <w:szCs w:val="24"/>
        </w:rPr>
        <w:t>yielding the uniquely determined risk-neutral scale parameter,</w:t>
      </w:r>
    </w:p>
    <w:p w:rsidR="00E73A66" w:rsidRPr="0062309D" w:rsidRDefault="00BD0938" w:rsidP="00E73A66">
      <w:pPr>
        <w:spacing w:after="0" w:line="360" w:lineRule="auto"/>
        <w:ind w:firstLineChars="200" w:firstLine="480"/>
        <w:jc w:val="center"/>
        <w:rPr>
          <w:rFonts w:ascii="Times New Roman" w:hAnsi="Times New Roman" w:cs="Times New Roman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Q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rT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Γ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(1+1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/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δ)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.</m:t>
          </m:r>
        </m:oMath>
      </m:oMathPara>
    </w:p>
    <w:p w:rsidR="00E73A66" w:rsidRPr="0062309D" w:rsidRDefault="00E73A66" w:rsidP="00E73A6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309D">
        <w:rPr>
          <w:rFonts w:ascii="Times New Roman" w:hAnsi="Times New Roman" w:cs="Times New Roman"/>
          <w:sz w:val="24"/>
          <w:szCs w:val="24"/>
        </w:rPr>
        <w:t>Substituting this expression into the risk-neutral density gives the closed-form specification</w:t>
      </w:r>
      <w:r w:rsidRPr="0062309D">
        <w:rPr>
          <w:rFonts w:ascii="Times New Roman" w:hAnsi="Times New Roman" w:cs="Times New Roman" w:hint="eastAsia"/>
          <w:sz w:val="24"/>
          <w:szCs w:val="24"/>
        </w:rPr>
        <w:t>,</w:t>
      </w:r>
    </w:p>
    <w:p w:rsidR="00E73A66" w:rsidRPr="0062309D" w:rsidRDefault="00BD0938" w:rsidP="00E73A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Q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(s;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Q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,δ)=</m:t>
          </m:r>
          <m:f>
            <m:f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δ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Q</m:t>
                  </m:r>
                </m:sub>
              </m:sSub>
            </m:den>
          </m:f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(</m:t>
              </m:r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Q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)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δ-1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exp</m:t>
          </m:r>
          <m:r>
            <w:rPr>
              <w:rFonts w:ascii="Cambria Math" w:hAnsi="Cambria Math" w:cs="Times New Roman"/>
              <w:sz w:val="24"/>
              <w:szCs w:val="24"/>
            </w:rPr>
            <m:t>⁡[-</m:t>
          </m:r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(</m:t>
              </m:r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Q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)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δ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]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.</m:t>
          </m:r>
        </m:oMath>
      </m:oMathPara>
    </w:p>
    <w:p w:rsidR="00E73A66" w:rsidRPr="0062309D" w:rsidRDefault="00E73A66" w:rsidP="00E73A66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62309D">
        <w:rPr>
          <w:rFonts w:ascii="Times New Roman" w:hAnsi="Times New Roman" w:cs="Times New Roman"/>
          <w:sz w:val="24"/>
          <w:szCs w:val="24"/>
        </w:rPr>
        <w:t>Together with the Radon–</w:t>
      </w:r>
      <w:proofErr w:type="spellStart"/>
      <w:r w:rsidRPr="0062309D">
        <w:rPr>
          <w:rFonts w:ascii="Times New Roman" w:hAnsi="Times New Roman" w:cs="Times New Roman"/>
          <w:sz w:val="24"/>
          <w:szCs w:val="24"/>
        </w:rPr>
        <w:t>Nikodym</w:t>
      </w:r>
      <w:proofErr w:type="spellEnd"/>
      <w:r w:rsidRPr="0062309D">
        <w:rPr>
          <w:rFonts w:ascii="Times New Roman" w:hAnsi="Times New Roman" w:cs="Times New Roman"/>
          <w:sz w:val="24"/>
          <w:szCs w:val="24"/>
        </w:rPr>
        <w:t xml:space="preserve"> derivative</w:t>
      </w:r>
      <w:r w:rsidRPr="0062309D">
        <w:rPr>
          <w:rFonts w:ascii="Times New Roman" w:hAnsi="Times New Roman" w:cs="Times New Roman" w:hint="eastAsia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w:bookmarkStart w:id="1" w:name="_Hlk215996538"/>
        <m:f>
          <m:fPr>
            <m:type m:val="lin"/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Q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;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Q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,δ)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P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;θ,δ)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,</m:t>
        </m:r>
      </m:oMath>
      <w:r w:rsidRPr="0062309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2309D">
        <w:rPr>
          <w:rFonts w:ascii="Times New Roman" w:hAnsi="Times New Roman" w:cs="Times New Roman"/>
          <w:sz w:val="24"/>
          <w:szCs w:val="24"/>
        </w:rPr>
        <w:t>this provides a rigorous change of measure and yields a fully specified, arbitrage-free, shape-preserving risk-neutral Weibull distribution used in the option-valuation framework.</w:t>
      </w:r>
    </w:p>
    <w:bookmarkEnd w:id="1"/>
    <w:p w:rsidR="00E73A66" w:rsidRPr="0062309D" w:rsidRDefault="00E73A66" w:rsidP="00E73A66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62309D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E73A66" w:rsidRPr="0062309D" w:rsidRDefault="00E73A66" w:rsidP="00E73A6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2309D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 xml:space="preserve">Appendix B. </w:t>
      </w:r>
      <w:r w:rsidRPr="0062309D">
        <w:rPr>
          <w:rFonts w:ascii="Times New Roman" w:hAnsi="Times New Roman" w:cs="Times New Roman"/>
          <w:b/>
          <w:bCs/>
          <w:sz w:val="24"/>
          <w:szCs w:val="24"/>
        </w:rPr>
        <w:t xml:space="preserve">Cross </w:t>
      </w:r>
      <w:r w:rsidRPr="0062309D">
        <w:rPr>
          <w:rFonts w:ascii="Times New Roman" w:hAnsi="Times New Roman" w:cs="Times New Roman" w:hint="eastAsia"/>
          <w:b/>
          <w:bCs/>
          <w:sz w:val="24"/>
          <w:szCs w:val="24"/>
        </w:rPr>
        <w:t>m</w:t>
      </w:r>
      <w:r w:rsidRPr="0062309D">
        <w:rPr>
          <w:rFonts w:ascii="Times New Roman" w:hAnsi="Times New Roman" w:cs="Times New Roman"/>
          <w:b/>
          <w:bCs/>
          <w:sz w:val="24"/>
          <w:szCs w:val="24"/>
        </w:rPr>
        <w:t xml:space="preserve">odel </w:t>
      </w:r>
      <w:r w:rsidRPr="0062309D">
        <w:rPr>
          <w:rFonts w:ascii="Times New Roman" w:hAnsi="Times New Roman" w:cs="Times New Roman" w:hint="eastAsia"/>
          <w:b/>
          <w:bCs/>
          <w:sz w:val="24"/>
          <w:szCs w:val="24"/>
        </w:rPr>
        <w:t>r</w:t>
      </w:r>
      <w:r w:rsidRPr="0062309D">
        <w:rPr>
          <w:rFonts w:ascii="Times New Roman" w:hAnsi="Times New Roman" w:cs="Times New Roman"/>
          <w:b/>
          <w:bCs/>
          <w:sz w:val="24"/>
          <w:szCs w:val="24"/>
        </w:rPr>
        <w:t>obustness</w:t>
      </w:r>
    </w:p>
    <w:p w:rsidR="00E73A66" w:rsidRPr="0062309D" w:rsidRDefault="00E73A66" w:rsidP="00E73A66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2309D">
        <w:rPr>
          <w:rFonts w:ascii="Times New Roman" w:hAnsi="Times New Roman" w:cs="Times New Roman"/>
          <w:sz w:val="24"/>
          <w:szCs w:val="24"/>
        </w:rPr>
        <w:t xml:space="preserve">This appendix examines whether the patterns in the Sonata sample extend to other vehicle types. Using the same filters, clustering rules, and Weibull-based valuation framework, we </w:t>
      </w:r>
      <w:proofErr w:type="spellStart"/>
      <w:r w:rsidRPr="0062309D">
        <w:rPr>
          <w:rFonts w:ascii="Times New Roman" w:hAnsi="Times New Roman" w:cs="Times New Roman"/>
          <w:sz w:val="24"/>
          <w:szCs w:val="24"/>
        </w:rPr>
        <w:t>analyze</w:t>
      </w:r>
      <w:proofErr w:type="spellEnd"/>
      <w:r w:rsidRPr="0062309D">
        <w:rPr>
          <w:rFonts w:ascii="Times New Roman" w:hAnsi="Times New Roman" w:cs="Times New Roman"/>
          <w:sz w:val="24"/>
          <w:szCs w:val="24"/>
        </w:rPr>
        <w:t xml:space="preserve"> K5, Santa Fe, and </w:t>
      </w:r>
      <w:proofErr w:type="spellStart"/>
      <w:r w:rsidRPr="0062309D">
        <w:rPr>
          <w:rFonts w:ascii="Times New Roman" w:hAnsi="Times New Roman" w:cs="Times New Roman"/>
          <w:sz w:val="24"/>
          <w:szCs w:val="24"/>
        </w:rPr>
        <w:t>Sorento</w:t>
      </w:r>
      <w:proofErr w:type="spellEnd"/>
      <w:r w:rsidRPr="0062309D">
        <w:rPr>
          <w:rFonts w:ascii="Times New Roman" w:hAnsi="Times New Roman" w:cs="Times New Roman"/>
          <w:sz w:val="24"/>
          <w:szCs w:val="24"/>
        </w:rPr>
        <w:t xml:space="preserve"> transactions.</w:t>
      </w:r>
    </w:p>
    <w:p w:rsidR="00E73A66" w:rsidRPr="0062309D" w:rsidRDefault="00E73A66" w:rsidP="00E73A66">
      <w:pPr>
        <w:spacing w:line="360" w:lineRule="auto"/>
        <w:ind w:firstLineChars="200" w:firstLine="480"/>
        <w:contextualSpacing/>
        <w:rPr>
          <w:rFonts w:ascii="Times New Roman" w:hAnsi="Times New Roman" w:cs="Times New Roman"/>
          <w:sz w:val="24"/>
          <w:szCs w:val="24"/>
        </w:rPr>
      </w:pPr>
      <w:r w:rsidRPr="0062309D">
        <w:rPr>
          <w:rFonts w:ascii="Times New Roman" w:hAnsi="Times New Roman" w:cs="Times New Roman"/>
          <w:sz w:val="24"/>
          <w:szCs w:val="24"/>
        </w:rPr>
        <w:t>Figure A1 shows that all four models share a similar unimodal, left-skewed distribution, and the Weibull curves closely match the empirical densities.</w:t>
      </w:r>
      <w:r w:rsidRPr="0062309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2309D">
        <w:rPr>
          <w:rFonts w:ascii="Times New Roman" w:hAnsi="Times New Roman" w:cs="Times New Roman"/>
          <w:sz w:val="24"/>
          <w:szCs w:val="24"/>
        </w:rPr>
        <w:t xml:space="preserve">Table A1 indicates that roughly one-quarter to one-third of observations fall within the 60-month horizon. </w:t>
      </w:r>
      <w:proofErr w:type="gramStart"/>
      <w:r w:rsidRPr="0062309D">
        <w:rPr>
          <w:rFonts w:ascii="Times New Roman" w:hAnsi="Times New Roman" w:cs="Times New Roman" w:hint="eastAsia"/>
          <w:i/>
          <w:iCs/>
          <w:sz w:val="24"/>
          <w:szCs w:val="24"/>
        </w:rPr>
        <w:t>k</w:t>
      </w:r>
      <w:r w:rsidRPr="0062309D">
        <w:rPr>
          <w:rFonts w:ascii="Times New Roman" w:hAnsi="Times New Roman" w:cs="Times New Roman"/>
          <w:sz w:val="24"/>
          <w:szCs w:val="24"/>
        </w:rPr>
        <w:t>-means</w:t>
      </w:r>
      <w:proofErr w:type="gramEnd"/>
      <w:r w:rsidRPr="0062309D">
        <w:rPr>
          <w:rFonts w:ascii="Times New Roman" w:hAnsi="Times New Roman" w:cs="Times New Roman"/>
          <w:sz w:val="24"/>
          <w:szCs w:val="24"/>
        </w:rPr>
        <w:t xml:space="preserve"> consistently identifies employee-discounted units, which appear more frequently in early months under Hyundai and Kia’s biennial discount policy. Silhouette scores of 0.55 to 0.62 confirm reliable separation between discounted and retail transactions.</w:t>
      </w:r>
      <w:r w:rsidRPr="0062309D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:rsidR="00E73A66" w:rsidRPr="0062309D" w:rsidRDefault="00E73A66" w:rsidP="00E73A66">
      <w:pPr>
        <w:spacing w:line="360" w:lineRule="auto"/>
        <w:ind w:firstLineChars="200" w:firstLine="480"/>
        <w:contextualSpacing/>
        <w:rPr>
          <w:rFonts w:ascii="Times New Roman" w:hAnsi="Times New Roman" w:cs="Times New Roman"/>
          <w:sz w:val="24"/>
          <w:szCs w:val="24"/>
        </w:rPr>
      </w:pPr>
      <w:r w:rsidRPr="0062309D">
        <w:rPr>
          <w:rFonts w:ascii="Times New Roman" w:hAnsi="Times New Roman" w:cs="Times New Roman"/>
          <w:sz w:val="24"/>
          <w:szCs w:val="24"/>
        </w:rPr>
        <w:t xml:space="preserve">Table A2 shows that shape and scale parameters cluster tightly across models, 60-month depreciation differs only slightly, and sensitivities remain stable: a 100 </w:t>
      </w:r>
      <w:proofErr w:type="spellStart"/>
      <w:r w:rsidRPr="0062309D">
        <w:rPr>
          <w:rFonts w:ascii="Times New Roman" w:hAnsi="Times New Roman" w:cs="Times New Roman"/>
          <w:sz w:val="24"/>
          <w:szCs w:val="24"/>
        </w:rPr>
        <w:t>bp</w:t>
      </w:r>
      <w:proofErr w:type="spellEnd"/>
      <w:r w:rsidRPr="0062309D">
        <w:rPr>
          <w:rFonts w:ascii="Times New Roman" w:hAnsi="Times New Roman" w:cs="Times New Roman"/>
          <w:sz w:val="24"/>
          <w:szCs w:val="24"/>
        </w:rPr>
        <w:t xml:space="preserve"> rate shock changes put values by about 31 to 41 percent, and OTS ranges from 0.31 to 0.41. These results demonstrate that the Weibull-implied valuation properties generalize beyond the Sonata sample.</w:t>
      </w:r>
    </w:p>
    <w:p w:rsidR="00E73A66" w:rsidRPr="0062309D" w:rsidRDefault="00E73A66" w:rsidP="00E73A66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73A66" w:rsidRPr="0062309D" w:rsidRDefault="00E73A66" w:rsidP="00E73A66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73A66" w:rsidRPr="0062309D" w:rsidRDefault="00E73A66" w:rsidP="00E73A66">
      <w:pPr>
        <w:rPr>
          <w:rFonts w:ascii="Times New Roman" w:hAnsi="Times New Roman" w:cs="Times New Roman"/>
          <w:sz w:val="24"/>
          <w:szCs w:val="24"/>
        </w:rPr>
      </w:pPr>
      <w:r w:rsidRPr="0062309D">
        <w:rPr>
          <w:rFonts w:ascii="Times New Roman" w:hAnsi="Times New Roman" w:cs="Times New Roman" w:hint="eastAsia"/>
          <w:b/>
          <w:bCs/>
          <w:sz w:val="24"/>
          <w:szCs w:val="24"/>
        </w:rPr>
        <w:t>Figure A1</w:t>
      </w:r>
      <w:r w:rsidRPr="0062309D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62309D">
        <w:rPr>
          <w:rFonts w:ascii="Times New Roman" w:hAnsi="Times New Roman" w:cs="Times New Roman"/>
          <w:sz w:val="24"/>
          <w:szCs w:val="24"/>
        </w:rPr>
        <w:t>Distributional comparison of normalized residual values</w:t>
      </w:r>
      <w:r w:rsidRPr="0062309D">
        <w:rPr>
          <w:rFonts w:ascii="Times New Roman" w:hAnsi="Times New Roman" w:cs="Times New Roman" w:hint="eastAsia"/>
          <w:sz w:val="24"/>
          <w:szCs w:val="24"/>
        </w:rPr>
        <w:t>.</w:t>
      </w:r>
    </w:p>
    <w:p w:rsidR="00E73A66" w:rsidRPr="0062309D" w:rsidRDefault="00E73A66" w:rsidP="00E73A66">
      <w:pPr>
        <w:jc w:val="center"/>
        <w:rPr>
          <w:rFonts w:ascii="Times New Roman" w:hAnsi="Times New Roman" w:cs="Times New Roman"/>
          <w:sz w:val="24"/>
          <w:szCs w:val="24"/>
        </w:rPr>
      </w:pPr>
      <w:r w:rsidRPr="0062309D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E85619F" wp14:editId="0DFEF17F">
            <wp:extent cx="4924263" cy="3282661"/>
            <wp:effectExtent l="0" t="0" r="0" b="0"/>
            <wp:docPr id="1025" name="shape1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4263" cy="3282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A66" w:rsidRPr="0062309D" w:rsidRDefault="00E73A66" w:rsidP="00E73A66">
      <w:pPr>
        <w:spacing w:line="240" w:lineRule="auto"/>
        <w:contextualSpacing/>
        <w:rPr>
          <w:rFonts w:ascii="Times New Roman" w:hAnsi="Times New Roman" w:cs="Times New Roman"/>
          <w:szCs w:val="20"/>
        </w:rPr>
      </w:pPr>
      <w:r w:rsidRPr="0062309D">
        <w:rPr>
          <w:rFonts w:ascii="Times New Roman" w:hAnsi="Times New Roman" w:cs="Times New Roman"/>
          <w:i/>
          <w:iCs/>
          <w:szCs w:val="20"/>
        </w:rPr>
        <w:t>Note</w:t>
      </w:r>
      <w:r w:rsidRPr="0062309D">
        <w:rPr>
          <w:rFonts w:ascii="Times New Roman" w:hAnsi="Times New Roman" w:cs="Times New Roman"/>
          <w:szCs w:val="20"/>
        </w:rPr>
        <w:t xml:space="preserve">. All Weibull fits use RV deviations computed from an NLS trend. For illustration, the Sonata case shows normalized residuals </w:t>
      </w:r>
      <m:oMath>
        <m:r>
          <w:rPr>
            <w:rFonts w:ascii="Cambria Math" w:hAnsi="Cambria Math" w:cs="Times New Roman"/>
            <w:szCs w:val="20"/>
          </w:rPr>
          <m:t>Y=RV</m:t>
        </m:r>
        <m:r>
          <m:rPr>
            <m:sty m:val="p"/>
          </m:rPr>
          <w:rPr>
            <w:rFonts w:ascii="Cambria Math" w:hAnsi="Cambria Math" w:cs="Times New Roman"/>
            <w:szCs w:val="20"/>
          </w:rPr>
          <m:t>/</m:t>
        </m:r>
        <m:sSub>
          <m:sSubPr>
            <m:ctrlPr>
              <w:rPr>
                <w:rFonts w:ascii="Cambria Math" w:hAnsi="Cambria Math" w:cs="Times New Roman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Cs w:val="20"/>
              </w:rPr>
              <m:t>μ</m:t>
            </m:r>
          </m:e>
          <m:sub>
            <m:r>
              <w:rPr>
                <w:rFonts w:ascii="Cambria Math" w:hAnsi="Cambria Math" w:cs="Times New Roman"/>
                <w:szCs w:val="20"/>
              </w:rPr>
              <m:t>t</m:t>
            </m:r>
          </m:sub>
        </m:sSub>
      </m:oMath>
      <w:r w:rsidRPr="0062309D">
        <w:rPr>
          <w:rFonts w:ascii="Times New Roman" w:hAnsi="Times New Roman" w:cs="Times New Roman" w:hint="eastAsia"/>
          <w:szCs w:val="20"/>
        </w:rPr>
        <w:t xml:space="preserve"> </w:t>
      </w:r>
      <w:r w:rsidRPr="0062309D">
        <w:rPr>
          <w:rFonts w:ascii="Times New Roman" w:hAnsi="Times New Roman" w:cs="Times New Roman"/>
          <w:szCs w:val="20"/>
        </w:rPr>
        <w:t xml:space="preserve">with </w:t>
      </w:r>
      <m:oMath>
        <m:sSub>
          <m:sSubPr>
            <m:ctrlPr>
              <w:rPr>
                <w:rFonts w:ascii="Cambria Math" w:hAnsi="Cambria Math" w:cs="Times New Roman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Cs w:val="20"/>
              </w:rPr>
              <m:t>μ</m:t>
            </m:r>
          </m:e>
          <m:sub>
            <m:r>
              <w:rPr>
                <w:rFonts w:ascii="Cambria Math" w:hAnsi="Cambria Math" w:cs="Times New Roman"/>
                <w:szCs w:val="20"/>
              </w:rPr>
              <m:t>t</m:t>
            </m:r>
          </m:sub>
        </m:sSub>
        <m:r>
          <w:rPr>
            <w:rFonts w:ascii="Cambria Math" w:hAnsi="Cambria Math" w:cs="Times New Roman"/>
            <w:szCs w:val="20"/>
          </w:rPr>
          <m:t xml:space="preserve">=0.555 </m:t>
        </m:r>
      </m:oMath>
      <w:r w:rsidRPr="0062309D">
        <w:rPr>
          <w:rFonts w:ascii="Times New Roman" w:hAnsi="Times New Roman" w:cs="Times New Roman"/>
          <w:szCs w:val="20"/>
        </w:rPr>
        <w:t xml:space="preserve">and the fitted Weibull density. Maximum-likelihood estimates are </w:t>
      </w:r>
      <m:oMath>
        <m:r>
          <w:rPr>
            <w:rFonts w:ascii="Cambria Math" w:hAnsi="Cambria Math" w:cs="Times New Roman"/>
            <w:szCs w:val="20"/>
          </w:rPr>
          <m:t>δ=7.257</m:t>
        </m:r>
      </m:oMath>
      <w:r w:rsidRPr="0062309D">
        <w:rPr>
          <w:rFonts w:ascii="Times New Roman" w:hAnsi="Times New Roman" w:cs="Times New Roman"/>
          <w:szCs w:val="20"/>
        </w:rPr>
        <w:t>(</w:t>
      </w:r>
      <w:proofErr w:type="gramStart"/>
      <w:r w:rsidRPr="0062309D">
        <w:rPr>
          <w:rFonts w:ascii="Times New Roman" w:hAnsi="Times New Roman" w:cs="Times New Roman"/>
          <w:szCs w:val="20"/>
        </w:rPr>
        <w:t>s.e</w:t>
      </w:r>
      <w:proofErr w:type="gramEnd"/>
      <w:r w:rsidRPr="0062309D">
        <w:rPr>
          <w:rFonts w:ascii="Times New Roman" w:hAnsi="Times New Roman" w:cs="Times New Roman"/>
          <w:szCs w:val="20"/>
        </w:rPr>
        <w:t xml:space="preserve">. 0.046) and </w:t>
      </w:r>
      <m:oMath>
        <m:r>
          <w:rPr>
            <w:rFonts w:ascii="Cambria Math" w:hAnsi="Cambria Math" w:cs="Times New Roman"/>
            <w:szCs w:val="20"/>
          </w:rPr>
          <m:t>θ=1.068</m:t>
        </m:r>
      </m:oMath>
      <w:r w:rsidRPr="0062309D">
        <w:rPr>
          <w:rFonts w:ascii="Times New Roman" w:hAnsi="Times New Roman" w:cs="Times New Roman"/>
          <w:szCs w:val="20"/>
        </w:rPr>
        <w:t xml:space="preserve">(s.e. 0.0013). The underlying </w:t>
      </w:r>
      <w:r w:rsidRPr="0062309D">
        <w:rPr>
          <w:rFonts w:ascii="Times New Roman" w:hAnsi="Times New Roman" w:cs="Times New Roman"/>
          <w:szCs w:val="20"/>
        </w:rPr>
        <w:lastRenderedPageBreak/>
        <w:t xml:space="preserve">NLS trend is </w:t>
      </w:r>
      <m:oMath>
        <m:r>
          <w:rPr>
            <w:rFonts w:ascii="Cambria Math" w:hAnsi="Cambria Math" w:cs="Times New Roman"/>
            <w:szCs w:val="20"/>
          </w:rPr>
          <m:t>R</m:t>
        </m:r>
        <m:sSub>
          <m:sSubPr>
            <m:ctrlPr>
              <w:rPr>
                <w:rFonts w:ascii="Cambria Math" w:hAnsi="Cambria Math" w:cs="Times New Roman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Cs w:val="20"/>
              </w:rPr>
              <m:t>V</m:t>
            </m:r>
          </m:e>
          <m:sub>
            <m:r>
              <w:rPr>
                <w:rFonts w:ascii="Cambria Math" w:hAnsi="Cambria Math" w:cs="Times New Roman"/>
                <w:szCs w:val="20"/>
              </w:rPr>
              <m:t>t</m:t>
            </m:r>
          </m:sub>
        </m:sSub>
        <m:r>
          <w:rPr>
            <w:rFonts w:ascii="Cambria Math" w:hAnsi="Cambria Math" w:cs="Times New Roman"/>
            <w:szCs w:val="20"/>
          </w:rPr>
          <m:t>=a</m:t>
        </m:r>
        <m:sSup>
          <m:sSupPr>
            <m:ctrlPr>
              <w:rPr>
                <w:rFonts w:ascii="Cambria Math" w:hAnsi="Cambria Math" w:cs="Times New Roman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szCs w:val="20"/>
              </w:rPr>
              <m:t>e</m:t>
            </m:r>
          </m:e>
          <m:sup>
            <m:r>
              <w:rPr>
                <w:rFonts w:ascii="Cambria Math" w:hAnsi="Cambria Math" w:cs="Times New Roman"/>
                <w:szCs w:val="20"/>
              </w:rPr>
              <m:t>bt</m:t>
            </m:r>
          </m:sup>
        </m:sSup>
      </m:oMath>
      <w:r w:rsidRPr="0062309D">
        <w:rPr>
          <w:rFonts w:ascii="Times New Roman" w:hAnsi="Times New Roman" w:cs="Times New Roman"/>
          <w:szCs w:val="20"/>
        </w:rPr>
        <w:t xml:space="preserve">with </w:t>
      </w:r>
      <m:oMath>
        <m:r>
          <w:rPr>
            <w:rFonts w:ascii="Cambria Math" w:hAnsi="Cambria Math" w:cs="Times New Roman"/>
            <w:szCs w:val="20"/>
          </w:rPr>
          <m:t>a=0.938</m:t>
        </m:r>
      </m:oMath>
      <w:r w:rsidRPr="0062309D">
        <w:rPr>
          <w:rFonts w:ascii="Times New Roman" w:hAnsi="Times New Roman" w:cs="Times New Roman"/>
          <w:szCs w:val="20"/>
        </w:rPr>
        <w:t>(</w:t>
      </w:r>
      <w:proofErr w:type="gramStart"/>
      <w:r w:rsidRPr="0062309D">
        <w:rPr>
          <w:rFonts w:ascii="Times New Roman" w:hAnsi="Times New Roman" w:cs="Times New Roman"/>
          <w:szCs w:val="20"/>
        </w:rPr>
        <w:t>s.e</w:t>
      </w:r>
      <w:proofErr w:type="gramEnd"/>
      <w:r w:rsidRPr="0062309D">
        <w:rPr>
          <w:rFonts w:ascii="Times New Roman" w:hAnsi="Times New Roman" w:cs="Times New Roman"/>
          <w:szCs w:val="20"/>
        </w:rPr>
        <w:t xml:space="preserve">. 0.0038), </w:t>
      </w:r>
      <m:oMath>
        <m:r>
          <w:rPr>
            <w:rFonts w:ascii="Cambria Math" w:hAnsi="Cambria Math" w:cs="Times New Roman"/>
            <w:szCs w:val="20"/>
          </w:rPr>
          <m:t>b=-0.0087</m:t>
        </m:r>
      </m:oMath>
      <w:r w:rsidRPr="0062309D">
        <w:rPr>
          <w:rFonts w:ascii="Times New Roman" w:hAnsi="Times New Roman" w:cs="Times New Roman"/>
          <w:szCs w:val="20"/>
        </w:rPr>
        <w:t xml:space="preserve">(s.e. 0.0001), and residual s.e. </w:t>
      </w:r>
      <m:oMath>
        <m:r>
          <w:rPr>
            <w:rFonts w:ascii="Cambria Math" w:hAnsi="Cambria Math" w:cs="Times New Roman"/>
            <w:szCs w:val="20"/>
          </w:rPr>
          <m:t>=0.113</m:t>
        </m:r>
      </m:oMath>
      <w:r w:rsidRPr="0062309D">
        <w:rPr>
          <w:rFonts w:ascii="Times New Roman" w:hAnsi="Times New Roman" w:cs="Times New Roman"/>
          <w:szCs w:val="20"/>
        </w:rPr>
        <w:t>on 15,227 degrees of freedom.</w:t>
      </w:r>
    </w:p>
    <w:p w:rsidR="00E73A66" w:rsidRPr="0062309D" w:rsidRDefault="00E73A66" w:rsidP="00E73A6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73A66" w:rsidRPr="0062309D" w:rsidRDefault="00E73A66" w:rsidP="00E73A66">
      <w:pPr>
        <w:rPr>
          <w:rFonts w:ascii="Times New Roman" w:hAnsi="Times New Roman" w:cs="Times New Roman"/>
          <w:sz w:val="24"/>
          <w:szCs w:val="24"/>
        </w:rPr>
      </w:pPr>
      <w:r w:rsidRPr="0062309D">
        <w:rPr>
          <w:rFonts w:ascii="Times New Roman" w:hAnsi="Times New Roman" w:cs="Times New Roman" w:hint="eastAsia"/>
          <w:b/>
          <w:bCs/>
          <w:sz w:val="24"/>
          <w:szCs w:val="24"/>
        </w:rPr>
        <w:t>Table A1</w:t>
      </w:r>
      <w:r w:rsidRPr="0062309D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62309D">
        <w:rPr>
          <w:rFonts w:ascii="Times New Roman" w:hAnsi="Times New Roman" w:cs="Times New Roman"/>
          <w:sz w:val="24"/>
          <w:szCs w:val="24"/>
        </w:rPr>
        <w:t>Filtering summary for four models</w:t>
      </w:r>
      <w:r w:rsidRPr="0062309D">
        <w:rPr>
          <w:rFonts w:ascii="Times New Roman" w:hAnsi="Times New Roman" w:cs="Times New Roman" w:hint="eastAsia"/>
          <w:sz w:val="24"/>
          <w:szCs w:val="24"/>
        </w:rPr>
        <w:t>.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63"/>
        <w:gridCol w:w="1516"/>
        <w:gridCol w:w="1516"/>
        <w:gridCol w:w="1516"/>
        <w:gridCol w:w="1513"/>
      </w:tblGrid>
      <w:tr w:rsidR="00E73A66" w:rsidRPr="0062309D" w:rsidTr="008E75AF">
        <w:trPr>
          <w:trHeight w:val="454"/>
        </w:trPr>
        <w:tc>
          <w:tcPr>
            <w:tcW w:w="1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Sonata</w:t>
            </w: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K5</w:t>
            </w: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Santa Fe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proofErr w:type="spellStart"/>
            <w:r w:rsidRPr="0062309D">
              <w:rPr>
                <w:rFonts w:ascii="Times New Roman" w:eastAsia="Malgun Gothic" w:hAnsi="Times New Roman" w:cs="Times New Roman"/>
              </w:rPr>
              <w:t>Sorento</w:t>
            </w:r>
            <w:proofErr w:type="spellEnd"/>
          </w:p>
        </w:tc>
      </w:tr>
      <w:tr w:rsidR="00E73A66" w:rsidRPr="0062309D" w:rsidTr="008E75AF">
        <w:trPr>
          <w:trHeight w:val="454"/>
        </w:trPr>
        <w:tc>
          <w:tcPr>
            <w:tcW w:w="17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 xml:space="preserve">Total </w:t>
            </w:r>
            <w:r w:rsidRPr="0062309D">
              <w:rPr>
                <w:rFonts w:ascii="Times New Roman" w:eastAsia="Malgun Gothic" w:hAnsi="Times New Roman" w:cs="Times New Roman" w:hint="eastAsia"/>
              </w:rPr>
              <w:t>transactions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172</w:t>
            </w:r>
            <w:r w:rsidRPr="0062309D">
              <w:rPr>
                <w:rFonts w:ascii="Times New Roman" w:eastAsia="Malgun Gothic" w:hAnsi="Times New Roman" w:cs="Times New Roman" w:hint="eastAsia"/>
              </w:rPr>
              <w:t>,</w:t>
            </w:r>
            <w:r w:rsidRPr="0062309D">
              <w:rPr>
                <w:rFonts w:ascii="Times New Roman" w:eastAsia="Malgun Gothic" w:hAnsi="Times New Roman" w:cs="Times New Roman"/>
              </w:rPr>
              <w:t>897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101</w:t>
            </w:r>
            <w:r w:rsidRPr="0062309D">
              <w:rPr>
                <w:rFonts w:ascii="Times New Roman" w:eastAsia="Malgun Gothic" w:hAnsi="Times New Roman" w:cs="Times New Roman" w:hint="eastAsia"/>
              </w:rPr>
              <w:t>,</w:t>
            </w:r>
            <w:r w:rsidRPr="0062309D">
              <w:rPr>
                <w:rFonts w:ascii="Times New Roman" w:eastAsia="Malgun Gothic" w:hAnsi="Times New Roman" w:cs="Times New Roman"/>
              </w:rPr>
              <w:t>390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105</w:t>
            </w:r>
            <w:r w:rsidRPr="0062309D">
              <w:rPr>
                <w:rFonts w:ascii="Times New Roman" w:eastAsia="Malgun Gothic" w:hAnsi="Times New Roman" w:cs="Times New Roman" w:hint="eastAsia"/>
              </w:rPr>
              <w:t>,</w:t>
            </w:r>
            <w:r w:rsidRPr="0062309D">
              <w:rPr>
                <w:rFonts w:ascii="Times New Roman" w:eastAsia="Malgun Gothic" w:hAnsi="Times New Roman" w:cs="Times New Roman"/>
              </w:rPr>
              <w:t>751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86</w:t>
            </w:r>
            <w:r w:rsidRPr="0062309D">
              <w:rPr>
                <w:rFonts w:ascii="Times New Roman" w:eastAsia="Malgun Gothic" w:hAnsi="Times New Roman" w:cs="Times New Roman" w:hint="eastAsia"/>
              </w:rPr>
              <w:t>,</w:t>
            </w:r>
            <w:r w:rsidRPr="0062309D">
              <w:rPr>
                <w:rFonts w:ascii="Times New Roman" w:eastAsia="Malgun Gothic" w:hAnsi="Times New Roman" w:cs="Times New Roman"/>
              </w:rPr>
              <w:t>482</w:t>
            </w:r>
          </w:p>
        </w:tc>
      </w:tr>
      <w:tr w:rsidR="00E73A66" w:rsidRPr="0062309D" w:rsidTr="008E75AF">
        <w:trPr>
          <w:trHeight w:val="454"/>
        </w:trPr>
        <w:tc>
          <w:tcPr>
            <w:tcW w:w="17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data (</w:t>
            </w:r>
            <m:oMath>
              <m:r>
                <w:rPr>
                  <w:rFonts w:ascii="Cambria Math" w:eastAsia="Malgun Gothic" w:hAnsi="Cambria Math" w:cs="Times New Roman"/>
                </w:rPr>
                <m:t xml:space="preserve">≤ </m:t>
              </m:r>
            </m:oMath>
            <w:r w:rsidRPr="0062309D">
              <w:rPr>
                <w:rFonts w:ascii="Times New Roman" w:eastAsia="Malgun Gothic" w:hAnsi="Times New Roman" w:cs="Times New Roman"/>
              </w:rPr>
              <w:t>60months)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43</w:t>
            </w:r>
            <w:r w:rsidRPr="0062309D">
              <w:rPr>
                <w:rFonts w:ascii="Times New Roman" w:eastAsia="Malgun Gothic" w:hAnsi="Times New Roman" w:cs="Times New Roman" w:hint="eastAsia"/>
              </w:rPr>
              <w:t>,</w:t>
            </w:r>
            <w:r w:rsidRPr="0062309D">
              <w:rPr>
                <w:rFonts w:ascii="Times New Roman" w:eastAsia="Malgun Gothic" w:hAnsi="Times New Roman" w:cs="Times New Roman"/>
              </w:rPr>
              <w:t>466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33</w:t>
            </w:r>
            <w:r w:rsidRPr="0062309D">
              <w:rPr>
                <w:rFonts w:ascii="Times New Roman" w:eastAsia="Malgun Gothic" w:hAnsi="Times New Roman" w:cs="Times New Roman" w:hint="eastAsia"/>
              </w:rPr>
              <w:t>,</w:t>
            </w:r>
            <w:r w:rsidRPr="0062309D">
              <w:rPr>
                <w:rFonts w:ascii="Times New Roman" w:eastAsia="Malgun Gothic" w:hAnsi="Times New Roman" w:cs="Times New Roman"/>
              </w:rPr>
              <w:t>352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32</w:t>
            </w:r>
            <w:r w:rsidRPr="0062309D">
              <w:rPr>
                <w:rFonts w:ascii="Times New Roman" w:eastAsia="Malgun Gothic" w:hAnsi="Times New Roman" w:cs="Times New Roman" w:hint="eastAsia"/>
              </w:rPr>
              <w:t>,</w:t>
            </w:r>
            <w:r w:rsidRPr="0062309D">
              <w:rPr>
                <w:rFonts w:ascii="Times New Roman" w:eastAsia="Malgun Gothic" w:hAnsi="Times New Roman" w:cs="Times New Roman"/>
              </w:rPr>
              <w:t>664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33</w:t>
            </w:r>
            <w:r w:rsidRPr="0062309D">
              <w:rPr>
                <w:rFonts w:ascii="Times New Roman" w:eastAsia="Malgun Gothic" w:hAnsi="Times New Roman" w:cs="Times New Roman" w:hint="eastAsia"/>
              </w:rPr>
              <w:t>,</w:t>
            </w:r>
            <w:r w:rsidRPr="0062309D">
              <w:rPr>
                <w:rFonts w:ascii="Times New Roman" w:eastAsia="Malgun Gothic" w:hAnsi="Times New Roman" w:cs="Times New Roman"/>
              </w:rPr>
              <w:t>526</w:t>
            </w:r>
          </w:p>
        </w:tc>
      </w:tr>
      <w:tr w:rsidR="00E73A66" w:rsidRPr="0062309D" w:rsidTr="008E75AF">
        <w:trPr>
          <w:trHeight w:val="454"/>
        </w:trPr>
        <w:tc>
          <w:tcPr>
            <w:tcW w:w="17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Employee</w:t>
            </w:r>
            <w:r w:rsidRPr="0062309D">
              <w:rPr>
                <w:rFonts w:ascii="Times New Roman" w:eastAsia="Malgun Gothic" w:hAnsi="Times New Roman" w:cs="Times New Roman" w:hint="eastAsia"/>
              </w:rPr>
              <w:t xml:space="preserve"> </w:t>
            </w:r>
            <w:r w:rsidRPr="0062309D">
              <w:rPr>
                <w:rFonts w:ascii="Times New Roman" w:eastAsia="Malgun Gothic" w:hAnsi="Times New Roman" w:cs="Times New Roman"/>
              </w:rPr>
              <w:t>discounted</w:t>
            </w:r>
            <w:r w:rsidRPr="0062309D">
              <w:rPr>
                <w:rFonts w:ascii="Times New Roman" w:eastAsia="Malgun Gothic" w:hAnsi="Times New Roman" w:cs="Times New Roman" w:hint="eastAsia"/>
              </w:rPr>
              <w:t xml:space="preserve"> data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23</w:t>
            </w:r>
            <w:r w:rsidRPr="0062309D">
              <w:rPr>
                <w:rFonts w:ascii="Times New Roman" w:eastAsia="Malgun Gothic" w:hAnsi="Times New Roman" w:cs="Times New Roman" w:hint="eastAsia"/>
              </w:rPr>
              <w:t>,</w:t>
            </w:r>
            <w:r w:rsidRPr="0062309D">
              <w:rPr>
                <w:rFonts w:ascii="Times New Roman" w:eastAsia="Malgun Gothic" w:hAnsi="Times New Roman" w:cs="Times New Roman"/>
              </w:rPr>
              <w:t>412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15</w:t>
            </w:r>
            <w:r w:rsidRPr="0062309D">
              <w:rPr>
                <w:rFonts w:ascii="Times New Roman" w:eastAsia="Malgun Gothic" w:hAnsi="Times New Roman" w:cs="Times New Roman" w:hint="eastAsia"/>
              </w:rPr>
              <w:t>,</w:t>
            </w:r>
            <w:r w:rsidRPr="0062309D">
              <w:rPr>
                <w:rFonts w:ascii="Times New Roman" w:eastAsia="Malgun Gothic" w:hAnsi="Times New Roman" w:cs="Times New Roman"/>
              </w:rPr>
              <w:t>513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13</w:t>
            </w:r>
            <w:r w:rsidRPr="0062309D">
              <w:rPr>
                <w:rFonts w:ascii="Times New Roman" w:eastAsia="Malgun Gothic" w:hAnsi="Times New Roman" w:cs="Times New Roman" w:hint="eastAsia"/>
              </w:rPr>
              <w:t>,</w:t>
            </w:r>
            <w:r w:rsidRPr="0062309D">
              <w:rPr>
                <w:rFonts w:ascii="Times New Roman" w:eastAsia="Malgun Gothic" w:hAnsi="Times New Roman" w:cs="Times New Roman"/>
              </w:rPr>
              <w:t>998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12</w:t>
            </w:r>
            <w:r w:rsidRPr="0062309D">
              <w:rPr>
                <w:rFonts w:ascii="Times New Roman" w:eastAsia="Malgun Gothic" w:hAnsi="Times New Roman" w:cs="Times New Roman" w:hint="eastAsia"/>
              </w:rPr>
              <w:t>,</w:t>
            </w:r>
            <w:r w:rsidRPr="0062309D">
              <w:rPr>
                <w:rFonts w:ascii="Times New Roman" w:eastAsia="Malgun Gothic" w:hAnsi="Times New Roman" w:cs="Times New Roman"/>
              </w:rPr>
              <w:t>141</w:t>
            </w:r>
          </w:p>
        </w:tc>
      </w:tr>
      <w:tr w:rsidR="00E73A66" w:rsidRPr="0062309D" w:rsidTr="008E75AF">
        <w:trPr>
          <w:trHeight w:val="454"/>
        </w:trPr>
        <w:tc>
          <w:tcPr>
            <w:tcW w:w="17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Silhouette score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0.554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0.615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0.556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0.624</w:t>
            </w:r>
          </w:p>
        </w:tc>
      </w:tr>
      <w:tr w:rsidR="00E73A66" w:rsidRPr="0062309D" w:rsidTr="008E75AF">
        <w:trPr>
          <w:trHeight w:val="454"/>
        </w:trPr>
        <w:tc>
          <w:tcPr>
            <w:tcW w:w="1714" w:type="pct"/>
            <w:tcBorders>
              <w:top w:val="nil"/>
              <w:left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data (RV</w:t>
            </w:r>
            <m:oMath>
              <m:r>
                <w:rPr>
                  <w:rFonts w:ascii="Cambria Math" w:eastAsia="Malgun Gothic" w:hAnsi="Cambria Math" w:cs="Times New Roman"/>
                </w:rPr>
                <m:t>&gt;100%</m:t>
              </m:r>
            </m:oMath>
            <w:r w:rsidRPr="0062309D">
              <w:rPr>
                <w:rFonts w:ascii="Times New Roman" w:eastAsia="Malgun Gothic" w:hAnsi="Times New Roman" w:cs="Times New Roman"/>
              </w:rPr>
              <w:t>, RV</w:t>
            </w:r>
            <m:oMath>
              <m:r>
                <w:rPr>
                  <w:rFonts w:ascii="Cambria Math" w:eastAsia="Malgun Gothic" w:hAnsi="Cambria Math" w:cs="Times New Roman"/>
                </w:rPr>
                <m:t>≤5%</m:t>
              </m:r>
            </m:oMath>
            <w:r w:rsidRPr="0062309D">
              <w:rPr>
                <w:rFonts w:ascii="Times New Roman" w:eastAsia="Malgun Gothic" w:hAnsi="Times New Roman" w:cs="Times New Roman"/>
              </w:rPr>
              <w:t>)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4</w:t>
            </w:r>
            <w:r w:rsidRPr="0062309D">
              <w:rPr>
                <w:rFonts w:ascii="Times New Roman" w:eastAsia="Malgun Gothic" w:hAnsi="Times New Roman" w:cs="Times New Roman" w:hint="eastAsia"/>
              </w:rPr>
              <w:t>,</w:t>
            </w:r>
            <w:r w:rsidRPr="0062309D">
              <w:rPr>
                <w:rFonts w:ascii="Times New Roman" w:eastAsia="Malgun Gothic" w:hAnsi="Times New Roman" w:cs="Times New Roman"/>
              </w:rPr>
              <w:t>021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3</w:t>
            </w:r>
            <w:r w:rsidRPr="0062309D">
              <w:rPr>
                <w:rFonts w:ascii="Times New Roman" w:eastAsia="Malgun Gothic" w:hAnsi="Times New Roman" w:cs="Times New Roman" w:hint="eastAsia"/>
              </w:rPr>
              <w:t>,</w:t>
            </w:r>
            <w:r w:rsidRPr="0062309D">
              <w:rPr>
                <w:rFonts w:ascii="Times New Roman" w:eastAsia="Malgun Gothic" w:hAnsi="Times New Roman" w:cs="Times New Roman"/>
              </w:rPr>
              <w:t>947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6</w:t>
            </w:r>
            <w:r w:rsidRPr="0062309D">
              <w:rPr>
                <w:rFonts w:ascii="Times New Roman" w:eastAsia="Malgun Gothic" w:hAnsi="Times New Roman" w:cs="Times New Roman" w:hint="eastAsia"/>
              </w:rPr>
              <w:t>,</w:t>
            </w:r>
            <w:r w:rsidRPr="0062309D">
              <w:rPr>
                <w:rFonts w:ascii="Times New Roman" w:eastAsia="Malgun Gothic" w:hAnsi="Times New Roman" w:cs="Times New Roman"/>
              </w:rPr>
              <w:t>052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6</w:t>
            </w:r>
            <w:r w:rsidRPr="0062309D">
              <w:rPr>
                <w:rFonts w:ascii="Times New Roman" w:eastAsia="Malgun Gothic" w:hAnsi="Times New Roman" w:cs="Times New Roman" w:hint="eastAsia"/>
              </w:rPr>
              <w:t>,</w:t>
            </w:r>
            <w:r w:rsidRPr="0062309D">
              <w:rPr>
                <w:rFonts w:ascii="Times New Roman" w:eastAsia="Malgun Gothic" w:hAnsi="Times New Roman" w:cs="Times New Roman"/>
              </w:rPr>
              <w:t>685</w:t>
            </w:r>
          </w:p>
        </w:tc>
      </w:tr>
      <w:tr w:rsidR="00E73A66" w:rsidRPr="0062309D" w:rsidTr="008E75AF">
        <w:trPr>
          <w:trHeight w:val="454"/>
        </w:trPr>
        <w:tc>
          <w:tcPr>
            <w:tcW w:w="171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Outliers</w:t>
            </w:r>
            <w:r w:rsidRPr="0062309D">
              <w:rPr>
                <w:rFonts w:ascii="Times New Roman" w:eastAsia="Malgun Gothic" w:hAnsi="Times New Roman" w:cs="Times New Roman" w:hint="eastAsia"/>
              </w:rPr>
              <w:t xml:space="preserve"> (EIF method)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804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697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629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736</w:t>
            </w:r>
          </w:p>
        </w:tc>
      </w:tr>
      <w:tr w:rsidR="00E73A66" w:rsidRPr="0062309D" w:rsidTr="008E75AF">
        <w:trPr>
          <w:trHeight w:val="454"/>
        </w:trPr>
        <w:tc>
          <w:tcPr>
            <w:tcW w:w="1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Filtered data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15</w:t>
            </w:r>
            <w:r w:rsidRPr="0062309D">
              <w:rPr>
                <w:rFonts w:ascii="Times New Roman" w:eastAsia="Malgun Gothic" w:hAnsi="Times New Roman" w:cs="Times New Roman" w:hint="eastAsia"/>
              </w:rPr>
              <w:t>,</w:t>
            </w:r>
            <w:r w:rsidRPr="0062309D">
              <w:rPr>
                <w:rFonts w:ascii="Times New Roman" w:eastAsia="Malgun Gothic" w:hAnsi="Times New Roman" w:cs="Times New Roman"/>
              </w:rPr>
              <w:t>229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13</w:t>
            </w:r>
            <w:r w:rsidRPr="0062309D">
              <w:rPr>
                <w:rFonts w:ascii="Times New Roman" w:eastAsia="Malgun Gothic" w:hAnsi="Times New Roman" w:cs="Times New Roman" w:hint="eastAsia"/>
              </w:rPr>
              <w:t>,</w:t>
            </w:r>
            <w:r w:rsidRPr="0062309D">
              <w:rPr>
                <w:rFonts w:ascii="Times New Roman" w:eastAsia="Malgun Gothic" w:hAnsi="Times New Roman" w:cs="Times New Roman"/>
              </w:rPr>
              <w:t>195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11</w:t>
            </w:r>
            <w:r w:rsidRPr="0062309D">
              <w:rPr>
                <w:rFonts w:ascii="Times New Roman" w:eastAsia="Malgun Gothic" w:hAnsi="Times New Roman" w:cs="Times New Roman" w:hint="eastAsia"/>
              </w:rPr>
              <w:t>,</w:t>
            </w:r>
            <w:r w:rsidRPr="0062309D">
              <w:rPr>
                <w:rFonts w:ascii="Times New Roman" w:eastAsia="Malgun Gothic" w:hAnsi="Times New Roman" w:cs="Times New Roman"/>
              </w:rPr>
              <w:t>985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13</w:t>
            </w:r>
            <w:r w:rsidRPr="0062309D">
              <w:rPr>
                <w:rFonts w:ascii="Times New Roman" w:eastAsia="Malgun Gothic" w:hAnsi="Times New Roman" w:cs="Times New Roman" w:hint="eastAsia"/>
              </w:rPr>
              <w:t>,</w:t>
            </w:r>
            <w:r w:rsidRPr="0062309D">
              <w:rPr>
                <w:rFonts w:ascii="Times New Roman" w:eastAsia="Malgun Gothic" w:hAnsi="Times New Roman" w:cs="Times New Roman"/>
              </w:rPr>
              <w:t>964</w:t>
            </w:r>
          </w:p>
        </w:tc>
      </w:tr>
    </w:tbl>
    <w:p w:rsidR="00E73A66" w:rsidRPr="0062309D" w:rsidRDefault="00E73A66" w:rsidP="00E73A66">
      <w:p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73A66" w:rsidRPr="0062309D" w:rsidRDefault="00E73A66" w:rsidP="00E73A66">
      <w:pPr>
        <w:rPr>
          <w:rFonts w:ascii="Times New Roman" w:hAnsi="Times New Roman" w:cs="Times New Roman"/>
          <w:sz w:val="24"/>
          <w:szCs w:val="24"/>
        </w:rPr>
      </w:pPr>
    </w:p>
    <w:p w:rsidR="00E73A66" w:rsidRPr="0062309D" w:rsidRDefault="00E73A66" w:rsidP="00E73A66">
      <w:pPr>
        <w:rPr>
          <w:rFonts w:ascii="Times New Roman" w:hAnsi="Times New Roman" w:cs="Times New Roman"/>
          <w:sz w:val="24"/>
          <w:szCs w:val="24"/>
        </w:rPr>
      </w:pPr>
      <w:r w:rsidRPr="0062309D">
        <w:rPr>
          <w:rFonts w:ascii="Times New Roman" w:hAnsi="Times New Roman" w:cs="Times New Roman" w:hint="eastAsia"/>
          <w:b/>
          <w:bCs/>
          <w:sz w:val="24"/>
          <w:szCs w:val="24"/>
        </w:rPr>
        <w:t>Table A2</w:t>
      </w:r>
      <w:r w:rsidRPr="0062309D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62309D">
        <w:rPr>
          <w:rFonts w:ascii="Times New Roman" w:hAnsi="Times New Roman" w:cs="Times New Roman"/>
          <w:sz w:val="24"/>
          <w:szCs w:val="24"/>
        </w:rPr>
        <w:t>Weibull and sensitivity-based robustness metrics</w:t>
      </w:r>
      <w:r w:rsidRPr="0062309D">
        <w:rPr>
          <w:rFonts w:ascii="Times New Roman" w:hAnsi="Times New Roman" w:cs="Times New Roman" w:hint="eastAsia"/>
          <w:sz w:val="24"/>
          <w:szCs w:val="24"/>
        </w:rPr>
        <w:t xml:space="preserve"> by model.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11"/>
        <w:gridCol w:w="1530"/>
        <w:gridCol w:w="1530"/>
        <w:gridCol w:w="1529"/>
        <w:gridCol w:w="1524"/>
      </w:tblGrid>
      <w:tr w:rsidR="00E73A66" w:rsidRPr="0062309D" w:rsidTr="008E75AF">
        <w:trPr>
          <w:trHeight w:val="454"/>
        </w:trPr>
        <w:tc>
          <w:tcPr>
            <w:tcW w:w="16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hAnsi="Times New Roman" w:cs="Times New Roman"/>
              </w:rPr>
              <w:t>Sonata</w:t>
            </w: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hAnsi="Times New Roman" w:cs="Times New Roman"/>
              </w:rPr>
              <w:t>K5</w:t>
            </w: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hAnsi="Times New Roman" w:cs="Times New Roman"/>
              </w:rPr>
              <w:t>Santa Fe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proofErr w:type="spellStart"/>
            <w:r w:rsidRPr="0062309D">
              <w:rPr>
                <w:rFonts w:ascii="Times New Roman" w:eastAsia="Malgun Gothic" w:hAnsi="Times New Roman" w:cs="Times New Roman"/>
              </w:rPr>
              <w:t>Sorento</w:t>
            </w:r>
            <w:proofErr w:type="spellEnd"/>
          </w:p>
        </w:tc>
      </w:tr>
      <w:tr w:rsidR="00E73A66" w:rsidRPr="0062309D" w:rsidTr="008E75AF">
        <w:trPr>
          <w:trHeight w:val="454"/>
        </w:trPr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shape parameter</w:t>
            </w:r>
            <w:r w:rsidRPr="0062309D">
              <w:rPr>
                <w:rFonts w:ascii="Times New Roman" w:eastAsia="Malgun Gothic" w:hAnsi="Times New Roman" w:cs="Times New Roman" w:hint="eastAsia"/>
              </w:rPr>
              <w:t xml:space="preserve"> (</w:t>
            </w:r>
            <m:oMath>
              <m:r>
                <w:rPr>
                  <w:rFonts w:ascii="Cambria Math" w:eastAsia="Malgun Gothic" w:hAnsi="Cambria Math" w:cs="Times New Roman"/>
                </w:rPr>
                <m:t>δ</m:t>
              </m:r>
            </m:oMath>
            <w:r w:rsidRPr="0062309D">
              <w:rPr>
                <w:rFonts w:ascii="Times New Roman" w:eastAsia="Malgun Gothic" w:hAnsi="Times New Roman" w:cs="Times New Roman" w:hint="eastAsia"/>
              </w:rPr>
              <w:t>)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hAnsi="Times New Roman" w:cs="Times New Roman"/>
              </w:rPr>
              <w:t>7.257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hAnsi="Times New Roman" w:cs="Times New Roman"/>
              </w:rPr>
              <w:t>8.414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hAnsi="Times New Roman" w:cs="Times New Roman"/>
              </w:rPr>
              <w:t>6.193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6.883</w:t>
            </w:r>
          </w:p>
        </w:tc>
      </w:tr>
      <w:tr w:rsidR="00E73A66" w:rsidRPr="0062309D" w:rsidTr="008E75AF">
        <w:trPr>
          <w:trHeight w:val="454"/>
        </w:trPr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scale parameter</w:t>
            </w:r>
            <w:r w:rsidRPr="0062309D">
              <w:rPr>
                <w:rFonts w:ascii="Times New Roman" w:eastAsia="Malgun Gothic" w:hAnsi="Times New Roman" w:cs="Times New Roman" w:hint="eastAsia"/>
              </w:rPr>
              <w:t xml:space="preserve"> (</w:t>
            </w:r>
            <m:oMath>
              <m:r>
                <w:rPr>
                  <w:rFonts w:ascii="Cambria Math" w:eastAsia="Malgun Gothic" w:hAnsi="Cambria Math" w:cs="Times New Roman"/>
                </w:rPr>
                <m:t>θ</m:t>
              </m:r>
            </m:oMath>
            <w:r w:rsidRPr="0062309D">
              <w:rPr>
                <w:rFonts w:ascii="Times New Roman" w:eastAsia="Malgun Gothic" w:hAnsi="Times New Roman" w:cs="Times New Roman" w:hint="eastAsia"/>
              </w:rPr>
              <w:t>)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hAnsi="Times New Roman" w:cs="Times New Roman"/>
              </w:rPr>
              <w:t>1.068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hAnsi="Times New Roman" w:cs="Times New Roman"/>
              </w:rPr>
              <w:t>1.060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hAnsi="Times New Roman" w:cs="Times New Roman"/>
              </w:rPr>
              <w:t>1.076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1.071</w:t>
            </w:r>
          </w:p>
        </w:tc>
      </w:tr>
      <w:tr w:rsidR="00E73A66" w:rsidRPr="0062309D" w:rsidTr="008E75AF">
        <w:trPr>
          <w:trHeight w:val="454"/>
        </w:trPr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hAnsi="Times New Roman" w:cs="Times New Roman" w:hint="eastAsia"/>
              </w:rPr>
              <w:t>Estimated RV (</w:t>
            </w:r>
            <m:oMath>
              <m:sSub>
                <m:sSubPr>
                  <m:ctrlPr>
                    <w:rPr>
                      <w:rFonts w:ascii="Cambria Math" w:eastAsia="Malgun Gothic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Malgun Gothic" w:hAnsi="Cambria Math" w:cs="Times New Roman"/>
                    </w:rPr>
                    <m:t>μ</m:t>
                  </m:r>
                </m:e>
                <m:sub>
                  <m:r>
                    <w:rPr>
                      <w:rFonts w:ascii="Cambria Math" w:eastAsia="Malgun Gothic" w:hAnsi="Cambria Math" w:cs="Times New Roman"/>
                    </w:rPr>
                    <m:t>T</m:t>
                  </m:r>
                </m:sub>
              </m:sSub>
              <m:r>
                <w:rPr>
                  <w:rFonts w:ascii="Cambria Math" w:eastAsia="Malgun Gothic" w:hAnsi="Cambria Math" w:cs="Times New Roman"/>
                </w:rPr>
                <m:t>)</m:t>
              </m:r>
            </m:oMath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hAnsi="Times New Roman" w:cs="Times New Roman"/>
              </w:rPr>
              <w:t>0.555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hAnsi="Times New Roman" w:cs="Times New Roman"/>
              </w:rPr>
              <w:t>0.593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hAnsi="Times New Roman" w:cs="Times New Roman"/>
              </w:rPr>
              <w:t>0.570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0.607</w:t>
            </w:r>
          </w:p>
        </w:tc>
      </w:tr>
      <w:tr w:rsidR="00E73A66" w:rsidRPr="0062309D" w:rsidTr="008E75AF">
        <w:trPr>
          <w:trHeight w:val="454"/>
        </w:trPr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Strike price</w:t>
            </w:r>
            <w:r w:rsidRPr="0062309D">
              <w:rPr>
                <w:rFonts w:ascii="Times New Roman" w:eastAsia="Malgun Gothic" w:hAnsi="Times New Roman" w:cs="Times New Roman" w:hint="eastAsia"/>
              </w:rPr>
              <w:t xml:space="preserve"> (</w:t>
            </w:r>
            <w:r w:rsidRPr="0062309D">
              <w:rPr>
                <w:rFonts w:ascii="Times New Roman" w:eastAsia="Malgun Gothic" w:hAnsi="Times New Roman" w:cs="Times New Roman" w:hint="eastAsia"/>
                <w:i/>
                <w:iCs/>
              </w:rPr>
              <w:t>K</w:t>
            </w:r>
            <w:r w:rsidRPr="0062309D">
              <w:rPr>
                <w:rFonts w:ascii="Times New Roman" w:eastAsia="Malgun Gothic" w:hAnsi="Times New Roman" w:cs="Times New Roman" w:hint="eastAsia"/>
              </w:rPr>
              <w:t>)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hAnsi="Times New Roman" w:cs="Times New Roman"/>
              </w:rPr>
              <w:t>15,578,927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hAnsi="Times New Roman" w:cs="Times New Roman"/>
              </w:rPr>
              <w:t>16,639,420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hAnsi="Times New Roman" w:cs="Times New Roman"/>
              </w:rPr>
              <w:t>15,997,094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17</w:t>
            </w:r>
            <w:r w:rsidRPr="0062309D">
              <w:rPr>
                <w:rFonts w:ascii="Times New Roman" w:eastAsia="Malgun Gothic" w:hAnsi="Times New Roman" w:cs="Times New Roman" w:hint="eastAsia"/>
              </w:rPr>
              <w:t>,</w:t>
            </w:r>
            <w:r w:rsidRPr="0062309D">
              <w:rPr>
                <w:rFonts w:ascii="Times New Roman" w:eastAsia="Malgun Gothic" w:hAnsi="Times New Roman" w:cs="Times New Roman"/>
              </w:rPr>
              <w:t>051</w:t>
            </w:r>
            <w:r w:rsidRPr="0062309D">
              <w:rPr>
                <w:rFonts w:ascii="Times New Roman" w:eastAsia="Malgun Gothic" w:hAnsi="Times New Roman" w:cs="Times New Roman" w:hint="eastAsia"/>
              </w:rPr>
              <w:t>,</w:t>
            </w:r>
            <w:r w:rsidRPr="0062309D">
              <w:rPr>
                <w:rFonts w:ascii="Times New Roman" w:eastAsia="Malgun Gothic" w:hAnsi="Times New Roman" w:cs="Times New Roman"/>
              </w:rPr>
              <w:t xml:space="preserve">731 </w:t>
            </w:r>
          </w:p>
        </w:tc>
      </w:tr>
      <w:tr w:rsidR="00E73A66" w:rsidRPr="0062309D" w:rsidTr="008E75AF">
        <w:trPr>
          <w:trHeight w:val="454"/>
        </w:trPr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Put option price</w:t>
            </w:r>
            <w:r w:rsidRPr="0062309D">
              <w:rPr>
                <w:rFonts w:ascii="Times New Roman" w:eastAsia="Malgun Gothic" w:hAnsi="Times New Roman" w:cs="Times New Roman" w:hint="eastAsia"/>
              </w:rPr>
              <w:t xml:space="preserve"> (</w:t>
            </w:r>
            <w:r w:rsidRPr="0062309D">
              <w:rPr>
                <w:rFonts w:ascii="Times New Roman" w:eastAsia="Malgun Gothic" w:hAnsi="Times New Roman" w:cs="Times New Roman" w:hint="eastAsia"/>
                <w:i/>
                <w:iCs/>
              </w:rPr>
              <w:t>P</w:t>
            </w:r>
            <w:r w:rsidRPr="0062309D">
              <w:rPr>
                <w:rFonts w:ascii="Times New Roman" w:eastAsia="Malgun Gothic" w:hAnsi="Times New Roman" w:cs="Times New Roman" w:hint="eastAsia"/>
              </w:rPr>
              <w:t>)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hAnsi="Times New Roman" w:cs="Times New Roman"/>
              </w:rPr>
              <w:t>784,445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hAnsi="Times New Roman" w:cs="Times New Roman"/>
              </w:rPr>
              <w:t>727,147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hAnsi="Times New Roman" w:cs="Times New Roman"/>
              </w:rPr>
              <w:t>936,666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902</w:t>
            </w:r>
            <w:r w:rsidRPr="0062309D">
              <w:rPr>
                <w:rFonts w:ascii="Times New Roman" w:eastAsia="Malgun Gothic" w:hAnsi="Times New Roman" w:cs="Times New Roman" w:hint="eastAsia"/>
              </w:rPr>
              <w:t>,</w:t>
            </w:r>
            <w:r w:rsidRPr="0062309D">
              <w:rPr>
                <w:rFonts w:ascii="Times New Roman" w:eastAsia="Malgun Gothic" w:hAnsi="Times New Roman" w:cs="Times New Roman"/>
              </w:rPr>
              <w:t xml:space="preserve">986 </w:t>
            </w:r>
          </w:p>
        </w:tc>
      </w:tr>
      <w:tr w:rsidR="00E73A66" w:rsidRPr="0062309D" w:rsidTr="008E75AF">
        <w:trPr>
          <w:trHeight w:val="454"/>
        </w:trPr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 w:hint="eastAsia"/>
              </w:rPr>
              <w:t>Rate shock cost (OB)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hAnsi="Times New Roman" w:cs="Times New Roman"/>
              </w:rPr>
              <w:t>280,838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hAnsi="Times New Roman" w:cs="Times New Roman"/>
              </w:rPr>
              <w:t>296,639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hAnsi="Times New Roman" w:cs="Times New Roman"/>
              </w:rPr>
              <w:t>292,324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307</w:t>
            </w:r>
            <w:r w:rsidRPr="0062309D">
              <w:rPr>
                <w:rFonts w:ascii="Times New Roman" w:eastAsia="Malgun Gothic" w:hAnsi="Times New Roman" w:cs="Times New Roman" w:hint="eastAsia"/>
              </w:rPr>
              <w:t>,</w:t>
            </w:r>
            <w:r w:rsidRPr="0062309D">
              <w:rPr>
                <w:rFonts w:ascii="Times New Roman" w:eastAsia="Malgun Gothic" w:hAnsi="Times New Roman" w:cs="Times New Roman"/>
              </w:rPr>
              <w:t xml:space="preserve">822 </w:t>
            </w:r>
          </w:p>
        </w:tc>
      </w:tr>
      <w:tr w:rsidR="00E73A66" w:rsidRPr="0062309D" w:rsidTr="008E75AF">
        <w:trPr>
          <w:trHeight w:val="454"/>
        </w:trPr>
        <w:tc>
          <w:tcPr>
            <w:tcW w:w="168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 w:hint="eastAsia"/>
              </w:rPr>
              <w:t>Time decay sensitivity (</w:t>
            </w:r>
            <w:r w:rsidRPr="0062309D">
              <w:rPr>
                <w:rFonts w:ascii="Times New Roman" w:eastAsia="Malgun Gothic" w:hAnsi="Times New Roman" w:cs="Times New Roman"/>
              </w:rPr>
              <w:t>OTS</w:t>
            </w:r>
            <w:r w:rsidRPr="0062309D">
              <w:rPr>
                <w:rFonts w:ascii="Times New Roman" w:eastAsia="Malgun Gothic" w:hAnsi="Times New Roman" w:cs="Times New Roman" w:hint="eastAsia"/>
              </w:rPr>
              <w:t>)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hAnsi="Times New Roman" w:cs="Times New Roman"/>
              </w:rPr>
              <w:t>0.358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hAnsi="Times New Roman" w:cs="Times New Roman"/>
              </w:rPr>
              <w:t>0.408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hAnsi="Times New Roman" w:cs="Times New Roman"/>
              </w:rPr>
              <w:t>0.312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0.341</w:t>
            </w:r>
          </w:p>
        </w:tc>
      </w:tr>
    </w:tbl>
    <w:p w:rsidR="00E73A66" w:rsidRPr="0062309D" w:rsidRDefault="00E73A66" w:rsidP="00E73A66">
      <w:pPr>
        <w:spacing w:before="240" w:after="0" w:line="240" w:lineRule="auto"/>
        <w:rPr>
          <w:rFonts w:ascii="Times New Roman" w:hAnsi="Times New Roman" w:cs="Times New Roman"/>
          <w:szCs w:val="20"/>
        </w:rPr>
      </w:pPr>
      <w:r w:rsidRPr="0062309D">
        <w:rPr>
          <w:rFonts w:ascii="Times New Roman" w:hAnsi="Times New Roman" w:cs="Times New Roman"/>
          <w:i/>
          <w:iCs/>
          <w:szCs w:val="20"/>
        </w:rPr>
        <w:t>Note</w:t>
      </w:r>
      <w:r w:rsidRPr="0062309D">
        <w:rPr>
          <w:rFonts w:ascii="Times New Roman" w:hAnsi="Times New Roman" w:cs="Times New Roman" w:hint="eastAsia"/>
          <w:i/>
          <w:iCs/>
          <w:szCs w:val="20"/>
        </w:rPr>
        <w:t>.</w:t>
      </w:r>
      <w:r w:rsidRPr="0062309D">
        <w:rPr>
          <w:rFonts w:ascii="Times New Roman" w:hAnsi="Times New Roman" w:cs="Times New Roman"/>
          <w:szCs w:val="20"/>
        </w:rPr>
        <w:t xml:space="preserve"> In this table</w:t>
      </w:r>
      <w:r w:rsidRPr="0062309D">
        <w:rPr>
          <w:rFonts w:ascii="Times New Roman" w:hAnsi="Times New Roman" w:cs="Times New Roman" w:hint="eastAsia"/>
          <w:szCs w:val="20"/>
        </w:rPr>
        <w:t>,</w:t>
      </w:r>
      <w:r w:rsidRPr="0062309D">
        <w:rPr>
          <w:rFonts w:ascii="Times New Roman" w:hAnsi="Times New Roman" w:cs="Times New Roman"/>
          <w:szCs w:val="20"/>
        </w:rPr>
        <w:t xml:space="preserve"> OTS happens numerically to equal </w:t>
      </w:r>
      <m:oMath>
        <m:r>
          <w:rPr>
            <w:rFonts w:ascii="Cambria Math" w:hAnsi="Cambria Math" w:cs="Times New Roman"/>
            <w:szCs w:val="20"/>
          </w:rPr>
          <m:t>O</m:t>
        </m:r>
        <m:sSub>
          <m:sSubPr>
            <m:ctrlPr>
              <w:rPr>
                <w:rFonts w:ascii="Cambria Math" w:hAnsi="Cambria Math" w:cs="Times New Roman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Cs w:val="20"/>
              </w:rPr>
              <m:t>B</m:t>
            </m:r>
          </m:e>
          <m:sub>
            <m:r>
              <w:rPr>
                <w:rFonts w:ascii="Cambria Math" w:hAnsi="Cambria Math" w:cs="Times New Roman"/>
                <w:szCs w:val="20"/>
              </w:rPr>
              <m:t>100bp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0"/>
          </w:rPr>
          <m:t>/</m:t>
        </m:r>
        <m:sSub>
          <m:sSubPr>
            <m:ctrlPr>
              <w:rPr>
                <w:rFonts w:ascii="Cambria Math" w:hAnsi="Cambria Math" w:cs="Times New Roman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Cs w:val="20"/>
              </w:rPr>
              <m:t>P</m:t>
            </m:r>
          </m:e>
          <m:sub>
            <m:r>
              <w:rPr>
                <w:rFonts w:ascii="Cambria Math" w:hAnsi="Cambria Math" w:cs="Times New Roman"/>
                <w:szCs w:val="20"/>
              </w:rPr>
              <m:t>0</m:t>
            </m:r>
          </m:sub>
        </m:sSub>
      </m:oMath>
      <w:r w:rsidRPr="0062309D">
        <w:rPr>
          <w:rFonts w:ascii="Times New Roman" w:hAnsi="Times New Roman" w:cs="Times New Roman" w:hint="eastAsia"/>
          <w:szCs w:val="20"/>
        </w:rPr>
        <w:t xml:space="preserve"> </w:t>
      </w:r>
      <w:r w:rsidRPr="0062309D">
        <w:rPr>
          <w:rFonts w:ascii="Times New Roman" w:hAnsi="Times New Roman" w:cs="Times New Roman"/>
          <w:szCs w:val="20"/>
        </w:rPr>
        <w:t xml:space="preserve">because we </w:t>
      </w:r>
      <w:proofErr w:type="gramStart"/>
      <w:r w:rsidRPr="0062309D">
        <w:rPr>
          <w:rFonts w:ascii="Times New Roman" w:hAnsi="Times New Roman" w:cs="Times New Roman"/>
          <w:szCs w:val="20"/>
        </w:rPr>
        <w:t xml:space="preserve">use </w:t>
      </w:r>
      <w:proofErr w:type="gramEnd"/>
      <m:oMath>
        <m:r>
          <w:rPr>
            <w:rFonts w:ascii="Cambria Math" w:hAnsi="Cambria Math" w:cs="Times New Roman"/>
            <w:szCs w:val="20"/>
          </w:rPr>
          <m:t>r=5</m:t>
        </m:r>
        <m:r>
          <m:rPr>
            <m:sty m:val="p"/>
          </m:rPr>
          <w:rPr>
            <w:rFonts w:ascii="Cambria Math" w:hAnsi="Cambria Math" w:cs="Times New Roman"/>
            <w:szCs w:val="20"/>
          </w:rPr>
          <m:t>%</m:t>
        </m:r>
      </m:oMath>
      <w:r w:rsidRPr="0062309D">
        <w:rPr>
          <w:rFonts w:ascii="Times New Roman" w:hAnsi="Times New Roman" w:cs="Times New Roman"/>
          <w:szCs w:val="20"/>
        </w:rPr>
        <w:t xml:space="preserve">, maturity </w:t>
      </w:r>
      <m:oMath>
        <m:r>
          <w:rPr>
            <w:rFonts w:ascii="Cambria Math" w:hAnsi="Cambria Math" w:cs="Times New Roman"/>
            <w:szCs w:val="20"/>
          </w:rPr>
          <m:t>T=5</m:t>
        </m:r>
      </m:oMath>
      <w:r w:rsidRPr="0062309D">
        <w:rPr>
          <w:rFonts w:ascii="Times New Roman" w:hAnsi="Times New Roman" w:cs="Times New Roman" w:hint="eastAsia"/>
          <w:szCs w:val="20"/>
        </w:rPr>
        <w:t xml:space="preserve"> </w:t>
      </w:r>
      <w:r w:rsidRPr="0062309D">
        <w:rPr>
          <w:rFonts w:ascii="Times New Roman" w:hAnsi="Times New Roman" w:cs="Times New Roman"/>
          <w:szCs w:val="20"/>
        </w:rPr>
        <w:t xml:space="preserve">years, and a 100-bp rate shock, which implies </w:t>
      </w:r>
      <m:oMath>
        <m:r>
          <w:rPr>
            <w:rFonts w:ascii="Cambria Math" w:hAnsi="Cambria Math" w:cs="Times New Roman"/>
            <w:szCs w:val="20"/>
          </w:rPr>
          <m:t>O</m:t>
        </m:r>
        <m:sSub>
          <m:sSubPr>
            <m:ctrlPr>
              <w:rPr>
                <w:rFonts w:ascii="Cambria Math" w:hAnsi="Cambria Math" w:cs="Times New Roman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Cs w:val="20"/>
              </w:rPr>
              <m:t>B</m:t>
            </m:r>
          </m:e>
          <m:sub>
            <m:r>
              <w:rPr>
                <w:rFonts w:ascii="Cambria Math" w:hAnsi="Cambria Math" w:cs="Times New Roman"/>
                <w:szCs w:val="20"/>
              </w:rPr>
              <m:t>100bp</m:t>
            </m:r>
          </m:sub>
        </m:sSub>
        <m:r>
          <w:rPr>
            <w:rFonts w:ascii="Cambria Math" w:hAnsi="Cambria Math" w:cs="Times New Roman"/>
            <w:szCs w:val="20"/>
          </w:rPr>
          <m:t>=T</m:t>
        </m:r>
        <m:sSup>
          <m:sSupPr>
            <m:ctrlPr>
              <w:rPr>
                <w:rFonts w:ascii="Cambria Math" w:hAnsi="Cambria Math" w:cs="Times New Roman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szCs w:val="20"/>
              </w:rPr>
              <m:t>e</m:t>
            </m:r>
          </m:e>
          <m:sup>
            <m:r>
              <w:rPr>
                <w:rFonts w:ascii="Cambria Math" w:hAnsi="Cambria Math" w:cs="Times New Roman"/>
                <w:szCs w:val="20"/>
              </w:rPr>
              <m:t>-rT</m:t>
            </m:r>
          </m:sup>
        </m:sSup>
        <m:r>
          <w:rPr>
            <w:rFonts w:ascii="Cambria Math" w:hAnsi="Cambria Math" w:cs="Times New Roman"/>
            <w:szCs w:val="20"/>
          </w:rPr>
          <m:t>KF(K)=</m:t>
        </m:r>
        <m:r>
          <m:rPr>
            <m:sty m:val="p"/>
          </m:rPr>
          <w:rPr>
            <w:rFonts w:ascii="Cambria Math" w:hAnsi="Cambria Math" w:cs="Times New Roman"/>
            <w:szCs w:val="20"/>
          </w:rPr>
          <m:t>∣Θ∣</m:t>
        </m:r>
      </m:oMath>
      <w:r w:rsidRPr="0062309D">
        <w:rPr>
          <w:rFonts w:ascii="Times New Roman" w:hAnsi="Times New Roman" w:cs="Times New Roman"/>
          <w:szCs w:val="20"/>
        </w:rPr>
        <w:t xml:space="preserve">. For different combinations of rate level, maturity, or shock size, this algebraic identity would not hold and OTS and </w:t>
      </w:r>
      <m:oMath>
        <m:r>
          <w:rPr>
            <w:rFonts w:ascii="Cambria Math" w:hAnsi="Cambria Math" w:cs="Times New Roman"/>
            <w:szCs w:val="20"/>
          </w:rPr>
          <m:t>O</m:t>
        </m:r>
        <m:sSub>
          <m:sSubPr>
            <m:ctrlPr>
              <w:rPr>
                <w:rFonts w:ascii="Cambria Math" w:hAnsi="Cambria Math" w:cs="Times New Roman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Cs w:val="20"/>
              </w:rPr>
              <m:t>B</m:t>
            </m:r>
          </m:e>
          <m:sub>
            <m:r>
              <w:rPr>
                <w:rFonts w:ascii="Cambria Math" w:hAnsi="Cambria Math" w:cs="Times New Roman"/>
                <w:szCs w:val="20"/>
              </w:rPr>
              <m:t>100bp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0"/>
          </w:rPr>
          <m:t>/</m:t>
        </m:r>
        <m:sSub>
          <m:sSubPr>
            <m:ctrlPr>
              <w:rPr>
                <w:rFonts w:ascii="Cambria Math" w:hAnsi="Cambria Math" w:cs="Times New Roman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Cs w:val="20"/>
              </w:rPr>
              <m:t>P</m:t>
            </m:r>
          </m:e>
          <m:sub>
            <m:r>
              <w:rPr>
                <w:rFonts w:ascii="Cambria Math" w:hAnsi="Cambria Math" w:cs="Times New Roman"/>
                <w:szCs w:val="20"/>
              </w:rPr>
              <m:t>0</m:t>
            </m:r>
          </m:sub>
        </m:sSub>
      </m:oMath>
      <w:r w:rsidRPr="0062309D">
        <w:rPr>
          <w:rFonts w:ascii="Times New Roman" w:hAnsi="Times New Roman" w:cs="Times New Roman" w:hint="eastAsia"/>
          <w:szCs w:val="20"/>
        </w:rPr>
        <w:t xml:space="preserve"> </w:t>
      </w:r>
      <w:r w:rsidRPr="0062309D">
        <w:rPr>
          <w:rFonts w:ascii="Times New Roman" w:hAnsi="Times New Roman" w:cs="Times New Roman"/>
          <w:szCs w:val="20"/>
        </w:rPr>
        <w:t>would generally diverge.</w:t>
      </w:r>
    </w:p>
    <w:p w:rsidR="00E73A66" w:rsidRPr="0062309D" w:rsidRDefault="00E73A66" w:rsidP="00E73A6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2309D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E73A66" w:rsidRPr="0062309D" w:rsidRDefault="00E73A66" w:rsidP="00E73A6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2309D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 xml:space="preserve">Appendix C. </w:t>
      </w:r>
      <w:r w:rsidRPr="0062309D">
        <w:rPr>
          <w:rFonts w:ascii="Times New Roman" w:hAnsi="Times New Roman" w:cs="Times New Roman"/>
          <w:b/>
          <w:bCs/>
          <w:sz w:val="24"/>
          <w:szCs w:val="24"/>
        </w:rPr>
        <w:t>Distributional Comparison: Weibull, Lognormal, and Gamma</w:t>
      </w:r>
    </w:p>
    <w:p w:rsidR="00E73A66" w:rsidRPr="0062309D" w:rsidRDefault="00E73A66" w:rsidP="00E73A66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2309D">
        <w:rPr>
          <w:rFonts w:ascii="Times New Roman" w:hAnsi="Times New Roman" w:cs="Times New Roman"/>
          <w:sz w:val="24"/>
          <w:szCs w:val="24"/>
        </w:rPr>
        <w:t>This appendix summarizes the goodness-of-fit comparisons among the Weibull, lognormal, and gamma distributions, all estimated by maximum likelihood using the same residual-value sample. Tables A3 and A4 report AIC, BIC, and KS statistics for filtered and unfiltered samples, respectively, while Figures A2 and A3 present the corresponding QQ plots</w:t>
      </w:r>
      <w:r w:rsidRPr="0062309D">
        <w:rPr>
          <w:rFonts w:ascii="Times New Roman" w:hAnsi="Times New Roman" w:cs="Times New Roman" w:hint="eastAsia"/>
          <w:sz w:val="24"/>
          <w:szCs w:val="24"/>
        </w:rPr>
        <w:t>.</w:t>
      </w:r>
    </w:p>
    <w:p w:rsidR="00E73A66" w:rsidRPr="0062309D" w:rsidRDefault="00E73A66" w:rsidP="00E73A66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73A66" w:rsidRPr="0062309D" w:rsidRDefault="00E73A66" w:rsidP="00E73A66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2309D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Pr="0062309D">
        <w:rPr>
          <w:rFonts w:ascii="Times New Roman" w:hAnsi="Times New Roman" w:cs="Times New Roman" w:hint="eastAsia"/>
          <w:b/>
          <w:bCs/>
          <w:sz w:val="24"/>
          <w:szCs w:val="24"/>
        </w:rPr>
        <w:t>A3</w:t>
      </w:r>
      <w:r w:rsidRPr="0062309D">
        <w:rPr>
          <w:rFonts w:ascii="Times New Roman" w:hAnsi="Times New Roman" w:cs="Times New Roman"/>
          <w:sz w:val="24"/>
          <w:szCs w:val="24"/>
        </w:rPr>
        <w:t>. Goodness-of-fit</w:t>
      </w:r>
      <w:r w:rsidRPr="0062309D">
        <w:rPr>
          <w:rFonts w:ascii="Times New Roman" w:hAnsi="Times New Roman" w:cs="Times New Roman" w:hint="eastAsia"/>
          <w:sz w:val="24"/>
          <w:szCs w:val="24"/>
        </w:rPr>
        <w:t xml:space="preserve"> metrics (Sonata) with filtered data.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79"/>
        <w:gridCol w:w="1473"/>
        <w:gridCol w:w="2056"/>
        <w:gridCol w:w="1889"/>
        <w:gridCol w:w="2027"/>
      </w:tblGrid>
      <w:tr w:rsidR="00E73A66" w:rsidRPr="0062309D" w:rsidTr="008E75AF">
        <w:trPr>
          <w:trHeight w:val="454"/>
        </w:trPr>
        <w:tc>
          <w:tcPr>
            <w:tcW w:w="9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AIC</w:t>
            </w:r>
          </w:p>
        </w:tc>
        <w:tc>
          <w:tcPr>
            <w:tcW w:w="11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BIC</w: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KS</w:t>
            </w:r>
            <w:r w:rsidRPr="0062309D">
              <w:rPr>
                <w:rFonts w:ascii="Times New Roman" w:eastAsia="Malgun Gothic" w:hAnsi="Times New Roman" w:cs="Times New Roman" w:hint="eastAsia"/>
              </w:rPr>
              <w:t xml:space="preserve"> </w:t>
            </w:r>
            <w:r w:rsidRPr="0062309D">
              <w:rPr>
                <w:rFonts w:ascii="Times New Roman" w:eastAsia="Malgun Gothic" w:hAnsi="Times New Roman" w:cs="Times New Roman"/>
              </w:rPr>
              <w:t>stat</w:t>
            </w:r>
          </w:p>
        </w:tc>
        <w:tc>
          <w:tcPr>
            <w:tcW w:w="10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  <w:i/>
                <w:iCs/>
              </w:rPr>
              <w:t>p</w:t>
            </w:r>
            <w:r w:rsidRPr="0062309D">
              <w:rPr>
                <w:rFonts w:ascii="Times New Roman" w:eastAsia="Malgun Gothic" w:hAnsi="Times New Roman" w:cs="Times New Roman"/>
              </w:rPr>
              <w:t xml:space="preserve"> value</w:t>
            </w:r>
          </w:p>
        </w:tc>
      </w:tr>
      <w:tr w:rsidR="00E73A66" w:rsidRPr="0062309D" w:rsidTr="008E75AF">
        <w:trPr>
          <w:trHeight w:val="454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Weibull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-12</w:t>
            </w:r>
            <w:r w:rsidRPr="0062309D">
              <w:rPr>
                <w:rFonts w:ascii="Times New Roman" w:eastAsia="Malgun Gothic" w:hAnsi="Times New Roman" w:cs="Times New Roman" w:hint="eastAsia"/>
              </w:rPr>
              <w:t>,</w:t>
            </w:r>
            <w:r w:rsidRPr="0062309D">
              <w:rPr>
                <w:rFonts w:ascii="Times New Roman" w:eastAsia="Malgun Gothic" w:hAnsi="Times New Roman" w:cs="Times New Roman"/>
              </w:rPr>
              <w:t>239.90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-12</w:t>
            </w:r>
            <w:r w:rsidRPr="0062309D">
              <w:rPr>
                <w:rFonts w:ascii="Times New Roman" w:eastAsia="Malgun Gothic" w:hAnsi="Times New Roman" w:cs="Times New Roman" w:hint="eastAsia"/>
              </w:rPr>
              <w:t>,</w:t>
            </w:r>
            <w:r w:rsidRPr="0062309D">
              <w:rPr>
                <w:rFonts w:ascii="Times New Roman" w:eastAsia="Malgun Gothic" w:hAnsi="Times New Roman" w:cs="Times New Roman"/>
              </w:rPr>
              <w:t>224.64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0.0308</w:t>
            </w:r>
          </w:p>
        </w:tc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6.</w:t>
            </w:r>
            <w:r w:rsidRPr="0062309D">
              <w:rPr>
                <w:rFonts w:ascii="Times New Roman" w:eastAsia="Malgun Gothic" w:hAnsi="Times New Roman" w:cs="Times New Roman" w:hint="eastAsia"/>
              </w:rPr>
              <w:t>e</w:t>
            </w:r>
            <w:r w:rsidRPr="0062309D">
              <w:rPr>
                <w:rFonts w:ascii="Times New Roman" w:eastAsia="Malgun Gothic" w:hAnsi="Times New Roman" w:cs="Times New Roman"/>
              </w:rPr>
              <w:t>-13</w:t>
            </w:r>
          </w:p>
        </w:tc>
      </w:tr>
      <w:tr w:rsidR="00E73A66" w:rsidRPr="0062309D" w:rsidTr="008E75AF">
        <w:trPr>
          <w:trHeight w:val="454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Lognormal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-7</w:t>
            </w:r>
            <w:r w:rsidRPr="0062309D">
              <w:rPr>
                <w:rFonts w:ascii="Times New Roman" w:eastAsia="Malgun Gothic" w:hAnsi="Times New Roman" w:cs="Times New Roman" w:hint="eastAsia"/>
              </w:rPr>
              <w:t>,</w:t>
            </w:r>
            <w:r w:rsidRPr="0062309D">
              <w:rPr>
                <w:rFonts w:ascii="Times New Roman" w:eastAsia="Malgun Gothic" w:hAnsi="Times New Roman" w:cs="Times New Roman"/>
              </w:rPr>
              <w:t>553.24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-7</w:t>
            </w:r>
            <w:r w:rsidRPr="0062309D">
              <w:rPr>
                <w:rFonts w:ascii="Times New Roman" w:eastAsia="Malgun Gothic" w:hAnsi="Times New Roman" w:cs="Times New Roman" w:hint="eastAsia"/>
              </w:rPr>
              <w:t>,</w:t>
            </w:r>
            <w:r w:rsidRPr="0062309D">
              <w:rPr>
                <w:rFonts w:ascii="Times New Roman" w:eastAsia="Malgun Gothic" w:hAnsi="Times New Roman" w:cs="Times New Roman"/>
              </w:rPr>
              <w:t>537.98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0.1062</w:t>
            </w:r>
          </w:p>
        </w:tc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0.</w:t>
            </w:r>
            <w:r w:rsidRPr="0062309D">
              <w:rPr>
                <w:rFonts w:ascii="Times New Roman" w:eastAsia="Malgun Gothic" w:hAnsi="Times New Roman" w:cs="Times New Roman" w:hint="eastAsia"/>
              </w:rPr>
              <w:t>e</w:t>
            </w:r>
            <w:r w:rsidRPr="0062309D">
              <w:rPr>
                <w:rFonts w:ascii="Times New Roman" w:eastAsia="Malgun Gothic" w:hAnsi="Times New Roman" w:cs="Times New Roman"/>
              </w:rPr>
              <w:t>+00</w:t>
            </w:r>
          </w:p>
        </w:tc>
      </w:tr>
      <w:tr w:rsidR="00E73A66" w:rsidRPr="0062309D" w:rsidTr="008E75AF">
        <w:trPr>
          <w:trHeight w:val="454"/>
        </w:trPr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Gamma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-8</w:t>
            </w:r>
            <w:r w:rsidRPr="0062309D">
              <w:rPr>
                <w:rFonts w:ascii="Times New Roman" w:eastAsia="Malgun Gothic" w:hAnsi="Times New Roman" w:cs="Times New Roman" w:hint="eastAsia"/>
              </w:rPr>
              <w:t>,</w:t>
            </w:r>
            <w:r w:rsidRPr="0062309D">
              <w:rPr>
                <w:rFonts w:ascii="Times New Roman" w:eastAsia="Malgun Gothic" w:hAnsi="Times New Roman" w:cs="Times New Roman"/>
              </w:rPr>
              <w:t>961.45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-8</w:t>
            </w:r>
            <w:r w:rsidRPr="0062309D">
              <w:rPr>
                <w:rFonts w:ascii="Times New Roman" w:eastAsia="Malgun Gothic" w:hAnsi="Times New Roman" w:cs="Times New Roman" w:hint="eastAsia"/>
              </w:rPr>
              <w:t>,</w:t>
            </w:r>
            <w:r w:rsidRPr="0062309D">
              <w:rPr>
                <w:rFonts w:ascii="Times New Roman" w:eastAsia="Malgun Gothic" w:hAnsi="Times New Roman" w:cs="Times New Roman"/>
              </w:rPr>
              <w:t>946.19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0.0937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0.</w:t>
            </w:r>
            <w:r w:rsidRPr="0062309D">
              <w:rPr>
                <w:rFonts w:ascii="Times New Roman" w:eastAsia="Malgun Gothic" w:hAnsi="Times New Roman" w:cs="Times New Roman" w:hint="eastAsia"/>
              </w:rPr>
              <w:t>e</w:t>
            </w:r>
            <w:r w:rsidRPr="0062309D">
              <w:rPr>
                <w:rFonts w:ascii="Times New Roman" w:eastAsia="Malgun Gothic" w:hAnsi="Times New Roman" w:cs="Times New Roman"/>
              </w:rPr>
              <w:t>+00</w:t>
            </w:r>
          </w:p>
        </w:tc>
      </w:tr>
    </w:tbl>
    <w:p w:rsidR="00E73A66" w:rsidRPr="0062309D" w:rsidRDefault="00E73A66" w:rsidP="00E73A66">
      <w:pPr>
        <w:spacing w:before="240" w:after="0" w:line="360" w:lineRule="auto"/>
        <w:rPr>
          <w:rFonts w:ascii="Times New Roman" w:hAnsi="Times New Roman" w:cs="Times New Roman"/>
          <w:szCs w:val="20"/>
        </w:rPr>
      </w:pPr>
      <w:r w:rsidRPr="0062309D">
        <w:rPr>
          <w:rFonts w:ascii="Times New Roman" w:hAnsi="Times New Roman" w:cs="Times New Roman"/>
          <w:i/>
          <w:iCs/>
          <w:szCs w:val="20"/>
        </w:rPr>
        <w:t>Note</w:t>
      </w:r>
      <w:r w:rsidRPr="0062309D">
        <w:rPr>
          <w:rFonts w:ascii="Times New Roman" w:hAnsi="Times New Roman" w:cs="Times New Roman" w:hint="eastAsia"/>
          <w:i/>
          <w:iCs/>
          <w:szCs w:val="20"/>
        </w:rPr>
        <w:t>.</w:t>
      </w:r>
      <w:r w:rsidRPr="0062309D">
        <w:rPr>
          <w:rFonts w:ascii="Times New Roman" w:hAnsi="Times New Roman" w:cs="Times New Roman"/>
          <w:b/>
          <w:bCs/>
          <w:szCs w:val="20"/>
        </w:rPr>
        <w:t xml:space="preserve"> </w:t>
      </w:r>
      <w:r w:rsidRPr="0062309D">
        <w:rPr>
          <w:rFonts w:ascii="Times New Roman" w:hAnsi="Times New Roman" w:cs="Times New Roman" w:hint="eastAsia"/>
          <w:szCs w:val="20"/>
        </w:rPr>
        <w:t xml:space="preserve">KS static stands for </w:t>
      </w:r>
      <w:r w:rsidRPr="0062309D">
        <w:rPr>
          <w:rFonts w:ascii="Times New Roman" w:hAnsi="Times New Roman" w:cs="Times New Roman"/>
          <w:szCs w:val="20"/>
        </w:rPr>
        <w:t>Kolmogorov</w:t>
      </w:r>
      <w:r w:rsidRPr="0062309D">
        <w:rPr>
          <w:rFonts w:ascii="Times New Roman" w:hAnsi="Times New Roman" w:cs="Times New Roman" w:hint="eastAsia"/>
          <w:szCs w:val="20"/>
        </w:rPr>
        <w:t>-</w:t>
      </w:r>
      <w:r w:rsidRPr="0062309D">
        <w:rPr>
          <w:rFonts w:ascii="Times New Roman" w:hAnsi="Times New Roman" w:cs="Times New Roman"/>
          <w:szCs w:val="20"/>
        </w:rPr>
        <w:t>Smirnov statistic</w:t>
      </w:r>
      <w:r w:rsidRPr="0062309D">
        <w:rPr>
          <w:rFonts w:ascii="Times New Roman" w:hAnsi="Times New Roman" w:cs="Times New Roman" w:hint="eastAsia"/>
          <w:szCs w:val="20"/>
        </w:rPr>
        <w:t>.</w:t>
      </w:r>
    </w:p>
    <w:p w:rsidR="00E73A66" w:rsidRPr="0062309D" w:rsidRDefault="00E73A66" w:rsidP="00E73A66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73A66" w:rsidRPr="0062309D" w:rsidRDefault="00E73A66" w:rsidP="00E73A66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2309D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Pr="0062309D">
        <w:rPr>
          <w:rFonts w:ascii="Times New Roman" w:hAnsi="Times New Roman" w:cs="Times New Roman" w:hint="eastAsia"/>
          <w:b/>
          <w:bCs/>
          <w:sz w:val="24"/>
          <w:szCs w:val="24"/>
        </w:rPr>
        <w:t>A4</w:t>
      </w:r>
      <w:r w:rsidRPr="0062309D">
        <w:rPr>
          <w:rFonts w:ascii="Times New Roman" w:hAnsi="Times New Roman" w:cs="Times New Roman"/>
          <w:sz w:val="24"/>
          <w:szCs w:val="24"/>
        </w:rPr>
        <w:t>. Goodness-of-fit</w:t>
      </w:r>
      <w:r w:rsidRPr="0062309D">
        <w:rPr>
          <w:rFonts w:ascii="Times New Roman" w:hAnsi="Times New Roman" w:cs="Times New Roman" w:hint="eastAsia"/>
          <w:sz w:val="24"/>
          <w:szCs w:val="24"/>
        </w:rPr>
        <w:t xml:space="preserve"> metrics (Sonata)</w:t>
      </w:r>
      <w:r w:rsidRPr="0062309D">
        <w:rPr>
          <w:rFonts w:ascii="Times New Roman" w:hAnsi="Times New Roman" w:cs="Times New Roman"/>
          <w:sz w:val="24"/>
          <w:szCs w:val="24"/>
        </w:rPr>
        <w:t>,</w:t>
      </w:r>
      <w:r w:rsidRPr="0062309D">
        <w:rPr>
          <w:rFonts w:ascii="Times New Roman" w:hAnsi="Times New Roman" w:cs="Times New Roman" w:hint="eastAsia"/>
          <w:sz w:val="24"/>
          <w:szCs w:val="24"/>
        </w:rPr>
        <w:t xml:space="preserve"> including outliers.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79"/>
        <w:gridCol w:w="1473"/>
        <w:gridCol w:w="2056"/>
        <w:gridCol w:w="1889"/>
        <w:gridCol w:w="2027"/>
      </w:tblGrid>
      <w:tr w:rsidR="00E73A66" w:rsidRPr="0062309D" w:rsidTr="008E75AF">
        <w:trPr>
          <w:trHeight w:val="454"/>
        </w:trPr>
        <w:tc>
          <w:tcPr>
            <w:tcW w:w="9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AIC</w:t>
            </w:r>
          </w:p>
        </w:tc>
        <w:tc>
          <w:tcPr>
            <w:tcW w:w="11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BIC</w: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KS</w:t>
            </w:r>
            <w:r w:rsidRPr="0062309D">
              <w:rPr>
                <w:rFonts w:ascii="Times New Roman" w:eastAsia="Malgun Gothic" w:hAnsi="Times New Roman" w:cs="Times New Roman" w:hint="eastAsia"/>
              </w:rPr>
              <w:t xml:space="preserve"> </w:t>
            </w:r>
            <w:r w:rsidRPr="0062309D">
              <w:rPr>
                <w:rFonts w:ascii="Times New Roman" w:eastAsia="Malgun Gothic" w:hAnsi="Times New Roman" w:cs="Times New Roman"/>
              </w:rPr>
              <w:t>stat</w:t>
            </w:r>
          </w:p>
        </w:tc>
        <w:tc>
          <w:tcPr>
            <w:tcW w:w="10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  <w:i/>
                <w:iCs/>
              </w:rPr>
              <w:t>p</w:t>
            </w:r>
            <w:r w:rsidRPr="0062309D">
              <w:rPr>
                <w:rFonts w:ascii="Times New Roman" w:eastAsia="Malgun Gothic" w:hAnsi="Times New Roman" w:cs="Times New Roman"/>
              </w:rPr>
              <w:t xml:space="preserve"> value</w:t>
            </w:r>
          </w:p>
        </w:tc>
      </w:tr>
      <w:tr w:rsidR="00E73A66" w:rsidRPr="0062309D" w:rsidTr="008E75AF">
        <w:trPr>
          <w:trHeight w:val="454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Weibull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26</w:t>
            </w:r>
            <w:r w:rsidRPr="0062309D">
              <w:rPr>
                <w:rFonts w:ascii="Times New Roman" w:eastAsia="Malgun Gothic" w:hAnsi="Times New Roman" w:cs="Times New Roman" w:hint="eastAsia"/>
              </w:rPr>
              <w:t>,</w:t>
            </w:r>
            <w:r w:rsidRPr="0062309D">
              <w:rPr>
                <w:rFonts w:ascii="Times New Roman" w:eastAsia="Malgun Gothic" w:hAnsi="Times New Roman" w:cs="Times New Roman"/>
              </w:rPr>
              <w:t>914.08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26</w:t>
            </w:r>
            <w:r w:rsidRPr="0062309D">
              <w:rPr>
                <w:rFonts w:ascii="Times New Roman" w:eastAsia="Malgun Gothic" w:hAnsi="Times New Roman" w:cs="Times New Roman" w:hint="eastAsia"/>
              </w:rPr>
              <w:t>,</w:t>
            </w:r>
            <w:r w:rsidRPr="0062309D">
              <w:rPr>
                <w:rFonts w:ascii="Times New Roman" w:eastAsia="Malgun Gothic" w:hAnsi="Times New Roman" w:cs="Times New Roman"/>
              </w:rPr>
              <w:t>929.56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0.2335</w:t>
            </w:r>
          </w:p>
        </w:tc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0.</w:t>
            </w:r>
            <w:r w:rsidRPr="0062309D">
              <w:rPr>
                <w:rFonts w:ascii="Times New Roman" w:eastAsia="Malgun Gothic" w:hAnsi="Times New Roman" w:cs="Times New Roman" w:hint="eastAsia"/>
              </w:rPr>
              <w:t>e</w:t>
            </w:r>
            <w:r w:rsidRPr="0062309D">
              <w:rPr>
                <w:rFonts w:ascii="Times New Roman" w:eastAsia="Malgun Gothic" w:hAnsi="Times New Roman" w:cs="Times New Roman"/>
              </w:rPr>
              <w:t>+00</w:t>
            </w:r>
          </w:p>
        </w:tc>
      </w:tr>
      <w:tr w:rsidR="00E73A66" w:rsidRPr="0062309D" w:rsidTr="008E75AF">
        <w:trPr>
          <w:trHeight w:val="454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Lognormal</w:t>
            </w:r>
          </w:p>
        </w:tc>
        <w:tc>
          <w:tcPr>
            <w:tcW w:w="798" w:type="pct"/>
            <w:tcBorders>
              <w:top w:val="nil"/>
              <w:left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49</w:t>
            </w:r>
            <w:r w:rsidRPr="0062309D">
              <w:rPr>
                <w:rFonts w:ascii="Times New Roman" w:eastAsia="Malgun Gothic" w:hAnsi="Times New Roman" w:cs="Times New Roman" w:hint="eastAsia"/>
              </w:rPr>
              <w:t>,</w:t>
            </w:r>
            <w:r w:rsidRPr="0062309D">
              <w:rPr>
                <w:rFonts w:ascii="Times New Roman" w:eastAsia="Malgun Gothic" w:hAnsi="Times New Roman" w:cs="Times New Roman"/>
              </w:rPr>
              <w:t>309.37</w:t>
            </w:r>
          </w:p>
        </w:tc>
        <w:tc>
          <w:tcPr>
            <w:tcW w:w="1114" w:type="pct"/>
            <w:tcBorders>
              <w:top w:val="nil"/>
              <w:left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49</w:t>
            </w:r>
            <w:r w:rsidRPr="0062309D">
              <w:rPr>
                <w:rFonts w:ascii="Times New Roman" w:eastAsia="Malgun Gothic" w:hAnsi="Times New Roman" w:cs="Times New Roman" w:hint="eastAsia"/>
              </w:rPr>
              <w:t>,</w:t>
            </w:r>
            <w:r w:rsidRPr="0062309D">
              <w:rPr>
                <w:rFonts w:ascii="Times New Roman" w:eastAsia="Malgun Gothic" w:hAnsi="Times New Roman" w:cs="Times New Roman"/>
              </w:rPr>
              <w:t>324.85</w:t>
            </w:r>
          </w:p>
        </w:tc>
        <w:tc>
          <w:tcPr>
            <w:tcW w:w="1024" w:type="pct"/>
            <w:tcBorders>
              <w:top w:val="nil"/>
              <w:left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0.3419</w:t>
            </w:r>
          </w:p>
        </w:tc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0.</w:t>
            </w:r>
            <w:r w:rsidRPr="0062309D">
              <w:rPr>
                <w:rFonts w:ascii="Times New Roman" w:eastAsia="Malgun Gothic" w:hAnsi="Times New Roman" w:cs="Times New Roman" w:hint="eastAsia"/>
              </w:rPr>
              <w:t>e</w:t>
            </w:r>
            <w:r w:rsidRPr="0062309D">
              <w:rPr>
                <w:rFonts w:ascii="Times New Roman" w:eastAsia="Malgun Gothic" w:hAnsi="Times New Roman" w:cs="Times New Roman"/>
              </w:rPr>
              <w:t>+00</w:t>
            </w:r>
          </w:p>
        </w:tc>
      </w:tr>
      <w:tr w:rsidR="00E73A66" w:rsidRPr="0062309D" w:rsidTr="008E75AF">
        <w:trPr>
          <w:trHeight w:val="454"/>
        </w:trPr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Gamma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34</w:t>
            </w:r>
            <w:r w:rsidRPr="0062309D">
              <w:rPr>
                <w:rFonts w:ascii="Times New Roman" w:eastAsia="Malgun Gothic" w:hAnsi="Times New Roman" w:cs="Times New Roman" w:hint="eastAsia"/>
              </w:rPr>
              <w:t>,</w:t>
            </w:r>
            <w:r w:rsidRPr="0062309D">
              <w:rPr>
                <w:rFonts w:ascii="Times New Roman" w:eastAsia="Malgun Gothic" w:hAnsi="Times New Roman" w:cs="Times New Roman"/>
              </w:rPr>
              <w:t>141.02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34</w:t>
            </w:r>
            <w:r w:rsidRPr="0062309D">
              <w:rPr>
                <w:rFonts w:ascii="Times New Roman" w:eastAsia="Malgun Gothic" w:hAnsi="Times New Roman" w:cs="Times New Roman" w:hint="eastAsia"/>
              </w:rPr>
              <w:t>,</w:t>
            </w:r>
            <w:r w:rsidRPr="0062309D">
              <w:rPr>
                <w:rFonts w:ascii="Times New Roman" w:eastAsia="Malgun Gothic" w:hAnsi="Times New Roman" w:cs="Times New Roman"/>
              </w:rPr>
              <w:t>156.5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0.2999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0.</w:t>
            </w:r>
            <w:r w:rsidRPr="0062309D">
              <w:rPr>
                <w:rFonts w:ascii="Times New Roman" w:eastAsia="Malgun Gothic" w:hAnsi="Times New Roman" w:cs="Times New Roman" w:hint="eastAsia"/>
              </w:rPr>
              <w:t>e</w:t>
            </w:r>
            <w:r w:rsidRPr="0062309D">
              <w:rPr>
                <w:rFonts w:ascii="Times New Roman" w:eastAsia="Malgun Gothic" w:hAnsi="Times New Roman" w:cs="Times New Roman"/>
              </w:rPr>
              <w:t>+00</w:t>
            </w:r>
          </w:p>
        </w:tc>
      </w:tr>
    </w:tbl>
    <w:p w:rsidR="00E73A66" w:rsidRPr="0062309D" w:rsidRDefault="00E73A66" w:rsidP="00E73A66">
      <w:pPr>
        <w:spacing w:before="240"/>
        <w:rPr>
          <w:rFonts w:ascii="Times New Roman" w:hAnsi="Times New Roman" w:cs="Times New Roman"/>
          <w:szCs w:val="20"/>
        </w:rPr>
      </w:pPr>
      <w:r w:rsidRPr="0062309D">
        <w:rPr>
          <w:rFonts w:ascii="Times New Roman" w:hAnsi="Times New Roman" w:cs="Times New Roman"/>
          <w:i/>
          <w:iCs/>
          <w:szCs w:val="20"/>
        </w:rPr>
        <w:t>Note</w:t>
      </w:r>
      <w:r w:rsidRPr="0062309D">
        <w:rPr>
          <w:rFonts w:ascii="Times New Roman" w:hAnsi="Times New Roman" w:cs="Times New Roman" w:hint="eastAsia"/>
          <w:szCs w:val="20"/>
        </w:rPr>
        <w:t>.</w:t>
      </w:r>
      <w:r w:rsidRPr="0062309D">
        <w:rPr>
          <w:rFonts w:ascii="Times New Roman" w:hAnsi="Times New Roman" w:cs="Times New Roman"/>
          <w:b/>
          <w:bCs/>
          <w:szCs w:val="20"/>
        </w:rPr>
        <w:t xml:space="preserve"> </w:t>
      </w:r>
      <w:r w:rsidRPr="0062309D">
        <w:rPr>
          <w:rFonts w:ascii="Times New Roman" w:hAnsi="Times New Roman" w:cs="Times New Roman"/>
          <w:szCs w:val="20"/>
        </w:rPr>
        <w:t xml:space="preserve">Outliers include observations flagged by the EIF procedure as well as residual values below 5 percent and above 100 percent. Employee-discounted vehicles are excluded from the </w:t>
      </w:r>
      <w:r w:rsidRPr="0062309D">
        <w:rPr>
          <w:rFonts w:ascii="Times New Roman" w:hAnsi="Times New Roman" w:cs="Times New Roman" w:hint="eastAsia"/>
          <w:szCs w:val="20"/>
        </w:rPr>
        <w:t>outlier</w:t>
      </w:r>
      <w:r w:rsidRPr="0062309D">
        <w:rPr>
          <w:rFonts w:ascii="Times New Roman" w:hAnsi="Times New Roman" w:cs="Times New Roman"/>
          <w:szCs w:val="20"/>
        </w:rPr>
        <w:t xml:space="preserve"> definition because ownership remains with the employee, and these units do not generate residual-value risk for the leasing company.</w:t>
      </w:r>
    </w:p>
    <w:p w:rsidR="00E73A66" w:rsidRPr="0062309D" w:rsidRDefault="00E73A66" w:rsidP="00E73A66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:rsidR="00BD0938" w:rsidRDefault="00BD0938" w:rsidP="00E73A66">
      <w:pPr>
        <w:spacing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BD0938" w:rsidRDefault="00BD0938" w:rsidP="00E73A66">
      <w:pPr>
        <w:spacing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BD0938" w:rsidRDefault="00BD0938" w:rsidP="00E73A66">
      <w:pPr>
        <w:spacing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BD0938" w:rsidRDefault="00BD0938" w:rsidP="00E73A66">
      <w:pPr>
        <w:spacing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BD0938" w:rsidRDefault="00BD0938" w:rsidP="00E73A66">
      <w:pPr>
        <w:spacing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BD0938" w:rsidRDefault="00BD0938" w:rsidP="00E73A66">
      <w:pPr>
        <w:spacing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BD0938" w:rsidRDefault="00BD0938" w:rsidP="00E73A66">
      <w:pPr>
        <w:spacing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BD0938" w:rsidRDefault="00BD0938" w:rsidP="00E73A66">
      <w:pPr>
        <w:spacing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E73A66" w:rsidRPr="0062309D" w:rsidRDefault="00E73A66" w:rsidP="00E73A66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  <w:r w:rsidRPr="0062309D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Figure</w:t>
      </w:r>
      <w:r w:rsidRPr="006230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2309D">
        <w:rPr>
          <w:rFonts w:ascii="Times New Roman" w:hAnsi="Times New Roman" w:cs="Times New Roman" w:hint="eastAsia"/>
          <w:b/>
          <w:bCs/>
          <w:sz w:val="24"/>
          <w:szCs w:val="24"/>
        </w:rPr>
        <w:t>A2</w:t>
      </w:r>
      <w:r w:rsidRPr="0062309D">
        <w:rPr>
          <w:rFonts w:ascii="Times New Roman" w:hAnsi="Times New Roman" w:cs="Times New Roman" w:hint="eastAsia"/>
          <w:sz w:val="24"/>
          <w:szCs w:val="24"/>
        </w:rPr>
        <w:t>.</w:t>
      </w:r>
      <w:r w:rsidRPr="0062309D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62309D">
        <w:rPr>
          <w:rFonts w:ascii="Times New Roman" w:hAnsi="Times New Roman" w:cs="Times New Roman"/>
          <w:sz w:val="24"/>
          <w:szCs w:val="24"/>
        </w:rPr>
        <w:t>QQ plot comparison</w:t>
      </w:r>
      <w:r w:rsidRPr="0062309D">
        <w:rPr>
          <w:rFonts w:ascii="Times New Roman" w:hAnsi="Times New Roman" w:cs="Times New Roman" w:hint="eastAsia"/>
          <w:sz w:val="24"/>
          <w:szCs w:val="24"/>
        </w:rPr>
        <w:t xml:space="preserve"> with filtered data.</w:t>
      </w:r>
    </w:p>
    <w:p w:rsidR="00E73A66" w:rsidRPr="0062309D" w:rsidRDefault="00E73A66" w:rsidP="00E73A66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2309D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08F91A4" wp14:editId="7ED339F5">
            <wp:extent cx="4991100" cy="2103967"/>
            <wp:effectExtent l="0" t="0" r="0" b="0"/>
            <wp:docPr id="1026" name="shape1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07041" cy="211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A66" w:rsidRPr="0062309D" w:rsidRDefault="00E73A66" w:rsidP="00E73A66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73A66" w:rsidRPr="0062309D" w:rsidRDefault="00E73A66" w:rsidP="00E73A66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2309D">
        <w:rPr>
          <w:rFonts w:ascii="Times New Roman" w:hAnsi="Times New Roman" w:cs="Times New Roman" w:hint="eastAsia"/>
          <w:b/>
          <w:bCs/>
          <w:sz w:val="24"/>
          <w:szCs w:val="24"/>
        </w:rPr>
        <w:t>Figure</w:t>
      </w:r>
      <w:r w:rsidRPr="006230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2309D">
        <w:rPr>
          <w:rFonts w:ascii="Times New Roman" w:hAnsi="Times New Roman" w:cs="Times New Roman" w:hint="eastAsia"/>
          <w:b/>
          <w:bCs/>
          <w:sz w:val="24"/>
          <w:szCs w:val="24"/>
        </w:rPr>
        <w:t>A3</w:t>
      </w:r>
      <w:r w:rsidRPr="0062309D">
        <w:rPr>
          <w:rFonts w:ascii="Times New Roman" w:hAnsi="Times New Roman" w:cs="Times New Roman" w:hint="eastAsia"/>
          <w:sz w:val="24"/>
          <w:szCs w:val="24"/>
        </w:rPr>
        <w:t>.</w:t>
      </w:r>
      <w:r w:rsidRPr="0062309D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62309D">
        <w:rPr>
          <w:rFonts w:ascii="Times New Roman" w:hAnsi="Times New Roman" w:cs="Times New Roman"/>
          <w:sz w:val="24"/>
          <w:szCs w:val="24"/>
        </w:rPr>
        <w:t>QQ plot comparison</w:t>
      </w:r>
      <w:r w:rsidRPr="0062309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2309D">
        <w:rPr>
          <w:rFonts w:ascii="Times New Roman" w:hAnsi="Times New Roman" w:cs="Times New Roman"/>
          <w:sz w:val="24"/>
          <w:szCs w:val="24"/>
        </w:rPr>
        <w:t>including</w:t>
      </w:r>
      <w:r w:rsidRPr="0062309D">
        <w:rPr>
          <w:rFonts w:ascii="Times New Roman" w:hAnsi="Times New Roman" w:cs="Times New Roman" w:hint="eastAsia"/>
          <w:sz w:val="24"/>
          <w:szCs w:val="24"/>
        </w:rPr>
        <w:t xml:space="preserve"> outliers.</w:t>
      </w:r>
    </w:p>
    <w:p w:rsidR="00E73A66" w:rsidRPr="0062309D" w:rsidRDefault="00E73A66" w:rsidP="00E73A66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2309D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863761A" wp14:editId="6AB66DED">
            <wp:extent cx="5731510" cy="2546985"/>
            <wp:effectExtent l="0" t="0" r="0" b="0"/>
            <wp:docPr id="1027" name="shape10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4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A66" w:rsidRPr="0062309D" w:rsidRDefault="00E73A66" w:rsidP="00E73A66">
      <w:pPr>
        <w:spacing w:line="240" w:lineRule="auto"/>
        <w:contextualSpacing/>
        <w:rPr>
          <w:rFonts w:ascii="Times New Roman" w:hAnsi="Times New Roman" w:cs="Times New Roman"/>
          <w:szCs w:val="20"/>
        </w:rPr>
      </w:pPr>
      <w:r w:rsidRPr="0062309D">
        <w:rPr>
          <w:rFonts w:ascii="Times New Roman" w:hAnsi="Times New Roman" w:cs="Times New Roman"/>
          <w:i/>
          <w:iCs/>
          <w:szCs w:val="20"/>
        </w:rPr>
        <w:t>Note</w:t>
      </w:r>
      <w:r w:rsidRPr="0062309D">
        <w:rPr>
          <w:rFonts w:ascii="Times New Roman" w:hAnsi="Times New Roman" w:cs="Times New Roman" w:hint="eastAsia"/>
          <w:szCs w:val="20"/>
        </w:rPr>
        <w:t>.</w:t>
      </w:r>
      <w:r w:rsidRPr="0062309D">
        <w:rPr>
          <w:rFonts w:ascii="Times New Roman" w:hAnsi="Times New Roman" w:cs="Times New Roman"/>
          <w:b/>
          <w:bCs/>
          <w:szCs w:val="20"/>
        </w:rPr>
        <w:t xml:space="preserve"> </w:t>
      </w:r>
      <w:r w:rsidRPr="0062309D">
        <w:rPr>
          <w:rFonts w:ascii="Times New Roman" w:hAnsi="Times New Roman" w:cs="Times New Roman"/>
          <w:szCs w:val="20"/>
        </w:rPr>
        <w:t xml:space="preserve">Outliers </w:t>
      </w:r>
      <w:r w:rsidRPr="0062309D">
        <w:rPr>
          <w:rFonts w:ascii="Times New Roman" w:hAnsi="Times New Roman" w:cs="Times New Roman" w:hint="eastAsia"/>
          <w:szCs w:val="20"/>
        </w:rPr>
        <w:t>include</w:t>
      </w:r>
      <w:r w:rsidRPr="0062309D">
        <w:rPr>
          <w:rFonts w:ascii="Times New Roman" w:hAnsi="Times New Roman" w:cs="Times New Roman"/>
          <w:szCs w:val="20"/>
        </w:rPr>
        <w:t xml:space="preserve"> observations flagged by the EIF procedure as well as residual values below 5 percent and above 100 percent. </w:t>
      </w:r>
    </w:p>
    <w:p w:rsidR="00E73A66" w:rsidRPr="0062309D" w:rsidRDefault="00E73A66" w:rsidP="00E73A66">
      <w:pPr>
        <w:rPr>
          <w:rFonts w:ascii="Times New Roman" w:hAnsi="Times New Roman" w:cs="Times New Roman"/>
          <w:szCs w:val="20"/>
        </w:rPr>
      </w:pPr>
      <w:r w:rsidRPr="0062309D">
        <w:rPr>
          <w:rFonts w:ascii="Times New Roman" w:hAnsi="Times New Roman" w:cs="Times New Roman"/>
          <w:szCs w:val="20"/>
        </w:rPr>
        <w:br w:type="page"/>
      </w:r>
    </w:p>
    <w:p w:rsidR="00E73A66" w:rsidRPr="0062309D" w:rsidRDefault="00E73A66" w:rsidP="00E73A6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2309D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 xml:space="preserve">Appendix D. </w:t>
      </w:r>
      <w:r w:rsidRPr="0062309D">
        <w:rPr>
          <w:rFonts w:ascii="Times New Roman" w:hAnsi="Times New Roman" w:cs="Times New Roman"/>
          <w:b/>
          <w:bCs/>
          <w:sz w:val="24"/>
          <w:szCs w:val="24"/>
        </w:rPr>
        <w:t>Time-series validation</w:t>
      </w:r>
    </w:p>
    <w:p w:rsidR="00E73A66" w:rsidRPr="0062309D" w:rsidRDefault="00E73A66" w:rsidP="00E73A66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2309D">
        <w:rPr>
          <w:rFonts w:ascii="Times New Roman" w:hAnsi="Times New Roman" w:cs="Times New Roman"/>
          <w:sz w:val="24"/>
          <w:szCs w:val="24"/>
        </w:rPr>
        <w:t>This appendix assesses the robustness of the Weibull framework by extending the validation to 2020</w:t>
      </w:r>
      <w:r w:rsidRPr="0062309D">
        <w:rPr>
          <w:rFonts w:ascii="Times New Roman" w:hAnsi="Times New Roman" w:cs="Times New Roman" w:hint="eastAsia"/>
          <w:sz w:val="24"/>
          <w:szCs w:val="24"/>
        </w:rPr>
        <w:t>-</w:t>
      </w:r>
      <w:r w:rsidRPr="0062309D">
        <w:rPr>
          <w:rFonts w:ascii="Times New Roman" w:hAnsi="Times New Roman" w:cs="Times New Roman"/>
          <w:sz w:val="24"/>
          <w:szCs w:val="24"/>
        </w:rPr>
        <w:t>2023, a period covering both major disruptions and post-pandemic normalization. Figure A</w:t>
      </w:r>
      <w:r w:rsidRPr="0062309D">
        <w:rPr>
          <w:rFonts w:ascii="Times New Roman" w:hAnsi="Times New Roman" w:cs="Times New Roman" w:hint="eastAsia"/>
          <w:sz w:val="24"/>
          <w:szCs w:val="24"/>
        </w:rPr>
        <w:t>4</w:t>
      </w:r>
      <w:r w:rsidRPr="0062309D">
        <w:rPr>
          <w:rFonts w:ascii="Times New Roman" w:hAnsi="Times New Roman" w:cs="Times New Roman"/>
          <w:sz w:val="24"/>
          <w:szCs w:val="24"/>
        </w:rPr>
        <w:t xml:space="preserve"> presents QQ plots of the normalized </w:t>
      </w:r>
      <w:proofErr w:type="gramStart"/>
      <w:r w:rsidRPr="0062309D">
        <w:rPr>
          <w:rFonts w:ascii="Times New Roman" w:hAnsi="Times New Roman" w:cs="Times New Roman"/>
          <w:sz w:val="24"/>
          <w:szCs w:val="24"/>
        </w:rPr>
        <w:t xml:space="preserve">residuals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Y=RV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/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</m:oMath>
      <w:r w:rsidRPr="0062309D">
        <w:rPr>
          <w:rFonts w:ascii="Times New Roman" w:hAnsi="Times New Roman" w:cs="Times New Roman"/>
          <w:sz w:val="24"/>
          <w:szCs w:val="24"/>
        </w:rPr>
        <w:t>. The Weibull fit is tight throughout, with only mild lower-tail S-shaped departures in 2020</w:t>
      </w:r>
      <w:r w:rsidRPr="0062309D">
        <w:rPr>
          <w:rFonts w:ascii="Times New Roman" w:hAnsi="Times New Roman" w:cs="Times New Roman" w:hint="eastAsia"/>
          <w:sz w:val="24"/>
          <w:szCs w:val="24"/>
        </w:rPr>
        <w:t>-</w:t>
      </w:r>
      <w:r w:rsidRPr="0062309D">
        <w:rPr>
          <w:rFonts w:ascii="Times New Roman" w:hAnsi="Times New Roman" w:cs="Times New Roman"/>
          <w:sz w:val="24"/>
          <w:szCs w:val="24"/>
        </w:rPr>
        <w:t>2021, indicating limited misspecification even during the COVID shock. In 2022</w:t>
      </w:r>
      <w:r w:rsidRPr="0062309D">
        <w:rPr>
          <w:rFonts w:ascii="Times New Roman" w:hAnsi="Times New Roman" w:cs="Times New Roman" w:hint="eastAsia"/>
          <w:sz w:val="24"/>
          <w:szCs w:val="24"/>
        </w:rPr>
        <w:t>,</w:t>
      </w:r>
      <w:r w:rsidRPr="0062309D">
        <w:rPr>
          <w:rFonts w:ascii="Times New Roman" w:hAnsi="Times New Roman" w:cs="Times New Roman"/>
          <w:sz w:val="24"/>
          <w:szCs w:val="24"/>
        </w:rPr>
        <w:t xml:space="preserve"> the distribution already shows a transitional pattern consistent with a shift out of the turbulence phase, and by 2023, the points align almost perfectly with the 45-degree line, reflecting a fully stabilized one-factor Weibull structure.</w:t>
      </w:r>
    </w:p>
    <w:p w:rsidR="00E73A66" w:rsidRPr="0062309D" w:rsidRDefault="00E73A66" w:rsidP="00E73A66">
      <w:pPr>
        <w:spacing w:line="360" w:lineRule="auto"/>
        <w:ind w:firstLineChars="200" w:firstLine="480"/>
        <w:contextualSpacing/>
        <w:rPr>
          <w:rFonts w:ascii="Times New Roman" w:hAnsi="Times New Roman" w:cs="Times New Roman"/>
          <w:sz w:val="24"/>
          <w:szCs w:val="24"/>
        </w:rPr>
      </w:pPr>
      <w:r w:rsidRPr="0062309D">
        <w:rPr>
          <w:rFonts w:ascii="Times New Roman" w:hAnsi="Times New Roman" w:cs="Times New Roman"/>
          <w:sz w:val="24"/>
          <w:szCs w:val="24"/>
        </w:rPr>
        <w:t xml:space="preserve">Table A5 summarizes the sensitivity metrics. The shape parameter </w:t>
      </w:r>
      <m:oMath>
        <m:r>
          <w:rPr>
            <w:rFonts w:ascii="Cambria Math" w:hAnsi="Cambria Math" w:cs="Times New Roman"/>
            <w:sz w:val="24"/>
            <w:szCs w:val="24"/>
          </w:rPr>
          <m:t>δ</m:t>
        </m:r>
      </m:oMath>
      <w:r w:rsidRPr="0062309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2309D">
        <w:rPr>
          <w:rFonts w:ascii="Times New Roman" w:hAnsi="Times New Roman" w:cs="Times New Roman"/>
          <w:sz w:val="24"/>
          <w:szCs w:val="24"/>
        </w:rPr>
        <w:t>is near 3 in 2020</w:t>
      </w:r>
      <w:r w:rsidRPr="0062309D">
        <w:rPr>
          <w:rFonts w:ascii="Times New Roman" w:hAnsi="Times New Roman" w:cs="Times New Roman" w:hint="eastAsia"/>
          <w:sz w:val="24"/>
          <w:szCs w:val="24"/>
        </w:rPr>
        <w:t>-</w:t>
      </w:r>
      <w:r w:rsidRPr="0062309D">
        <w:rPr>
          <w:rFonts w:ascii="Times New Roman" w:hAnsi="Times New Roman" w:cs="Times New Roman"/>
          <w:sz w:val="24"/>
          <w:szCs w:val="24"/>
        </w:rPr>
        <w:t>2021 and rises to about 7 in 2022</w:t>
      </w:r>
      <w:r w:rsidRPr="0062309D">
        <w:rPr>
          <w:rFonts w:ascii="Times New Roman" w:hAnsi="Times New Roman" w:cs="Times New Roman" w:hint="eastAsia"/>
          <w:sz w:val="24"/>
          <w:szCs w:val="24"/>
        </w:rPr>
        <w:t>-</w:t>
      </w:r>
      <w:r w:rsidRPr="0062309D">
        <w:rPr>
          <w:rFonts w:ascii="Times New Roman" w:hAnsi="Times New Roman" w:cs="Times New Roman"/>
          <w:sz w:val="24"/>
          <w:szCs w:val="24"/>
        </w:rPr>
        <w:t xml:space="preserve">2023, implying flatter, more dispersed distributions in the crisis years and much more concentrated patterns in the recovery period. The scale parameter </w:t>
      </w:r>
      <m:oMath>
        <m:r>
          <w:rPr>
            <w:rFonts w:ascii="Cambria Math" w:hAnsi="Cambria Math" w:cs="Times New Roman"/>
            <w:sz w:val="24"/>
            <w:szCs w:val="24"/>
          </w:rPr>
          <m:t>θ</m:t>
        </m:r>
      </m:oMath>
      <w:r w:rsidRPr="0062309D">
        <w:rPr>
          <w:rFonts w:ascii="Times New Roman" w:hAnsi="Times New Roman" w:cs="Times New Roman" w:hint="eastAsia"/>
          <w:sz w:val="24"/>
          <w:szCs w:val="24"/>
        </w:rPr>
        <w:t xml:space="preserve"> remains</w:t>
      </w:r>
      <w:r w:rsidRPr="0062309D">
        <w:rPr>
          <w:rFonts w:ascii="Times New Roman" w:hAnsi="Times New Roman" w:cs="Times New Roman"/>
          <w:sz w:val="24"/>
          <w:szCs w:val="24"/>
        </w:rPr>
        <w:t xml:space="preserve"> close to 1.1 </w:t>
      </w:r>
      <w:r w:rsidRPr="0062309D">
        <w:rPr>
          <w:rFonts w:ascii="Times New Roman" w:hAnsi="Times New Roman" w:cs="Times New Roman" w:hint="eastAsia"/>
          <w:sz w:val="24"/>
          <w:szCs w:val="24"/>
        </w:rPr>
        <w:t>across</w:t>
      </w:r>
      <w:r w:rsidRPr="0062309D">
        <w:rPr>
          <w:rFonts w:ascii="Times New Roman" w:hAnsi="Times New Roman" w:cs="Times New Roman"/>
          <w:sz w:val="24"/>
          <w:szCs w:val="24"/>
        </w:rPr>
        <w:t xml:space="preserve"> all four years, indicating that the core depreciation profile remains structurally stable. The 60-month trend ratio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</m:oMath>
      <w:r w:rsidRPr="0062309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2309D">
        <w:rPr>
          <w:rFonts w:ascii="Times New Roman" w:hAnsi="Times New Roman" w:cs="Times New Roman"/>
          <w:sz w:val="24"/>
          <w:szCs w:val="24"/>
        </w:rPr>
        <w:t xml:space="preserve">and its risk-neutral strike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×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MSRP</m:t>
        </m:r>
      </m:oMath>
      <w:r w:rsidRPr="0062309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2309D">
        <w:rPr>
          <w:rFonts w:ascii="Times New Roman" w:hAnsi="Times New Roman" w:cs="Times New Roman"/>
          <w:sz w:val="24"/>
          <w:szCs w:val="24"/>
        </w:rPr>
        <w:t xml:space="preserve">increase steadily, while the option value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Pr="0062309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2309D">
        <w:rPr>
          <w:rFonts w:ascii="Times New Roman" w:hAnsi="Times New Roman" w:cs="Times New Roman"/>
          <w:sz w:val="24"/>
          <w:szCs w:val="24"/>
        </w:rPr>
        <w:t>is highest in 2020</w:t>
      </w:r>
      <w:r w:rsidRPr="0062309D">
        <w:rPr>
          <w:rFonts w:ascii="Times New Roman" w:hAnsi="Times New Roman" w:cs="Times New Roman" w:hint="eastAsia"/>
          <w:sz w:val="24"/>
          <w:szCs w:val="24"/>
        </w:rPr>
        <w:t>-</w:t>
      </w:r>
      <w:r w:rsidRPr="0062309D">
        <w:rPr>
          <w:rFonts w:ascii="Times New Roman" w:hAnsi="Times New Roman" w:cs="Times New Roman"/>
          <w:sz w:val="24"/>
          <w:szCs w:val="24"/>
        </w:rPr>
        <w:t>2021 and falls by roughly half in 2022</w:t>
      </w:r>
      <w:r w:rsidRPr="0062309D">
        <w:rPr>
          <w:rFonts w:ascii="Times New Roman" w:hAnsi="Times New Roman" w:cs="Times New Roman" w:hint="eastAsia"/>
          <w:sz w:val="24"/>
          <w:szCs w:val="24"/>
        </w:rPr>
        <w:t>-</w:t>
      </w:r>
      <w:r w:rsidRPr="0062309D">
        <w:rPr>
          <w:rFonts w:ascii="Times New Roman" w:hAnsi="Times New Roman" w:cs="Times New Roman"/>
          <w:sz w:val="24"/>
          <w:szCs w:val="24"/>
        </w:rPr>
        <w:t xml:space="preserve">2023, reflecting the normalization of residual-value risk. The 100-bp offset budget </w:t>
      </w:r>
      <m:oMath>
        <m:r>
          <w:rPr>
            <w:rFonts w:ascii="Cambria Math" w:hAnsi="Cambria Math" w:cs="Times New Roman"/>
            <w:sz w:val="24"/>
            <w:szCs w:val="24"/>
          </w:rPr>
          <m:t>O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100bp</m:t>
            </m:r>
          </m:sub>
        </m:sSub>
      </m:oMath>
      <w:r w:rsidRPr="0062309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2309D">
        <w:rPr>
          <w:rFonts w:ascii="Times New Roman" w:hAnsi="Times New Roman" w:cs="Times New Roman"/>
          <w:sz w:val="24"/>
          <w:szCs w:val="24"/>
        </w:rPr>
        <w:t>is lowest in 2020 (KRW 210</w:t>
      </w:r>
      <w:r w:rsidRPr="0062309D">
        <w:rPr>
          <w:rFonts w:ascii="Times New Roman" w:hAnsi="Times New Roman" w:cs="Times New Roman" w:hint="eastAsia"/>
          <w:sz w:val="24"/>
          <w:szCs w:val="24"/>
        </w:rPr>
        <w:t>K</w:t>
      </w:r>
      <w:r w:rsidRPr="0062309D">
        <w:rPr>
          <w:rFonts w:ascii="Times New Roman" w:hAnsi="Times New Roman" w:cs="Times New Roman"/>
          <w:sz w:val="24"/>
          <w:szCs w:val="24"/>
        </w:rPr>
        <w:t>) and climbs to about KRW 280k by 2023, indicating weaker neutralization capacity during turbulence. The offer-timing score (OTS) is about 0.18 in 2020</w:t>
      </w:r>
      <w:r w:rsidRPr="0062309D">
        <w:rPr>
          <w:rFonts w:ascii="Times New Roman" w:hAnsi="Times New Roman" w:cs="Times New Roman" w:hint="eastAsia"/>
          <w:sz w:val="24"/>
          <w:szCs w:val="24"/>
        </w:rPr>
        <w:t>-</w:t>
      </w:r>
      <w:r w:rsidRPr="0062309D">
        <w:rPr>
          <w:rFonts w:ascii="Times New Roman" w:hAnsi="Times New Roman" w:cs="Times New Roman"/>
          <w:sz w:val="24"/>
          <w:szCs w:val="24"/>
        </w:rPr>
        <w:t>2021 and about 0.35 in 2022</w:t>
      </w:r>
      <w:r w:rsidRPr="0062309D">
        <w:rPr>
          <w:rFonts w:ascii="Times New Roman" w:hAnsi="Times New Roman" w:cs="Times New Roman" w:hint="eastAsia"/>
          <w:sz w:val="24"/>
          <w:szCs w:val="24"/>
        </w:rPr>
        <w:t>-</w:t>
      </w:r>
      <w:r w:rsidRPr="0062309D">
        <w:rPr>
          <w:rFonts w:ascii="Times New Roman" w:hAnsi="Times New Roman" w:cs="Times New Roman"/>
          <w:sz w:val="24"/>
          <w:szCs w:val="24"/>
        </w:rPr>
        <w:t xml:space="preserve">2023, showing that normalized time decay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|Θ|/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Pr="0062309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2309D">
        <w:rPr>
          <w:rFonts w:ascii="Times New Roman" w:hAnsi="Times New Roman" w:cs="Times New Roman"/>
          <w:sz w:val="24"/>
          <w:szCs w:val="24"/>
        </w:rPr>
        <w:t>is nearly twice as steep in the stable regime.</w:t>
      </w:r>
    </w:p>
    <w:p w:rsidR="00E73A66" w:rsidRPr="0062309D" w:rsidRDefault="00E73A66" w:rsidP="00E73A66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73A66" w:rsidRPr="0062309D" w:rsidRDefault="00E73A66" w:rsidP="00E73A66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2309D">
        <w:rPr>
          <w:rFonts w:ascii="Times New Roman" w:hAnsi="Times New Roman" w:cs="Times New Roman" w:hint="eastAsia"/>
          <w:b/>
          <w:bCs/>
          <w:sz w:val="24"/>
          <w:szCs w:val="24"/>
        </w:rPr>
        <w:t>Figure A4</w:t>
      </w:r>
      <w:r w:rsidRPr="0062309D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62309D">
        <w:rPr>
          <w:rFonts w:ascii="Times New Roman" w:hAnsi="Times New Roman" w:cs="Times New Roman"/>
          <w:sz w:val="24"/>
          <w:szCs w:val="24"/>
        </w:rPr>
        <w:t>QQ plot comparison</w:t>
      </w:r>
      <w:r w:rsidRPr="0062309D">
        <w:rPr>
          <w:rFonts w:ascii="Times New Roman" w:hAnsi="Times New Roman" w:cs="Times New Roman" w:hint="eastAsia"/>
          <w:sz w:val="24"/>
          <w:szCs w:val="24"/>
        </w:rPr>
        <w:t xml:space="preserve"> by year: Sonata case.</w:t>
      </w:r>
    </w:p>
    <w:p w:rsidR="00E73A66" w:rsidRPr="0062309D" w:rsidRDefault="00E73A66" w:rsidP="00E73A66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2309D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3A41CEC" wp14:editId="79F6854A">
            <wp:extent cx="3708400" cy="2578100"/>
            <wp:effectExtent l="0" t="0" r="6350" b="0"/>
            <wp:docPr id="1028" name="shape10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08675" cy="2578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938" w:rsidRDefault="00BD0938" w:rsidP="00E73A66">
      <w:pPr>
        <w:spacing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E73A66" w:rsidRPr="0062309D" w:rsidRDefault="00E73A66" w:rsidP="00E73A66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2309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Pr="0062309D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A5. </w:t>
      </w:r>
      <w:r w:rsidRPr="0062309D">
        <w:rPr>
          <w:rFonts w:ascii="Times New Roman" w:hAnsi="Times New Roman" w:cs="Times New Roman"/>
          <w:sz w:val="24"/>
          <w:szCs w:val="24"/>
        </w:rPr>
        <w:t>Weibull and sensitivity-based robustness metrics</w:t>
      </w:r>
      <w:r w:rsidRPr="0062309D">
        <w:rPr>
          <w:rFonts w:ascii="Times New Roman" w:hAnsi="Times New Roman" w:cs="Times New Roman" w:hint="eastAsia"/>
          <w:sz w:val="24"/>
          <w:szCs w:val="24"/>
        </w:rPr>
        <w:t xml:space="preserve"> by year.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11"/>
        <w:gridCol w:w="1530"/>
        <w:gridCol w:w="1530"/>
        <w:gridCol w:w="1529"/>
        <w:gridCol w:w="1524"/>
      </w:tblGrid>
      <w:tr w:rsidR="00E73A66" w:rsidRPr="0062309D" w:rsidTr="008E75AF">
        <w:trPr>
          <w:trHeight w:val="454"/>
        </w:trPr>
        <w:tc>
          <w:tcPr>
            <w:tcW w:w="16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 w:hint="eastAsia"/>
              </w:rPr>
              <w:t>2020</w:t>
            </w: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 w:hint="eastAsia"/>
              </w:rPr>
              <w:t>2021</w:t>
            </w: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 w:hint="eastAsia"/>
              </w:rPr>
              <w:t>2022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 w:hint="eastAsia"/>
              </w:rPr>
              <w:t>2023</w:t>
            </w:r>
          </w:p>
        </w:tc>
      </w:tr>
      <w:tr w:rsidR="00E73A66" w:rsidRPr="0062309D" w:rsidTr="008E75AF">
        <w:trPr>
          <w:trHeight w:val="454"/>
        </w:trPr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shape parameter (</w:t>
            </w:r>
            <m:oMath>
              <m:r>
                <w:rPr>
                  <w:rFonts w:ascii="Cambria Math" w:eastAsia="Malgun Gothic" w:hAnsi="Cambria Math" w:cs="Times New Roman"/>
                </w:rPr>
                <m:t>δ</m:t>
              </m:r>
            </m:oMath>
            <w:r w:rsidRPr="0062309D">
              <w:rPr>
                <w:rFonts w:ascii="Times New Roman" w:eastAsia="Malgun Gothic" w:hAnsi="Times New Roman" w:cs="Times New Roman"/>
              </w:rPr>
              <w:t>)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hAnsi="Times New Roman" w:cs="Times New Roman"/>
              </w:rPr>
              <w:t>3.06</w:t>
            </w:r>
            <w:r w:rsidRPr="0062309D"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hAnsi="Times New Roman" w:cs="Times New Roman"/>
              </w:rPr>
              <w:t>3.10</w:t>
            </w:r>
            <w:r w:rsidRPr="0062309D"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hAnsi="Times New Roman" w:cs="Times New Roman"/>
              </w:rPr>
              <w:t>6.79</w:t>
            </w:r>
            <w:r w:rsidRPr="0062309D"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hAnsi="Times New Roman" w:cs="Times New Roman"/>
              </w:rPr>
              <w:t>7.2</w:t>
            </w:r>
            <w:r w:rsidRPr="0062309D">
              <w:rPr>
                <w:rFonts w:ascii="Times New Roman" w:hAnsi="Times New Roman" w:cs="Times New Roman" w:hint="eastAsia"/>
              </w:rPr>
              <w:t>57</w:t>
            </w:r>
          </w:p>
        </w:tc>
      </w:tr>
      <w:tr w:rsidR="00E73A66" w:rsidRPr="0062309D" w:rsidTr="008E75AF">
        <w:trPr>
          <w:trHeight w:val="454"/>
        </w:trPr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scale parameter (</w:t>
            </w:r>
            <m:oMath>
              <m:r>
                <w:rPr>
                  <w:rFonts w:ascii="Cambria Math" w:eastAsia="Malgun Gothic" w:hAnsi="Cambria Math" w:cs="Times New Roman"/>
                </w:rPr>
                <m:t>θ</m:t>
              </m:r>
            </m:oMath>
            <w:r w:rsidRPr="0062309D">
              <w:rPr>
                <w:rFonts w:ascii="Times New Roman" w:eastAsia="Malgun Gothic" w:hAnsi="Times New Roman" w:cs="Times New Roman"/>
              </w:rPr>
              <w:t>)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hAnsi="Times New Roman" w:cs="Times New Roman"/>
              </w:rPr>
              <w:t>1.11</w:t>
            </w:r>
            <w:r w:rsidRPr="0062309D"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hAnsi="Times New Roman" w:cs="Times New Roman"/>
              </w:rPr>
              <w:t>1.11</w:t>
            </w:r>
            <w:r w:rsidRPr="0062309D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hAnsi="Times New Roman" w:cs="Times New Roman"/>
              </w:rPr>
              <w:t>1.070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hAnsi="Times New Roman" w:cs="Times New Roman"/>
              </w:rPr>
              <w:t>1.06</w:t>
            </w:r>
            <w:r w:rsidRPr="0062309D">
              <w:rPr>
                <w:rFonts w:ascii="Times New Roman" w:hAnsi="Times New Roman" w:cs="Times New Roman" w:hint="eastAsia"/>
              </w:rPr>
              <w:t>8</w:t>
            </w:r>
          </w:p>
        </w:tc>
      </w:tr>
      <w:tr w:rsidR="00E73A66" w:rsidRPr="0062309D" w:rsidTr="008E75AF">
        <w:trPr>
          <w:trHeight w:val="454"/>
        </w:trPr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hAnsi="Times New Roman" w:cs="Times New Roman"/>
              </w:rPr>
              <w:t>Estimated RV (</w:t>
            </w:r>
            <m:oMath>
              <m:sSub>
                <m:sSubPr>
                  <m:ctrlPr>
                    <w:rPr>
                      <w:rFonts w:ascii="Cambria Math" w:eastAsia="Malgun Gothic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Malgun Gothic" w:hAnsi="Cambria Math" w:cs="Times New Roman"/>
                    </w:rPr>
                    <m:t>μ</m:t>
                  </m:r>
                </m:e>
                <m:sub>
                  <m:r>
                    <w:rPr>
                      <w:rFonts w:ascii="Cambria Math" w:eastAsia="Malgun Gothic" w:hAnsi="Cambria Math" w:cs="Times New Roman"/>
                    </w:rPr>
                    <m:t>T</m:t>
                  </m:r>
                </m:sub>
              </m:sSub>
              <m:r>
                <w:rPr>
                  <w:rFonts w:ascii="Cambria Math" w:eastAsia="Malgun Gothic" w:hAnsi="Cambria Math" w:cs="Times New Roman"/>
                </w:rPr>
                <m:t>)</m:t>
              </m:r>
            </m:oMath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hAnsi="Times New Roman" w:cs="Times New Roman"/>
              </w:rPr>
              <w:t>0.37</w:t>
            </w:r>
            <w:r w:rsidRPr="0062309D"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hAnsi="Times New Roman" w:cs="Times New Roman"/>
              </w:rPr>
              <w:t>0.47</w:t>
            </w:r>
            <w:r w:rsidRPr="0062309D"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hAnsi="Times New Roman" w:cs="Times New Roman"/>
              </w:rPr>
              <w:t>0.54</w:t>
            </w:r>
            <w:r w:rsidRPr="0062309D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hAnsi="Times New Roman" w:cs="Times New Roman"/>
              </w:rPr>
              <w:t>0.55</w:t>
            </w:r>
            <w:r w:rsidRPr="0062309D">
              <w:rPr>
                <w:rFonts w:ascii="Times New Roman" w:hAnsi="Times New Roman" w:cs="Times New Roman" w:hint="eastAsia"/>
              </w:rPr>
              <w:t>5</w:t>
            </w:r>
          </w:p>
        </w:tc>
      </w:tr>
      <w:tr w:rsidR="00E73A66" w:rsidRPr="0062309D" w:rsidTr="008E75AF">
        <w:trPr>
          <w:trHeight w:val="454"/>
        </w:trPr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Strike price (</w:t>
            </w:r>
            <w:r w:rsidRPr="0062309D">
              <w:rPr>
                <w:rFonts w:ascii="Times New Roman" w:eastAsia="Malgun Gothic" w:hAnsi="Times New Roman" w:cs="Times New Roman"/>
                <w:i/>
                <w:iCs/>
              </w:rPr>
              <w:t>K</w:t>
            </w:r>
            <w:r w:rsidRPr="0062309D">
              <w:rPr>
                <w:rFonts w:ascii="Times New Roman" w:eastAsia="Malgun Gothic" w:hAnsi="Times New Roman" w:cs="Times New Roman"/>
              </w:rPr>
              <w:t>)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hAnsi="Times New Roman" w:cs="Times New Roman"/>
              </w:rPr>
              <w:t>10</w:t>
            </w:r>
            <w:r w:rsidRPr="0062309D">
              <w:rPr>
                <w:rFonts w:ascii="Times New Roman" w:hAnsi="Times New Roman" w:cs="Times New Roman" w:hint="eastAsia"/>
              </w:rPr>
              <w:t>,</w:t>
            </w:r>
            <w:r w:rsidRPr="0062309D">
              <w:rPr>
                <w:rFonts w:ascii="Times New Roman" w:hAnsi="Times New Roman" w:cs="Times New Roman"/>
              </w:rPr>
              <w:t>523</w:t>
            </w:r>
            <w:r w:rsidRPr="0062309D">
              <w:rPr>
                <w:rFonts w:ascii="Times New Roman" w:hAnsi="Times New Roman" w:cs="Times New Roman" w:hint="eastAsia"/>
              </w:rPr>
              <w:t>,</w:t>
            </w:r>
            <w:r w:rsidRPr="0062309D">
              <w:rPr>
                <w:rFonts w:ascii="Times New Roman" w:hAnsi="Times New Roman" w:cs="Times New Roman"/>
              </w:rPr>
              <w:t>023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hAnsi="Times New Roman" w:cs="Times New Roman"/>
              </w:rPr>
              <w:t>13</w:t>
            </w:r>
            <w:r w:rsidRPr="0062309D">
              <w:rPr>
                <w:rFonts w:ascii="Times New Roman" w:hAnsi="Times New Roman" w:cs="Times New Roman" w:hint="eastAsia"/>
              </w:rPr>
              <w:t>,</w:t>
            </w:r>
            <w:r w:rsidRPr="0062309D">
              <w:rPr>
                <w:rFonts w:ascii="Times New Roman" w:hAnsi="Times New Roman" w:cs="Times New Roman"/>
              </w:rPr>
              <w:t>304</w:t>
            </w:r>
            <w:r w:rsidRPr="0062309D">
              <w:rPr>
                <w:rFonts w:ascii="Times New Roman" w:hAnsi="Times New Roman" w:cs="Times New Roman" w:hint="eastAsia"/>
              </w:rPr>
              <w:t>,</w:t>
            </w:r>
            <w:r w:rsidRPr="0062309D">
              <w:rPr>
                <w:rFonts w:ascii="Times New Roman" w:hAnsi="Times New Roman" w:cs="Times New Roman"/>
              </w:rPr>
              <w:t>959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hAnsi="Times New Roman" w:cs="Times New Roman"/>
              </w:rPr>
              <w:t>15</w:t>
            </w:r>
            <w:r w:rsidRPr="0062309D">
              <w:rPr>
                <w:rFonts w:ascii="Times New Roman" w:hAnsi="Times New Roman" w:cs="Times New Roman" w:hint="eastAsia"/>
              </w:rPr>
              <w:t>,</w:t>
            </w:r>
            <w:r w:rsidRPr="0062309D">
              <w:rPr>
                <w:rFonts w:ascii="Times New Roman" w:hAnsi="Times New Roman" w:cs="Times New Roman"/>
              </w:rPr>
              <w:t>211</w:t>
            </w:r>
            <w:r w:rsidRPr="0062309D">
              <w:rPr>
                <w:rFonts w:ascii="Times New Roman" w:hAnsi="Times New Roman" w:cs="Times New Roman" w:hint="eastAsia"/>
              </w:rPr>
              <w:t>,</w:t>
            </w:r>
            <w:r w:rsidRPr="0062309D">
              <w:rPr>
                <w:rFonts w:ascii="Times New Roman" w:hAnsi="Times New Roman" w:cs="Times New Roman"/>
              </w:rPr>
              <w:t>007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hAnsi="Times New Roman" w:cs="Times New Roman"/>
              </w:rPr>
              <w:t>15</w:t>
            </w:r>
            <w:r w:rsidRPr="0062309D">
              <w:rPr>
                <w:rFonts w:ascii="Times New Roman" w:hAnsi="Times New Roman" w:cs="Times New Roman" w:hint="eastAsia"/>
              </w:rPr>
              <w:t>,</w:t>
            </w:r>
            <w:r w:rsidRPr="0062309D">
              <w:rPr>
                <w:rFonts w:ascii="Times New Roman" w:hAnsi="Times New Roman" w:cs="Times New Roman"/>
              </w:rPr>
              <w:t>578</w:t>
            </w:r>
            <w:r w:rsidRPr="0062309D">
              <w:rPr>
                <w:rFonts w:ascii="Times New Roman" w:hAnsi="Times New Roman" w:cs="Times New Roman" w:hint="eastAsia"/>
              </w:rPr>
              <w:t>,</w:t>
            </w:r>
            <w:r w:rsidRPr="0062309D">
              <w:rPr>
                <w:rFonts w:ascii="Times New Roman" w:hAnsi="Times New Roman" w:cs="Times New Roman"/>
              </w:rPr>
              <w:t>926</w:t>
            </w:r>
          </w:p>
        </w:tc>
      </w:tr>
      <w:tr w:rsidR="00E73A66" w:rsidRPr="0062309D" w:rsidTr="008E75AF">
        <w:trPr>
          <w:trHeight w:val="454"/>
        </w:trPr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Put option price (</w:t>
            </w:r>
            <w:r w:rsidRPr="0062309D">
              <w:rPr>
                <w:rFonts w:ascii="Times New Roman" w:eastAsia="Malgun Gothic" w:hAnsi="Times New Roman" w:cs="Times New Roman"/>
                <w:i/>
                <w:iCs/>
              </w:rPr>
              <w:t>P</w:t>
            </w:r>
            <w:r w:rsidRPr="0062309D">
              <w:rPr>
                <w:rFonts w:ascii="Times New Roman" w:eastAsia="Malgun Gothic" w:hAnsi="Times New Roman" w:cs="Times New Roman"/>
              </w:rPr>
              <w:t>)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hAnsi="Times New Roman" w:cs="Times New Roman"/>
              </w:rPr>
              <w:t>1</w:t>
            </w:r>
            <w:r w:rsidRPr="0062309D">
              <w:rPr>
                <w:rFonts w:ascii="Times New Roman" w:hAnsi="Times New Roman" w:cs="Times New Roman" w:hint="eastAsia"/>
              </w:rPr>
              <w:t>,</w:t>
            </w:r>
            <w:r w:rsidRPr="0062309D">
              <w:rPr>
                <w:rFonts w:ascii="Times New Roman" w:hAnsi="Times New Roman" w:cs="Times New Roman"/>
              </w:rPr>
              <w:t>181</w:t>
            </w:r>
            <w:r w:rsidRPr="0062309D">
              <w:rPr>
                <w:rFonts w:ascii="Times New Roman" w:hAnsi="Times New Roman" w:cs="Times New Roman" w:hint="eastAsia"/>
              </w:rPr>
              <w:t>,</w:t>
            </w:r>
            <w:r w:rsidRPr="0062309D">
              <w:rPr>
                <w:rFonts w:ascii="Times New Roman" w:hAnsi="Times New Roman" w:cs="Times New Roman"/>
              </w:rPr>
              <w:t>289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hAnsi="Times New Roman" w:cs="Times New Roman"/>
              </w:rPr>
              <w:t>1</w:t>
            </w:r>
            <w:r w:rsidRPr="0062309D">
              <w:rPr>
                <w:rFonts w:ascii="Times New Roman" w:hAnsi="Times New Roman" w:cs="Times New Roman" w:hint="eastAsia"/>
              </w:rPr>
              <w:t>,</w:t>
            </w:r>
            <w:r w:rsidRPr="0062309D">
              <w:rPr>
                <w:rFonts w:ascii="Times New Roman" w:hAnsi="Times New Roman" w:cs="Times New Roman"/>
              </w:rPr>
              <w:t>477</w:t>
            </w:r>
            <w:r w:rsidRPr="0062309D">
              <w:rPr>
                <w:rFonts w:ascii="Times New Roman" w:hAnsi="Times New Roman" w:cs="Times New Roman" w:hint="eastAsia"/>
              </w:rPr>
              <w:t>,</w:t>
            </w:r>
            <w:r w:rsidRPr="0062309D">
              <w:rPr>
                <w:rFonts w:ascii="Times New Roman" w:hAnsi="Times New Roman" w:cs="Times New Roman"/>
              </w:rPr>
              <w:t>927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hAnsi="Times New Roman" w:cs="Times New Roman"/>
              </w:rPr>
              <w:t>815</w:t>
            </w:r>
            <w:r w:rsidRPr="0062309D">
              <w:rPr>
                <w:rFonts w:ascii="Times New Roman" w:hAnsi="Times New Roman" w:cs="Times New Roman" w:hint="eastAsia"/>
              </w:rPr>
              <w:t>,</w:t>
            </w:r>
            <w:r w:rsidRPr="0062309D">
              <w:rPr>
                <w:rFonts w:ascii="Times New Roman" w:hAnsi="Times New Roman" w:cs="Times New Roman"/>
              </w:rPr>
              <w:t>097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hAnsi="Times New Roman" w:cs="Times New Roman"/>
              </w:rPr>
              <w:t>784</w:t>
            </w:r>
            <w:r w:rsidRPr="0062309D">
              <w:rPr>
                <w:rFonts w:ascii="Times New Roman" w:hAnsi="Times New Roman" w:cs="Times New Roman" w:hint="eastAsia"/>
              </w:rPr>
              <w:t>,</w:t>
            </w:r>
            <w:r w:rsidRPr="0062309D">
              <w:rPr>
                <w:rFonts w:ascii="Times New Roman" w:hAnsi="Times New Roman" w:cs="Times New Roman"/>
              </w:rPr>
              <w:t>445</w:t>
            </w:r>
          </w:p>
        </w:tc>
      </w:tr>
      <w:tr w:rsidR="00E73A66" w:rsidRPr="0062309D" w:rsidTr="008E75AF">
        <w:trPr>
          <w:trHeight w:val="454"/>
        </w:trPr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Rate shock cost (OB)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hAnsi="Times New Roman" w:cs="Times New Roman"/>
              </w:rPr>
              <w:t>210,003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hAnsi="Times New Roman" w:cs="Times New Roman"/>
              </w:rPr>
              <w:t>265,986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hAnsi="Times New Roman" w:cs="Times New Roman"/>
              </w:rPr>
              <w:t>276,966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hAnsi="Times New Roman" w:cs="Times New Roman"/>
              </w:rPr>
              <w:t>280,838</w:t>
            </w:r>
          </w:p>
        </w:tc>
      </w:tr>
      <w:tr w:rsidR="00E73A66" w:rsidRPr="0062309D" w:rsidTr="008E75AF">
        <w:trPr>
          <w:trHeight w:val="454"/>
        </w:trPr>
        <w:tc>
          <w:tcPr>
            <w:tcW w:w="168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eastAsia="Malgun Gothic" w:hAnsi="Times New Roman" w:cs="Times New Roman"/>
              </w:rPr>
              <w:t>Time decay sensitivity (OTS)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hAnsi="Times New Roman" w:cs="Times New Roman"/>
              </w:rPr>
              <w:t>0.17</w:t>
            </w:r>
            <w:r w:rsidRPr="0062309D"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hAnsi="Times New Roman" w:cs="Times New Roman"/>
              </w:rPr>
              <w:t>0.179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hAnsi="Times New Roman" w:cs="Times New Roman"/>
              </w:rPr>
              <w:t>0.339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3A66" w:rsidRPr="0062309D" w:rsidRDefault="00E73A66" w:rsidP="008E75AF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</w:rPr>
            </w:pPr>
            <w:r w:rsidRPr="0062309D">
              <w:rPr>
                <w:rFonts w:ascii="Times New Roman" w:hAnsi="Times New Roman" w:cs="Times New Roman"/>
              </w:rPr>
              <w:t>0.358</w:t>
            </w:r>
          </w:p>
        </w:tc>
      </w:tr>
    </w:tbl>
    <w:p w:rsidR="00600D46" w:rsidRDefault="00600D46"/>
    <w:sectPr w:rsidR="00600D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A66"/>
    <w:rsid w:val="000E39E9"/>
    <w:rsid w:val="00180336"/>
    <w:rsid w:val="003F0FAC"/>
    <w:rsid w:val="00522917"/>
    <w:rsid w:val="00565B59"/>
    <w:rsid w:val="00600D46"/>
    <w:rsid w:val="0064583E"/>
    <w:rsid w:val="00971F83"/>
    <w:rsid w:val="00BD0938"/>
    <w:rsid w:val="00D53E3D"/>
    <w:rsid w:val="00E73A66"/>
    <w:rsid w:val="00F66AD0"/>
    <w:rsid w:val="00FC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F2837"/>
  <w15:docId w15:val="{8317C973-E180-4AF5-A993-AD3D61D32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3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A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1298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22144</dc:creator>
  <cp:lastModifiedBy>Dhanesh  M</cp:lastModifiedBy>
  <cp:revision>2</cp:revision>
  <dcterms:created xsi:type="dcterms:W3CDTF">2026-01-08T16:20:00Z</dcterms:created>
  <dcterms:modified xsi:type="dcterms:W3CDTF">2026-01-08T16:20:00Z</dcterms:modified>
</cp:coreProperties>
</file>