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A6" w:rsidRDefault="00C967A6" w:rsidP="00C967A6">
      <w:pPr>
        <w:pStyle w:val="Heading1"/>
        <w:numPr>
          <w:ilvl w:val="0"/>
          <w:numId w:val="0"/>
        </w:numPr>
        <w:ind w:left="720"/>
        <w:jc w:val="left"/>
      </w:pPr>
      <w:bookmarkStart w:id="0" w:name="_GoBack"/>
      <w:bookmarkEnd w:id="0"/>
      <w:r>
        <w:t>Online appendix</w:t>
      </w:r>
    </w:p>
    <w:p w:rsidR="00C967A6" w:rsidRPr="00644B9D" w:rsidRDefault="00C967A6" w:rsidP="00C967A6"/>
    <w:tbl>
      <w:tblPr>
        <w:tblW w:w="8713" w:type="dxa"/>
        <w:tblInd w:w="108" w:type="dxa"/>
        <w:tblLook w:val="04A0" w:firstRow="1" w:lastRow="0" w:firstColumn="1" w:lastColumn="0" w:noHBand="0" w:noVBand="1"/>
      </w:tblPr>
      <w:tblGrid>
        <w:gridCol w:w="1959"/>
        <w:gridCol w:w="3320"/>
        <w:gridCol w:w="1616"/>
        <w:gridCol w:w="1818"/>
      </w:tblGrid>
      <w:tr w:rsidR="00C967A6" w:rsidRPr="00F02B0E" w:rsidTr="00C24191">
        <w:trPr>
          <w:trHeight w:val="288"/>
        </w:trPr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jc w:val="center"/>
              <w:rPr>
                <w:b/>
                <w:bCs/>
              </w:rPr>
            </w:pPr>
            <w:r w:rsidRPr="00F02B0E">
              <w:rPr>
                <w:b/>
                <w:bCs/>
              </w:rPr>
              <w:t>Table 1. Sample selection</w:t>
            </w:r>
          </w:p>
        </w:tc>
      </w:tr>
      <w:tr w:rsidR="00C967A6" w:rsidRPr="00F02B0E" w:rsidTr="00C24191">
        <w:trPr>
          <w:trHeight w:val="552"/>
        </w:trPr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Panel A. Sample selections for all non-financial firm-years from 2014 to 2022 distributed by years</w:t>
            </w:r>
          </w:p>
        </w:tc>
      </w:tr>
      <w:tr w:rsidR="00C967A6" w:rsidRPr="00F02B0E" w:rsidTr="00C24191">
        <w:trPr>
          <w:trHeight w:val="300"/>
        </w:trPr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 xml:space="preserve">                Year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No. of obs.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6.65%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246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7.58%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299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9.21%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325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10.01%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392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12.08%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2019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360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11.09%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2020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368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11.34%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2021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519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15.99%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300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2022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521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16.05%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Total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3,246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100%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967A6" w:rsidRPr="00F02B0E" w:rsidTr="00C24191">
        <w:trPr>
          <w:trHeight w:val="288"/>
        </w:trPr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Panel B. Sample selection distribution by industry</w:t>
            </w:r>
          </w:p>
        </w:tc>
      </w:tr>
      <w:tr w:rsidR="00C967A6" w:rsidRPr="00F02B0E" w:rsidTr="00C24191">
        <w:trPr>
          <w:trHeight w:val="300"/>
        </w:trPr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proofErr w:type="spellStart"/>
            <w:r w:rsidRPr="00F02B0E">
              <w:rPr>
                <w:rFonts w:eastAsia="Times New Roman" w:cs="Times New Roman"/>
                <w:i/>
                <w:iCs/>
              </w:rPr>
              <w:t>GICS</w:t>
            </w:r>
            <w:proofErr w:type="spellEnd"/>
            <w:r w:rsidRPr="00F02B0E">
              <w:rPr>
                <w:rFonts w:eastAsia="Times New Roman" w:cs="Times New Roman"/>
                <w:i/>
                <w:iCs/>
              </w:rPr>
              <w:t xml:space="preserve"> code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Industry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Obs.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</w:rPr>
            </w:pPr>
            <w:r w:rsidRPr="00F02B0E">
              <w:rPr>
                <w:rFonts w:eastAsia="Times New Roman" w:cs="Times New Roman"/>
                <w:i/>
                <w:iCs/>
              </w:rPr>
              <w:t>Percent (%)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Real Estate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356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11%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Health Care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  84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Industrials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1,015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31%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Utilities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234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7%</w:t>
            </w:r>
          </w:p>
        </w:tc>
      </w:tr>
      <w:tr w:rsidR="00C967A6" w:rsidRPr="00F02B0E" w:rsidTr="00C24191">
        <w:trPr>
          <w:trHeight w:val="276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Communication Services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131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4%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Consumer Staples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323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10%</w:t>
            </w:r>
          </w:p>
        </w:tc>
      </w:tr>
      <w:tr w:rsidR="00C967A6" w:rsidRPr="00F02B0E" w:rsidTr="00C24191">
        <w:trPr>
          <w:trHeight w:val="336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Consumer Discretionary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281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9%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09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Energy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  38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Materials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   784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24%</w:t>
            </w:r>
          </w:p>
        </w:tc>
      </w:tr>
      <w:tr w:rsidR="00C967A6" w:rsidRPr="00F02B0E" w:rsidTr="00C24191">
        <w:trPr>
          <w:trHeight w:val="28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Total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 xml:space="preserve">          3,246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rPr>
                <w:rFonts w:eastAsia="Times New Roman" w:cs="Times New Roman"/>
              </w:rPr>
              <w:t>100%</w:t>
            </w:r>
          </w:p>
        </w:tc>
      </w:tr>
    </w:tbl>
    <w:p w:rsidR="00C967A6" w:rsidRPr="00873343" w:rsidRDefault="00C967A6" w:rsidP="00C967A6">
      <w:pPr>
        <w:tabs>
          <w:tab w:val="left" w:pos="270"/>
        </w:tabs>
        <w:spacing w:before="240"/>
      </w:pPr>
      <w:r>
        <w:rPr>
          <w:b/>
          <w:bCs/>
        </w:rPr>
        <w:tab/>
      </w:r>
      <w:r w:rsidRPr="00873343">
        <w:rPr>
          <w:b/>
          <w:bCs/>
        </w:rPr>
        <w:t xml:space="preserve">Source(s): </w:t>
      </w:r>
      <w:r w:rsidRPr="00873343">
        <w:t xml:space="preserve">The </w:t>
      </w:r>
      <w:proofErr w:type="gramStart"/>
      <w:r w:rsidRPr="00873343">
        <w:t>table</w:t>
      </w:r>
      <w:r>
        <w:t>s</w:t>
      </w:r>
      <w:r w:rsidRPr="00873343">
        <w:t xml:space="preserve"> is</w:t>
      </w:r>
      <w:proofErr w:type="gramEnd"/>
      <w:r w:rsidRPr="00873343">
        <w:t xml:space="preserve"> created by authors.</w:t>
      </w:r>
    </w:p>
    <w:p w:rsidR="00C967A6" w:rsidRPr="00F02B0E" w:rsidRDefault="00C967A6" w:rsidP="00C967A6">
      <w:pPr>
        <w:spacing w:after="160" w:line="259" w:lineRule="auto"/>
        <w:rPr>
          <w:rFonts w:eastAsiaTheme="majorEastAsia" w:cstheme="majorBidi"/>
          <w:b/>
          <w:szCs w:val="32"/>
        </w:rPr>
      </w:pPr>
    </w:p>
    <w:p w:rsidR="00C967A6" w:rsidRPr="00F02B0E" w:rsidRDefault="00C967A6" w:rsidP="00C967A6">
      <w:pPr>
        <w:spacing w:after="160" w:line="259" w:lineRule="auto"/>
        <w:jc w:val="center"/>
        <w:rPr>
          <w:b/>
          <w:bCs/>
        </w:rPr>
      </w:pPr>
      <w:r w:rsidRPr="00F02B0E">
        <w:rPr>
          <w:b/>
          <w:bCs/>
        </w:rPr>
        <w:br w:type="page"/>
      </w:r>
      <w:proofErr w:type="gramStart"/>
      <w:r w:rsidRPr="00F02B0E">
        <w:rPr>
          <w:rFonts w:eastAsia="Times New Roman" w:cs="Times New Roman"/>
          <w:b/>
          <w:bCs/>
        </w:rPr>
        <w:lastRenderedPageBreak/>
        <w:t>Table 2.</w:t>
      </w:r>
      <w:proofErr w:type="gramEnd"/>
      <w:r w:rsidRPr="00F02B0E">
        <w:rPr>
          <w:rFonts w:eastAsia="Times New Roman" w:cs="Times New Roman"/>
          <w:b/>
          <w:bCs/>
        </w:rPr>
        <w:t xml:space="preserve"> Corporate social responsibility information disclosure in each item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4417"/>
        <w:gridCol w:w="774"/>
        <w:gridCol w:w="816"/>
      </w:tblGrid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1" w:name="_Hlk161306238"/>
            <w:r w:rsidRPr="00F02B0E">
              <w:rPr>
                <w:rFonts w:eastAsia="Times New Roman"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02B0E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02B0E">
              <w:rPr>
                <w:rFonts w:eastAsia="Times New Roman" w:cs="Times New Roman"/>
                <w:b/>
                <w:bCs/>
                <w:sz w:val="20"/>
                <w:szCs w:val="20"/>
              </w:rPr>
              <w:t>Obs.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02B0E">
              <w:rPr>
                <w:rFonts w:eastAsia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Effect on environment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0.48%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EN2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1.00%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EN3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Management of raw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3.85%</w:t>
            </w:r>
          </w:p>
        </w:tc>
      </w:tr>
      <w:tr w:rsidR="00C967A6" w:rsidRPr="00F02B0E" w:rsidTr="00C24191">
        <w:trPr>
          <w:trHeight w:val="31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EN4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1.33%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EN5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7.04%</w:t>
            </w:r>
          </w:p>
        </w:tc>
      </w:tr>
      <w:tr w:rsidR="00C967A6" w:rsidRPr="00F02B0E" w:rsidTr="00C24191">
        <w:trPr>
          <w:trHeight w:val="64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EN6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1.88%</w:t>
            </w:r>
          </w:p>
        </w:tc>
      </w:tr>
      <w:tr w:rsidR="00C967A6" w:rsidRPr="00F02B0E" w:rsidTr="00C24191">
        <w:trPr>
          <w:trHeight w:val="271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EN7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1.99%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EN8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6.05%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EN9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1.68%</w:t>
            </w:r>
          </w:p>
        </w:tc>
      </w:tr>
      <w:tr w:rsidR="00C967A6" w:rsidRPr="00F02B0E" w:rsidTr="00C24191">
        <w:trPr>
          <w:trHeight w:val="564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EN10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Compliance with the law on environmental protection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7.11%</w:t>
            </w:r>
          </w:p>
        </w:tc>
      </w:tr>
      <w:tr w:rsidR="00C967A6" w:rsidRPr="00F02B0E" w:rsidTr="00C24191">
        <w:trPr>
          <w:trHeight w:val="54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EN11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5.51%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EN12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Policies related to employees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1,867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14.48%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EN13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12.10%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EN14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1,834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14.23%</w:t>
            </w:r>
          </w:p>
        </w:tc>
      </w:tr>
      <w:tr w:rsidR="00C967A6" w:rsidRPr="00F02B0E" w:rsidTr="00C24191">
        <w:trPr>
          <w:trHeight w:val="280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EN15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3.79%</w:t>
            </w:r>
          </w:p>
        </w:tc>
      </w:tr>
      <w:tr w:rsidR="00C967A6" w:rsidRPr="00F02B0E" w:rsidTr="00C24191">
        <w:trPr>
          <w:trHeight w:val="172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EN16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4.56%</w:t>
            </w:r>
          </w:p>
        </w:tc>
      </w:tr>
      <w:tr w:rsidR="00C967A6" w:rsidRPr="00F02B0E" w:rsidTr="00C24191">
        <w:trPr>
          <w:trHeight w:val="145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EN17</w:t>
            </w:r>
            <w:proofErr w:type="spellEnd"/>
          </w:p>
        </w:tc>
        <w:tc>
          <w:tcPr>
            <w:tcW w:w="4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10.70%</w:t>
            </w:r>
          </w:p>
        </w:tc>
      </w:tr>
      <w:tr w:rsidR="00C967A6" w:rsidRPr="00F02B0E" w:rsidTr="00C24191">
        <w:trPr>
          <w:trHeight w:val="487"/>
          <w:jc w:val="center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ind w:right="-204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02B0E">
              <w:rPr>
                <w:rFonts w:eastAsia="Times New Roman" w:cs="Times New Roman"/>
                <w:sz w:val="20"/>
                <w:szCs w:val="20"/>
              </w:rPr>
              <w:t>EN18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Report on responsibility for local community.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2.23%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12,892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7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7A6" w:rsidRPr="008804DA" w:rsidRDefault="00C967A6" w:rsidP="00C24191">
            <w:pPr>
              <w:spacing w:before="240"/>
              <w:rPr>
                <w:sz w:val="20"/>
                <w:szCs w:val="20"/>
              </w:rPr>
            </w:pPr>
            <w:r w:rsidRPr="008804DA">
              <w:rPr>
                <w:b/>
                <w:bCs/>
                <w:sz w:val="20"/>
                <w:szCs w:val="20"/>
              </w:rPr>
              <w:t xml:space="preserve">Source(s): </w:t>
            </w:r>
            <w:r w:rsidRPr="008804DA">
              <w:rPr>
                <w:sz w:val="20"/>
                <w:szCs w:val="20"/>
              </w:rPr>
              <w:t>The table is created by authors.</w:t>
            </w:r>
          </w:p>
          <w:p w:rsidR="00C967A6" w:rsidRPr="008804DA" w:rsidRDefault="00C967A6" w:rsidP="00C24191">
            <w:pPr>
              <w:spacing w:before="24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:rsidR="00C967A6" w:rsidRPr="00F02B0E" w:rsidRDefault="00C967A6" w:rsidP="00C967A6">
      <w:pPr>
        <w:spacing w:after="160" w:line="259" w:lineRule="auto"/>
        <w:rPr>
          <w:b/>
          <w:bCs/>
        </w:rPr>
      </w:pPr>
      <w:r w:rsidRPr="00F02B0E">
        <w:rPr>
          <w:b/>
          <w:bCs/>
        </w:rPr>
        <w:br w:type="page"/>
      </w:r>
    </w:p>
    <w:p w:rsidR="00C967A6" w:rsidRPr="00F02B0E" w:rsidRDefault="00C967A6" w:rsidP="00C967A6">
      <w:pPr>
        <w:spacing w:after="160" w:line="259" w:lineRule="auto"/>
        <w:rPr>
          <w:b/>
          <w:bCs/>
        </w:rPr>
      </w:pPr>
    </w:p>
    <w:p w:rsidR="00C967A6" w:rsidRPr="00F02B0E" w:rsidRDefault="00C967A6" w:rsidP="00C967A6">
      <w:pPr>
        <w:jc w:val="center"/>
        <w:rPr>
          <w:b/>
          <w:bCs/>
        </w:rPr>
      </w:pPr>
      <w:proofErr w:type="gramStart"/>
      <w:r w:rsidRPr="00F02B0E">
        <w:rPr>
          <w:b/>
          <w:bCs/>
        </w:rPr>
        <w:t>Table 3.</w:t>
      </w:r>
      <w:proofErr w:type="gramEnd"/>
      <w:r w:rsidRPr="00F02B0E">
        <w:rPr>
          <w:b/>
          <w:bCs/>
        </w:rPr>
        <w:t xml:space="preserve"> Descriptive statistics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40"/>
        <w:gridCol w:w="1339"/>
        <w:gridCol w:w="928"/>
        <w:gridCol w:w="1048"/>
        <w:gridCol w:w="1551"/>
        <w:gridCol w:w="928"/>
        <w:gridCol w:w="1551"/>
      </w:tblGrid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Observation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Mean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Std. Dev.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25</w:t>
            </w:r>
            <w:r w:rsidRPr="00F02B0E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F02B0E">
              <w:rPr>
                <w:rFonts w:eastAsia="Times New Roman" w:cs="Times New Roman"/>
                <w:b/>
                <w:bCs/>
              </w:rPr>
              <w:t xml:space="preserve"> Percentile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Median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02B0E">
              <w:rPr>
                <w:rFonts w:eastAsia="Times New Roman" w:cs="Times New Roman"/>
                <w:b/>
                <w:bCs/>
              </w:rPr>
              <w:t>75</w:t>
            </w:r>
            <w:r w:rsidRPr="00F02B0E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F02B0E">
              <w:rPr>
                <w:rFonts w:eastAsia="Times New Roman" w:cs="Times New Roman"/>
                <w:b/>
                <w:bCs/>
              </w:rPr>
              <w:t xml:space="preserve"> Percentile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bookmarkStart w:id="2" w:name="_Hlk158127797"/>
            <w:r w:rsidRPr="00F02B0E">
              <w:rPr>
                <w:i/>
                <w:iCs/>
              </w:rPr>
              <w:t>Dependent variables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SMOOTHING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2,152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0.355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0.363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0.133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0.402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0.644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DAC_MJ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0.091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1.371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-0.184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0.049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0.290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DAC_K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0.082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1.378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-0.203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0.045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0.305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BENCH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0.059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0.063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0.047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0.086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ADJ_ROA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it+1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2,722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0.065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-0.018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0.029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i/>
                <w:iCs/>
              </w:rPr>
              <w:t>Variable of interest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CSRI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0.221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0.232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0.167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0.389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F02B0E">
              <w:rPr>
                <w:i/>
                <w:iCs/>
              </w:rPr>
              <w:t>Control variables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SALES_GROWTH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i,t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0.170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0.659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-0.092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0.067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0.242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BIG4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i,t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0.266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0.442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1.000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ROA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0.061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0.068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0.019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0.048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0.088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LEV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0.483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0.218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0.320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0.493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0.655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M/B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-0.005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0.689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-0.460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0.443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SIZE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26.863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1.742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25.692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26.673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27.899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AGE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8.612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3.350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6.000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9.000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11.000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DUAL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0.209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0.407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</w:tr>
      <w:tr w:rsidR="00C967A6" w:rsidRPr="00F02B0E" w:rsidTr="00C24191">
        <w:trPr>
          <w:trHeight w:val="276"/>
          <w:jc w:val="center"/>
        </w:trPr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LOSS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3,246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0.103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F02B0E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02B0E">
              <w:t>0.000</w:t>
            </w:r>
          </w:p>
        </w:tc>
      </w:tr>
    </w:tbl>
    <w:bookmarkEnd w:id="2"/>
    <w:p w:rsidR="00C967A6" w:rsidRPr="001A53B0" w:rsidRDefault="00C967A6" w:rsidP="00C967A6">
      <w:pPr>
        <w:spacing w:after="0"/>
      </w:pPr>
      <w:r w:rsidRPr="007809E8">
        <w:rPr>
          <w:b/>
          <w:bCs/>
        </w:rPr>
        <w:t>Note:</w:t>
      </w:r>
      <w:r w:rsidRPr="001A53B0">
        <w:t xml:space="preserve"> All variables are defined in the </w:t>
      </w:r>
      <w:r>
        <w:t>Appendix</w:t>
      </w:r>
      <w:r>
        <w:rPr>
          <w:lang w:val="vi-VN"/>
        </w:rPr>
        <w:t xml:space="preserve"> 1</w:t>
      </w:r>
      <w:r w:rsidRPr="001A53B0">
        <w:t xml:space="preserve">. </w:t>
      </w:r>
    </w:p>
    <w:p w:rsidR="00C967A6" w:rsidRPr="00002093" w:rsidRDefault="00C967A6" w:rsidP="00C967A6">
      <w:pPr>
        <w:rPr>
          <w:sz w:val="20"/>
          <w:szCs w:val="20"/>
        </w:rPr>
      </w:pPr>
      <w:r w:rsidRPr="001A53B0">
        <w:rPr>
          <w:b/>
          <w:bCs/>
        </w:rPr>
        <w:t xml:space="preserve">Source(s): </w:t>
      </w:r>
      <w:r w:rsidRPr="001A53B0">
        <w:t>The table is created by authors</w:t>
      </w:r>
      <w:r w:rsidRPr="00002093">
        <w:rPr>
          <w:sz w:val="20"/>
          <w:szCs w:val="20"/>
        </w:rPr>
        <w:t>.</w:t>
      </w:r>
    </w:p>
    <w:p w:rsidR="00C967A6" w:rsidRPr="00F02B0E" w:rsidRDefault="00C967A6" w:rsidP="00C967A6"/>
    <w:p w:rsidR="00C967A6" w:rsidRPr="00F02B0E" w:rsidRDefault="00C967A6" w:rsidP="00C967A6">
      <w:pPr>
        <w:spacing w:after="160" w:line="259" w:lineRule="auto"/>
        <w:sectPr w:rsidR="00C967A6" w:rsidRPr="00F02B0E" w:rsidSect="00464B6C">
          <w:footerReference w:type="default" r:id="rId6"/>
          <w:pgSz w:w="12240" w:h="15840"/>
          <w:pgMar w:top="1170" w:right="1170" w:bottom="360" w:left="1701" w:header="720" w:footer="720" w:gutter="0"/>
          <w:cols w:space="720"/>
          <w:docGrid w:linePitch="360"/>
        </w:sectPr>
      </w:pPr>
      <w:r w:rsidRPr="00F02B0E">
        <w:br w:type="page"/>
      </w:r>
    </w:p>
    <w:p w:rsidR="00C967A6" w:rsidRPr="00F02B0E" w:rsidRDefault="00C967A6" w:rsidP="00C967A6">
      <w:pPr>
        <w:jc w:val="center"/>
        <w:rPr>
          <w:b/>
          <w:bCs/>
        </w:rPr>
      </w:pPr>
      <w:proofErr w:type="gramStart"/>
      <w:r w:rsidRPr="00F02B0E">
        <w:rPr>
          <w:b/>
          <w:bCs/>
        </w:rPr>
        <w:lastRenderedPageBreak/>
        <w:t>Table 4.</w:t>
      </w:r>
      <w:proofErr w:type="gramEnd"/>
      <w:r w:rsidRPr="00F02B0E">
        <w:rPr>
          <w:b/>
          <w:bCs/>
        </w:rPr>
        <w:t xml:space="preserve"> Pearson Correlations</w:t>
      </w:r>
    </w:p>
    <w:tbl>
      <w:tblPr>
        <w:tblW w:w="14598" w:type="dxa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810"/>
        <w:gridCol w:w="900"/>
        <w:gridCol w:w="810"/>
        <w:gridCol w:w="810"/>
        <w:gridCol w:w="900"/>
        <w:gridCol w:w="810"/>
        <w:gridCol w:w="810"/>
        <w:gridCol w:w="810"/>
        <w:gridCol w:w="810"/>
        <w:gridCol w:w="810"/>
        <w:gridCol w:w="810"/>
        <w:gridCol w:w="810"/>
        <w:gridCol w:w="630"/>
        <w:gridCol w:w="540"/>
        <w:gridCol w:w="540"/>
      </w:tblGrid>
      <w:tr w:rsidR="00C967A6" w:rsidRPr="00F02B0E" w:rsidTr="00C24191">
        <w:tc>
          <w:tcPr>
            <w:tcW w:w="208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(3)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(4)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(6)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(7)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(8)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(9)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(10)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(13)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(14)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(15)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F02B0E">
              <w:rPr>
                <w:rFonts w:cs="Times New Roman"/>
                <w:sz w:val="16"/>
                <w:szCs w:val="16"/>
              </w:rPr>
              <w:t>VIF</w:t>
            </w:r>
            <w:proofErr w:type="spellEnd"/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ABS_DAC_MJ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(2)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ABS_DAC_K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0.96***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(3)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AVOIDANCE_LOSS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0.04**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(4) SMOOTHING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(5)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ADJ_ROA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it+1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(6)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CSRI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-0.05**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1.03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>(7) GROWTH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-0.07***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1.02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(8)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BIG4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1.01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(9)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ROA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0.04**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-0.32***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0.45***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1.61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(10)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LEV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-0.19***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-0.20***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0.07***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-0.05**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-0.12***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-0.36***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1.23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>(11) M/B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0.32***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0.46***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1.88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(12)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SIZE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-0.27***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-0.20***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0.17***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0.25***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0.59***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1.56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(13)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AGE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0.14***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0.13***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1.06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(14)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DUAL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-0.07***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-0.07***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-0.05***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-0.14***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1.03</w:t>
            </w:r>
          </w:p>
        </w:tc>
      </w:tr>
      <w:tr w:rsidR="00C967A6" w:rsidRPr="00F02B0E" w:rsidTr="00C2419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vertAlign w:val="subscript"/>
              </w:rPr>
            </w:pPr>
            <w:r w:rsidRPr="00F02B0E">
              <w:rPr>
                <w:rFonts w:cs="Times New Roman"/>
                <w:sz w:val="16"/>
                <w:szCs w:val="16"/>
              </w:rPr>
              <w:t xml:space="preserve">(15) </w:t>
            </w:r>
            <w:proofErr w:type="spellStart"/>
            <w:r w:rsidRPr="00F02B0E">
              <w:rPr>
                <w:rFonts w:cs="Times New Roman"/>
                <w:sz w:val="16"/>
                <w:szCs w:val="16"/>
              </w:rPr>
              <w:t>LOSS</w:t>
            </w:r>
            <w:r w:rsidRPr="00F02B0E">
              <w:rPr>
                <w:rFonts w:cs="Times New Roman"/>
                <w:sz w:val="16"/>
                <w:szCs w:val="16"/>
                <w:vertAlign w:val="subscript"/>
              </w:rPr>
              <w:t>it</w:t>
            </w:r>
            <w:proofErr w:type="spellEnd"/>
            <w:r w:rsidRPr="00F02B0E">
              <w:rPr>
                <w:rFonts w:cs="Times New Roman"/>
                <w:sz w:val="16"/>
                <w:szCs w:val="16"/>
                <w:vertAlign w:val="subscrip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0.08***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0.07***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0.07***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-0.08***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-0.19***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-0.06***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-0.03*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F02B0E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02B0E">
              <w:rPr>
                <w:rFonts w:cs="Times New Roman"/>
                <w:sz w:val="16"/>
                <w:szCs w:val="16"/>
              </w:rPr>
              <w:t>1.04</w:t>
            </w:r>
          </w:p>
        </w:tc>
      </w:tr>
      <w:tr w:rsidR="00C967A6" w:rsidRPr="007710D6" w:rsidTr="00C24191">
        <w:tc>
          <w:tcPr>
            <w:tcW w:w="14058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67A6" w:rsidRPr="007710D6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  <w:lang w:val="vi-VN"/>
              </w:rPr>
            </w:pPr>
            <w:r w:rsidRPr="007710D6">
              <w:rPr>
                <w:rFonts w:cs="Times New Roman"/>
                <w:b/>
                <w:bCs/>
                <w:sz w:val="20"/>
                <w:szCs w:val="20"/>
              </w:rPr>
              <w:t>Note(s):</w:t>
            </w:r>
            <w:r w:rsidRPr="007710D6">
              <w:rPr>
                <w:rFonts w:cs="Times New Roman"/>
                <w:sz w:val="20"/>
                <w:szCs w:val="20"/>
              </w:rPr>
              <w:t xml:space="preserve"> *, **, and *** denote the statistical significance levels of coefficients at 1%, 5%, and 10%, respectively. </w:t>
            </w:r>
            <w:proofErr w:type="spellStart"/>
            <w:r w:rsidRPr="007710D6">
              <w:rPr>
                <w:rFonts w:cs="Times New Roman"/>
                <w:sz w:val="20"/>
                <w:szCs w:val="20"/>
              </w:rPr>
              <w:t>VIF</w:t>
            </w:r>
            <w:proofErr w:type="spellEnd"/>
            <w:r w:rsidRPr="007710D6">
              <w:rPr>
                <w:rFonts w:cs="Times New Roman"/>
                <w:sz w:val="20"/>
                <w:szCs w:val="20"/>
              </w:rPr>
              <w:t xml:space="preserve"> represents the variance inflation factor for independent variables.</w:t>
            </w:r>
            <w:r w:rsidRPr="007710D6">
              <w:rPr>
                <w:rFonts w:cs="Times New Roman"/>
                <w:sz w:val="20"/>
                <w:szCs w:val="20"/>
                <w:lang w:val="vi-VN"/>
              </w:rPr>
              <w:t xml:space="preserve"> </w:t>
            </w:r>
            <w:r w:rsidRPr="007710D6">
              <w:rPr>
                <w:sz w:val="20"/>
                <w:szCs w:val="20"/>
              </w:rPr>
              <w:t>All variables are defined in the Appendix</w:t>
            </w:r>
            <w:r w:rsidRPr="007710D6">
              <w:rPr>
                <w:sz w:val="20"/>
                <w:szCs w:val="20"/>
                <w:lang w:val="vi-VN"/>
              </w:rPr>
              <w:t xml:space="preserve"> 1</w:t>
            </w:r>
            <w:r w:rsidRPr="007710D6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67A6" w:rsidRPr="007710D6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967A6" w:rsidRPr="007710D6" w:rsidRDefault="00C967A6" w:rsidP="00C967A6">
      <w:pPr>
        <w:rPr>
          <w:sz w:val="20"/>
          <w:szCs w:val="20"/>
        </w:rPr>
      </w:pPr>
      <w:r w:rsidRPr="007710D6">
        <w:rPr>
          <w:b/>
          <w:bCs/>
          <w:sz w:val="20"/>
          <w:szCs w:val="20"/>
        </w:rPr>
        <w:t xml:space="preserve">  Source(s): </w:t>
      </w:r>
      <w:r w:rsidRPr="007710D6">
        <w:rPr>
          <w:sz w:val="20"/>
          <w:szCs w:val="20"/>
        </w:rPr>
        <w:t>The table is created by authors.</w:t>
      </w:r>
    </w:p>
    <w:p w:rsidR="00C967A6" w:rsidRPr="00F02B0E" w:rsidRDefault="00C967A6" w:rsidP="00C967A6"/>
    <w:p w:rsidR="00C967A6" w:rsidRPr="00F02B0E" w:rsidRDefault="00C967A6" w:rsidP="00C967A6">
      <w:pPr>
        <w:spacing w:after="160" w:line="259" w:lineRule="auto"/>
      </w:pPr>
      <w:r w:rsidRPr="00F02B0E">
        <w:br w:type="page"/>
      </w:r>
    </w:p>
    <w:p w:rsidR="00C967A6" w:rsidRPr="00F02B0E" w:rsidRDefault="00C967A6" w:rsidP="00C967A6">
      <w:pPr>
        <w:sectPr w:rsidR="00C967A6" w:rsidRPr="00F02B0E" w:rsidSect="002D1F3E">
          <w:pgSz w:w="15840" w:h="12240" w:orient="landscape"/>
          <w:pgMar w:top="1701" w:right="1411" w:bottom="1170" w:left="360" w:header="720" w:footer="720" w:gutter="0"/>
          <w:cols w:space="720"/>
          <w:docGrid w:linePitch="360"/>
        </w:sectPr>
      </w:pPr>
    </w:p>
    <w:p w:rsidR="00C967A6" w:rsidRPr="009B528D" w:rsidRDefault="00C967A6" w:rsidP="00C967A6">
      <w:pPr>
        <w:jc w:val="center"/>
        <w:rPr>
          <w:b/>
          <w:bCs/>
        </w:rPr>
      </w:pPr>
      <w:r>
        <w:rPr>
          <w:b/>
          <w:bCs/>
        </w:rPr>
        <w:lastRenderedPageBreak/>
        <w:t>Table 8:</w:t>
      </w:r>
      <w:r w:rsidRPr="009B528D">
        <w:rPr>
          <w:b/>
          <w:bCs/>
        </w:rPr>
        <w:t xml:space="preserve"> Multiple Regression of Earnings Opacity on CSR Using Instrumental Variable Method</w:t>
      </w:r>
    </w:p>
    <w:p w:rsidR="00C967A6" w:rsidRPr="009B528D" w:rsidRDefault="00C967A6" w:rsidP="00C967A6">
      <w:pPr>
        <w:spacing w:after="0"/>
        <w:ind w:right="9"/>
        <w:rPr>
          <w:i/>
          <w:iCs/>
        </w:r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2380"/>
        <w:gridCol w:w="1282"/>
        <w:gridCol w:w="2080"/>
        <w:gridCol w:w="1573"/>
        <w:gridCol w:w="2095"/>
      </w:tblGrid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9B528D">
              <w:rPr>
                <w:rFonts w:eastAsia="Times New Roman" w:cs="Times New Roman"/>
                <w:b/>
                <w:bCs/>
                <w:color w:val="000000"/>
                <w:lang w:val="en-US"/>
              </w:rPr>
              <w:t>First-stage CSR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9B528D">
              <w:rPr>
                <w:rFonts w:eastAsia="Times New Roman" w:cs="Times New Roman"/>
                <w:b/>
                <w:bCs/>
                <w:color w:val="000000"/>
                <w:lang w:val="en-US"/>
              </w:rPr>
              <w:t>Second-stage avoidance loss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9B528D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Second-stage </w:t>
            </w:r>
            <w:r w:rsidRPr="007A2045">
              <w:rPr>
                <w:rFonts w:eastAsia="Times New Roman" w:cs="Times New Roman"/>
                <w:b/>
                <w:bCs/>
                <w:color w:val="000000"/>
                <w:lang w:val="en-US"/>
              </w:rPr>
              <w:t>smoothing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9B528D">
              <w:rPr>
                <w:rFonts w:eastAsia="Times New Roman" w:cs="Times New Roman"/>
                <w:b/>
                <w:bCs/>
                <w:color w:val="000000"/>
                <w:lang w:val="en-US"/>
              </w:rPr>
              <w:t>Second-stage abnormal accruals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ind w:left="-288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INDUSTRY_CSRI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0.393***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(0.052)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CSRI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it</m:t>
                  </m:r>
                </m:sub>
              </m:sSub>
            </m:oMath>
            <w:r w:rsidRPr="009B528D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r w:rsidRPr="007A2045">
              <w:rPr>
                <w:rFonts w:eastAsia="Times New Roman" w:cs="Times New Roman"/>
                <w:color w:val="000000"/>
                <w:lang w:val="en-US"/>
              </w:rPr>
              <w:t>(instrumented)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1.047***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0.125*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1.196**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(0.274)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(0.066)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(0.567)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ROA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-0.068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-1.836***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0.348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-1.408**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(0.086)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(0.266)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(0.251)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(0.633)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LEV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0.072***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-0.151*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-0.019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-0.256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(0.024)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(0.090)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(0.084)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(0.204)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M/B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-0.000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-0.046**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0.022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0.214***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(0.009)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(0.023)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(0.021)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(0.051)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SIZE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0.002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-0.027***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-0.014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-0.288***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(0.003)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(0.010)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(0.010)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(0.033)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AGE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0.000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-0.001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0.007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0.008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(0.002)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(0.005)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(0.005)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(0.010)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BIG4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i,t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0.022**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-0.031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-0.024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0.033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(0.011)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(0.032)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(0.034)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(0.070)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DUAL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-0.015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0.045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-0.050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0.008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(0.012)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(0.032)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(0.030)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(0.059)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LOSS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0.025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0.075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0.151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0.689**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(0.052)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1C03FB">
              <w:t>(0.136)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AE420A">
              <w:t>(0.095)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92986">
              <w:t>(0.342)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</w:rPr>
              <w:t>Year/</w:t>
            </w:r>
            <w:r w:rsidRPr="00F02B0E">
              <w:rPr>
                <w:rFonts w:eastAsia="Times New Roman" w:cs="Times New Roman"/>
              </w:rPr>
              <w:t>Industry dummies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Constant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0.072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10DF3">
              <w:rPr>
                <w:rFonts w:eastAsia="Times New Roman" w:cs="Times New Roman"/>
                <w:color w:val="000000"/>
                <w:lang w:val="en-US"/>
              </w:rPr>
              <w:t>0.108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10DF3">
              <w:rPr>
                <w:rFonts w:eastAsia="Times New Roman" w:cs="Times New Roman"/>
                <w:color w:val="000000"/>
                <w:lang w:val="en-US"/>
              </w:rPr>
              <w:t>0.209**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758BE">
              <w:rPr>
                <w:rFonts w:eastAsia="Times New Roman" w:cs="Times New Roman"/>
                <w:color w:val="000000"/>
                <w:lang w:val="en-US"/>
              </w:rPr>
              <w:t>1.529***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(0.092)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10DF3">
              <w:rPr>
                <w:rFonts w:eastAsia="Times New Roman" w:cs="Times New Roman"/>
                <w:color w:val="000000"/>
                <w:lang w:val="en-US"/>
              </w:rPr>
              <w:t>(0.083)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10DF3">
              <w:rPr>
                <w:rFonts w:eastAsia="Times New Roman" w:cs="Times New Roman"/>
                <w:color w:val="000000"/>
                <w:lang w:val="en-US"/>
              </w:rPr>
              <w:t>(0.092)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758BE">
              <w:rPr>
                <w:rFonts w:eastAsia="Times New Roman" w:cs="Times New Roman"/>
                <w:color w:val="000000"/>
                <w:lang w:val="en-US"/>
              </w:rPr>
              <w:t>(0.247)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Observations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2,403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2,403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1,804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2,403</w:t>
            </w:r>
          </w:p>
        </w:tc>
      </w:tr>
      <w:tr w:rsidR="00C967A6" w:rsidRPr="009B528D" w:rsidTr="00C24191">
        <w:trPr>
          <w:trHeight w:val="276"/>
        </w:trPr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R-squared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0.045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0.148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510DF3">
              <w:rPr>
                <w:rFonts w:eastAsia="Times New Roman" w:cs="Times New Roman"/>
                <w:color w:val="000000"/>
                <w:lang w:val="en-US"/>
              </w:rPr>
              <w:t>0.053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7A6" w:rsidRPr="007A2045" w:rsidRDefault="00C967A6" w:rsidP="00C24191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B11B1">
              <w:rPr>
                <w:rFonts w:eastAsia="Times New Roman" w:cs="Times New Roman"/>
                <w:color w:val="000000"/>
                <w:lang w:val="en-US"/>
              </w:rPr>
              <w:t>0.227</w:t>
            </w:r>
          </w:p>
        </w:tc>
      </w:tr>
    </w:tbl>
    <w:p w:rsidR="00C967A6" w:rsidRPr="00873343" w:rsidRDefault="00C967A6" w:rsidP="00C967A6">
      <w:pPr>
        <w:spacing w:after="0" w:line="240" w:lineRule="auto"/>
        <w:rPr>
          <w:rFonts w:eastAsia="Times New Roman" w:cs="Times New Roman"/>
          <w:color w:val="000000"/>
          <w:lang w:val="en-US"/>
        </w:rPr>
      </w:pPr>
      <w:r w:rsidRPr="00873343">
        <w:rPr>
          <w:rFonts w:eastAsia="Times New Roman" w:cs="Times New Roman"/>
          <w:color w:val="000000"/>
          <w:lang w:val="en-US"/>
        </w:rPr>
        <w:t xml:space="preserve">Note: This table displays the </w:t>
      </w:r>
      <w:proofErr w:type="spellStart"/>
      <w:r w:rsidRPr="00873343">
        <w:rPr>
          <w:rFonts w:eastAsia="Times New Roman" w:cs="Times New Roman"/>
          <w:color w:val="000000"/>
          <w:lang w:val="en-US"/>
        </w:rPr>
        <w:t>2SLS</w:t>
      </w:r>
      <w:proofErr w:type="spellEnd"/>
      <w:r w:rsidRPr="00873343">
        <w:rPr>
          <w:rFonts w:eastAsia="Times New Roman" w:cs="Times New Roman"/>
          <w:color w:val="000000"/>
          <w:lang w:val="en-US"/>
        </w:rPr>
        <w:t xml:space="preserve"> regression estimates for the impact of earnings opacity on CSR. The variable "industry-median CSR" (</w:t>
      </w:r>
      <w:proofErr w:type="spellStart"/>
      <w:r w:rsidRPr="00873343">
        <w:rPr>
          <w:rFonts w:eastAsia="Times New Roman" w:cs="Times New Roman"/>
          <w:color w:val="000000"/>
          <w:lang w:val="en-US"/>
        </w:rPr>
        <w:t>INDUSTRY_CSRI</w:t>
      </w:r>
      <w:proofErr w:type="spellEnd"/>
      <w:r w:rsidRPr="00873343">
        <w:rPr>
          <w:rFonts w:eastAsia="Times New Roman" w:cs="Times New Roman"/>
          <w:color w:val="000000"/>
          <w:lang w:val="en-US"/>
        </w:rPr>
        <w:t xml:space="preserve">) serves as an instrumental variable, as outlined in section 5 of the text. The first stage </w:t>
      </w:r>
      <w:proofErr w:type="spellStart"/>
      <w:r w:rsidRPr="00873343">
        <w:rPr>
          <w:rFonts w:eastAsia="Times New Roman" w:cs="Times New Roman"/>
          <w:color w:val="000000"/>
          <w:lang w:val="en-US"/>
        </w:rPr>
        <w:t>R²</w:t>
      </w:r>
      <w:proofErr w:type="spellEnd"/>
      <w:r w:rsidRPr="00873343">
        <w:rPr>
          <w:rFonts w:eastAsia="Times New Roman" w:cs="Times New Roman"/>
          <w:color w:val="000000"/>
          <w:lang w:val="en-US"/>
        </w:rPr>
        <w:t xml:space="preserve"> is overall, while for the second stage, the </w:t>
      </w:r>
      <w:proofErr w:type="spellStart"/>
      <w:r w:rsidRPr="00873343">
        <w:rPr>
          <w:rFonts w:eastAsia="Times New Roman" w:cs="Times New Roman"/>
          <w:color w:val="000000"/>
          <w:lang w:val="en-US"/>
        </w:rPr>
        <w:t>R²</w:t>
      </w:r>
      <w:proofErr w:type="spellEnd"/>
      <w:r w:rsidRPr="00873343">
        <w:rPr>
          <w:rFonts w:eastAsia="Times New Roman" w:cs="Times New Roman"/>
          <w:color w:val="000000"/>
          <w:lang w:val="en-US"/>
        </w:rPr>
        <w:t xml:space="preserve"> values are within firm, obtained from separate regressions for the first and second stages. Standard errors in parentheses</w:t>
      </w:r>
      <w:proofErr w:type="gramStart"/>
      <w:r w:rsidRPr="00873343">
        <w:rPr>
          <w:rFonts w:eastAsia="Times New Roman" w:cs="Times New Roman"/>
          <w:color w:val="000000"/>
          <w:lang w:val="en-US"/>
        </w:rPr>
        <w:t>;  *</w:t>
      </w:r>
      <w:proofErr w:type="gramEnd"/>
      <w:r w:rsidRPr="00873343">
        <w:rPr>
          <w:rFonts w:eastAsia="Times New Roman" w:cs="Times New Roman"/>
          <w:color w:val="000000"/>
          <w:lang w:val="en-US"/>
        </w:rPr>
        <w:t xml:space="preserve">**, **, and * indicate significance at the 1%, 5%, and 10% levels, respectively. </w:t>
      </w:r>
      <w:r w:rsidRPr="00873343">
        <w:t xml:space="preserve">The z-statistics in the two-step estimation are calculated using robust standard errors to account for </w:t>
      </w:r>
      <w:proofErr w:type="spellStart"/>
      <w:r w:rsidRPr="00873343">
        <w:t>heteroskedasticity</w:t>
      </w:r>
      <w:proofErr w:type="spellEnd"/>
      <w:r w:rsidRPr="00873343">
        <w:t xml:space="preserve"> and autocorrelation</w:t>
      </w:r>
      <w:r w:rsidRPr="00873343">
        <w:rPr>
          <w:rFonts w:eastAsia="Times New Roman" w:cs="Times New Roman"/>
          <w:color w:val="000000"/>
          <w:lang w:val="en-US"/>
        </w:rPr>
        <w:t xml:space="preserve"> </w:t>
      </w:r>
      <w:proofErr w:type="gramStart"/>
      <w:r w:rsidRPr="00873343">
        <w:rPr>
          <w:rFonts w:eastAsia="Times New Roman" w:cs="Times New Roman"/>
          <w:color w:val="000000"/>
          <w:lang w:val="en-US"/>
        </w:rPr>
        <w:t>All</w:t>
      </w:r>
      <w:proofErr w:type="gramEnd"/>
      <w:r w:rsidRPr="00873343">
        <w:rPr>
          <w:rFonts w:eastAsia="Times New Roman" w:cs="Times New Roman"/>
          <w:color w:val="000000"/>
          <w:lang w:val="en-US"/>
        </w:rPr>
        <w:t xml:space="preserve"> variables are defined in the Appendix</w:t>
      </w:r>
      <w:r>
        <w:rPr>
          <w:rFonts w:eastAsia="Times New Roman" w:cs="Times New Roman"/>
          <w:color w:val="000000"/>
          <w:lang w:val="vi-VN"/>
        </w:rPr>
        <w:t xml:space="preserve"> 1</w:t>
      </w:r>
      <w:r w:rsidRPr="00873343">
        <w:rPr>
          <w:rFonts w:eastAsia="Times New Roman" w:cs="Times New Roman"/>
          <w:color w:val="000000"/>
          <w:lang w:val="en-US"/>
        </w:rPr>
        <w:t>.</w:t>
      </w:r>
    </w:p>
    <w:p w:rsidR="00C967A6" w:rsidRPr="00873343" w:rsidRDefault="00C967A6" w:rsidP="00C967A6">
      <w:r w:rsidRPr="00873343">
        <w:rPr>
          <w:b/>
          <w:bCs/>
        </w:rPr>
        <w:t xml:space="preserve">Source(s): </w:t>
      </w:r>
      <w:r w:rsidRPr="00873343">
        <w:t>The table is created by authors.</w:t>
      </w:r>
    </w:p>
    <w:p w:rsidR="00C967A6" w:rsidRPr="009B528D" w:rsidRDefault="00C967A6" w:rsidP="00C967A6">
      <w:pPr>
        <w:ind w:right="9"/>
        <w:rPr>
          <w:i/>
          <w:iCs/>
        </w:rPr>
      </w:pPr>
    </w:p>
    <w:p w:rsidR="00C967A6" w:rsidRPr="009B528D" w:rsidRDefault="00C967A6" w:rsidP="00C967A6">
      <w:pPr>
        <w:jc w:val="center"/>
      </w:pPr>
    </w:p>
    <w:p w:rsidR="00C967A6" w:rsidRPr="009B528D" w:rsidRDefault="00C967A6" w:rsidP="00C967A6">
      <w:pPr>
        <w:jc w:val="center"/>
        <w:rPr>
          <w:b/>
          <w:bCs/>
        </w:rPr>
      </w:pPr>
      <w:r w:rsidRPr="009B528D">
        <w:br w:type="page"/>
      </w:r>
      <w:r>
        <w:rPr>
          <w:b/>
          <w:bCs/>
        </w:rPr>
        <w:lastRenderedPageBreak/>
        <w:t>Table 9:</w:t>
      </w:r>
      <w:r w:rsidRPr="009B528D">
        <w:rPr>
          <w:b/>
          <w:bCs/>
        </w:rPr>
        <w:t xml:space="preserve"> Regression of Earnings Opacity on CSR Using Generalized Method of Moments (</w:t>
      </w:r>
      <w:proofErr w:type="spellStart"/>
      <w:r w:rsidRPr="009B528D">
        <w:rPr>
          <w:b/>
          <w:bCs/>
        </w:rPr>
        <w:t>GMM</w:t>
      </w:r>
      <w:proofErr w:type="spellEnd"/>
      <w:r w:rsidRPr="009B528D">
        <w:rPr>
          <w:b/>
          <w:bCs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6"/>
        <w:gridCol w:w="2016"/>
        <w:gridCol w:w="2016"/>
        <w:gridCol w:w="2016"/>
      </w:tblGrid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AVOIDANCE_LOSS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SMOOTHING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ABS_DAC_MJ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</w:tr>
      <w:tr w:rsidR="00C967A6" w:rsidRPr="009B528D" w:rsidTr="00C24191"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LAGGED_OPACITY</m:t>
                </m:r>
              </m:oMath>
            </m:oMathPara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0.461***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0.559***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0.864*</w:t>
            </w:r>
          </w:p>
        </w:tc>
      </w:tr>
      <w:tr w:rsidR="00C967A6" w:rsidRPr="009B528D" w:rsidTr="00C24191">
        <w:tc>
          <w:tcPr>
            <w:tcW w:w="26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(0.030)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(0.066)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(0.475)</w:t>
            </w:r>
          </w:p>
        </w:tc>
      </w:tr>
      <w:tr w:rsidR="00C967A6" w:rsidRPr="009B528D" w:rsidTr="00C24191">
        <w:tc>
          <w:tcPr>
            <w:tcW w:w="26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CSRI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0.064**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0.155**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0.718*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(0.031)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(0.076)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(0.432)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ROA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-0.511***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-0.092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0.159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(0.142)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(0.149)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(0.799)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LEV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-0.052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-0.236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(0.042)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(0.047)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(0.169)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M/B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-0.048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(0.016)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(0.020)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(0.044)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SIZE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-0.019***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0.003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-0.042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(0.005)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(0.007)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(0.089)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AGE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it-1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0.006***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0.007*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0.010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(0.002)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(0.004)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(0.015)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BIG4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i,t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-0.007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0.208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(0.016)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(0.020)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(0.340)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DUAL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-0.002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-0.032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0.738*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(0.016)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(0.021)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(0.446)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LOSS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0.089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-0.040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(0.110)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(0.094)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(0.471)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Constant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0.560***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-0.015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1.215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(0.144)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(0.183)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(3.292)</w:t>
            </w:r>
          </w:p>
        </w:tc>
      </w:tr>
      <w:tr w:rsidR="00C967A6" w:rsidRPr="009B528D" w:rsidTr="00C24191">
        <w:tc>
          <w:tcPr>
            <w:tcW w:w="26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Year/</w:t>
            </w:r>
            <w:r w:rsidRPr="00F02B0E">
              <w:rPr>
                <w:rFonts w:eastAsia="Times New Roman" w:cs="Times New Roman"/>
              </w:rPr>
              <w:t>Industry dummies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7A2045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vAlign w:val="center"/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F02B0E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</w:tr>
      <w:tr w:rsidR="00C967A6" w:rsidRPr="009B528D" w:rsidTr="00C24191">
        <w:tc>
          <w:tcPr>
            <w:tcW w:w="26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Observations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2,403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A2045">
              <w:rPr>
                <w:rFonts w:eastAsia="Times New Roman" w:cs="Times New Roman"/>
                <w:color w:val="000000"/>
                <w:lang w:val="en-US"/>
              </w:rPr>
              <w:t>1,804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2,403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9B528D">
              <w:rPr>
                <w:rFonts w:cs="Times New Roman"/>
              </w:rPr>
              <w:t>AR1</w:t>
            </w:r>
            <w:proofErr w:type="spellEnd"/>
            <w:r w:rsidRPr="009B528D">
              <w:rPr>
                <w:rFonts w:cs="Times New Roman"/>
              </w:rPr>
              <w:t xml:space="preserve"> (p-value)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0.000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0.000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0.034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9B528D">
              <w:rPr>
                <w:rFonts w:cs="Times New Roman"/>
              </w:rPr>
              <w:t>AR2</w:t>
            </w:r>
            <w:proofErr w:type="spellEnd"/>
            <w:r w:rsidRPr="009B528D">
              <w:rPr>
                <w:rFonts w:cs="Times New Roman"/>
              </w:rPr>
              <w:t xml:space="preserve"> (p-value)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0.185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0.270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0.785</w:t>
            </w:r>
          </w:p>
        </w:tc>
      </w:tr>
      <w:tr w:rsidR="00C967A6" w:rsidRPr="009B528D" w:rsidTr="00C24191"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Hansen-J (p-value)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0.114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0.118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7A6" w:rsidRPr="009B528D" w:rsidRDefault="00C967A6" w:rsidP="00C2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9B528D">
              <w:rPr>
                <w:rFonts w:cs="Times New Roman"/>
              </w:rPr>
              <w:t>0.563</w:t>
            </w:r>
          </w:p>
        </w:tc>
      </w:tr>
    </w:tbl>
    <w:p w:rsidR="00C967A6" w:rsidRDefault="00C967A6" w:rsidP="00C967A6">
      <w:pPr>
        <w:spacing w:after="0" w:line="240" w:lineRule="auto"/>
      </w:pPr>
      <w:r w:rsidRPr="009B528D">
        <w:t xml:space="preserve">Note: ***, **, and * indicate significance at the 1%, 5%, and 10% levels, respectively; standard errors are shown in parentheses. </w:t>
      </w:r>
      <w:r w:rsidRPr="00153E3A">
        <w:t xml:space="preserve">The z-statistics in the one-step estimation are calculated using robust standard errors to account for </w:t>
      </w:r>
      <w:proofErr w:type="spellStart"/>
      <w:r w:rsidRPr="00153E3A">
        <w:t>heteroskedasticity</w:t>
      </w:r>
      <w:proofErr w:type="spellEnd"/>
      <w:r w:rsidRPr="00153E3A">
        <w:t xml:space="preserve"> and autocorrelation.</w:t>
      </w:r>
      <w:r>
        <w:t xml:space="preserve"> A</w:t>
      </w:r>
      <w:r w:rsidRPr="009B528D">
        <w:t>ll variables are defined in the Appendix</w:t>
      </w:r>
      <w:r>
        <w:rPr>
          <w:lang w:val="vi-VN"/>
        </w:rPr>
        <w:t xml:space="preserve"> 1</w:t>
      </w:r>
      <w:r w:rsidRPr="009B528D">
        <w:t xml:space="preserve">. </w:t>
      </w:r>
    </w:p>
    <w:p w:rsidR="00C967A6" w:rsidRPr="00873343" w:rsidRDefault="00C967A6" w:rsidP="00C967A6">
      <w:r w:rsidRPr="00873343">
        <w:rPr>
          <w:b/>
          <w:bCs/>
        </w:rPr>
        <w:t xml:space="preserve">Source(s): </w:t>
      </w:r>
      <w:r w:rsidRPr="00873343">
        <w:t>The table is created by authors.</w:t>
      </w:r>
    </w:p>
    <w:p w:rsidR="00427180" w:rsidRDefault="00427180"/>
    <w:sectPr w:rsidR="0042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511645"/>
      <w:docPartObj>
        <w:docPartGallery w:val="Page Numbers (Bottom of Page)"/>
        <w:docPartUnique/>
      </w:docPartObj>
    </w:sdtPr>
    <w:sdtEndPr/>
    <w:sdtContent>
      <w:p w:rsidR="003458C8" w:rsidRPr="00DA6D86" w:rsidRDefault="00C967A6">
        <w:pPr>
          <w:pStyle w:val="Footer"/>
          <w:jc w:val="center"/>
        </w:pPr>
        <w:r w:rsidRPr="00DA6D86">
          <w:fldChar w:fldCharType="begin"/>
        </w:r>
        <w:r w:rsidRPr="00DA6D86">
          <w:instrText xml:space="preserve"> PAGE   \* MERGEFORMAT </w:instrText>
        </w:r>
        <w:r w:rsidRPr="00DA6D86">
          <w:fldChar w:fldCharType="separate"/>
        </w:r>
        <w:r>
          <w:rPr>
            <w:noProof/>
          </w:rPr>
          <w:t>1</w:t>
        </w:r>
        <w:r w:rsidRPr="00DA6D86">
          <w:fldChar w:fldCharType="end"/>
        </w:r>
      </w:p>
    </w:sdtContent>
  </w:sdt>
  <w:p w:rsidR="003458C8" w:rsidRPr="00DA6D86" w:rsidRDefault="00C967A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C82"/>
    <w:multiLevelType w:val="hybridMultilevel"/>
    <w:tmpl w:val="53CAE99E"/>
    <w:lvl w:ilvl="0" w:tplc="578AC00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590B64"/>
    <w:multiLevelType w:val="hybridMultilevel"/>
    <w:tmpl w:val="46F0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46FEA"/>
    <w:multiLevelType w:val="hybridMultilevel"/>
    <w:tmpl w:val="E43EAC3C"/>
    <w:lvl w:ilvl="0" w:tplc="91FE5916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8E58CE"/>
    <w:multiLevelType w:val="hybridMultilevel"/>
    <w:tmpl w:val="29C01AAE"/>
    <w:lvl w:ilvl="0" w:tplc="4556587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41AD"/>
    <w:multiLevelType w:val="hybridMultilevel"/>
    <w:tmpl w:val="9508D10E"/>
    <w:lvl w:ilvl="0" w:tplc="A42CD64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FA6F97"/>
    <w:multiLevelType w:val="hybridMultilevel"/>
    <w:tmpl w:val="2A0C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8575A"/>
    <w:multiLevelType w:val="hybridMultilevel"/>
    <w:tmpl w:val="DF125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C6E33"/>
    <w:multiLevelType w:val="hybridMultilevel"/>
    <w:tmpl w:val="D92AC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A6"/>
    <w:rsid w:val="00295195"/>
    <w:rsid w:val="00427180"/>
    <w:rsid w:val="00B61145"/>
    <w:rsid w:val="00C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A6"/>
    <w:pPr>
      <w:keepNext/>
      <w:keepLines/>
      <w:numPr>
        <w:numId w:val="3"/>
      </w:numPr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7A6"/>
    <w:pPr>
      <w:keepNext/>
      <w:keepLines/>
      <w:spacing w:before="40" w:after="0" w:line="360" w:lineRule="auto"/>
      <w:ind w:firstLine="720"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7A6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i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A6"/>
    <w:rPr>
      <w:rFonts w:ascii="Times New Roman" w:eastAsiaTheme="majorEastAsia" w:hAnsi="Times New Roman" w:cstheme="majorBidi"/>
      <w:b/>
      <w:kern w:val="2"/>
      <w:sz w:val="24"/>
      <w:szCs w:val="3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967A6"/>
    <w:rPr>
      <w:rFonts w:ascii="Times New Roman" w:eastAsiaTheme="majorEastAsia" w:hAnsi="Times New Roman" w:cstheme="majorBidi"/>
      <w:b/>
      <w:kern w:val="2"/>
      <w:sz w:val="24"/>
      <w:szCs w:val="26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967A6"/>
    <w:rPr>
      <w:rFonts w:ascii="Times New Roman" w:eastAsiaTheme="majorEastAsia" w:hAnsi="Times New Roman" w:cstheme="majorBidi"/>
      <w:i/>
      <w:kern w:val="2"/>
      <w:sz w:val="24"/>
      <w:szCs w:val="24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967A6"/>
    <w:pPr>
      <w:spacing w:after="240" w:line="360" w:lineRule="auto"/>
      <w:ind w:left="720"/>
      <w:contextualSpacing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967A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967A6"/>
    <w:rPr>
      <w:rFonts w:ascii="Times New Roman" w:hAnsi="Times New Roman"/>
      <w:kern w:val="2"/>
      <w:sz w:val="24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967A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967A6"/>
    <w:rPr>
      <w:rFonts w:ascii="Times New Roman" w:hAnsi="Times New Roman"/>
      <w:kern w:val="2"/>
      <w:sz w:val="24"/>
      <w:lang w:val="en-GB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C967A6"/>
    <w:pPr>
      <w:spacing w:after="0" w:line="360" w:lineRule="auto"/>
      <w:jc w:val="center"/>
    </w:pPr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67A6"/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C967A6"/>
    <w:pPr>
      <w:spacing w:after="240" w:line="240" w:lineRule="auto"/>
      <w:jc w:val="both"/>
    </w:pPr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C967A6"/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C967A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7A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67A6"/>
    <w:rPr>
      <w:color w:val="0000FF" w:themeColor="hyperlink"/>
      <w:u w:val="single"/>
    </w:rPr>
  </w:style>
  <w:style w:type="paragraph" w:customStyle="1" w:styleId="Affiliations">
    <w:name w:val="Affiliations"/>
    <w:basedOn w:val="Normal"/>
    <w:rsid w:val="00C967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9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7A6"/>
    <w:pPr>
      <w:spacing w:after="240" w:line="240" w:lineRule="auto"/>
      <w:jc w:val="both"/>
    </w:pPr>
    <w:rPr>
      <w:rFonts w:ascii="Times New Roman" w:hAnsi="Times New Roman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7A6"/>
    <w:rPr>
      <w:rFonts w:ascii="Times New Roman" w:hAnsi="Times New Roman"/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7A6"/>
    <w:rPr>
      <w:rFonts w:ascii="Times New Roman" w:hAnsi="Times New Roman"/>
      <w:b/>
      <w:bCs/>
      <w:kern w:val="2"/>
      <w:sz w:val="20"/>
      <w:szCs w:val="20"/>
      <w:lang w:val="en-GB"/>
      <w14:ligatures w14:val="standardContextual"/>
    </w:rPr>
  </w:style>
  <w:style w:type="character" w:customStyle="1" w:styleId="cf01">
    <w:name w:val="cf01"/>
    <w:basedOn w:val="DefaultParagraphFont"/>
    <w:rsid w:val="00C967A6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A6"/>
    <w:pPr>
      <w:keepNext/>
      <w:keepLines/>
      <w:numPr>
        <w:numId w:val="3"/>
      </w:numPr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7A6"/>
    <w:pPr>
      <w:keepNext/>
      <w:keepLines/>
      <w:spacing w:before="40" w:after="0" w:line="360" w:lineRule="auto"/>
      <w:ind w:firstLine="720"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7A6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i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A6"/>
    <w:rPr>
      <w:rFonts w:ascii="Times New Roman" w:eastAsiaTheme="majorEastAsia" w:hAnsi="Times New Roman" w:cstheme="majorBidi"/>
      <w:b/>
      <w:kern w:val="2"/>
      <w:sz w:val="24"/>
      <w:szCs w:val="3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967A6"/>
    <w:rPr>
      <w:rFonts w:ascii="Times New Roman" w:eastAsiaTheme="majorEastAsia" w:hAnsi="Times New Roman" w:cstheme="majorBidi"/>
      <w:b/>
      <w:kern w:val="2"/>
      <w:sz w:val="24"/>
      <w:szCs w:val="26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967A6"/>
    <w:rPr>
      <w:rFonts w:ascii="Times New Roman" w:eastAsiaTheme="majorEastAsia" w:hAnsi="Times New Roman" w:cstheme="majorBidi"/>
      <w:i/>
      <w:kern w:val="2"/>
      <w:sz w:val="24"/>
      <w:szCs w:val="24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967A6"/>
    <w:pPr>
      <w:spacing w:after="240" w:line="360" w:lineRule="auto"/>
      <w:ind w:left="720"/>
      <w:contextualSpacing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967A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967A6"/>
    <w:rPr>
      <w:rFonts w:ascii="Times New Roman" w:hAnsi="Times New Roman"/>
      <w:kern w:val="2"/>
      <w:sz w:val="24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967A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967A6"/>
    <w:rPr>
      <w:rFonts w:ascii="Times New Roman" w:hAnsi="Times New Roman"/>
      <w:kern w:val="2"/>
      <w:sz w:val="24"/>
      <w:lang w:val="en-GB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C967A6"/>
    <w:pPr>
      <w:spacing w:after="0" w:line="360" w:lineRule="auto"/>
      <w:jc w:val="center"/>
    </w:pPr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67A6"/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C967A6"/>
    <w:pPr>
      <w:spacing w:after="240" w:line="240" w:lineRule="auto"/>
      <w:jc w:val="both"/>
    </w:pPr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C967A6"/>
    <w:rPr>
      <w:rFonts w:ascii="Times New Roman" w:hAnsi="Times New Roman" w:cs="Times New Roman"/>
      <w:noProof/>
      <w:kern w:val="2"/>
      <w:sz w:val="24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C967A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7A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67A6"/>
    <w:rPr>
      <w:color w:val="0000FF" w:themeColor="hyperlink"/>
      <w:u w:val="single"/>
    </w:rPr>
  </w:style>
  <w:style w:type="paragraph" w:customStyle="1" w:styleId="Affiliations">
    <w:name w:val="Affiliations"/>
    <w:basedOn w:val="Normal"/>
    <w:rsid w:val="00C967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9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7A6"/>
    <w:pPr>
      <w:spacing w:after="240" w:line="240" w:lineRule="auto"/>
      <w:jc w:val="both"/>
    </w:pPr>
    <w:rPr>
      <w:rFonts w:ascii="Times New Roman" w:hAnsi="Times New Roman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7A6"/>
    <w:rPr>
      <w:rFonts w:ascii="Times New Roman" w:hAnsi="Times New Roman"/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7A6"/>
    <w:rPr>
      <w:rFonts w:ascii="Times New Roman" w:hAnsi="Times New Roman"/>
      <w:b/>
      <w:bCs/>
      <w:kern w:val="2"/>
      <w:sz w:val="20"/>
      <w:szCs w:val="20"/>
      <w:lang w:val="en-GB"/>
      <w14:ligatures w14:val="standardContextual"/>
    </w:rPr>
  </w:style>
  <w:style w:type="character" w:customStyle="1" w:styleId="cf01">
    <w:name w:val="cf01"/>
    <w:basedOn w:val="DefaultParagraphFont"/>
    <w:rsid w:val="00C967A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19678_ME</dc:creator>
  <cp:lastModifiedBy>19678_ME</cp:lastModifiedBy>
  <cp:revision>1</cp:revision>
  <dcterms:created xsi:type="dcterms:W3CDTF">2024-07-20T10:55:00Z</dcterms:created>
  <dcterms:modified xsi:type="dcterms:W3CDTF">2024-07-20T10:56:00Z</dcterms:modified>
</cp:coreProperties>
</file>