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3252E3" w14:textId="5E1AC3A0" w:rsidR="00E07750" w:rsidRPr="00451FE8" w:rsidRDefault="00E07750" w:rsidP="0037251A">
      <w:pPr>
        <w:tabs>
          <w:tab w:val="num" w:pos="720"/>
        </w:tabs>
        <w:rPr>
          <w:b/>
          <w:bCs/>
          <w:sz w:val="24"/>
          <w:szCs w:val="24"/>
        </w:rPr>
      </w:pPr>
      <w:bookmarkStart w:id="0" w:name="_Toc206877952"/>
      <w:bookmarkStart w:id="1" w:name="_GoBack"/>
      <w:r w:rsidRPr="00451FE8">
        <w:rPr>
          <w:b/>
          <w:bCs/>
          <w:sz w:val="24"/>
          <w:szCs w:val="24"/>
        </w:rPr>
        <w:t>Revisiting liquidity spillovers: Evidence of the US dual role as shock source and absorber</w:t>
      </w:r>
    </w:p>
    <w:p w14:paraId="7AE6AC5F" w14:textId="482AC70B" w:rsidR="003F38E9" w:rsidRPr="006537FA" w:rsidRDefault="003F38E9" w:rsidP="003F38E9">
      <w:pPr>
        <w:spacing w:before="120" w:after="120" w:line="312" w:lineRule="auto"/>
        <w:rPr>
          <w:rFonts w:eastAsia="Times New Roman" w:cs="Times New Roman"/>
          <w:b/>
          <w:bCs/>
          <w:sz w:val="24"/>
        </w:rPr>
      </w:pPr>
      <w:r w:rsidRPr="006537FA">
        <w:rPr>
          <w:rFonts w:eastAsia="Times New Roman" w:cs="Times New Roman"/>
          <w:b/>
          <w:bCs/>
          <w:sz w:val="24"/>
        </w:rPr>
        <w:t xml:space="preserve">Table </w:t>
      </w:r>
      <w:r w:rsidR="005B10DD">
        <w:rPr>
          <w:rFonts w:eastAsia="Times New Roman" w:cs="Times New Roman"/>
          <w:b/>
          <w:bCs/>
          <w:sz w:val="24"/>
        </w:rPr>
        <w:t>S1</w:t>
      </w:r>
      <w:r w:rsidRPr="006537FA">
        <w:rPr>
          <w:rFonts w:eastAsia="Times New Roman" w:cs="Times New Roman"/>
          <w:b/>
          <w:bCs/>
          <w:sz w:val="24"/>
        </w:rPr>
        <w:t>: Systematic review of the US as a unidirectional shock source</w:t>
      </w:r>
    </w:p>
    <w:tbl>
      <w:tblPr>
        <w:tblStyle w:val="TableGrid"/>
        <w:tblW w:w="5088" w:type="pct"/>
        <w:tblLook w:val="04A0" w:firstRow="1" w:lastRow="0" w:firstColumn="1" w:lastColumn="0" w:noHBand="0" w:noVBand="1"/>
      </w:tblPr>
      <w:tblGrid>
        <w:gridCol w:w="2122"/>
        <w:gridCol w:w="2551"/>
        <w:gridCol w:w="2551"/>
        <w:gridCol w:w="3403"/>
        <w:gridCol w:w="2551"/>
      </w:tblGrid>
      <w:tr w:rsidR="006537FA" w:rsidRPr="006537FA" w14:paraId="50669693" w14:textId="77777777" w:rsidTr="00E86B7C">
        <w:trPr>
          <w:trHeight w:val="1066"/>
        </w:trPr>
        <w:tc>
          <w:tcPr>
            <w:tcW w:w="805" w:type="pct"/>
          </w:tcPr>
          <w:p w14:paraId="7E6FB557" w14:textId="77777777" w:rsidR="003F38E9" w:rsidRPr="006537FA" w:rsidRDefault="003F38E9" w:rsidP="005825A4">
            <w:pPr>
              <w:spacing w:before="68" w:after="68" w:line="312" w:lineRule="auto"/>
              <w:rPr>
                <w:rFonts w:eastAsia="Times New Roman" w:cs="Times New Roman"/>
                <w:sz w:val="24"/>
                <w:szCs w:val="24"/>
              </w:rPr>
            </w:pPr>
            <w:r w:rsidRPr="006537FA">
              <w:rPr>
                <w:rFonts w:eastAsia="Times New Roman" w:cs="Times New Roman"/>
                <w:b/>
                <w:sz w:val="24"/>
                <w:szCs w:val="24"/>
              </w:rPr>
              <w:t>Study</w:t>
            </w:r>
          </w:p>
        </w:tc>
        <w:tc>
          <w:tcPr>
            <w:tcW w:w="968" w:type="pct"/>
          </w:tcPr>
          <w:p w14:paraId="1E8CBC20" w14:textId="77777777" w:rsidR="003F38E9" w:rsidRPr="006537FA" w:rsidRDefault="003F38E9" w:rsidP="005825A4">
            <w:pPr>
              <w:spacing w:before="68" w:after="68" w:line="312" w:lineRule="auto"/>
              <w:rPr>
                <w:rFonts w:eastAsia="Times New Roman" w:cs="Times New Roman"/>
                <w:sz w:val="24"/>
                <w:szCs w:val="24"/>
              </w:rPr>
            </w:pPr>
            <w:r w:rsidRPr="006537FA">
              <w:rPr>
                <w:rFonts w:eastAsia="Times New Roman" w:cs="Times New Roman"/>
                <w:b/>
                <w:sz w:val="24"/>
                <w:szCs w:val="24"/>
              </w:rPr>
              <w:t>Stance/ Classification</w:t>
            </w:r>
          </w:p>
        </w:tc>
        <w:tc>
          <w:tcPr>
            <w:tcW w:w="968" w:type="pct"/>
          </w:tcPr>
          <w:p w14:paraId="1819D24C" w14:textId="77777777" w:rsidR="003F38E9" w:rsidRPr="006537FA" w:rsidRDefault="003F38E9" w:rsidP="005825A4">
            <w:pPr>
              <w:spacing w:before="68" w:after="68" w:line="312" w:lineRule="auto"/>
              <w:rPr>
                <w:rFonts w:eastAsia="Times New Roman" w:cs="Times New Roman"/>
                <w:sz w:val="24"/>
                <w:szCs w:val="24"/>
              </w:rPr>
            </w:pPr>
            <w:r w:rsidRPr="006537FA">
              <w:rPr>
                <w:rFonts w:eastAsia="Times New Roman" w:cs="Times New Roman"/>
                <w:b/>
                <w:sz w:val="24"/>
                <w:szCs w:val="24"/>
              </w:rPr>
              <w:t>Mechanism Framing</w:t>
            </w:r>
          </w:p>
        </w:tc>
        <w:tc>
          <w:tcPr>
            <w:tcW w:w="1291" w:type="pct"/>
          </w:tcPr>
          <w:p w14:paraId="31A569B4" w14:textId="77777777" w:rsidR="003F38E9" w:rsidRPr="006537FA" w:rsidRDefault="003F38E9" w:rsidP="005825A4">
            <w:pPr>
              <w:spacing w:before="68" w:after="68" w:line="312" w:lineRule="auto"/>
              <w:rPr>
                <w:rFonts w:eastAsia="Times New Roman" w:cs="Times New Roman"/>
                <w:sz w:val="24"/>
                <w:szCs w:val="24"/>
              </w:rPr>
            </w:pPr>
            <w:r w:rsidRPr="006537FA">
              <w:rPr>
                <w:rFonts w:eastAsia="Times New Roman" w:cs="Times New Roman"/>
                <w:b/>
                <w:sz w:val="24"/>
                <w:szCs w:val="24"/>
              </w:rPr>
              <w:t>Notes / Limitations</w:t>
            </w:r>
          </w:p>
        </w:tc>
        <w:tc>
          <w:tcPr>
            <w:tcW w:w="968" w:type="pct"/>
          </w:tcPr>
          <w:p w14:paraId="31D4EBCB" w14:textId="77777777" w:rsidR="003F38E9" w:rsidRPr="006537FA" w:rsidRDefault="003F38E9" w:rsidP="005825A4">
            <w:pPr>
              <w:spacing w:before="68" w:after="68" w:line="312" w:lineRule="auto"/>
              <w:rPr>
                <w:rFonts w:eastAsia="Times New Roman" w:cs="Times New Roman"/>
                <w:sz w:val="24"/>
                <w:szCs w:val="24"/>
              </w:rPr>
            </w:pPr>
            <w:r w:rsidRPr="006537FA">
              <w:rPr>
                <w:rFonts w:eastAsia="Times New Roman" w:cs="Times New Roman"/>
                <w:b/>
                <w:sz w:val="24"/>
                <w:szCs w:val="24"/>
              </w:rPr>
              <w:t>Type of Proxy for liquidity/ Method</w:t>
            </w:r>
          </w:p>
        </w:tc>
      </w:tr>
      <w:tr w:rsidR="006537FA" w:rsidRPr="006537FA" w14:paraId="0D589E04" w14:textId="77777777" w:rsidTr="00E86B7C">
        <w:tc>
          <w:tcPr>
            <w:tcW w:w="805" w:type="pct"/>
          </w:tcPr>
          <w:p w14:paraId="0AAB585A" w14:textId="77777777" w:rsidR="003F38E9" w:rsidRPr="006537FA" w:rsidRDefault="003F38E9" w:rsidP="005825A4">
            <w:pPr>
              <w:spacing w:before="68" w:after="68" w:line="312" w:lineRule="auto"/>
              <w:rPr>
                <w:rFonts w:eastAsia="Times New Roman" w:cs="Times New Roman"/>
                <w:sz w:val="24"/>
                <w:szCs w:val="24"/>
              </w:rPr>
            </w:pPr>
            <w:r w:rsidRPr="006537FA">
              <w:rPr>
                <w:rFonts w:eastAsia="Times New Roman" w:cs="Times New Roman"/>
                <w:sz w:val="24"/>
              </w:rPr>
              <w:fldChar w:fldCharType="begin" w:fldLock="1"/>
            </w:r>
            <w:r w:rsidRPr="006537FA">
              <w:rPr>
                <w:rFonts w:eastAsia="Times New Roman" w:cs="Times New Roman"/>
                <w:sz w:val="24"/>
              </w:rPr>
              <w:instrText>ADDIN CSL_CITATION {"citationItems":[{"id":"ITEM-1","itemData":{"DOI":"10.1209/0295-5075/121/48002","ISSN":"12864854","abstract":"Extensive works show that a network of stocks within a single stock market stores rich information on evolutionary behaviors of the system, such as collapses and/or crises. But a financial event covers usually several markets or even the global financial system. This mismatch of scale leads to lack of concise information to coordinate the event. In this work by using the transfer entropy we reconstruct the influential network between ten typical stock markets distributed in the world. Interesting findings include, before a financial crisis the connection strength reaches a maximum, which can act as an early warning signal of financial crises. The markets in America are monodirectionally and strongly influenced by that in Europe and act as the center. Some strongly linked pairs have also close correlations. The findings are helpful in understanding the evolution and modelling the dynamical process of the global financial system. This method can be extended straightly to find early warning signals for physiological and ecological systems, etc.","author":[{"dropping-particle":"","family":"Zhou","given":"Li","non-dropping-particle":"","parse-names":false,"suffix":""},{"dropping-particle":"","family":"Qiu","given":"Lu","non-dropping-particle":"","parse-names":false,"suffix":""},{"dropping-particle":"","family":"Gu","given":"Changgui","non-dropping-particle":"","parse-names":false,"suffix":""},{"dropping-particle":"","family":"Yang","given":"Huijie","non-dropping-particle":"","parse-names":false,"suffix":""}],"container-title":"Epl","id":"ITEM-1","issue":"4","issued":{"date-parts":[["2018"]]},"title":"Immediate causality network of stock markets","type":"article-journal","volume":"121"},"uris":["http://www.mendeley.com/documents/?uuid=cb230870-bd15-40c5-b3f0-3698c271bd3b"]}],"mendeley":{"formattedCitation":"(Zhou et al., 2018)","plainTextFormattedCitation":"(Zhou et al., 2018)","previouslyFormattedCitation":"(Zhou et al., 2018)"},"properties":{"noteIndex":0},"schema":"https://github.com/citation-style-language/schema/raw/master/csl-citation.json"}</w:instrText>
            </w:r>
            <w:r w:rsidRPr="006537FA">
              <w:rPr>
                <w:rFonts w:eastAsia="Times New Roman" w:cs="Times New Roman"/>
                <w:sz w:val="24"/>
              </w:rPr>
              <w:fldChar w:fldCharType="separate"/>
            </w:r>
            <w:r w:rsidRPr="006537FA">
              <w:rPr>
                <w:rFonts w:eastAsia="Times New Roman" w:cs="Times New Roman"/>
                <w:noProof/>
                <w:sz w:val="24"/>
              </w:rPr>
              <w:t>Zhou et al. (2018)</w:t>
            </w:r>
            <w:r w:rsidRPr="006537FA">
              <w:rPr>
                <w:rFonts w:eastAsia="Times New Roman" w:cs="Times New Roman"/>
                <w:sz w:val="24"/>
              </w:rPr>
              <w:fldChar w:fldCharType="end"/>
            </w:r>
            <w:r w:rsidRPr="006537FA">
              <w:rPr>
                <w:rFonts w:eastAsia="Times New Roman" w:cs="Times New Roman"/>
                <w:sz w:val="24"/>
              </w:rPr>
              <w:t xml:space="preserve"> </w:t>
            </w:r>
          </w:p>
        </w:tc>
        <w:tc>
          <w:tcPr>
            <w:tcW w:w="968" w:type="pct"/>
          </w:tcPr>
          <w:p w14:paraId="6A692B17" w14:textId="77777777" w:rsidR="003F38E9" w:rsidRPr="006537FA" w:rsidRDefault="003F38E9" w:rsidP="005825A4">
            <w:pPr>
              <w:spacing w:before="68" w:after="68" w:line="312" w:lineRule="auto"/>
              <w:rPr>
                <w:rFonts w:eastAsia="Times New Roman" w:cs="Times New Roman"/>
                <w:sz w:val="24"/>
                <w:szCs w:val="24"/>
              </w:rPr>
            </w:pPr>
            <w:r w:rsidRPr="006537FA">
              <w:rPr>
                <w:rFonts w:eastAsia="Times New Roman" w:cs="Times New Roman"/>
                <w:sz w:val="24"/>
                <w:szCs w:val="24"/>
              </w:rPr>
              <w:t>US = dominant transmitter to Europe</w:t>
            </w:r>
          </w:p>
        </w:tc>
        <w:tc>
          <w:tcPr>
            <w:tcW w:w="968" w:type="pct"/>
          </w:tcPr>
          <w:p w14:paraId="5FA70C9C" w14:textId="77777777" w:rsidR="003F38E9" w:rsidRPr="006537FA" w:rsidRDefault="003F38E9" w:rsidP="005825A4">
            <w:pPr>
              <w:spacing w:before="68" w:after="68" w:line="312" w:lineRule="auto"/>
              <w:rPr>
                <w:rFonts w:eastAsia="Times New Roman" w:cs="Times New Roman"/>
                <w:sz w:val="24"/>
                <w:szCs w:val="24"/>
              </w:rPr>
            </w:pPr>
            <w:r w:rsidRPr="006537FA">
              <w:rPr>
                <w:rFonts w:eastAsia="Times New Roman" w:cs="Times New Roman"/>
                <w:sz w:val="24"/>
                <w:szCs w:val="24"/>
              </w:rPr>
              <w:t>Contagion view: one-way shocks from US → Europe</w:t>
            </w:r>
          </w:p>
        </w:tc>
        <w:tc>
          <w:tcPr>
            <w:tcW w:w="1291" w:type="pct"/>
          </w:tcPr>
          <w:p w14:paraId="269BB529" w14:textId="77777777" w:rsidR="003F38E9" w:rsidRPr="006537FA" w:rsidRDefault="003F38E9" w:rsidP="005825A4">
            <w:pPr>
              <w:spacing w:before="68" w:after="68" w:line="312" w:lineRule="auto"/>
              <w:rPr>
                <w:rFonts w:eastAsia="Times New Roman" w:cs="Times New Roman"/>
                <w:sz w:val="24"/>
                <w:szCs w:val="24"/>
              </w:rPr>
            </w:pPr>
            <w:r w:rsidRPr="006537FA">
              <w:rPr>
                <w:rFonts w:eastAsia="Times New Roman" w:cs="Times New Roman"/>
                <w:sz w:val="24"/>
                <w:szCs w:val="24"/>
              </w:rPr>
              <w:t>No examine of absorption or feedback from Europe</w:t>
            </w:r>
          </w:p>
        </w:tc>
        <w:tc>
          <w:tcPr>
            <w:tcW w:w="968" w:type="pct"/>
          </w:tcPr>
          <w:p w14:paraId="3E819C5E" w14:textId="77777777" w:rsidR="003F38E9" w:rsidRPr="006537FA" w:rsidRDefault="003F38E9" w:rsidP="005825A4">
            <w:pPr>
              <w:spacing w:before="68" w:after="68" w:line="312" w:lineRule="auto"/>
              <w:rPr>
                <w:rFonts w:eastAsia="Times New Roman" w:cs="Times New Roman"/>
                <w:sz w:val="24"/>
                <w:szCs w:val="24"/>
              </w:rPr>
            </w:pPr>
            <w:r w:rsidRPr="006537FA">
              <w:rPr>
                <w:rFonts w:eastAsia="Times New Roman" w:cs="Times New Roman"/>
                <w:sz w:val="24"/>
                <w:szCs w:val="24"/>
              </w:rPr>
              <w:t>Price/return-based</w:t>
            </w:r>
          </w:p>
        </w:tc>
      </w:tr>
      <w:tr w:rsidR="006537FA" w:rsidRPr="006537FA" w14:paraId="19D91820" w14:textId="77777777" w:rsidTr="00E86B7C">
        <w:tc>
          <w:tcPr>
            <w:tcW w:w="805" w:type="pct"/>
          </w:tcPr>
          <w:p w14:paraId="1BB2A718" w14:textId="77777777" w:rsidR="003F38E9" w:rsidRPr="006537FA" w:rsidRDefault="003F38E9" w:rsidP="005825A4">
            <w:pPr>
              <w:spacing w:before="68" w:after="68" w:line="312" w:lineRule="auto"/>
              <w:rPr>
                <w:rFonts w:eastAsia="Times New Roman" w:cs="Times New Roman"/>
                <w:sz w:val="24"/>
                <w:szCs w:val="24"/>
              </w:rPr>
            </w:pPr>
            <w:r w:rsidRPr="006537FA">
              <w:rPr>
                <w:rFonts w:eastAsia="Times New Roman" w:cs="Times New Roman"/>
                <w:sz w:val="24"/>
              </w:rPr>
              <w:fldChar w:fldCharType="begin" w:fldLock="1"/>
            </w:r>
            <w:r w:rsidRPr="006537FA">
              <w:rPr>
                <w:rFonts w:eastAsia="Times New Roman" w:cs="Times New Roman"/>
                <w:sz w:val="24"/>
              </w:rPr>
              <w:instrText>ADDIN CSL_CITATION {"citationItems":[{"id":"ITEM-1","itemData":{"DOI":"10.1080/10293523.2020.1773143","ISSN":"20770227","abstract":"This study investigates the spillovers of shocks and volatilities between the UK and the US stock markets over the period 1935–2020. The empirical analysis is carried out for the full sample and four subsample periods by applying the asymmetric GARCH-BEKK model. Based on the empirical results, the evidence indicates that financial market linkages between the two markets have become stronger since the commencement of the European Monetary Union (EMU), which suggests that stronger financial market interactions and interdependence could increase the vulnerabilities of domestic markets to any global shocks and reduce the potential benefits of portfolio diversification.","author":[{"dropping-particle":"","family":"Aladesanmi","given":"Olalekan","non-dropping-particle":"","parse-names":false,"suffix":""}],"container-title":"Investment Analysts Journal","id":"ITEM-1","issue":"2","issued":{"date-parts":[["2020"]]},"page":"132-148","publisher":"Taylor &amp; Francis","title":"Modelling spillover effects between the UK and the US stock markets over the period 1935–2020","type":"article-journal","volume":"49"},"uris":["http://www.mendeley.com/documents/?uuid=35d8a4b3-4d5e-4417-a595-22c5914b6067"]}],"mendeley":{"formattedCitation":"(Aladesanmi, 2020)","plainTextFormattedCitation":"(Aladesanmi, 2020)","previouslyFormattedCitation":"(Aladesanmi, 2020)"},"properties":{"noteIndex":0},"schema":"https://github.com/citation-style-language/schema/raw/master/csl-citation.json"}</w:instrText>
            </w:r>
            <w:r w:rsidRPr="006537FA">
              <w:rPr>
                <w:rFonts w:eastAsia="Times New Roman" w:cs="Times New Roman"/>
                <w:sz w:val="24"/>
              </w:rPr>
              <w:fldChar w:fldCharType="separate"/>
            </w:r>
            <w:r w:rsidRPr="006537FA">
              <w:rPr>
                <w:rFonts w:eastAsia="Times New Roman" w:cs="Times New Roman"/>
                <w:noProof/>
                <w:sz w:val="24"/>
              </w:rPr>
              <w:t>Aladesanmi (2020)</w:t>
            </w:r>
            <w:r w:rsidRPr="006537FA">
              <w:rPr>
                <w:rFonts w:eastAsia="Times New Roman" w:cs="Times New Roman"/>
                <w:sz w:val="24"/>
              </w:rPr>
              <w:fldChar w:fldCharType="end"/>
            </w:r>
          </w:p>
        </w:tc>
        <w:tc>
          <w:tcPr>
            <w:tcW w:w="968" w:type="pct"/>
          </w:tcPr>
          <w:p w14:paraId="2FC0FA91" w14:textId="77777777" w:rsidR="003F38E9" w:rsidRPr="006537FA" w:rsidRDefault="003F38E9" w:rsidP="005825A4">
            <w:pPr>
              <w:spacing w:before="68" w:after="68" w:line="312" w:lineRule="auto"/>
              <w:rPr>
                <w:rFonts w:eastAsia="Times New Roman" w:cs="Times New Roman"/>
                <w:sz w:val="24"/>
                <w:szCs w:val="24"/>
              </w:rPr>
            </w:pPr>
            <w:r w:rsidRPr="006537FA">
              <w:rPr>
                <w:rFonts w:eastAsia="Times New Roman" w:cs="Times New Roman"/>
                <w:sz w:val="24"/>
                <w:szCs w:val="24"/>
              </w:rPr>
              <w:t>US = leading shock source</w:t>
            </w:r>
          </w:p>
        </w:tc>
        <w:tc>
          <w:tcPr>
            <w:tcW w:w="968" w:type="pct"/>
          </w:tcPr>
          <w:p w14:paraId="19596505" w14:textId="77777777" w:rsidR="003F38E9" w:rsidRPr="006537FA" w:rsidRDefault="003F38E9" w:rsidP="005825A4">
            <w:pPr>
              <w:spacing w:before="68" w:after="68" w:line="312" w:lineRule="auto"/>
              <w:rPr>
                <w:rFonts w:eastAsia="Times New Roman" w:cs="Times New Roman"/>
                <w:sz w:val="24"/>
                <w:szCs w:val="24"/>
              </w:rPr>
            </w:pPr>
            <w:r w:rsidRPr="006537FA">
              <w:rPr>
                <w:rFonts w:eastAsia="Times New Roman" w:cs="Times New Roman"/>
                <w:sz w:val="24"/>
                <w:szCs w:val="24"/>
              </w:rPr>
              <w:t>Emphasizes contagion nature</w:t>
            </w:r>
          </w:p>
        </w:tc>
        <w:tc>
          <w:tcPr>
            <w:tcW w:w="1291" w:type="pct"/>
          </w:tcPr>
          <w:p w14:paraId="15852A37" w14:textId="77777777" w:rsidR="003F38E9" w:rsidRPr="006537FA" w:rsidRDefault="003F38E9" w:rsidP="005825A4">
            <w:pPr>
              <w:spacing w:before="68" w:after="68" w:line="312" w:lineRule="auto"/>
              <w:rPr>
                <w:rFonts w:eastAsia="Times New Roman" w:cs="Times New Roman"/>
                <w:sz w:val="24"/>
                <w:szCs w:val="24"/>
              </w:rPr>
            </w:pPr>
            <w:r w:rsidRPr="006537FA">
              <w:rPr>
                <w:rFonts w:eastAsia="Times New Roman" w:cs="Times New Roman"/>
                <w:sz w:val="24"/>
                <w:szCs w:val="24"/>
              </w:rPr>
              <w:t>No verification of two-way mechanism</w:t>
            </w:r>
          </w:p>
        </w:tc>
        <w:tc>
          <w:tcPr>
            <w:tcW w:w="968" w:type="pct"/>
          </w:tcPr>
          <w:p w14:paraId="30B138B4" w14:textId="77777777" w:rsidR="003F38E9" w:rsidRPr="006537FA" w:rsidRDefault="003F38E9" w:rsidP="005825A4">
            <w:pPr>
              <w:spacing w:before="68" w:after="68" w:line="312" w:lineRule="auto"/>
              <w:rPr>
                <w:rFonts w:eastAsia="Times New Roman" w:cs="Times New Roman"/>
                <w:sz w:val="24"/>
                <w:szCs w:val="24"/>
              </w:rPr>
            </w:pPr>
            <w:r w:rsidRPr="006537FA">
              <w:rPr>
                <w:rFonts w:eastAsia="Times New Roman" w:cs="Times New Roman"/>
                <w:sz w:val="24"/>
                <w:szCs w:val="24"/>
              </w:rPr>
              <w:t xml:space="preserve">Stock market return </w:t>
            </w:r>
          </w:p>
        </w:tc>
      </w:tr>
      <w:tr w:rsidR="006537FA" w:rsidRPr="006537FA" w14:paraId="48FAAEDB" w14:textId="77777777" w:rsidTr="00E86B7C">
        <w:tc>
          <w:tcPr>
            <w:tcW w:w="805" w:type="pct"/>
          </w:tcPr>
          <w:p w14:paraId="387F4916" w14:textId="77777777" w:rsidR="003F38E9" w:rsidRPr="006537FA" w:rsidRDefault="003F38E9" w:rsidP="005825A4">
            <w:pPr>
              <w:spacing w:before="120" w:after="120" w:line="312" w:lineRule="auto"/>
              <w:rPr>
                <w:rFonts w:eastAsia="Times New Roman" w:cs="Times New Roman"/>
                <w:sz w:val="24"/>
              </w:rPr>
            </w:pPr>
            <w:r w:rsidRPr="006537FA">
              <w:rPr>
                <w:rFonts w:eastAsia="Times New Roman" w:cs="Times New Roman"/>
                <w:sz w:val="24"/>
              </w:rPr>
              <w:fldChar w:fldCharType="begin" w:fldLock="1"/>
            </w:r>
            <w:r w:rsidRPr="006537FA">
              <w:rPr>
                <w:rFonts w:eastAsia="Times New Roman" w:cs="Times New Roman"/>
                <w:sz w:val="24"/>
              </w:rPr>
              <w:instrText>ADDIN CSL_CITATION {"citationItems":[{"id":"ITEM-1","itemData":{"DOI":"10.1016/j.najef.2021.101474","ISSN":"10629408","abstract":"In this study, I improve the assessment of asymmetry in volatility spillovers, and define six asymmetric spillover indexes. Employing Diebold-Yilmaz spillover index, network analysis, and my developed asymmetric spillover index, this study investigates the time-varying volatility spillovers and asymmetry in spillovers across stock markets of the U.S., Japan, Germany, the U.K., France, Italy, Canada, China, India, and Brazil based on high-frequency data from June 1, 2009, to August 28, 2020. I find that the global markets are well connected, and volatility spillovers across global stock markets are time-varying, crisis-sensitive, and asymmetric. Developed markets are the main risk transmitters, and emerging markets are the main risk receivers. Downside risk dominates financial contagion effects, and a great deal of downside risk spilled over from stock markets of risk transmitters into the global markets. Moreover, during the coronavirus recession, the total degree of volatility spillover is staying at an extremely high level, and emerging markets are the main risk receivers in the 2020 stock markets crash.","author":[{"dropping-particle":"","family":"Li","given":"Wenqi","non-dropping-particle":"","parse-names":false,"suffix":""}],"container-title":"North American Journal of Economics and Finance","id":"ITEM-1","issue":"November 2020","issued":{"date-parts":[["2021"]]},"page":"101474","publisher":"Elsevier Inc.","title":"COVID-19 and asymmetric volatility spillovers across global stock markets","type":"article-journal","volume":"58"},"uris":["http://www.mendeley.com/documents/?uuid=11223da1-685b-4172-9049-1315fab3b870"]}],"mendeley":{"formattedCitation":"(Li, 2021)","plainTextFormattedCitation":"(Li, 2021)","previouslyFormattedCitation":"(Li, 2021)"},"properties":{"noteIndex":0},"schema":"https://github.com/citation-style-language/schema/raw/master/csl-citation.json"}</w:instrText>
            </w:r>
            <w:r w:rsidRPr="006537FA">
              <w:rPr>
                <w:rFonts w:eastAsia="Times New Roman" w:cs="Times New Roman"/>
                <w:sz w:val="24"/>
              </w:rPr>
              <w:fldChar w:fldCharType="separate"/>
            </w:r>
            <w:r w:rsidRPr="006537FA">
              <w:rPr>
                <w:rFonts w:eastAsia="Times New Roman" w:cs="Times New Roman"/>
                <w:noProof/>
                <w:sz w:val="24"/>
              </w:rPr>
              <w:t>Li (2021)</w:t>
            </w:r>
            <w:r w:rsidRPr="006537FA">
              <w:rPr>
                <w:rFonts w:eastAsia="Times New Roman" w:cs="Times New Roman"/>
                <w:sz w:val="24"/>
              </w:rPr>
              <w:fldChar w:fldCharType="end"/>
            </w:r>
          </w:p>
          <w:p w14:paraId="06239315" w14:textId="77777777" w:rsidR="003F38E9" w:rsidRPr="006537FA" w:rsidRDefault="003F38E9" w:rsidP="005825A4">
            <w:pPr>
              <w:spacing w:before="68" w:after="68" w:line="312" w:lineRule="auto"/>
              <w:rPr>
                <w:rFonts w:eastAsia="Times New Roman" w:cs="Times New Roman"/>
                <w:sz w:val="24"/>
                <w:szCs w:val="24"/>
              </w:rPr>
            </w:pPr>
          </w:p>
        </w:tc>
        <w:tc>
          <w:tcPr>
            <w:tcW w:w="968" w:type="pct"/>
          </w:tcPr>
          <w:p w14:paraId="1DCE480D" w14:textId="77777777" w:rsidR="003F38E9" w:rsidRPr="006537FA" w:rsidRDefault="003F38E9" w:rsidP="005825A4">
            <w:pPr>
              <w:spacing w:before="68" w:after="68" w:line="312" w:lineRule="auto"/>
              <w:rPr>
                <w:rFonts w:eastAsia="Times New Roman" w:cs="Times New Roman"/>
                <w:sz w:val="24"/>
                <w:szCs w:val="24"/>
              </w:rPr>
            </w:pPr>
            <w:r w:rsidRPr="006537FA">
              <w:rPr>
                <w:rFonts w:eastAsia="Times New Roman" w:cs="Times New Roman"/>
                <w:sz w:val="24"/>
                <w:szCs w:val="24"/>
              </w:rPr>
              <w:t>Developed markets transmit risk; emerging markets receive</w:t>
            </w:r>
          </w:p>
        </w:tc>
        <w:tc>
          <w:tcPr>
            <w:tcW w:w="968" w:type="pct"/>
          </w:tcPr>
          <w:p w14:paraId="0DAECFC6" w14:textId="77777777" w:rsidR="003F38E9" w:rsidRPr="006537FA" w:rsidRDefault="003F38E9" w:rsidP="005825A4">
            <w:pPr>
              <w:spacing w:before="68" w:after="68" w:line="312" w:lineRule="auto"/>
              <w:rPr>
                <w:rFonts w:eastAsia="Times New Roman" w:cs="Times New Roman"/>
                <w:sz w:val="24"/>
                <w:szCs w:val="24"/>
              </w:rPr>
            </w:pPr>
            <w:r w:rsidRPr="006537FA">
              <w:rPr>
                <w:rFonts w:eastAsia="Times New Roman" w:cs="Times New Roman"/>
                <w:sz w:val="24"/>
                <w:szCs w:val="24"/>
              </w:rPr>
              <w:t>Volatility and asymmetric volatility spillovers</w:t>
            </w:r>
          </w:p>
        </w:tc>
        <w:tc>
          <w:tcPr>
            <w:tcW w:w="1291" w:type="pct"/>
          </w:tcPr>
          <w:p w14:paraId="0665A97D" w14:textId="77777777" w:rsidR="003F38E9" w:rsidRPr="006537FA" w:rsidRDefault="003F38E9" w:rsidP="005825A4">
            <w:pPr>
              <w:spacing w:before="68" w:after="68" w:line="312" w:lineRule="auto"/>
              <w:rPr>
                <w:rFonts w:eastAsia="Times New Roman" w:cs="Times New Roman"/>
                <w:sz w:val="24"/>
                <w:szCs w:val="24"/>
              </w:rPr>
            </w:pPr>
            <w:r w:rsidRPr="006537FA">
              <w:rPr>
                <w:rFonts w:eastAsia="Times New Roman" w:cs="Times New Roman"/>
                <w:sz w:val="24"/>
                <w:szCs w:val="24"/>
              </w:rPr>
              <w:t>spillovers surged in COVID</w:t>
            </w:r>
          </w:p>
        </w:tc>
        <w:tc>
          <w:tcPr>
            <w:tcW w:w="968" w:type="pct"/>
          </w:tcPr>
          <w:p w14:paraId="0523C9A0" w14:textId="77777777" w:rsidR="003F38E9" w:rsidRPr="006537FA" w:rsidRDefault="003F38E9" w:rsidP="005825A4">
            <w:pPr>
              <w:spacing w:before="68" w:after="68" w:line="312" w:lineRule="auto"/>
              <w:rPr>
                <w:rFonts w:eastAsia="Times New Roman" w:cs="Times New Roman"/>
                <w:sz w:val="24"/>
                <w:szCs w:val="24"/>
              </w:rPr>
            </w:pPr>
            <w:r w:rsidRPr="006537FA">
              <w:rPr>
                <w:rFonts w:eastAsia="Times New Roman" w:cs="Times New Roman"/>
                <w:sz w:val="24"/>
                <w:szCs w:val="24"/>
              </w:rPr>
              <w:t>Volatility measurement</w:t>
            </w:r>
          </w:p>
        </w:tc>
      </w:tr>
      <w:tr w:rsidR="006537FA" w:rsidRPr="006537FA" w14:paraId="51ECE558" w14:textId="77777777" w:rsidTr="00E86B7C">
        <w:tc>
          <w:tcPr>
            <w:tcW w:w="805" w:type="pct"/>
          </w:tcPr>
          <w:p w14:paraId="5412D615" w14:textId="77777777" w:rsidR="003F38E9" w:rsidRPr="006537FA" w:rsidRDefault="003F38E9" w:rsidP="005825A4">
            <w:pPr>
              <w:spacing w:before="68" w:after="68" w:line="312" w:lineRule="auto"/>
              <w:rPr>
                <w:rFonts w:eastAsia="Times New Roman" w:cs="Times New Roman"/>
                <w:sz w:val="24"/>
                <w:szCs w:val="24"/>
              </w:rPr>
            </w:pPr>
            <w:r w:rsidRPr="006537FA">
              <w:rPr>
                <w:rFonts w:eastAsia="Times New Roman" w:cs="Times New Roman"/>
                <w:sz w:val="24"/>
              </w:rPr>
              <w:fldChar w:fldCharType="begin" w:fldLock="1"/>
            </w:r>
            <w:r w:rsidRPr="006537FA">
              <w:rPr>
                <w:rFonts w:eastAsia="Times New Roman" w:cs="Times New Roman"/>
                <w:sz w:val="24"/>
              </w:rPr>
              <w:instrText>ADDIN CSL_CITATION {"citationItems":[{"id":"ITEM-1","itemData":{"DOI":"10.1016/j.iref.2021.06.015","ISSN":"10590560","abstract":"The extant literature examines the impact of US uncertainty on international stock markets without paying much attention to the inherent spillovers between the US and the stock markets. This study investigates the role of US uncertainty in driving global stock market spillover from the US. To this end, we consider a wide range of stock markets around the world and three news-based uncertainties from the US, namely economic policy uncertainty (EPU), equity market uncertainty (EMU), and equity market volatility (EMV). We find that the US uncertainties significantly explain the spillovers from the US to global stock markets. This causality from US uncertainties depends upon certain country-characteristics. Specifically, the US uncertainties better explain the spillovers between the US and target countries when those countries have a higher degree of financial openness, trade linkage with the US, and vulnerable fiscal position. However, improved stock market development levels in the target countries mitigate their stock markets' vulnerability to US uncertainty shocks. The study offers potential insights and implications for investors and policymakers.","author":[{"dropping-particle":"","family":"Balli","given":"Faruk","non-dropping-particle":"","parse-names":false,"suffix":""},{"dropping-particle":"","family":"Hasan","given":"Mudassar","non-dropping-particle":"","parse-names":false,"suffix":""},{"dropping-particle":"","family":"Ozer-Balli","given":"Hatice","non-dropping-particle":"","parse-names":false,"suffix":""},{"dropping-particle":"","family":"Gregory-Allen","given":"Russell","non-dropping-particle":"","parse-names":false,"suffix":""}],"container-title":"International Review of Economics and Finance","id":"ITEM-1","issue":"February 2020","issued":{"date-parts":[["2021"]]},"page":"288-301","publisher":"Elsevier Inc.","title":"Why do U.S. uncertainties drive stock market spillovers? International evidence","type":"article-journal","volume":"76"},"uris":["http://www.mendeley.com/documents/?uuid=54f82ff8-8333-4a9f-868d-6472f05f4733"]}],"mendeley":{"formattedCitation":"(Balli et al., 2021)","plainTextFormattedCitation":"(Balli et al., 2021)","previouslyFormattedCitation":"(Balli et al., 2021)"},"properties":{"noteIndex":0},"schema":"https://github.com/citation-style-language/schema/raw/master/csl-citation.json"}</w:instrText>
            </w:r>
            <w:r w:rsidRPr="006537FA">
              <w:rPr>
                <w:rFonts w:eastAsia="Times New Roman" w:cs="Times New Roman"/>
                <w:sz w:val="24"/>
              </w:rPr>
              <w:fldChar w:fldCharType="separate"/>
            </w:r>
            <w:r w:rsidRPr="006537FA">
              <w:rPr>
                <w:rFonts w:eastAsia="Times New Roman" w:cs="Times New Roman"/>
                <w:noProof/>
                <w:sz w:val="24"/>
              </w:rPr>
              <w:t>Balli et al. (2021)</w:t>
            </w:r>
            <w:r w:rsidRPr="006537FA">
              <w:rPr>
                <w:rFonts w:eastAsia="Times New Roman" w:cs="Times New Roman"/>
                <w:sz w:val="24"/>
              </w:rPr>
              <w:fldChar w:fldCharType="end"/>
            </w:r>
          </w:p>
        </w:tc>
        <w:tc>
          <w:tcPr>
            <w:tcW w:w="968" w:type="pct"/>
          </w:tcPr>
          <w:p w14:paraId="71ABCB41" w14:textId="77777777" w:rsidR="003F38E9" w:rsidRPr="006537FA" w:rsidRDefault="003F38E9" w:rsidP="005825A4">
            <w:pPr>
              <w:spacing w:before="68" w:after="68" w:line="312" w:lineRule="auto"/>
              <w:rPr>
                <w:rFonts w:eastAsia="Times New Roman" w:cs="Times New Roman"/>
                <w:sz w:val="24"/>
                <w:szCs w:val="24"/>
              </w:rPr>
            </w:pPr>
            <w:r w:rsidRPr="006537FA">
              <w:rPr>
                <w:rFonts w:eastAsia="Times New Roman" w:cs="Times New Roman"/>
                <w:sz w:val="24"/>
                <w:szCs w:val="24"/>
              </w:rPr>
              <w:t>US = dominant global center</w:t>
            </w:r>
          </w:p>
        </w:tc>
        <w:tc>
          <w:tcPr>
            <w:tcW w:w="968" w:type="pct"/>
          </w:tcPr>
          <w:p w14:paraId="66A15E78" w14:textId="77777777" w:rsidR="003F38E9" w:rsidRPr="006537FA" w:rsidRDefault="003F38E9" w:rsidP="005825A4">
            <w:pPr>
              <w:spacing w:before="68" w:after="68" w:line="312" w:lineRule="auto"/>
              <w:rPr>
                <w:rFonts w:eastAsia="Times New Roman" w:cs="Times New Roman"/>
                <w:sz w:val="24"/>
                <w:szCs w:val="24"/>
              </w:rPr>
            </w:pPr>
            <w:r w:rsidRPr="006537FA">
              <w:rPr>
                <w:rFonts w:eastAsia="Times New Roman" w:cs="Times New Roman"/>
                <w:sz w:val="24"/>
                <w:szCs w:val="24"/>
              </w:rPr>
              <w:t>Transmission path US → Europe</w:t>
            </w:r>
          </w:p>
        </w:tc>
        <w:tc>
          <w:tcPr>
            <w:tcW w:w="1291" w:type="pct"/>
          </w:tcPr>
          <w:p w14:paraId="57B20420" w14:textId="77777777" w:rsidR="003F38E9" w:rsidRPr="006537FA" w:rsidRDefault="003F38E9" w:rsidP="005825A4">
            <w:pPr>
              <w:spacing w:before="68" w:after="68" w:line="312" w:lineRule="auto"/>
              <w:rPr>
                <w:rFonts w:eastAsia="Times New Roman" w:cs="Times New Roman"/>
                <w:sz w:val="24"/>
                <w:szCs w:val="24"/>
              </w:rPr>
            </w:pPr>
            <w:r w:rsidRPr="006537FA">
              <w:rPr>
                <w:rFonts w:eastAsia="Times New Roman" w:cs="Times New Roman"/>
                <w:sz w:val="24"/>
                <w:szCs w:val="24"/>
              </w:rPr>
              <w:t>Lack of mutual adjustment analysis</w:t>
            </w:r>
          </w:p>
        </w:tc>
        <w:tc>
          <w:tcPr>
            <w:tcW w:w="968" w:type="pct"/>
          </w:tcPr>
          <w:p w14:paraId="635513FE" w14:textId="77777777" w:rsidR="003F38E9" w:rsidRPr="006537FA" w:rsidRDefault="003F38E9" w:rsidP="005825A4">
            <w:pPr>
              <w:spacing w:before="68" w:after="68" w:line="312" w:lineRule="auto"/>
              <w:rPr>
                <w:rFonts w:eastAsia="Times New Roman" w:cs="Times New Roman"/>
                <w:sz w:val="24"/>
                <w:szCs w:val="24"/>
              </w:rPr>
            </w:pPr>
            <w:r w:rsidRPr="006537FA">
              <w:rPr>
                <w:rFonts w:eastAsia="Times New Roman" w:cs="Times New Roman"/>
                <w:sz w:val="24"/>
                <w:szCs w:val="24"/>
              </w:rPr>
              <w:t>Cross-market linkage models</w:t>
            </w:r>
          </w:p>
        </w:tc>
      </w:tr>
      <w:tr w:rsidR="006537FA" w:rsidRPr="006537FA" w14:paraId="04EDA91A" w14:textId="77777777" w:rsidTr="00E86B7C">
        <w:tc>
          <w:tcPr>
            <w:tcW w:w="805" w:type="pct"/>
            <w:tcBorders>
              <w:bottom w:val="single" w:sz="4" w:space="0" w:color="auto"/>
            </w:tcBorders>
          </w:tcPr>
          <w:p w14:paraId="0827344B" w14:textId="77777777" w:rsidR="003F38E9" w:rsidRPr="006537FA" w:rsidRDefault="003F38E9" w:rsidP="005825A4">
            <w:pPr>
              <w:spacing w:before="68" w:after="68" w:line="312" w:lineRule="auto"/>
              <w:rPr>
                <w:rFonts w:eastAsia="Times New Roman" w:cs="Times New Roman"/>
                <w:sz w:val="24"/>
                <w:szCs w:val="24"/>
              </w:rPr>
            </w:pPr>
            <w:r w:rsidRPr="006537FA">
              <w:rPr>
                <w:rFonts w:eastAsia="Times New Roman" w:cs="Times New Roman"/>
                <w:sz w:val="24"/>
                <w:szCs w:val="24"/>
              </w:rPr>
              <w:fldChar w:fldCharType="begin" w:fldLock="1"/>
            </w:r>
            <w:r w:rsidRPr="006537FA">
              <w:rPr>
                <w:rFonts w:eastAsia="Times New Roman" w:cs="Times New Roman"/>
                <w:sz w:val="24"/>
                <w:szCs w:val="24"/>
              </w:rPr>
              <w:instrText>ADDIN CSL_CITATION {"citationItems":[{"id":"ITEM-1","itemData":{"ISSN":"2079-8954","author":[{"dropping-particle":"","family":"Choi","given":"Ki-Hong","non-dropping-particle":"","parse-names":false,"suffix":""},{"dropping-particle":"","family":"Yoon","given":"Seong-Min","non-dropping-particle":"","parse-names":false,"suffix":""}],"container-title":"Systems","id":"ITEM-1","issue":"4","issued":{"date-parts":[["2023"]]},"page":"207","publisher":"MDPI","title":"Risk connectedness among international stock markets: fresh findings from a network approach","type":"article-journal","volume":"11"},"uris":["http://www.mendeley.com/documents/?uuid=23ed5d08-fc39-4283-93e1-cd290e39dfef"]}],"mendeley":{"formattedCitation":"(K.-H. Choi &amp; Yoon, 2023)","plainTextFormattedCitation":"(K.-H. Choi &amp; Yoon, 2023)","previouslyFormattedCitation":"(K.-H. Choi &amp; Yoon, 2023)"},"properties":{"noteIndex":0},"schema":"https://github.com/citation-style-language/schema/raw/master/csl-citation.json"}</w:instrText>
            </w:r>
            <w:r w:rsidRPr="006537FA">
              <w:rPr>
                <w:rFonts w:eastAsia="Times New Roman" w:cs="Times New Roman"/>
                <w:sz w:val="24"/>
                <w:szCs w:val="24"/>
              </w:rPr>
              <w:fldChar w:fldCharType="separate"/>
            </w:r>
            <w:r w:rsidRPr="006537FA">
              <w:rPr>
                <w:rFonts w:eastAsia="Times New Roman" w:cs="Times New Roman"/>
                <w:noProof/>
                <w:sz w:val="24"/>
                <w:szCs w:val="24"/>
              </w:rPr>
              <w:t>K.-H. Choi and Yoon (2023)</w:t>
            </w:r>
            <w:r w:rsidRPr="006537FA">
              <w:rPr>
                <w:rFonts w:eastAsia="Times New Roman" w:cs="Times New Roman"/>
                <w:sz w:val="24"/>
                <w:szCs w:val="24"/>
              </w:rPr>
              <w:fldChar w:fldCharType="end"/>
            </w:r>
          </w:p>
        </w:tc>
        <w:tc>
          <w:tcPr>
            <w:tcW w:w="968" w:type="pct"/>
            <w:tcBorders>
              <w:bottom w:val="single" w:sz="4" w:space="0" w:color="auto"/>
            </w:tcBorders>
          </w:tcPr>
          <w:p w14:paraId="630DD41F" w14:textId="77777777" w:rsidR="003F38E9" w:rsidRPr="006537FA" w:rsidRDefault="003F38E9" w:rsidP="005825A4">
            <w:pPr>
              <w:spacing w:before="68" w:after="68" w:line="312" w:lineRule="auto"/>
              <w:rPr>
                <w:rFonts w:eastAsia="Times New Roman" w:cs="Times New Roman"/>
                <w:sz w:val="24"/>
                <w:szCs w:val="24"/>
              </w:rPr>
            </w:pPr>
            <w:r w:rsidRPr="006537FA">
              <w:rPr>
                <w:rFonts w:eastAsia="Times New Roman" w:cs="Times New Roman"/>
                <w:sz w:val="24"/>
                <w:szCs w:val="24"/>
              </w:rPr>
              <w:t>DE, EU, US, UK are net risk shock source; CN, IN, JP are net receivers;</w:t>
            </w:r>
          </w:p>
        </w:tc>
        <w:tc>
          <w:tcPr>
            <w:tcW w:w="968" w:type="pct"/>
            <w:tcBorders>
              <w:bottom w:val="single" w:sz="4" w:space="0" w:color="auto"/>
            </w:tcBorders>
          </w:tcPr>
          <w:p w14:paraId="248F8FEA" w14:textId="77777777" w:rsidR="003F38E9" w:rsidRPr="006537FA" w:rsidRDefault="003F38E9" w:rsidP="005825A4">
            <w:pPr>
              <w:spacing w:before="68" w:after="68" w:line="312" w:lineRule="auto"/>
              <w:rPr>
                <w:rFonts w:eastAsia="Times New Roman" w:cs="Times New Roman"/>
                <w:sz w:val="24"/>
                <w:szCs w:val="24"/>
              </w:rPr>
            </w:pPr>
            <w:r w:rsidRPr="006537FA">
              <w:rPr>
                <w:rFonts w:eastAsia="Times New Roman" w:cs="Times New Roman"/>
                <w:sz w:val="24"/>
                <w:szCs w:val="24"/>
              </w:rPr>
              <w:t>International stock market risk connectedness</w:t>
            </w:r>
          </w:p>
        </w:tc>
        <w:tc>
          <w:tcPr>
            <w:tcW w:w="1291" w:type="pct"/>
            <w:tcBorders>
              <w:bottom w:val="single" w:sz="4" w:space="0" w:color="auto"/>
            </w:tcBorders>
          </w:tcPr>
          <w:p w14:paraId="3290D801" w14:textId="77777777" w:rsidR="003F38E9" w:rsidRPr="006537FA" w:rsidRDefault="003F38E9" w:rsidP="005825A4">
            <w:pPr>
              <w:spacing w:before="68" w:after="68" w:line="312" w:lineRule="auto"/>
              <w:rPr>
                <w:rFonts w:eastAsia="Times New Roman" w:cs="Times New Roman"/>
                <w:sz w:val="24"/>
                <w:szCs w:val="24"/>
              </w:rPr>
            </w:pPr>
            <w:r w:rsidRPr="006537FA">
              <w:rPr>
                <w:rFonts w:eastAsia="Times New Roman" w:cs="Times New Roman"/>
                <w:sz w:val="24"/>
                <w:szCs w:val="24"/>
              </w:rPr>
              <w:t>Downside risk connectedness is stronger than upside.</w:t>
            </w:r>
          </w:p>
        </w:tc>
        <w:tc>
          <w:tcPr>
            <w:tcW w:w="968" w:type="pct"/>
            <w:tcBorders>
              <w:bottom w:val="single" w:sz="4" w:space="0" w:color="auto"/>
            </w:tcBorders>
          </w:tcPr>
          <w:p w14:paraId="79BB6997" w14:textId="77777777" w:rsidR="003F38E9" w:rsidRPr="006537FA" w:rsidRDefault="003F38E9" w:rsidP="005825A4">
            <w:pPr>
              <w:spacing w:before="68" w:after="68" w:line="312" w:lineRule="auto"/>
              <w:rPr>
                <w:rFonts w:eastAsia="Times New Roman" w:cs="Times New Roman"/>
                <w:sz w:val="24"/>
                <w:szCs w:val="24"/>
              </w:rPr>
            </w:pPr>
            <w:r w:rsidRPr="006537FA">
              <w:rPr>
                <w:rFonts w:eastAsia="Times New Roman" w:cs="Times New Roman"/>
                <w:sz w:val="24"/>
                <w:szCs w:val="24"/>
              </w:rPr>
              <w:t>Daily</w:t>
            </w:r>
          </w:p>
          <w:p w14:paraId="25CEADC8" w14:textId="77777777" w:rsidR="003F38E9" w:rsidRPr="006537FA" w:rsidRDefault="003F38E9" w:rsidP="005825A4">
            <w:pPr>
              <w:spacing w:before="68" w:after="68" w:line="312" w:lineRule="auto"/>
              <w:rPr>
                <w:rFonts w:eastAsia="Times New Roman" w:cs="Times New Roman"/>
                <w:sz w:val="24"/>
                <w:szCs w:val="24"/>
              </w:rPr>
            </w:pPr>
            <w:r w:rsidRPr="006537FA">
              <w:rPr>
                <w:rFonts w:eastAsia="Times New Roman" w:cs="Times New Roman"/>
                <w:sz w:val="24"/>
                <w:szCs w:val="24"/>
              </w:rPr>
              <w:t>stock returns/ARMA (1, 1)-GJR-GARCH (1, 1)</w:t>
            </w:r>
          </w:p>
        </w:tc>
      </w:tr>
      <w:tr w:rsidR="006537FA" w:rsidRPr="006537FA" w14:paraId="2CC2FE35" w14:textId="77777777" w:rsidTr="00E86B7C">
        <w:tc>
          <w:tcPr>
            <w:tcW w:w="805" w:type="pct"/>
            <w:tcBorders>
              <w:bottom w:val="single" w:sz="4" w:space="0" w:color="auto"/>
            </w:tcBorders>
          </w:tcPr>
          <w:p w14:paraId="2C7CFCF3" w14:textId="77777777" w:rsidR="003F38E9" w:rsidRPr="006537FA" w:rsidRDefault="003F38E9" w:rsidP="005825A4">
            <w:pPr>
              <w:spacing w:before="68" w:after="68" w:line="312" w:lineRule="auto"/>
              <w:rPr>
                <w:rFonts w:eastAsia="Times New Roman" w:cs="Times New Roman"/>
                <w:sz w:val="24"/>
                <w:szCs w:val="24"/>
              </w:rPr>
            </w:pPr>
            <w:r w:rsidRPr="006537FA">
              <w:rPr>
                <w:rFonts w:eastAsia="Times New Roman" w:cs="Times New Roman"/>
                <w:sz w:val="24"/>
              </w:rPr>
              <w:fldChar w:fldCharType="begin" w:fldLock="1"/>
            </w:r>
            <w:r w:rsidRPr="006537FA">
              <w:rPr>
                <w:rFonts w:eastAsia="Times New Roman" w:cs="Times New Roman"/>
                <w:sz w:val="24"/>
              </w:rPr>
              <w:instrText>ADDIN CSL_CITATION {"citationItems":[{"id":"ITEM-1","itemData":{"DOI":"10.1016/j.gfj.2023.100896","ISSN":"10440283","abstract":"This paper investigates the liquidity spillovers between 56 stock markets for the period from January 2, 2007 to August 12, 2022. Using high-dimensional data, we estimated a LASSO-VAR model to calculate liquidity spillovers across the diverse stock markets. Our results reveal that stock markets are significantly connected through the liquidity channel. This connectedness is mainly explained by variations in the entire system, which are dynamic and intensify during the periods of crisis or financial stress. Developed markets such as the United Kingdom, United States, Canada, and the Eurozone are the main transmitters of liquidity spillovers. However, emerging markets such as Brazil, Mexico, South Africa, Romania, and Bulgaria are also important transmitters of liquidity shocks and facilitate their propagation. Other emerging markets are the least vulnerable to shocks of this nature, and offer the best opportunities to diversify portfolios internationally and contain financial contagion. These results are relevant for investors, market makers, and regulators due to their implications for investment decision-making, as well as for financial regulation design.","author":[{"dropping-particle":"","family":"Muñoz Mendoza","given":"Jorge A.","non-dropping-particle":"","parse-names":false,"suffix":""},{"dropping-particle":"","family":"Ferreira","given":"Guillermo","non-dropping-particle":"","parse-names":false,"suffix":""},{"dropping-particle":"","family":"Márquez Sanders","given":"Vicente A.","non-dropping-particle":"","parse-names":false,"suffix":""}],"container-title":"Global Finance Journal","id":"ITEM-1","issue":"April","issued":{"date-parts":[["2023"]]},"page":"1-19","title":"Liquidity spillovers in the global stock markets: Lessons for risk management","type":"article-journal","volume":"58"},"uris":["http://www.mendeley.com/documents/?uuid=1be641e8-e3c6-4947-8aaf-a6ce5b44baea"]}],"mendeley":{"formattedCitation":"(Muñoz Mendoza et al., 2023)","manualFormatting":"Muñoz Mendoza et al. (2023)","plainTextFormattedCitation":"(Muñoz Mendoza et al., 2023)","previouslyFormattedCitation":"(Muñoz Mendoza et al., 2023)"},"properties":{"noteIndex":0},"schema":"https://github.com/citation-style-language/schema/raw/master/csl-citation.json"}</w:instrText>
            </w:r>
            <w:r w:rsidRPr="006537FA">
              <w:rPr>
                <w:rFonts w:eastAsia="Times New Roman" w:cs="Times New Roman"/>
                <w:sz w:val="24"/>
              </w:rPr>
              <w:fldChar w:fldCharType="separate"/>
            </w:r>
            <w:r w:rsidRPr="006537FA">
              <w:rPr>
                <w:rFonts w:eastAsia="Times New Roman" w:cs="Times New Roman"/>
                <w:noProof/>
                <w:sz w:val="24"/>
              </w:rPr>
              <w:t>Muñoz Mendoza et al. (2023)</w:t>
            </w:r>
            <w:r w:rsidRPr="006537FA">
              <w:rPr>
                <w:rFonts w:eastAsia="Times New Roman" w:cs="Times New Roman"/>
                <w:sz w:val="24"/>
              </w:rPr>
              <w:fldChar w:fldCharType="end"/>
            </w:r>
          </w:p>
        </w:tc>
        <w:tc>
          <w:tcPr>
            <w:tcW w:w="968" w:type="pct"/>
            <w:tcBorders>
              <w:bottom w:val="single" w:sz="4" w:space="0" w:color="auto"/>
            </w:tcBorders>
          </w:tcPr>
          <w:p w14:paraId="5200BA16" w14:textId="77777777" w:rsidR="003F38E9" w:rsidRPr="006537FA" w:rsidRDefault="003F38E9" w:rsidP="005825A4">
            <w:pPr>
              <w:spacing w:before="68" w:after="68" w:line="312" w:lineRule="auto"/>
              <w:rPr>
                <w:rFonts w:eastAsia="Times New Roman" w:cs="Times New Roman"/>
                <w:sz w:val="24"/>
                <w:szCs w:val="24"/>
              </w:rPr>
            </w:pPr>
            <w:proofErr w:type="gramStart"/>
            <w:r w:rsidRPr="006537FA">
              <w:rPr>
                <w:rFonts w:eastAsia="Times New Roman" w:cs="Times New Roman"/>
                <w:sz w:val="24"/>
                <w:szCs w:val="24"/>
              </w:rPr>
              <w:t>US</w:t>
            </w:r>
            <w:proofErr w:type="gramEnd"/>
            <w:r w:rsidRPr="006537FA">
              <w:rPr>
                <w:rFonts w:eastAsia="Times New Roman" w:cs="Times New Roman"/>
                <w:sz w:val="24"/>
                <w:szCs w:val="24"/>
              </w:rPr>
              <w:t xml:space="preserve"> and Austria are net shock sources.</w:t>
            </w:r>
          </w:p>
        </w:tc>
        <w:tc>
          <w:tcPr>
            <w:tcW w:w="968" w:type="pct"/>
            <w:tcBorders>
              <w:bottom w:val="single" w:sz="4" w:space="0" w:color="auto"/>
            </w:tcBorders>
          </w:tcPr>
          <w:p w14:paraId="00EFC699" w14:textId="77777777" w:rsidR="003F38E9" w:rsidRPr="006537FA" w:rsidRDefault="003F38E9" w:rsidP="005825A4">
            <w:pPr>
              <w:spacing w:before="68" w:after="68" w:line="312" w:lineRule="auto"/>
              <w:rPr>
                <w:rFonts w:eastAsia="Times New Roman" w:cs="Times New Roman"/>
                <w:sz w:val="24"/>
                <w:szCs w:val="24"/>
              </w:rPr>
            </w:pPr>
            <w:r w:rsidRPr="006537FA">
              <w:rPr>
                <w:rFonts w:eastAsia="Times New Roman" w:cs="Times New Roman"/>
                <w:sz w:val="24"/>
                <w:szCs w:val="24"/>
              </w:rPr>
              <w:t>Developed markets are the source of shock.</w:t>
            </w:r>
          </w:p>
        </w:tc>
        <w:tc>
          <w:tcPr>
            <w:tcW w:w="1291" w:type="pct"/>
            <w:tcBorders>
              <w:bottom w:val="single" w:sz="4" w:space="0" w:color="auto"/>
            </w:tcBorders>
          </w:tcPr>
          <w:p w14:paraId="09A27E94" w14:textId="77777777" w:rsidR="003F38E9" w:rsidRPr="006537FA" w:rsidRDefault="003F38E9" w:rsidP="005825A4">
            <w:pPr>
              <w:spacing w:before="68" w:after="68" w:line="312" w:lineRule="auto"/>
              <w:rPr>
                <w:rFonts w:eastAsia="Times New Roman" w:cs="Times New Roman"/>
                <w:sz w:val="24"/>
                <w:szCs w:val="24"/>
              </w:rPr>
            </w:pPr>
            <w:r w:rsidRPr="006537FA">
              <w:rPr>
                <w:rFonts w:eastAsia="Times New Roman" w:cs="Times New Roman"/>
                <w:sz w:val="24"/>
                <w:szCs w:val="24"/>
              </w:rPr>
              <w:t>Only using Spread, not reflecting multi-dimensional liquidity</w:t>
            </w:r>
          </w:p>
        </w:tc>
        <w:tc>
          <w:tcPr>
            <w:tcW w:w="968" w:type="pct"/>
            <w:tcBorders>
              <w:bottom w:val="single" w:sz="4" w:space="0" w:color="auto"/>
            </w:tcBorders>
          </w:tcPr>
          <w:p w14:paraId="39DEA093" w14:textId="77777777" w:rsidR="003F38E9" w:rsidRPr="006537FA" w:rsidRDefault="003F38E9" w:rsidP="005825A4">
            <w:pPr>
              <w:spacing w:before="68" w:after="68" w:line="312" w:lineRule="auto"/>
              <w:rPr>
                <w:rFonts w:eastAsia="Times New Roman" w:cs="Times New Roman"/>
                <w:sz w:val="24"/>
                <w:szCs w:val="24"/>
              </w:rPr>
            </w:pPr>
            <w:r w:rsidRPr="006537FA">
              <w:rPr>
                <w:rFonts w:eastAsia="Times New Roman" w:cs="Times New Roman"/>
                <w:sz w:val="24"/>
                <w:szCs w:val="24"/>
              </w:rPr>
              <w:t>Liquidity spread only</w:t>
            </w:r>
          </w:p>
        </w:tc>
      </w:tr>
      <w:tr w:rsidR="003F38E9" w:rsidRPr="006537FA" w14:paraId="23FAFBEB" w14:textId="77777777" w:rsidTr="00E86B7C">
        <w:tc>
          <w:tcPr>
            <w:tcW w:w="5000" w:type="pct"/>
            <w:gridSpan w:val="5"/>
            <w:tcBorders>
              <w:top w:val="single" w:sz="4" w:space="0" w:color="auto"/>
              <w:left w:val="nil"/>
              <w:bottom w:val="nil"/>
              <w:right w:val="nil"/>
            </w:tcBorders>
          </w:tcPr>
          <w:p w14:paraId="4F9F0E78" w14:textId="29E7659D" w:rsidR="003F38E9" w:rsidRPr="005927E4" w:rsidRDefault="003F38E9" w:rsidP="005825A4">
            <w:pPr>
              <w:spacing w:before="68" w:after="68" w:line="312" w:lineRule="auto"/>
              <w:jc w:val="right"/>
              <w:rPr>
                <w:rFonts w:eastAsia="Times New Roman" w:cs="Times New Roman"/>
                <w:i/>
                <w:iCs/>
                <w:sz w:val="24"/>
                <w:szCs w:val="24"/>
              </w:rPr>
            </w:pPr>
            <w:r w:rsidRPr="005927E4">
              <w:rPr>
                <w:rFonts w:eastAsia="Times New Roman" w:cs="Times New Roman"/>
                <w:i/>
                <w:iCs/>
                <w:sz w:val="24"/>
                <w:szCs w:val="24"/>
              </w:rPr>
              <w:t>Source: The authors synthesize</w:t>
            </w:r>
          </w:p>
        </w:tc>
      </w:tr>
    </w:tbl>
    <w:p w14:paraId="60286A29" w14:textId="365D2D89" w:rsidR="00A67A09" w:rsidRPr="00D40315" w:rsidRDefault="00A67A09" w:rsidP="00A67A09">
      <w:pPr>
        <w:spacing w:before="120" w:after="120" w:line="312" w:lineRule="auto"/>
        <w:rPr>
          <w:rFonts w:eastAsia="Times New Roman" w:cs="Times New Roman"/>
          <w:b/>
          <w:bCs/>
          <w:sz w:val="24"/>
          <w:szCs w:val="26"/>
        </w:rPr>
      </w:pPr>
      <w:r w:rsidRPr="00D40315">
        <w:rPr>
          <w:rFonts w:eastAsia="Times New Roman" w:cs="Times New Roman"/>
          <w:b/>
          <w:bCs/>
          <w:sz w:val="24"/>
          <w:szCs w:val="26"/>
        </w:rPr>
        <w:lastRenderedPageBreak/>
        <w:t xml:space="preserve">Table </w:t>
      </w:r>
      <w:r w:rsidR="005B10DD">
        <w:rPr>
          <w:rFonts w:eastAsia="Times New Roman" w:cs="Times New Roman"/>
          <w:b/>
          <w:bCs/>
          <w:sz w:val="24"/>
          <w:szCs w:val="26"/>
        </w:rPr>
        <w:t>S2</w:t>
      </w:r>
      <w:r w:rsidRPr="00D40315">
        <w:rPr>
          <w:rFonts w:eastAsia="Times New Roman" w:cs="Times New Roman"/>
          <w:b/>
          <w:bCs/>
          <w:sz w:val="24"/>
          <w:szCs w:val="26"/>
        </w:rPr>
        <w:t>. Statistical description and Stationary test</w:t>
      </w:r>
    </w:p>
    <w:tbl>
      <w:tblPr>
        <w:tblW w:w="5197" w:type="pct"/>
        <w:tblInd w:w="-289" w:type="dxa"/>
        <w:tblCellMar>
          <w:left w:w="0" w:type="dxa"/>
          <w:right w:w="0" w:type="dxa"/>
        </w:tblCellMar>
        <w:tblLook w:val="0000" w:firstRow="0" w:lastRow="0" w:firstColumn="0" w:lastColumn="0" w:noHBand="0" w:noVBand="0"/>
      </w:tblPr>
      <w:tblGrid>
        <w:gridCol w:w="1032"/>
        <w:gridCol w:w="1037"/>
        <w:gridCol w:w="1194"/>
        <w:gridCol w:w="962"/>
        <w:gridCol w:w="1207"/>
        <w:gridCol w:w="1598"/>
        <w:gridCol w:w="975"/>
        <w:gridCol w:w="1293"/>
        <w:gridCol w:w="824"/>
        <w:gridCol w:w="1697"/>
        <w:gridCol w:w="830"/>
        <w:gridCol w:w="822"/>
      </w:tblGrid>
      <w:tr w:rsidR="00A67A09" w:rsidRPr="004138B4" w14:paraId="0224A658" w14:textId="77777777" w:rsidTr="005B2612">
        <w:trPr>
          <w:trHeight w:val="220"/>
        </w:trPr>
        <w:tc>
          <w:tcPr>
            <w:tcW w:w="383" w:type="pct"/>
            <w:tcBorders>
              <w:bottom w:val="single" w:sz="4" w:space="0" w:color="auto"/>
            </w:tcBorders>
            <w:vAlign w:val="bottom"/>
          </w:tcPr>
          <w:p w14:paraId="097D9412" w14:textId="77777777" w:rsidR="00A67A09" w:rsidRPr="004138B4" w:rsidRDefault="00A67A09" w:rsidP="005B2612">
            <w:pPr>
              <w:spacing w:before="48" w:after="0" w:line="240" w:lineRule="auto"/>
              <w:rPr>
                <w:rFonts w:eastAsia="Times New Roman" w:cs="Times New Roman"/>
                <w:sz w:val="20"/>
                <w:szCs w:val="20"/>
              </w:rPr>
            </w:pPr>
          </w:p>
        </w:tc>
        <w:tc>
          <w:tcPr>
            <w:tcW w:w="385" w:type="pct"/>
            <w:tcBorders>
              <w:bottom w:val="single" w:sz="4" w:space="0" w:color="auto"/>
            </w:tcBorders>
            <w:vAlign w:val="bottom"/>
          </w:tcPr>
          <w:p w14:paraId="31A61C9B" w14:textId="77777777" w:rsidR="00A67A09" w:rsidRPr="004138B4" w:rsidRDefault="00A67A09" w:rsidP="005B2612">
            <w:pPr>
              <w:spacing w:before="48" w:after="0" w:line="240" w:lineRule="auto"/>
              <w:ind w:right="45"/>
              <w:jc w:val="right"/>
              <w:rPr>
                <w:rFonts w:eastAsia="Times New Roman" w:cs="Times New Roman"/>
                <w:b/>
                <w:bCs/>
                <w:sz w:val="20"/>
                <w:szCs w:val="20"/>
              </w:rPr>
            </w:pPr>
            <w:r w:rsidRPr="004138B4">
              <w:rPr>
                <w:rFonts w:eastAsia="Times New Roman" w:cs="Times New Roman"/>
                <w:b/>
                <w:bCs/>
                <w:sz w:val="20"/>
                <w:szCs w:val="20"/>
              </w:rPr>
              <w:t>AUSTRIA</w:t>
            </w:r>
          </w:p>
        </w:tc>
        <w:tc>
          <w:tcPr>
            <w:tcW w:w="443" w:type="pct"/>
            <w:tcBorders>
              <w:bottom w:val="single" w:sz="4" w:space="0" w:color="auto"/>
            </w:tcBorders>
            <w:vAlign w:val="bottom"/>
          </w:tcPr>
          <w:p w14:paraId="4CA42446" w14:textId="77777777" w:rsidR="00A67A09" w:rsidRPr="004138B4" w:rsidRDefault="00A67A09" w:rsidP="005B2612">
            <w:pPr>
              <w:spacing w:before="48" w:after="0" w:line="240" w:lineRule="auto"/>
              <w:ind w:right="45"/>
              <w:jc w:val="right"/>
              <w:rPr>
                <w:rFonts w:eastAsia="Times New Roman" w:cs="Times New Roman"/>
                <w:b/>
                <w:bCs/>
                <w:sz w:val="20"/>
                <w:szCs w:val="20"/>
              </w:rPr>
            </w:pPr>
            <w:r w:rsidRPr="004138B4">
              <w:rPr>
                <w:rFonts w:eastAsia="Times New Roman" w:cs="Times New Roman"/>
                <w:b/>
                <w:bCs/>
                <w:sz w:val="20"/>
                <w:szCs w:val="20"/>
              </w:rPr>
              <w:t>BELGIUM</w:t>
            </w:r>
          </w:p>
        </w:tc>
        <w:tc>
          <w:tcPr>
            <w:tcW w:w="357" w:type="pct"/>
            <w:tcBorders>
              <w:bottom w:val="single" w:sz="4" w:space="0" w:color="auto"/>
            </w:tcBorders>
            <w:vAlign w:val="bottom"/>
          </w:tcPr>
          <w:p w14:paraId="50107396" w14:textId="77777777" w:rsidR="00A67A09" w:rsidRPr="004138B4" w:rsidRDefault="00A67A09" w:rsidP="005B2612">
            <w:pPr>
              <w:spacing w:before="48" w:after="0" w:line="240" w:lineRule="auto"/>
              <w:ind w:right="45"/>
              <w:jc w:val="right"/>
              <w:rPr>
                <w:rFonts w:eastAsia="Times New Roman" w:cs="Times New Roman"/>
                <w:b/>
                <w:bCs/>
                <w:sz w:val="20"/>
                <w:szCs w:val="20"/>
              </w:rPr>
            </w:pPr>
            <w:r w:rsidRPr="004138B4">
              <w:rPr>
                <w:rFonts w:eastAsia="Times New Roman" w:cs="Times New Roman"/>
                <w:b/>
                <w:bCs/>
                <w:sz w:val="20"/>
                <w:szCs w:val="20"/>
              </w:rPr>
              <w:t>FRANCE</w:t>
            </w:r>
          </w:p>
        </w:tc>
        <w:tc>
          <w:tcPr>
            <w:tcW w:w="448" w:type="pct"/>
            <w:tcBorders>
              <w:bottom w:val="single" w:sz="4" w:space="0" w:color="auto"/>
            </w:tcBorders>
            <w:vAlign w:val="bottom"/>
          </w:tcPr>
          <w:p w14:paraId="222F1963" w14:textId="77777777" w:rsidR="00A67A09" w:rsidRPr="004138B4" w:rsidRDefault="00A67A09" w:rsidP="005B2612">
            <w:pPr>
              <w:spacing w:before="48" w:after="0" w:line="240" w:lineRule="auto"/>
              <w:ind w:right="45"/>
              <w:jc w:val="right"/>
              <w:rPr>
                <w:rFonts w:eastAsia="Times New Roman" w:cs="Times New Roman"/>
                <w:b/>
                <w:bCs/>
                <w:sz w:val="20"/>
                <w:szCs w:val="20"/>
              </w:rPr>
            </w:pPr>
            <w:r w:rsidRPr="004138B4">
              <w:rPr>
                <w:rFonts w:eastAsia="Times New Roman" w:cs="Times New Roman"/>
                <w:b/>
                <w:bCs/>
                <w:sz w:val="20"/>
                <w:szCs w:val="20"/>
              </w:rPr>
              <w:t>GERMANY</w:t>
            </w:r>
          </w:p>
        </w:tc>
        <w:tc>
          <w:tcPr>
            <w:tcW w:w="593" w:type="pct"/>
            <w:tcBorders>
              <w:bottom w:val="single" w:sz="4" w:space="0" w:color="auto"/>
            </w:tcBorders>
            <w:vAlign w:val="bottom"/>
          </w:tcPr>
          <w:p w14:paraId="03EDA0EB" w14:textId="77777777" w:rsidR="00A67A09" w:rsidRPr="004138B4" w:rsidRDefault="00A67A09" w:rsidP="005B2612">
            <w:pPr>
              <w:spacing w:before="48" w:after="0" w:line="240" w:lineRule="auto"/>
              <w:ind w:right="45"/>
              <w:jc w:val="right"/>
              <w:rPr>
                <w:rFonts w:eastAsia="Times New Roman" w:cs="Times New Roman"/>
                <w:b/>
                <w:bCs/>
                <w:sz w:val="20"/>
                <w:szCs w:val="20"/>
              </w:rPr>
            </w:pPr>
            <w:r w:rsidRPr="004138B4">
              <w:rPr>
                <w:rFonts w:eastAsia="Times New Roman" w:cs="Times New Roman"/>
                <w:b/>
                <w:bCs/>
                <w:sz w:val="20"/>
                <w:szCs w:val="20"/>
              </w:rPr>
              <w:t>NETHERLAND</w:t>
            </w:r>
          </w:p>
        </w:tc>
        <w:tc>
          <w:tcPr>
            <w:tcW w:w="362" w:type="pct"/>
            <w:tcBorders>
              <w:bottom w:val="single" w:sz="4" w:space="0" w:color="auto"/>
            </w:tcBorders>
            <w:vAlign w:val="bottom"/>
          </w:tcPr>
          <w:p w14:paraId="4E430274" w14:textId="77777777" w:rsidR="00A67A09" w:rsidRPr="004138B4" w:rsidRDefault="00A67A09" w:rsidP="005B2612">
            <w:pPr>
              <w:spacing w:before="48" w:after="0" w:line="240" w:lineRule="auto"/>
              <w:ind w:right="45"/>
              <w:jc w:val="right"/>
              <w:rPr>
                <w:rFonts w:eastAsia="Times New Roman" w:cs="Times New Roman"/>
                <w:b/>
                <w:bCs/>
                <w:sz w:val="20"/>
                <w:szCs w:val="20"/>
              </w:rPr>
            </w:pPr>
            <w:r w:rsidRPr="004138B4">
              <w:rPr>
                <w:rFonts w:eastAsia="Times New Roman" w:cs="Times New Roman"/>
                <w:b/>
                <w:bCs/>
                <w:sz w:val="20"/>
                <w:szCs w:val="20"/>
              </w:rPr>
              <w:t>POLAND</w:t>
            </w:r>
          </w:p>
        </w:tc>
        <w:tc>
          <w:tcPr>
            <w:tcW w:w="480" w:type="pct"/>
            <w:tcBorders>
              <w:bottom w:val="single" w:sz="4" w:space="0" w:color="auto"/>
            </w:tcBorders>
            <w:vAlign w:val="bottom"/>
          </w:tcPr>
          <w:p w14:paraId="7BC206FC" w14:textId="77777777" w:rsidR="00A67A09" w:rsidRPr="004138B4" w:rsidRDefault="00A67A09" w:rsidP="005B2612">
            <w:pPr>
              <w:spacing w:before="48" w:after="0" w:line="240" w:lineRule="auto"/>
              <w:ind w:right="45"/>
              <w:jc w:val="right"/>
              <w:rPr>
                <w:rFonts w:eastAsia="Times New Roman" w:cs="Times New Roman"/>
                <w:b/>
                <w:bCs/>
                <w:sz w:val="20"/>
                <w:szCs w:val="20"/>
              </w:rPr>
            </w:pPr>
            <w:r w:rsidRPr="004138B4">
              <w:rPr>
                <w:rFonts w:eastAsia="Times New Roman" w:cs="Times New Roman"/>
                <w:b/>
                <w:bCs/>
                <w:sz w:val="20"/>
                <w:szCs w:val="20"/>
              </w:rPr>
              <w:t>PORTUGAL</w:t>
            </w:r>
          </w:p>
        </w:tc>
        <w:tc>
          <w:tcPr>
            <w:tcW w:w="306" w:type="pct"/>
            <w:tcBorders>
              <w:bottom w:val="single" w:sz="4" w:space="0" w:color="auto"/>
            </w:tcBorders>
            <w:vAlign w:val="bottom"/>
          </w:tcPr>
          <w:p w14:paraId="5D92F27F" w14:textId="77777777" w:rsidR="00A67A09" w:rsidRPr="004138B4" w:rsidRDefault="00A67A09" w:rsidP="005B2612">
            <w:pPr>
              <w:spacing w:before="48" w:after="0" w:line="240" w:lineRule="auto"/>
              <w:ind w:right="45"/>
              <w:jc w:val="right"/>
              <w:rPr>
                <w:rFonts w:eastAsia="Times New Roman" w:cs="Times New Roman"/>
                <w:b/>
                <w:bCs/>
                <w:sz w:val="20"/>
                <w:szCs w:val="20"/>
              </w:rPr>
            </w:pPr>
            <w:r w:rsidRPr="004138B4">
              <w:rPr>
                <w:rFonts w:eastAsia="Times New Roman" w:cs="Times New Roman"/>
                <w:b/>
                <w:bCs/>
                <w:sz w:val="20"/>
                <w:szCs w:val="20"/>
              </w:rPr>
              <w:t>SPAIN</w:t>
            </w:r>
          </w:p>
        </w:tc>
        <w:tc>
          <w:tcPr>
            <w:tcW w:w="630" w:type="pct"/>
            <w:tcBorders>
              <w:bottom w:val="single" w:sz="4" w:space="0" w:color="auto"/>
            </w:tcBorders>
            <w:vAlign w:val="bottom"/>
          </w:tcPr>
          <w:p w14:paraId="696DE334" w14:textId="77777777" w:rsidR="00A67A09" w:rsidRPr="004138B4" w:rsidRDefault="00A67A09" w:rsidP="005B2612">
            <w:pPr>
              <w:spacing w:before="48" w:after="0" w:line="240" w:lineRule="auto"/>
              <w:ind w:right="45"/>
              <w:jc w:val="right"/>
              <w:rPr>
                <w:rFonts w:eastAsia="Times New Roman" w:cs="Times New Roman"/>
                <w:b/>
                <w:bCs/>
                <w:sz w:val="20"/>
                <w:szCs w:val="20"/>
              </w:rPr>
            </w:pPr>
            <w:r w:rsidRPr="004138B4">
              <w:rPr>
                <w:rFonts w:eastAsia="Times New Roman" w:cs="Times New Roman"/>
                <w:b/>
                <w:bCs/>
                <w:sz w:val="20"/>
                <w:szCs w:val="20"/>
              </w:rPr>
              <w:t>SWITZERLAND</w:t>
            </w:r>
          </w:p>
        </w:tc>
        <w:tc>
          <w:tcPr>
            <w:tcW w:w="308" w:type="pct"/>
            <w:tcBorders>
              <w:bottom w:val="single" w:sz="4" w:space="0" w:color="auto"/>
            </w:tcBorders>
            <w:vAlign w:val="bottom"/>
          </w:tcPr>
          <w:p w14:paraId="37B21F67" w14:textId="77777777" w:rsidR="00A67A09" w:rsidRPr="004138B4" w:rsidRDefault="00A67A09" w:rsidP="005B2612">
            <w:pPr>
              <w:spacing w:before="48" w:after="0" w:line="240" w:lineRule="auto"/>
              <w:ind w:right="45"/>
              <w:jc w:val="right"/>
              <w:rPr>
                <w:rFonts w:eastAsia="Times New Roman" w:cs="Times New Roman"/>
                <w:b/>
                <w:bCs/>
                <w:sz w:val="20"/>
                <w:szCs w:val="20"/>
              </w:rPr>
            </w:pPr>
            <w:r w:rsidRPr="004138B4">
              <w:rPr>
                <w:rFonts w:eastAsia="Times New Roman" w:cs="Times New Roman"/>
                <w:b/>
                <w:bCs/>
                <w:sz w:val="20"/>
                <w:szCs w:val="20"/>
              </w:rPr>
              <w:t>UK</w:t>
            </w:r>
          </w:p>
        </w:tc>
        <w:tc>
          <w:tcPr>
            <w:tcW w:w="306" w:type="pct"/>
            <w:tcBorders>
              <w:bottom w:val="single" w:sz="4" w:space="0" w:color="auto"/>
            </w:tcBorders>
            <w:vAlign w:val="bottom"/>
          </w:tcPr>
          <w:p w14:paraId="476B8045" w14:textId="77777777" w:rsidR="00A67A09" w:rsidRPr="004138B4" w:rsidRDefault="00A67A09" w:rsidP="005B2612">
            <w:pPr>
              <w:spacing w:before="48" w:after="0" w:line="240" w:lineRule="auto"/>
              <w:ind w:right="45"/>
              <w:jc w:val="right"/>
              <w:rPr>
                <w:rFonts w:eastAsia="Times New Roman" w:cs="Times New Roman"/>
                <w:b/>
                <w:bCs/>
                <w:sz w:val="20"/>
                <w:szCs w:val="20"/>
              </w:rPr>
            </w:pPr>
            <w:r w:rsidRPr="004138B4">
              <w:rPr>
                <w:rFonts w:eastAsia="Times New Roman" w:cs="Times New Roman"/>
                <w:b/>
                <w:bCs/>
                <w:sz w:val="20"/>
                <w:szCs w:val="20"/>
              </w:rPr>
              <w:t>US</w:t>
            </w:r>
          </w:p>
        </w:tc>
      </w:tr>
      <w:tr w:rsidR="00A67A09" w:rsidRPr="004138B4" w14:paraId="69E2E963" w14:textId="77777777" w:rsidTr="005B2612">
        <w:trPr>
          <w:trHeight w:val="220"/>
        </w:trPr>
        <w:tc>
          <w:tcPr>
            <w:tcW w:w="383" w:type="pct"/>
            <w:tcBorders>
              <w:top w:val="single" w:sz="4" w:space="0" w:color="auto"/>
            </w:tcBorders>
            <w:vAlign w:val="bottom"/>
          </w:tcPr>
          <w:p w14:paraId="530E3830" w14:textId="77777777" w:rsidR="00A67A09" w:rsidRPr="004138B4" w:rsidRDefault="00A67A09" w:rsidP="005B2612">
            <w:pPr>
              <w:spacing w:before="48" w:after="0" w:line="240" w:lineRule="auto"/>
              <w:rPr>
                <w:rFonts w:eastAsia="Times New Roman" w:cs="Times New Roman"/>
                <w:b/>
                <w:bCs/>
                <w:sz w:val="20"/>
                <w:szCs w:val="20"/>
              </w:rPr>
            </w:pPr>
            <w:r w:rsidRPr="004138B4">
              <w:rPr>
                <w:rFonts w:eastAsia="Times New Roman" w:cs="Times New Roman"/>
                <w:b/>
                <w:bCs/>
                <w:sz w:val="20"/>
                <w:szCs w:val="20"/>
              </w:rPr>
              <w:t> Mean</w:t>
            </w:r>
          </w:p>
        </w:tc>
        <w:tc>
          <w:tcPr>
            <w:tcW w:w="385" w:type="pct"/>
            <w:tcBorders>
              <w:top w:val="single" w:sz="4" w:space="0" w:color="auto"/>
            </w:tcBorders>
            <w:vAlign w:val="bottom"/>
          </w:tcPr>
          <w:p w14:paraId="638E6872" w14:textId="77777777" w:rsidR="00A67A09" w:rsidRPr="004138B4" w:rsidRDefault="00A67A09" w:rsidP="005B2612">
            <w:pPr>
              <w:spacing w:before="48" w:after="0" w:line="240" w:lineRule="auto"/>
              <w:jc w:val="right"/>
              <w:rPr>
                <w:rFonts w:eastAsia="Times New Roman" w:cs="Times New Roman"/>
                <w:sz w:val="20"/>
                <w:szCs w:val="20"/>
              </w:rPr>
            </w:pPr>
            <w:r w:rsidRPr="004138B4">
              <w:rPr>
                <w:rFonts w:eastAsia="Times New Roman" w:cs="Times New Roman"/>
                <w:sz w:val="20"/>
                <w:szCs w:val="20"/>
              </w:rPr>
              <w:t>0.464</w:t>
            </w:r>
          </w:p>
        </w:tc>
        <w:tc>
          <w:tcPr>
            <w:tcW w:w="443" w:type="pct"/>
            <w:tcBorders>
              <w:top w:val="single" w:sz="4" w:space="0" w:color="auto"/>
            </w:tcBorders>
            <w:vAlign w:val="bottom"/>
          </w:tcPr>
          <w:p w14:paraId="6949DA8B" w14:textId="77777777" w:rsidR="00A67A09" w:rsidRPr="004138B4" w:rsidRDefault="00A67A09" w:rsidP="005B2612">
            <w:pPr>
              <w:spacing w:before="48" w:after="0" w:line="240" w:lineRule="auto"/>
              <w:jc w:val="right"/>
              <w:rPr>
                <w:rFonts w:eastAsia="Times New Roman" w:cs="Times New Roman"/>
                <w:sz w:val="20"/>
                <w:szCs w:val="20"/>
              </w:rPr>
            </w:pPr>
            <w:r w:rsidRPr="004138B4">
              <w:rPr>
                <w:rFonts w:eastAsia="Times New Roman" w:cs="Times New Roman"/>
                <w:sz w:val="20"/>
                <w:szCs w:val="20"/>
              </w:rPr>
              <w:t>0.466</w:t>
            </w:r>
          </w:p>
        </w:tc>
        <w:tc>
          <w:tcPr>
            <w:tcW w:w="357" w:type="pct"/>
            <w:tcBorders>
              <w:top w:val="single" w:sz="4" w:space="0" w:color="auto"/>
            </w:tcBorders>
            <w:vAlign w:val="bottom"/>
          </w:tcPr>
          <w:p w14:paraId="5151ED5F" w14:textId="77777777" w:rsidR="00A67A09" w:rsidRPr="004138B4" w:rsidRDefault="00A67A09" w:rsidP="005B2612">
            <w:pPr>
              <w:spacing w:before="48" w:after="0" w:line="240" w:lineRule="auto"/>
              <w:jc w:val="right"/>
              <w:rPr>
                <w:rFonts w:eastAsia="Times New Roman" w:cs="Times New Roman"/>
                <w:sz w:val="20"/>
                <w:szCs w:val="20"/>
              </w:rPr>
            </w:pPr>
            <w:r w:rsidRPr="004138B4">
              <w:rPr>
                <w:rFonts w:eastAsia="Times New Roman" w:cs="Times New Roman"/>
                <w:sz w:val="20"/>
                <w:szCs w:val="20"/>
              </w:rPr>
              <w:t>0.467</w:t>
            </w:r>
          </w:p>
        </w:tc>
        <w:tc>
          <w:tcPr>
            <w:tcW w:w="448" w:type="pct"/>
            <w:tcBorders>
              <w:top w:val="single" w:sz="4" w:space="0" w:color="auto"/>
            </w:tcBorders>
            <w:vAlign w:val="bottom"/>
          </w:tcPr>
          <w:p w14:paraId="4F0C3E69" w14:textId="77777777" w:rsidR="00A67A09" w:rsidRPr="004138B4" w:rsidRDefault="00A67A09" w:rsidP="005B2612">
            <w:pPr>
              <w:spacing w:before="48" w:after="0" w:line="240" w:lineRule="auto"/>
              <w:jc w:val="right"/>
              <w:rPr>
                <w:rFonts w:eastAsia="Times New Roman" w:cs="Times New Roman"/>
                <w:sz w:val="20"/>
                <w:szCs w:val="20"/>
              </w:rPr>
            </w:pPr>
            <w:r w:rsidRPr="004138B4">
              <w:rPr>
                <w:rFonts w:eastAsia="Times New Roman" w:cs="Times New Roman"/>
                <w:sz w:val="20"/>
                <w:szCs w:val="20"/>
              </w:rPr>
              <w:t>0.469</w:t>
            </w:r>
          </w:p>
        </w:tc>
        <w:tc>
          <w:tcPr>
            <w:tcW w:w="593" w:type="pct"/>
            <w:tcBorders>
              <w:top w:val="single" w:sz="4" w:space="0" w:color="auto"/>
            </w:tcBorders>
            <w:vAlign w:val="bottom"/>
          </w:tcPr>
          <w:p w14:paraId="23C32760" w14:textId="77777777" w:rsidR="00A67A09" w:rsidRPr="004138B4" w:rsidRDefault="00A67A09" w:rsidP="005B2612">
            <w:pPr>
              <w:spacing w:before="48" w:after="0" w:line="240" w:lineRule="auto"/>
              <w:jc w:val="right"/>
              <w:rPr>
                <w:rFonts w:eastAsia="Times New Roman" w:cs="Times New Roman"/>
                <w:sz w:val="20"/>
                <w:szCs w:val="20"/>
              </w:rPr>
            </w:pPr>
            <w:r w:rsidRPr="004138B4">
              <w:rPr>
                <w:rFonts w:eastAsia="Times New Roman" w:cs="Times New Roman"/>
                <w:sz w:val="20"/>
                <w:szCs w:val="20"/>
              </w:rPr>
              <w:t>0.467</w:t>
            </w:r>
          </w:p>
        </w:tc>
        <w:tc>
          <w:tcPr>
            <w:tcW w:w="362" w:type="pct"/>
            <w:tcBorders>
              <w:top w:val="single" w:sz="4" w:space="0" w:color="auto"/>
            </w:tcBorders>
            <w:vAlign w:val="bottom"/>
          </w:tcPr>
          <w:p w14:paraId="10CA5090" w14:textId="77777777" w:rsidR="00A67A09" w:rsidRPr="004138B4" w:rsidRDefault="00A67A09" w:rsidP="005B2612">
            <w:pPr>
              <w:spacing w:before="48" w:after="0" w:line="240" w:lineRule="auto"/>
              <w:jc w:val="right"/>
              <w:rPr>
                <w:rFonts w:eastAsia="Times New Roman" w:cs="Times New Roman"/>
                <w:sz w:val="20"/>
                <w:szCs w:val="20"/>
              </w:rPr>
            </w:pPr>
            <w:r w:rsidRPr="004138B4">
              <w:rPr>
                <w:rFonts w:eastAsia="Times New Roman" w:cs="Times New Roman"/>
                <w:sz w:val="20"/>
                <w:szCs w:val="20"/>
              </w:rPr>
              <w:t>0.468</w:t>
            </w:r>
          </w:p>
        </w:tc>
        <w:tc>
          <w:tcPr>
            <w:tcW w:w="480" w:type="pct"/>
            <w:tcBorders>
              <w:top w:val="single" w:sz="4" w:space="0" w:color="auto"/>
            </w:tcBorders>
            <w:vAlign w:val="bottom"/>
          </w:tcPr>
          <w:p w14:paraId="3C81711D" w14:textId="77777777" w:rsidR="00A67A09" w:rsidRPr="004138B4" w:rsidRDefault="00A67A09" w:rsidP="005B2612">
            <w:pPr>
              <w:spacing w:before="48" w:after="0" w:line="240" w:lineRule="auto"/>
              <w:jc w:val="right"/>
              <w:rPr>
                <w:rFonts w:eastAsia="Times New Roman" w:cs="Times New Roman"/>
                <w:sz w:val="20"/>
                <w:szCs w:val="20"/>
              </w:rPr>
            </w:pPr>
            <w:r w:rsidRPr="004138B4">
              <w:rPr>
                <w:rFonts w:eastAsia="Times New Roman" w:cs="Times New Roman"/>
                <w:sz w:val="20"/>
                <w:szCs w:val="20"/>
              </w:rPr>
              <w:t>0.460</w:t>
            </w:r>
          </w:p>
        </w:tc>
        <w:tc>
          <w:tcPr>
            <w:tcW w:w="306" w:type="pct"/>
            <w:tcBorders>
              <w:top w:val="single" w:sz="4" w:space="0" w:color="auto"/>
            </w:tcBorders>
            <w:vAlign w:val="bottom"/>
          </w:tcPr>
          <w:p w14:paraId="4CDD4658" w14:textId="77777777" w:rsidR="00A67A09" w:rsidRPr="004138B4" w:rsidRDefault="00A67A09" w:rsidP="005B2612">
            <w:pPr>
              <w:spacing w:before="48" w:after="0" w:line="240" w:lineRule="auto"/>
              <w:jc w:val="right"/>
              <w:rPr>
                <w:rFonts w:eastAsia="Times New Roman" w:cs="Times New Roman"/>
                <w:sz w:val="20"/>
                <w:szCs w:val="20"/>
              </w:rPr>
            </w:pPr>
            <w:r w:rsidRPr="004138B4">
              <w:rPr>
                <w:rFonts w:eastAsia="Times New Roman" w:cs="Times New Roman"/>
                <w:sz w:val="20"/>
                <w:szCs w:val="20"/>
              </w:rPr>
              <w:t>0.457</w:t>
            </w:r>
          </w:p>
        </w:tc>
        <w:tc>
          <w:tcPr>
            <w:tcW w:w="630" w:type="pct"/>
            <w:tcBorders>
              <w:top w:val="single" w:sz="4" w:space="0" w:color="auto"/>
            </w:tcBorders>
            <w:vAlign w:val="bottom"/>
          </w:tcPr>
          <w:p w14:paraId="5FE06B85" w14:textId="77777777" w:rsidR="00A67A09" w:rsidRPr="004138B4" w:rsidRDefault="00A67A09" w:rsidP="005B2612">
            <w:pPr>
              <w:spacing w:before="48" w:after="0" w:line="240" w:lineRule="auto"/>
              <w:jc w:val="right"/>
              <w:rPr>
                <w:rFonts w:eastAsia="Times New Roman" w:cs="Times New Roman"/>
                <w:sz w:val="20"/>
                <w:szCs w:val="20"/>
              </w:rPr>
            </w:pPr>
            <w:r w:rsidRPr="004138B4">
              <w:rPr>
                <w:rFonts w:eastAsia="Times New Roman" w:cs="Times New Roman"/>
                <w:sz w:val="20"/>
                <w:szCs w:val="20"/>
              </w:rPr>
              <w:t>0.466</w:t>
            </w:r>
          </w:p>
        </w:tc>
        <w:tc>
          <w:tcPr>
            <w:tcW w:w="308" w:type="pct"/>
            <w:tcBorders>
              <w:top w:val="single" w:sz="4" w:space="0" w:color="auto"/>
            </w:tcBorders>
            <w:vAlign w:val="bottom"/>
          </w:tcPr>
          <w:p w14:paraId="3F89A715" w14:textId="77777777" w:rsidR="00A67A09" w:rsidRPr="004138B4" w:rsidRDefault="00A67A09" w:rsidP="005B2612">
            <w:pPr>
              <w:spacing w:before="48" w:after="0" w:line="240" w:lineRule="auto"/>
              <w:jc w:val="right"/>
              <w:rPr>
                <w:rFonts w:eastAsia="Times New Roman" w:cs="Times New Roman"/>
                <w:sz w:val="20"/>
                <w:szCs w:val="20"/>
              </w:rPr>
            </w:pPr>
            <w:r w:rsidRPr="004138B4">
              <w:rPr>
                <w:rFonts w:eastAsia="Times New Roman" w:cs="Times New Roman"/>
                <w:sz w:val="20"/>
                <w:szCs w:val="20"/>
              </w:rPr>
              <w:t>0.467</w:t>
            </w:r>
          </w:p>
        </w:tc>
        <w:tc>
          <w:tcPr>
            <w:tcW w:w="306" w:type="pct"/>
            <w:tcBorders>
              <w:top w:val="single" w:sz="4" w:space="0" w:color="auto"/>
            </w:tcBorders>
            <w:vAlign w:val="bottom"/>
          </w:tcPr>
          <w:p w14:paraId="1EDB9B56" w14:textId="77777777" w:rsidR="00A67A09" w:rsidRPr="004138B4" w:rsidRDefault="00A67A09" w:rsidP="005B2612">
            <w:pPr>
              <w:spacing w:before="48" w:after="0" w:line="240" w:lineRule="auto"/>
              <w:jc w:val="right"/>
              <w:rPr>
                <w:rFonts w:eastAsia="Times New Roman" w:cs="Times New Roman"/>
                <w:sz w:val="20"/>
                <w:szCs w:val="20"/>
              </w:rPr>
            </w:pPr>
            <w:r w:rsidRPr="004138B4">
              <w:rPr>
                <w:rFonts w:eastAsia="Times New Roman" w:cs="Times New Roman"/>
                <w:sz w:val="20"/>
                <w:szCs w:val="20"/>
              </w:rPr>
              <w:t>0.460</w:t>
            </w:r>
          </w:p>
        </w:tc>
      </w:tr>
      <w:tr w:rsidR="00A67A09" w:rsidRPr="004138B4" w14:paraId="7930A6EA" w14:textId="77777777" w:rsidTr="005B2612">
        <w:trPr>
          <w:trHeight w:val="220"/>
        </w:trPr>
        <w:tc>
          <w:tcPr>
            <w:tcW w:w="383" w:type="pct"/>
            <w:vAlign w:val="bottom"/>
          </w:tcPr>
          <w:p w14:paraId="41206F2E" w14:textId="77777777" w:rsidR="00A67A09" w:rsidRPr="004138B4" w:rsidRDefault="00A67A09" w:rsidP="005B2612">
            <w:pPr>
              <w:spacing w:before="48" w:after="0" w:line="240" w:lineRule="auto"/>
              <w:rPr>
                <w:rFonts w:eastAsia="Times New Roman" w:cs="Times New Roman"/>
                <w:b/>
                <w:bCs/>
                <w:sz w:val="20"/>
                <w:szCs w:val="20"/>
              </w:rPr>
            </w:pPr>
            <w:r w:rsidRPr="004138B4">
              <w:rPr>
                <w:rFonts w:eastAsia="Times New Roman" w:cs="Times New Roman"/>
                <w:b/>
                <w:bCs/>
                <w:sz w:val="20"/>
                <w:szCs w:val="20"/>
              </w:rPr>
              <w:t> Median</w:t>
            </w:r>
          </w:p>
        </w:tc>
        <w:tc>
          <w:tcPr>
            <w:tcW w:w="385" w:type="pct"/>
            <w:vAlign w:val="bottom"/>
          </w:tcPr>
          <w:p w14:paraId="145606FD" w14:textId="77777777" w:rsidR="00A67A09" w:rsidRPr="004138B4" w:rsidRDefault="00A67A09" w:rsidP="005B2612">
            <w:pPr>
              <w:spacing w:before="48" w:after="0" w:line="240" w:lineRule="auto"/>
              <w:jc w:val="right"/>
              <w:rPr>
                <w:rFonts w:eastAsia="Times New Roman" w:cs="Times New Roman"/>
                <w:sz w:val="20"/>
                <w:szCs w:val="20"/>
              </w:rPr>
            </w:pPr>
            <w:r w:rsidRPr="004138B4">
              <w:rPr>
                <w:rFonts w:eastAsia="Times New Roman" w:cs="Times New Roman"/>
                <w:sz w:val="20"/>
                <w:szCs w:val="20"/>
              </w:rPr>
              <w:t>0.430</w:t>
            </w:r>
          </w:p>
        </w:tc>
        <w:tc>
          <w:tcPr>
            <w:tcW w:w="443" w:type="pct"/>
            <w:vAlign w:val="bottom"/>
          </w:tcPr>
          <w:p w14:paraId="4356D221" w14:textId="77777777" w:rsidR="00A67A09" w:rsidRPr="004138B4" w:rsidRDefault="00A67A09" w:rsidP="005B2612">
            <w:pPr>
              <w:spacing w:before="48" w:after="0" w:line="240" w:lineRule="auto"/>
              <w:jc w:val="right"/>
              <w:rPr>
                <w:rFonts w:eastAsia="Times New Roman" w:cs="Times New Roman"/>
                <w:sz w:val="20"/>
                <w:szCs w:val="20"/>
              </w:rPr>
            </w:pPr>
            <w:r w:rsidRPr="004138B4">
              <w:rPr>
                <w:rFonts w:eastAsia="Times New Roman" w:cs="Times New Roman"/>
                <w:sz w:val="20"/>
                <w:szCs w:val="20"/>
              </w:rPr>
              <w:t>0.444</w:t>
            </w:r>
          </w:p>
        </w:tc>
        <w:tc>
          <w:tcPr>
            <w:tcW w:w="357" w:type="pct"/>
            <w:vAlign w:val="bottom"/>
          </w:tcPr>
          <w:p w14:paraId="74C81AFF" w14:textId="77777777" w:rsidR="00A67A09" w:rsidRPr="004138B4" w:rsidRDefault="00A67A09" w:rsidP="005B2612">
            <w:pPr>
              <w:spacing w:before="48" w:after="0" w:line="240" w:lineRule="auto"/>
              <w:jc w:val="right"/>
              <w:rPr>
                <w:rFonts w:eastAsia="Times New Roman" w:cs="Times New Roman"/>
                <w:sz w:val="20"/>
                <w:szCs w:val="20"/>
              </w:rPr>
            </w:pPr>
            <w:r w:rsidRPr="004138B4">
              <w:rPr>
                <w:rFonts w:eastAsia="Times New Roman" w:cs="Times New Roman"/>
                <w:sz w:val="20"/>
                <w:szCs w:val="20"/>
              </w:rPr>
              <w:t>0.448</w:t>
            </w:r>
          </w:p>
        </w:tc>
        <w:tc>
          <w:tcPr>
            <w:tcW w:w="448" w:type="pct"/>
            <w:vAlign w:val="bottom"/>
          </w:tcPr>
          <w:p w14:paraId="3BC08EC4" w14:textId="77777777" w:rsidR="00A67A09" w:rsidRPr="004138B4" w:rsidRDefault="00A67A09" w:rsidP="005B2612">
            <w:pPr>
              <w:spacing w:before="48" w:after="0" w:line="240" w:lineRule="auto"/>
              <w:jc w:val="right"/>
              <w:rPr>
                <w:rFonts w:eastAsia="Times New Roman" w:cs="Times New Roman"/>
                <w:sz w:val="20"/>
                <w:szCs w:val="20"/>
              </w:rPr>
            </w:pPr>
            <w:r w:rsidRPr="004138B4">
              <w:rPr>
                <w:rFonts w:eastAsia="Times New Roman" w:cs="Times New Roman"/>
                <w:sz w:val="20"/>
                <w:szCs w:val="20"/>
              </w:rPr>
              <w:t>0.451</w:t>
            </w:r>
          </w:p>
        </w:tc>
        <w:tc>
          <w:tcPr>
            <w:tcW w:w="593" w:type="pct"/>
            <w:vAlign w:val="bottom"/>
          </w:tcPr>
          <w:p w14:paraId="6531BEDB" w14:textId="77777777" w:rsidR="00A67A09" w:rsidRPr="004138B4" w:rsidRDefault="00A67A09" w:rsidP="005B2612">
            <w:pPr>
              <w:spacing w:before="48" w:after="0" w:line="240" w:lineRule="auto"/>
              <w:jc w:val="right"/>
              <w:rPr>
                <w:rFonts w:eastAsia="Times New Roman" w:cs="Times New Roman"/>
                <w:sz w:val="20"/>
                <w:szCs w:val="20"/>
              </w:rPr>
            </w:pPr>
            <w:r w:rsidRPr="004138B4">
              <w:rPr>
                <w:rFonts w:eastAsia="Times New Roman" w:cs="Times New Roman"/>
                <w:sz w:val="20"/>
                <w:szCs w:val="20"/>
              </w:rPr>
              <w:t>0.450</w:t>
            </w:r>
          </w:p>
        </w:tc>
        <w:tc>
          <w:tcPr>
            <w:tcW w:w="362" w:type="pct"/>
            <w:vAlign w:val="bottom"/>
          </w:tcPr>
          <w:p w14:paraId="4073C69A" w14:textId="77777777" w:rsidR="00A67A09" w:rsidRPr="004138B4" w:rsidRDefault="00A67A09" w:rsidP="005B2612">
            <w:pPr>
              <w:spacing w:before="48" w:after="0" w:line="240" w:lineRule="auto"/>
              <w:jc w:val="right"/>
              <w:rPr>
                <w:rFonts w:eastAsia="Times New Roman" w:cs="Times New Roman"/>
                <w:sz w:val="20"/>
                <w:szCs w:val="20"/>
              </w:rPr>
            </w:pPr>
            <w:r w:rsidRPr="004138B4">
              <w:rPr>
                <w:rFonts w:eastAsia="Times New Roman" w:cs="Times New Roman"/>
                <w:sz w:val="20"/>
                <w:szCs w:val="20"/>
              </w:rPr>
              <w:t>0.457</w:t>
            </w:r>
          </w:p>
        </w:tc>
        <w:tc>
          <w:tcPr>
            <w:tcW w:w="480" w:type="pct"/>
            <w:vAlign w:val="bottom"/>
          </w:tcPr>
          <w:p w14:paraId="3496E321" w14:textId="77777777" w:rsidR="00A67A09" w:rsidRPr="004138B4" w:rsidRDefault="00A67A09" w:rsidP="005B2612">
            <w:pPr>
              <w:spacing w:before="48" w:after="0" w:line="240" w:lineRule="auto"/>
              <w:jc w:val="right"/>
              <w:rPr>
                <w:rFonts w:eastAsia="Times New Roman" w:cs="Times New Roman"/>
                <w:sz w:val="20"/>
                <w:szCs w:val="20"/>
              </w:rPr>
            </w:pPr>
            <w:r w:rsidRPr="004138B4">
              <w:rPr>
                <w:rFonts w:eastAsia="Times New Roman" w:cs="Times New Roman"/>
                <w:sz w:val="20"/>
                <w:szCs w:val="20"/>
              </w:rPr>
              <w:t>0.440</w:t>
            </w:r>
          </w:p>
        </w:tc>
        <w:tc>
          <w:tcPr>
            <w:tcW w:w="306" w:type="pct"/>
            <w:vAlign w:val="bottom"/>
          </w:tcPr>
          <w:p w14:paraId="1B943305" w14:textId="77777777" w:rsidR="00A67A09" w:rsidRPr="004138B4" w:rsidRDefault="00A67A09" w:rsidP="005B2612">
            <w:pPr>
              <w:spacing w:before="48" w:after="0" w:line="240" w:lineRule="auto"/>
              <w:jc w:val="right"/>
              <w:rPr>
                <w:rFonts w:eastAsia="Times New Roman" w:cs="Times New Roman"/>
                <w:sz w:val="20"/>
                <w:szCs w:val="20"/>
              </w:rPr>
            </w:pPr>
            <w:r w:rsidRPr="004138B4">
              <w:rPr>
                <w:rFonts w:eastAsia="Times New Roman" w:cs="Times New Roman"/>
                <w:sz w:val="20"/>
                <w:szCs w:val="20"/>
              </w:rPr>
              <w:t>0.407</w:t>
            </w:r>
          </w:p>
        </w:tc>
        <w:tc>
          <w:tcPr>
            <w:tcW w:w="630" w:type="pct"/>
            <w:vAlign w:val="bottom"/>
          </w:tcPr>
          <w:p w14:paraId="1F760BFA" w14:textId="77777777" w:rsidR="00A67A09" w:rsidRPr="004138B4" w:rsidRDefault="00A67A09" w:rsidP="005B2612">
            <w:pPr>
              <w:spacing w:before="48" w:after="0" w:line="240" w:lineRule="auto"/>
              <w:jc w:val="right"/>
              <w:rPr>
                <w:rFonts w:eastAsia="Times New Roman" w:cs="Times New Roman"/>
                <w:sz w:val="20"/>
                <w:szCs w:val="20"/>
              </w:rPr>
            </w:pPr>
            <w:r w:rsidRPr="004138B4">
              <w:rPr>
                <w:rFonts w:eastAsia="Times New Roman" w:cs="Times New Roman"/>
                <w:sz w:val="20"/>
                <w:szCs w:val="20"/>
              </w:rPr>
              <w:t>0.450</w:t>
            </w:r>
          </w:p>
        </w:tc>
        <w:tc>
          <w:tcPr>
            <w:tcW w:w="308" w:type="pct"/>
            <w:vAlign w:val="bottom"/>
          </w:tcPr>
          <w:p w14:paraId="0EB64266" w14:textId="77777777" w:rsidR="00A67A09" w:rsidRPr="004138B4" w:rsidRDefault="00A67A09" w:rsidP="005B2612">
            <w:pPr>
              <w:spacing w:before="48" w:after="0" w:line="240" w:lineRule="auto"/>
              <w:jc w:val="right"/>
              <w:rPr>
                <w:rFonts w:eastAsia="Times New Roman" w:cs="Times New Roman"/>
                <w:sz w:val="20"/>
                <w:szCs w:val="20"/>
              </w:rPr>
            </w:pPr>
            <w:r w:rsidRPr="004138B4">
              <w:rPr>
                <w:rFonts w:eastAsia="Times New Roman" w:cs="Times New Roman"/>
                <w:sz w:val="20"/>
                <w:szCs w:val="20"/>
              </w:rPr>
              <w:t>0.448</w:t>
            </w:r>
          </w:p>
        </w:tc>
        <w:tc>
          <w:tcPr>
            <w:tcW w:w="306" w:type="pct"/>
            <w:vAlign w:val="bottom"/>
          </w:tcPr>
          <w:p w14:paraId="011E0EF6" w14:textId="77777777" w:rsidR="00A67A09" w:rsidRPr="004138B4" w:rsidRDefault="00A67A09" w:rsidP="005B2612">
            <w:pPr>
              <w:spacing w:before="48" w:after="0" w:line="240" w:lineRule="auto"/>
              <w:jc w:val="right"/>
              <w:rPr>
                <w:rFonts w:eastAsia="Times New Roman" w:cs="Times New Roman"/>
                <w:sz w:val="20"/>
                <w:szCs w:val="20"/>
              </w:rPr>
            </w:pPr>
            <w:r w:rsidRPr="004138B4">
              <w:rPr>
                <w:rFonts w:eastAsia="Times New Roman" w:cs="Times New Roman"/>
                <w:sz w:val="20"/>
                <w:szCs w:val="20"/>
              </w:rPr>
              <w:t>0.438</w:t>
            </w:r>
          </w:p>
        </w:tc>
      </w:tr>
      <w:tr w:rsidR="00A67A09" w:rsidRPr="004138B4" w14:paraId="420AC6CA" w14:textId="77777777" w:rsidTr="005B2612">
        <w:trPr>
          <w:trHeight w:val="220"/>
        </w:trPr>
        <w:tc>
          <w:tcPr>
            <w:tcW w:w="383" w:type="pct"/>
            <w:vAlign w:val="bottom"/>
          </w:tcPr>
          <w:p w14:paraId="5A805E03" w14:textId="77777777" w:rsidR="00A67A09" w:rsidRPr="004138B4" w:rsidRDefault="00A67A09" w:rsidP="005B2612">
            <w:pPr>
              <w:spacing w:before="48" w:after="0" w:line="240" w:lineRule="auto"/>
              <w:rPr>
                <w:rFonts w:eastAsia="Times New Roman" w:cs="Times New Roman"/>
                <w:b/>
                <w:bCs/>
                <w:sz w:val="20"/>
                <w:szCs w:val="20"/>
              </w:rPr>
            </w:pPr>
            <w:r w:rsidRPr="004138B4">
              <w:rPr>
                <w:rFonts w:eastAsia="Times New Roman" w:cs="Times New Roman"/>
                <w:b/>
                <w:bCs/>
                <w:sz w:val="20"/>
                <w:szCs w:val="20"/>
              </w:rPr>
              <w:t> Maximum</w:t>
            </w:r>
          </w:p>
        </w:tc>
        <w:tc>
          <w:tcPr>
            <w:tcW w:w="385" w:type="pct"/>
            <w:vAlign w:val="bottom"/>
          </w:tcPr>
          <w:p w14:paraId="09A379FA" w14:textId="77777777" w:rsidR="00A67A09" w:rsidRPr="004138B4" w:rsidRDefault="00A67A09" w:rsidP="005B2612">
            <w:pPr>
              <w:spacing w:before="48" w:after="0" w:line="240" w:lineRule="auto"/>
              <w:jc w:val="right"/>
              <w:rPr>
                <w:rFonts w:eastAsia="Times New Roman" w:cs="Times New Roman"/>
                <w:sz w:val="20"/>
                <w:szCs w:val="20"/>
              </w:rPr>
            </w:pPr>
            <w:r w:rsidRPr="004138B4">
              <w:rPr>
                <w:rFonts w:eastAsia="Times New Roman" w:cs="Times New Roman"/>
                <w:sz w:val="20"/>
                <w:szCs w:val="20"/>
              </w:rPr>
              <w:t>0.956</w:t>
            </w:r>
          </w:p>
        </w:tc>
        <w:tc>
          <w:tcPr>
            <w:tcW w:w="443" w:type="pct"/>
            <w:vAlign w:val="bottom"/>
          </w:tcPr>
          <w:p w14:paraId="5F8B19F9" w14:textId="77777777" w:rsidR="00A67A09" w:rsidRPr="004138B4" w:rsidRDefault="00A67A09" w:rsidP="005B2612">
            <w:pPr>
              <w:spacing w:before="48" w:after="0" w:line="240" w:lineRule="auto"/>
              <w:jc w:val="right"/>
              <w:rPr>
                <w:rFonts w:eastAsia="Times New Roman" w:cs="Times New Roman"/>
                <w:sz w:val="20"/>
                <w:szCs w:val="20"/>
              </w:rPr>
            </w:pPr>
            <w:r w:rsidRPr="004138B4">
              <w:rPr>
                <w:rFonts w:eastAsia="Times New Roman" w:cs="Times New Roman"/>
                <w:sz w:val="20"/>
                <w:szCs w:val="20"/>
              </w:rPr>
              <w:t>0.909</w:t>
            </w:r>
          </w:p>
        </w:tc>
        <w:tc>
          <w:tcPr>
            <w:tcW w:w="357" w:type="pct"/>
            <w:vAlign w:val="bottom"/>
          </w:tcPr>
          <w:p w14:paraId="76706176" w14:textId="77777777" w:rsidR="00A67A09" w:rsidRPr="004138B4" w:rsidRDefault="00A67A09" w:rsidP="005B2612">
            <w:pPr>
              <w:spacing w:before="48" w:after="0" w:line="240" w:lineRule="auto"/>
              <w:jc w:val="right"/>
              <w:rPr>
                <w:rFonts w:eastAsia="Times New Roman" w:cs="Times New Roman"/>
                <w:sz w:val="20"/>
                <w:szCs w:val="20"/>
              </w:rPr>
            </w:pPr>
            <w:r w:rsidRPr="004138B4">
              <w:rPr>
                <w:rFonts w:eastAsia="Times New Roman" w:cs="Times New Roman"/>
                <w:sz w:val="20"/>
                <w:szCs w:val="20"/>
              </w:rPr>
              <w:t>0.863</w:t>
            </w:r>
          </w:p>
        </w:tc>
        <w:tc>
          <w:tcPr>
            <w:tcW w:w="448" w:type="pct"/>
            <w:vAlign w:val="bottom"/>
          </w:tcPr>
          <w:p w14:paraId="5057DD4F" w14:textId="77777777" w:rsidR="00A67A09" w:rsidRPr="004138B4" w:rsidRDefault="00A67A09" w:rsidP="005B2612">
            <w:pPr>
              <w:spacing w:before="48" w:after="0" w:line="240" w:lineRule="auto"/>
              <w:jc w:val="right"/>
              <w:rPr>
                <w:rFonts w:eastAsia="Times New Roman" w:cs="Times New Roman"/>
                <w:sz w:val="20"/>
                <w:szCs w:val="20"/>
              </w:rPr>
            </w:pPr>
            <w:r w:rsidRPr="004138B4">
              <w:rPr>
                <w:rFonts w:eastAsia="Times New Roman" w:cs="Times New Roman"/>
                <w:sz w:val="20"/>
                <w:szCs w:val="20"/>
              </w:rPr>
              <w:t>0.972</w:t>
            </w:r>
          </w:p>
        </w:tc>
        <w:tc>
          <w:tcPr>
            <w:tcW w:w="593" w:type="pct"/>
            <w:vAlign w:val="bottom"/>
          </w:tcPr>
          <w:p w14:paraId="55D1F9D6" w14:textId="77777777" w:rsidR="00A67A09" w:rsidRPr="004138B4" w:rsidRDefault="00A67A09" w:rsidP="005B2612">
            <w:pPr>
              <w:spacing w:before="48" w:after="0" w:line="240" w:lineRule="auto"/>
              <w:jc w:val="right"/>
              <w:rPr>
                <w:rFonts w:eastAsia="Times New Roman" w:cs="Times New Roman"/>
                <w:sz w:val="20"/>
                <w:szCs w:val="20"/>
              </w:rPr>
            </w:pPr>
            <w:r w:rsidRPr="004138B4">
              <w:rPr>
                <w:rFonts w:eastAsia="Times New Roman" w:cs="Times New Roman"/>
                <w:sz w:val="20"/>
                <w:szCs w:val="20"/>
              </w:rPr>
              <w:t>0.895</w:t>
            </w:r>
          </w:p>
        </w:tc>
        <w:tc>
          <w:tcPr>
            <w:tcW w:w="362" w:type="pct"/>
            <w:vAlign w:val="bottom"/>
          </w:tcPr>
          <w:p w14:paraId="736A7449" w14:textId="77777777" w:rsidR="00A67A09" w:rsidRPr="004138B4" w:rsidRDefault="00A67A09" w:rsidP="005B2612">
            <w:pPr>
              <w:spacing w:before="48" w:after="0" w:line="240" w:lineRule="auto"/>
              <w:jc w:val="right"/>
              <w:rPr>
                <w:rFonts w:eastAsia="Times New Roman" w:cs="Times New Roman"/>
                <w:sz w:val="20"/>
                <w:szCs w:val="20"/>
              </w:rPr>
            </w:pPr>
            <w:r w:rsidRPr="004138B4">
              <w:rPr>
                <w:rFonts w:eastAsia="Times New Roman" w:cs="Times New Roman"/>
                <w:sz w:val="20"/>
                <w:szCs w:val="20"/>
              </w:rPr>
              <w:t>0.817</w:t>
            </w:r>
          </w:p>
        </w:tc>
        <w:tc>
          <w:tcPr>
            <w:tcW w:w="480" w:type="pct"/>
            <w:vAlign w:val="bottom"/>
          </w:tcPr>
          <w:p w14:paraId="55FC03C9" w14:textId="77777777" w:rsidR="00A67A09" w:rsidRPr="004138B4" w:rsidRDefault="00A67A09" w:rsidP="005B2612">
            <w:pPr>
              <w:spacing w:before="48" w:after="0" w:line="240" w:lineRule="auto"/>
              <w:jc w:val="right"/>
              <w:rPr>
                <w:rFonts w:eastAsia="Times New Roman" w:cs="Times New Roman"/>
                <w:sz w:val="20"/>
                <w:szCs w:val="20"/>
              </w:rPr>
            </w:pPr>
            <w:r w:rsidRPr="004138B4">
              <w:rPr>
                <w:rFonts w:eastAsia="Times New Roman" w:cs="Times New Roman"/>
                <w:sz w:val="20"/>
                <w:szCs w:val="20"/>
              </w:rPr>
              <w:t>0.973</w:t>
            </w:r>
          </w:p>
        </w:tc>
        <w:tc>
          <w:tcPr>
            <w:tcW w:w="306" w:type="pct"/>
            <w:vAlign w:val="bottom"/>
          </w:tcPr>
          <w:p w14:paraId="402A2C2F" w14:textId="77777777" w:rsidR="00A67A09" w:rsidRPr="004138B4" w:rsidRDefault="00A67A09" w:rsidP="005B2612">
            <w:pPr>
              <w:spacing w:before="48" w:after="0" w:line="240" w:lineRule="auto"/>
              <w:jc w:val="right"/>
              <w:rPr>
                <w:rFonts w:eastAsia="Times New Roman" w:cs="Times New Roman"/>
                <w:sz w:val="20"/>
                <w:szCs w:val="20"/>
              </w:rPr>
            </w:pPr>
            <w:r w:rsidRPr="004138B4">
              <w:rPr>
                <w:rFonts w:eastAsia="Times New Roman" w:cs="Times New Roman"/>
                <w:sz w:val="20"/>
                <w:szCs w:val="20"/>
              </w:rPr>
              <w:t>0.994</w:t>
            </w:r>
          </w:p>
        </w:tc>
        <w:tc>
          <w:tcPr>
            <w:tcW w:w="630" w:type="pct"/>
            <w:vAlign w:val="bottom"/>
          </w:tcPr>
          <w:p w14:paraId="2CEDCBB6" w14:textId="77777777" w:rsidR="00A67A09" w:rsidRPr="004138B4" w:rsidRDefault="00A67A09" w:rsidP="005B2612">
            <w:pPr>
              <w:spacing w:before="48" w:after="0" w:line="240" w:lineRule="auto"/>
              <w:jc w:val="right"/>
              <w:rPr>
                <w:rFonts w:eastAsia="Times New Roman" w:cs="Times New Roman"/>
                <w:sz w:val="20"/>
                <w:szCs w:val="20"/>
              </w:rPr>
            </w:pPr>
            <w:r w:rsidRPr="004138B4">
              <w:rPr>
                <w:rFonts w:eastAsia="Times New Roman" w:cs="Times New Roman"/>
                <w:sz w:val="20"/>
                <w:szCs w:val="20"/>
              </w:rPr>
              <w:t>0.922</w:t>
            </w:r>
          </w:p>
        </w:tc>
        <w:tc>
          <w:tcPr>
            <w:tcW w:w="308" w:type="pct"/>
            <w:vAlign w:val="bottom"/>
          </w:tcPr>
          <w:p w14:paraId="39ACC748" w14:textId="77777777" w:rsidR="00A67A09" w:rsidRPr="004138B4" w:rsidRDefault="00A67A09" w:rsidP="005B2612">
            <w:pPr>
              <w:spacing w:before="48" w:after="0" w:line="240" w:lineRule="auto"/>
              <w:jc w:val="right"/>
              <w:rPr>
                <w:rFonts w:eastAsia="Times New Roman" w:cs="Times New Roman"/>
                <w:sz w:val="20"/>
                <w:szCs w:val="20"/>
              </w:rPr>
            </w:pPr>
            <w:r w:rsidRPr="004138B4">
              <w:rPr>
                <w:rFonts w:eastAsia="Times New Roman" w:cs="Times New Roman"/>
                <w:sz w:val="20"/>
                <w:szCs w:val="20"/>
              </w:rPr>
              <w:t>0.951</w:t>
            </w:r>
          </w:p>
        </w:tc>
        <w:tc>
          <w:tcPr>
            <w:tcW w:w="306" w:type="pct"/>
            <w:vAlign w:val="bottom"/>
          </w:tcPr>
          <w:p w14:paraId="3465D78B" w14:textId="77777777" w:rsidR="00A67A09" w:rsidRPr="004138B4" w:rsidRDefault="00A67A09" w:rsidP="005B2612">
            <w:pPr>
              <w:spacing w:before="48" w:after="0" w:line="240" w:lineRule="auto"/>
              <w:jc w:val="right"/>
              <w:rPr>
                <w:rFonts w:eastAsia="Times New Roman" w:cs="Times New Roman"/>
                <w:sz w:val="20"/>
                <w:szCs w:val="20"/>
              </w:rPr>
            </w:pPr>
            <w:r w:rsidRPr="004138B4">
              <w:rPr>
                <w:rFonts w:eastAsia="Times New Roman" w:cs="Times New Roman"/>
                <w:sz w:val="20"/>
                <w:szCs w:val="20"/>
              </w:rPr>
              <w:t>0.972</w:t>
            </w:r>
          </w:p>
        </w:tc>
      </w:tr>
      <w:tr w:rsidR="00A67A09" w:rsidRPr="004138B4" w14:paraId="7B2D0383" w14:textId="77777777" w:rsidTr="005B2612">
        <w:trPr>
          <w:trHeight w:val="220"/>
        </w:trPr>
        <w:tc>
          <w:tcPr>
            <w:tcW w:w="383" w:type="pct"/>
            <w:vAlign w:val="bottom"/>
          </w:tcPr>
          <w:p w14:paraId="3278FE50" w14:textId="77777777" w:rsidR="00A67A09" w:rsidRPr="004138B4" w:rsidRDefault="00A67A09" w:rsidP="005B2612">
            <w:pPr>
              <w:spacing w:before="48" w:after="0" w:line="240" w:lineRule="auto"/>
              <w:rPr>
                <w:rFonts w:eastAsia="Times New Roman" w:cs="Times New Roman"/>
                <w:b/>
                <w:bCs/>
                <w:sz w:val="20"/>
                <w:szCs w:val="20"/>
              </w:rPr>
            </w:pPr>
            <w:r w:rsidRPr="004138B4">
              <w:rPr>
                <w:rFonts w:eastAsia="Times New Roman" w:cs="Times New Roman"/>
                <w:b/>
                <w:bCs/>
                <w:sz w:val="20"/>
                <w:szCs w:val="20"/>
              </w:rPr>
              <w:t> Minimum</w:t>
            </w:r>
          </w:p>
        </w:tc>
        <w:tc>
          <w:tcPr>
            <w:tcW w:w="385" w:type="pct"/>
            <w:vAlign w:val="bottom"/>
          </w:tcPr>
          <w:p w14:paraId="66C10F1D" w14:textId="77777777" w:rsidR="00A67A09" w:rsidRPr="004138B4" w:rsidRDefault="00A67A09" w:rsidP="005B2612">
            <w:pPr>
              <w:spacing w:before="48" w:after="0" w:line="240" w:lineRule="auto"/>
              <w:jc w:val="right"/>
              <w:rPr>
                <w:rFonts w:eastAsia="Times New Roman" w:cs="Times New Roman"/>
                <w:sz w:val="20"/>
                <w:szCs w:val="20"/>
              </w:rPr>
            </w:pPr>
            <w:r w:rsidRPr="004138B4">
              <w:rPr>
                <w:rFonts w:eastAsia="Times New Roman" w:cs="Times New Roman"/>
                <w:sz w:val="20"/>
                <w:szCs w:val="20"/>
              </w:rPr>
              <w:t>0.173</w:t>
            </w:r>
          </w:p>
        </w:tc>
        <w:tc>
          <w:tcPr>
            <w:tcW w:w="443" w:type="pct"/>
            <w:vAlign w:val="bottom"/>
          </w:tcPr>
          <w:p w14:paraId="176DB363" w14:textId="77777777" w:rsidR="00A67A09" w:rsidRPr="004138B4" w:rsidRDefault="00A67A09" w:rsidP="005B2612">
            <w:pPr>
              <w:spacing w:before="48" w:after="0" w:line="240" w:lineRule="auto"/>
              <w:jc w:val="right"/>
              <w:rPr>
                <w:rFonts w:eastAsia="Times New Roman" w:cs="Times New Roman"/>
                <w:sz w:val="20"/>
                <w:szCs w:val="20"/>
              </w:rPr>
            </w:pPr>
            <w:r w:rsidRPr="004138B4">
              <w:rPr>
                <w:rFonts w:eastAsia="Times New Roman" w:cs="Times New Roman"/>
                <w:sz w:val="20"/>
                <w:szCs w:val="20"/>
              </w:rPr>
              <w:t>0.240</w:t>
            </w:r>
          </w:p>
        </w:tc>
        <w:tc>
          <w:tcPr>
            <w:tcW w:w="357" w:type="pct"/>
            <w:vAlign w:val="bottom"/>
          </w:tcPr>
          <w:p w14:paraId="6687AD5C" w14:textId="77777777" w:rsidR="00A67A09" w:rsidRPr="004138B4" w:rsidRDefault="00A67A09" w:rsidP="005B2612">
            <w:pPr>
              <w:spacing w:before="48" w:after="0" w:line="240" w:lineRule="auto"/>
              <w:jc w:val="right"/>
              <w:rPr>
                <w:rFonts w:eastAsia="Times New Roman" w:cs="Times New Roman"/>
                <w:sz w:val="20"/>
                <w:szCs w:val="20"/>
              </w:rPr>
            </w:pPr>
            <w:r w:rsidRPr="004138B4">
              <w:rPr>
                <w:rFonts w:eastAsia="Times New Roman" w:cs="Times New Roman"/>
                <w:sz w:val="20"/>
                <w:szCs w:val="20"/>
              </w:rPr>
              <w:t>0.257</w:t>
            </w:r>
          </w:p>
        </w:tc>
        <w:tc>
          <w:tcPr>
            <w:tcW w:w="448" w:type="pct"/>
            <w:vAlign w:val="bottom"/>
          </w:tcPr>
          <w:p w14:paraId="7E129ECD" w14:textId="77777777" w:rsidR="00A67A09" w:rsidRPr="004138B4" w:rsidRDefault="00A67A09" w:rsidP="005B2612">
            <w:pPr>
              <w:spacing w:before="48" w:after="0" w:line="240" w:lineRule="auto"/>
              <w:jc w:val="right"/>
              <w:rPr>
                <w:rFonts w:eastAsia="Times New Roman" w:cs="Times New Roman"/>
                <w:sz w:val="20"/>
                <w:szCs w:val="20"/>
              </w:rPr>
            </w:pPr>
            <w:r w:rsidRPr="004138B4">
              <w:rPr>
                <w:rFonts w:eastAsia="Times New Roman" w:cs="Times New Roman"/>
                <w:sz w:val="20"/>
                <w:szCs w:val="20"/>
              </w:rPr>
              <w:t>0.236</w:t>
            </w:r>
          </w:p>
        </w:tc>
        <w:tc>
          <w:tcPr>
            <w:tcW w:w="593" w:type="pct"/>
            <w:vAlign w:val="bottom"/>
          </w:tcPr>
          <w:p w14:paraId="2B630C65" w14:textId="77777777" w:rsidR="00A67A09" w:rsidRPr="004138B4" w:rsidRDefault="00A67A09" w:rsidP="005B2612">
            <w:pPr>
              <w:spacing w:before="48" w:after="0" w:line="240" w:lineRule="auto"/>
              <w:jc w:val="right"/>
              <w:rPr>
                <w:rFonts w:eastAsia="Times New Roman" w:cs="Times New Roman"/>
                <w:sz w:val="20"/>
                <w:szCs w:val="20"/>
              </w:rPr>
            </w:pPr>
            <w:r w:rsidRPr="004138B4">
              <w:rPr>
                <w:rFonts w:eastAsia="Times New Roman" w:cs="Times New Roman"/>
                <w:sz w:val="20"/>
                <w:szCs w:val="20"/>
              </w:rPr>
              <w:t>0.239</w:t>
            </w:r>
          </w:p>
        </w:tc>
        <w:tc>
          <w:tcPr>
            <w:tcW w:w="362" w:type="pct"/>
            <w:vAlign w:val="bottom"/>
          </w:tcPr>
          <w:p w14:paraId="11DF4427" w14:textId="77777777" w:rsidR="00A67A09" w:rsidRPr="004138B4" w:rsidRDefault="00A67A09" w:rsidP="005B2612">
            <w:pPr>
              <w:spacing w:before="48" w:after="0" w:line="240" w:lineRule="auto"/>
              <w:jc w:val="right"/>
              <w:rPr>
                <w:rFonts w:eastAsia="Times New Roman" w:cs="Times New Roman"/>
                <w:sz w:val="20"/>
                <w:szCs w:val="20"/>
              </w:rPr>
            </w:pPr>
            <w:r w:rsidRPr="004138B4">
              <w:rPr>
                <w:rFonts w:eastAsia="Times New Roman" w:cs="Times New Roman"/>
                <w:sz w:val="20"/>
                <w:szCs w:val="20"/>
              </w:rPr>
              <w:t>0.332</w:t>
            </w:r>
          </w:p>
        </w:tc>
        <w:tc>
          <w:tcPr>
            <w:tcW w:w="480" w:type="pct"/>
            <w:vAlign w:val="bottom"/>
          </w:tcPr>
          <w:p w14:paraId="3D464E41" w14:textId="77777777" w:rsidR="00A67A09" w:rsidRPr="004138B4" w:rsidRDefault="00A67A09" w:rsidP="005B2612">
            <w:pPr>
              <w:spacing w:before="48" w:after="0" w:line="240" w:lineRule="auto"/>
              <w:jc w:val="right"/>
              <w:rPr>
                <w:rFonts w:eastAsia="Times New Roman" w:cs="Times New Roman"/>
                <w:sz w:val="20"/>
                <w:szCs w:val="20"/>
              </w:rPr>
            </w:pPr>
            <w:r w:rsidRPr="004138B4">
              <w:rPr>
                <w:rFonts w:eastAsia="Times New Roman" w:cs="Times New Roman"/>
                <w:sz w:val="20"/>
                <w:szCs w:val="20"/>
              </w:rPr>
              <w:t>0.181</w:t>
            </w:r>
          </w:p>
        </w:tc>
        <w:tc>
          <w:tcPr>
            <w:tcW w:w="306" w:type="pct"/>
            <w:vAlign w:val="bottom"/>
          </w:tcPr>
          <w:p w14:paraId="4D34F565" w14:textId="77777777" w:rsidR="00A67A09" w:rsidRPr="004138B4" w:rsidRDefault="00A67A09" w:rsidP="005B2612">
            <w:pPr>
              <w:spacing w:before="48" w:after="0" w:line="240" w:lineRule="auto"/>
              <w:jc w:val="right"/>
              <w:rPr>
                <w:rFonts w:eastAsia="Times New Roman" w:cs="Times New Roman"/>
                <w:sz w:val="20"/>
                <w:szCs w:val="20"/>
              </w:rPr>
            </w:pPr>
            <w:r w:rsidRPr="004138B4">
              <w:rPr>
                <w:rFonts w:eastAsia="Times New Roman" w:cs="Times New Roman"/>
                <w:sz w:val="20"/>
                <w:szCs w:val="20"/>
              </w:rPr>
              <w:t>0.238</w:t>
            </w:r>
          </w:p>
        </w:tc>
        <w:tc>
          <w:tcPr>
            <w:tcW w:w="630" w:type="pct"/>
            <w:vAlign w:val="bottom"/>
          </w:tcPr>
          <w:p w14:paraId="03B6FF1C" w14:textId="77777777" w:rsidR="00A67A09" w:rsidRPr="004138B4" w:rsidRDefault="00A67A09" w:rsidP="005B2612">
            <w:pPr>
              <w:spacing w:before="48" w:after="0" w:line="240" w:lineRule="auto"/>
              <w:jc w:val="right"/>
              <w:rPr>
                <w:rFonts w:eastAsia="Times New Roman" w:cs="Times New Roman"/>
                <w:sz w:val="20"/>
                <w:szCs w:val="20"/>
              </w:rPr>
            </w:pPr>
            <w:r w:rsidRPr="004138B4">
              <w:rPr>
                <w:rFonts w:eastAsia="Times New Roman" w:cs="Times New Roman"/>
                <w:sz w:val="20"/>
                <w:szCs w:val="20"/>
              </w:rPr>
              <w:t>0.205</w:t>
            </w:r>
          </w:p>
        </w:tc>
        <w:tc>
          <w:tcPr>
            <w:tcW w:w="308" w:type="pct"/>
            <w:vAlign w:val="bottom"/>
          </w:tcPr>
          <w:p w14:paraId="1E65795D" w14:textId="77777777" w:rsidR="00A67A09" w:rsidRPr="004138B4" w:rsidRDefault="00A67A09" w:rsidP="005B2612">
            <w:pPr>
              <w:spacing w:before="48" w:after="0" w:line="240" w:lineRule="auto"/>
              <w:jc w:val="right"/>
              <w:rPr>
                <w:rFonts w:eastAsia="Times New Roman" w:cs="Times New Roman"/>
                <w:sz w:val="20"/>
                <w:szCs w:val="20"/>
              </w:rPr>
            </w:pPr>
            <w:r w:rsidRPr="004138B4">
              <w:rPr>
                <w:rFonts w:eastAsia="Times New Roman" w:cs="Times New Roman"/>
                <w:sz w:val="20"/>
                <w:szCs w:val="20"/>
              </w:rPr>
              <w:t>0.190</w:t>
            </w:r>
          </w:p>
        </w:tc>
        <w:tc>
          <w:tcPr>
            <w:tcW w:w="306" w:type="pct"/>
            <w:vAlign w:val="bottom"/>
          </w:tcPr>
          <w:p w14:paraId="35EDB45C" w14:textId="77777777" w:rsidR="00A67A09" w:rsidRPr="004138B4" w:rsidRDefault="00A67A09" w:rsidP="005B2612">
            <w:pPr>
              <w:spacing w:before="48" w:after="0" w:line="240" w:lineRule="auto"/>
              <w:jc w:val="right"/>
              <w:rPr>
                <w:rFonts w:eastAsia="Times New Roman" w:cs="Times New Roman"/>
                <w:sz w:val="20"/>
                <w:szCs w:val="20"/>
              </w:rPr>
            </w:pPr>
            <w:r w:rsidRPr="004138B4">
              <w:rPr>
                <w:rFonts w:eastAsia="Times New Roman" w:cs="Times New Roman"/>
                <w:sz w:val="20"/>
                <w:szCs w:val="20"/>
              </w:rPr>
              <w:t>0.209</w:t>
            </w:r>
          </w:p>
        </w:tc>
      </w:tr>
      <w:tr w:rsidR="00A67A09" w:rsidRPr="004138B4" w14:paraId="15CDA69C" w14:textId="77777777" w:rsidTr="005B2612">
        <w:trPr>
          <w:trHeight w:val="220"/>
        </w:trPr>
        <w:tc>
          <w:tcPr>
            <w:tcW w:w="383" w:type="pct"/>
            <w:vAlign w:val="bottom"/>
          </w:tcPr>
          <w:p w14:paraId="08ECAD7B" w14:textId="77777777" w:rsidR="00A67A09" w:rsidRPr="004138B4" w:rsidRDefault="00A67A09" w:rsidP="005B2612">
            <w:pPr>
              <w:spacing w:before="48" w:after="0" w:line="240" w:lineRule="auto"/>
              <w:rPr>
                <w:rFonts w:eastAsia="Times New Roman" w:cs="Times New Roman"/>
                <w:b/>
                <w:bCs/>
                <w:sz w:val="20"/>
                <w:szCs w:val="20"/>
              </w:rPr>
            </w:pPr>
            <w:r w:rsidRPr="004138B4">
              <w:rPr>
                <w:rFonts w:eastAsia="Times New Roman" w:cs="Times New Roman"/>
                <w:b/>
                <w:bCs/>
                <w:sz w:val="20"/>
                <w:szCs w:val="20"/>
              </w:rPr>
              <w:t> Std. Dev.</w:t>
            </w:r>
          </w:p>
        </w:tc>
        <w:tc>
          <w:tcPr>
            <w:tcW w:w="385" w:type="pct"/>
            <w:vAlign w:val="bottom"/>
          </w:tcPr>
          <w:p w14:paraId="7AC808F1" w14:textId="77777777" w:rsidR="00A67A09" w:rsidRPr="004138B4" w:rsidRDefault="00A67A09" w:rsidP="005B2612">
            <w:pPr>
              <w:spacing w:before="48" w:after="0" w:line="240" w:lineRule="auto"/>
              <w:jc w:val="right"/>
              <w:rPr>
                <w:rFonts w:eastAsia="Times New Roman" w:cs="Times New Roman"/>
                <w:sz w:val="20"/>
                <w:szCs w:val="20"/>
              </w:rPr>
            </w:pPr>
            <w:r w:rsidRPr="004138B4">
              <w:rPr>
                <w:rFonts w:eastAsia="Times New Roman" w:cs="Times New Roman"/>
                <w:sz w:val="20"/>
                <w:szCs w:val="20"/>
              </w:rPr>
              <w:t>0.150</w:t>
            </w:r>
          </w:p>
        </w:tc>
        <w:tc>
          <w:tcPr>
            <w:tcW w:w="443" w:type="pct"/>
            <w:vAlign w:val="bottom"/>
          </w:tcPr>
          <w:p w14:paraId="670C0DC5" w14:textId="77777777" w:rsidR="00A67A09" w:rsidRPr="004138B4" w:rsidRDefault="00A67A09" w:rsidP="005B2612">
            <w:pPr>
              <w:spacing w:before="48" w:after="0" w:line="240" w:lineRule="auto"/>
              <w:jc w:val="right"/>
              <w:rPr>
                <w:rFonts w:eastAsia="Times New Roman" w:cs="Times New Roman"/>
                <w:sz w:val="20"/>
                <w:szCs w:val="20"/>
              </w:rPr>
            </w:pPr>
            <w:r w:rsidRPr="004138B4">
              <w:rPr>
                <w:rFonts w:eastAsia="Times New Roman" w:cs="Times New Roman"/>
                <w:sz w:val="20"/>
                <w:szCs w:val="20"/>
              </w:rPr>
              <w:t>0.121</w:t>
            </w:r>
          </w:p>
        </w:tc>
        <w:tc>
          <w:tcPr>
            <w:tcW w:w="357" w:type="pct"/>
            <w:vAlign w:val="bottom"/>
          </w:tcPr>
          <w:p w14:paraId="54792119" w14:textId="77777777" w:rsidR="00A67A09" w:rsidRPr="004138B4" w:rsidRDefault="00A67A09" w:rsidP="005B2612">
            <w:pPr>
              <w:spacing w:before="48" w:after="0" w:line="240" w:lineRule="auto"/>
              <w:jc w:val="right"/>
              <w:rPr>
                <w:rFonts w:eastAsia="Times New Roman" w:cs="Times New Roman"/>
                <w:sz w:val="20"/>
                <w:szCs w:val="20"/>
              </w:rPr>
            </w:pPr>
            <w:r w:rsidRPr="004138B4">
              <w:rPr>
                <w:rFonts w:eastAsia="Times New Roman" w:cs="Times New Roman"/>
                <w:sz w:val="20"/>
                <w:szCs w:val="20"/>
              </w:rPr>
              <w:t>0.110</w:t>
            </w:r>
          </w:p>
        </w:tc>
        <w:tc>
          <w:tcPr>
            <w:tcW w:w="448" w:type="pct"/>
            <w:vAlign w:val="bottom"/>
          </w:tcPr>
          <w:p w14:paraId="45F79074" w14:textId="77777777" w:rsidR="00A67A09" w:rsidRPr="004138B4" w:rsidRDefault="00A67A09" w:rsidP="005B2612">
            <w:pPr>
              <w:spacing w:before="48" w:after="0" w:line="240" w:lineRule="auto"/>
              <w:jc w:val="right"/>
              <w:rPr>
                <w:rFonts w:eastAsia="Times New Roman" w:cs="Times New Roman"/>
                <w:sz w:val="20"/>
                <w:szCs w:val="20"/>
              </w:rPr>
            </w:pPr>
            <w:r w:rsidRPr="004138B4">
              <w:rPr>
                <w:rFonts w:eastAsia="Times New Roman" w:cs="Times New Roman"/>
                <w:sz w:val="20"/>
                <w:szCs w:val="20"/>
              </w:rPr>
              <w:t>0.117</w:t>
            </w:r>
          </w:p>
        </w:tc>
        <w:tc>
          <w:tcPr>
            <w:tcW w:w="593" w:type="pct"/>
            <w:vAlign w:val="bottom"/>
          </w:tcPr>
          <w:p w14:paraId="456D79D9" w14:textId="77777777" w:rsidR="00A67A09" w:rsidRPr="004138B4" w:rsidRDefault="00A67A09" w:rsidP="005B2612">
            <w:pPr>
              <w:spacing w:before="48" w:after="0" w:line="240" w:lineRule="auto"/>
              <w:jc w:val="right"/>
              <w:rPr>
                <w:rFonts w:eastAsia="Times New Roman" w:cs="Times New Roman"/>
                <w:sz w:val="20"/>
                <w:szCs w:val="20"/>
              </w:rPr>
            </w:pPr>
            <w:r w:rsidRPr="004138B4">
              <w:rPr>
                <w:rFonts w:eastAsia="Times New Roman" w:cs="Times New Roman"/>
                <w:sz w:val="20"/>
                <w:szCs w:val="20"/>
              </w:rPr>
              <w:t>0.107</w:t>
            </w:r>
          </w:p>
        </w:tc>
        <w:tc>
          <w:tcPr>
            <w:tcW w:w="362" w:type="pct"/>
            <w:vAlign w:val="bottom"/>
          </w:tcPr>
          <w:p w14:paraId="13E84D28" w14:textId="77777777" w:rsidR="00A67A09" w:rsidRPr="004138B4" w:rsidRDefault="00A67A09" w:rsidP="005B2612">
            <w:pPr>
              <w:spacing w:before="48" w:after="0" w:line="240" w:lineRule="auto"/>
              <w:jc w:val="right"/>
              <w:rPr>
                <w:rFonts w:eastAsia="Times New Roman" w:cs="Times New Roman"/>
                <w:sz w:val="20"/>
                <w:szCs w:val="20"/>
              </w:rPr>
            </w:pPr>
            <w:r w:rsidRPr="004138B4">
              <w:rPr>
                <w:rFonts w:eastAsia="Times New Roman" w:cs="Times New Roman"/>
                <w:sz w:val="20"/>
                <w:szCs w:val="20"/>
              </w:rPr>
              <w:t>0.070</w:t>
            </w:r>
          </w:p>
        </w:tc>
        <w:tc>
          <w:tcPr>
            <w:tcW w:w="480" w:type="pct"/>
            <w:vAlign w:val="bottom"/>
          </w:tcPr>
          <w:p w14:paraId="51E4AA68" w14:textId="77777777" w:rsidR="00A67A09" w:rsidRPr="004138B4" w:rsidRDefault="00A67A09" w:rsidP="005B2612">
            <w:pPr>
              <w:spacing w:before="48" w:after="0" w:line="240" w:lineRule="auto"/>
              <w:jc w:val="right"/>
              <w:rPr>
                <w:rFonts w:eastAsia="Times New Roman" w:cs="Times New Roman"/>
                <w:sz w:val="20"/>
                <w:szCs w:val="20"/>
              </w:rPr>
            </w:pPr>
            <w:r w:rsidRPr="004138B4">
              <w:rPr>
                <w:rFonts w:eastAsia="Times New Roman" w:cs="Times New Roman"/>
                <w:sz w:val="20"/>
                <w:szCs w:val="20"/>
              </w:rPr>
              <w:t>0.133</w:t>
            </w:r>
          </w:p>
        </w:tc>
        <w:tc>
          <w:tcPr>
            <w:tcW w:w="306" w:type="pct"/>
            <w:vAlign w:val="bottom"/>
          </w:tcPr>
          <w:p w14:paraId="4C6A3E6F" w14:textId="77777777" w:rsidR="00A67A09" w:rsidRPr="004138B4" w:rsidRDefault="00A67A09" w:rsidP="005B2612">
            <w:pPr>
              <w:spacing w:before="48" w:after="0" w:line="240" w:lineRule="auto"/>
              <w:jc w:val="right"/>
              <w:rPr>
                <w:rFonts w:eastAsia="Times New Roman" w:cs="Times New Roman"/>
                <w:sz w:val="20"/>
                <w:szCs w:val="20"/>
              </w:rPr>
            </w:pPr>
            <w:r w:rsidRPr="004138B4">
              <w:rPr>
                <w:rFonts w:eastAsia="Times New Roman" w:cs="Times New Roman"/>
                <w:sz w:val="20"/>
                <w:szCs w:val="20"/>
              </w:rPr>
              <w:t>0.159</w:t>
            </w:r>
          </w:p>
        </w:tc>
        <w:tc>
          <w:tcPr>
            <w:tcW w:w="630" w:type="pct"/>
            <w:vAlign w:val="bottom"/>
          </w:tcPr>
          <w:p w14:paraId="22E9FC52" w14:textId="77777777" w:rsidR="00A67A09" w:rsidRPr="004138B4" w:rsidRDefault="00A67A09" w:rsidP="005B2612">
            <w:pPr>
              <w:spacing w:before="48" w:after="0" w:line="240" w:lineRule="auto"/>
              <w:jc w:val="right"/>
              <w:rPr>
                <w:rFonts w:eastAsia="Times New Roman" w:cs="Times New Roman"/>
                <w:sz w:val="20"/>
                <w:szCs w:val="20"/>
              </w:rPr>
            </w:pPr>
            <w:r w:rsidRPr="004138B4">
              <w:rPr>
                <w:rFonts w:eastAsia="Times New Roman" w:cs="Times New Roman"/>
                <w:sz w:val="20"/>
                <w:szCs w:val="20"/>
              </w:rPr>
              <w:t>0.127</w:t>
            </w:r>
          </w:p>
        </w:tc>
        <w:tc>
          <w:tcPr>
            <w:tcW w:w="308" w:type="pct"/>
            <w:vAlign w:val="bottom"/>
          </w:tcPr>
          <w:p w14:paraId="0581A105" w14:textId="77777777" w:rsidR="00A67A09" w:rsidRPr="004138B4" w:rsidRDefault="00A67A09" w:rsidP="005B2612">
            <w:pPr>
              <w:spacing w:before="48" w:after="0" w:line="240" w:lineRule="auto"/>
              <w:jc w:val="right"/>
              <w:rPr>
                <w:rFonts w:eastAsia="Times New Roman" w:cs="Times New Roman"/>
                <w:sz w:val="20"/>
                <w:szCs w:val="20"/>
              </w:rPr>
            </w:pPr>
            <w:r w:rsidRPr="004138B4">
              <w:rPr>
                <w:rFonts w:eastAsia="Times New Roman" w:cs="Times New Roman"/>
                <w:sz w:val="20"/>
                <w:szCs w:val="20"/>
              </w:rPr>
              <w:t>0.125</w:t>
            </w:r>
          </w:p>
        </w:tc>
        <w:tc>
          <w:tcPr>
            <w:tcW w:w="306" w:type="pct"/>
            <w:vAlign w:val="bottom"/>
          </w:tcPr>
          <w:p w14:paraId="590AFE61" w14:textId="77777777" w:rsidR="00A67A09" w:rsidRPr="004138B4" w:rsidRDefault="00A67A09" w:rsidP="005B2612">
            <w:pPr>
              <w:spacing w:before="48" w:after="0" w:line="240" w:lineRule="auto"/>
              <w:jc w:val="right"/>
              <w:rPr>
                <w:rFonts w:eastAsia="Times New Roman" w:cs="Times New Roman"/>
                <w:sz w:val="20"/>
                <w:szCs w:val="20"/>
              </w:rPr>
            </w:pPr>
            <w:r w:rsidRPr="004138B4">
              <w:rPr>
                <w:rFonts w:eastAsia="Times New Roman" w:cs="Times New Roman"/>
                <w:sz w:val="20"/>
                <w:szCs w:val="20"/>
              </w:rPr>
              <w:t>0.140</w:t>
            </w:r>
          </w:p>
        </w:tc>
      </w:tr>
      <w:tr w:rsidR="00A67A09" w:rsidRPr="004138B4" w14:paraId="76FB84FD" w14:textId="77777777" w:rsidTr="005B2612">
        <w:trPr>
          <w:trHeight w:val="220"/>
        </w:trPr>
        <w:tc>
          <w:tcPr>
            <w:tcW w:w="383" w:type="pct"/>
            <w:vAlign w:val="bottom"/>
          </w:tcPr>
          <w:p w14:paraId="0D7D5A35" w14:textId="77777777" w:rsidR="00A67A09" w:rsidRPr="004138B4" w:rsidRDefault="00A67A09" w:rsidP="005B2612">
            <w:pPr>
              <w:spacing w:before="48" w:after="0" w:line="240" w:lineRule="auto"/>
              <w:rPr>
                <w:rFonts w:eastAsia="Times New Roman" w:cs="Times New Roman"/>
                <w:b/>
                <w:bCs/>
                <w:sz w:val="20"/>
                <w:szCs w:val="20"/>
              </w:rPr>
            </w:pPr>
            <w:r w:rsidRPr="004138B4">
              <w:rPr>
                <w:rFonts w:eastAsia="Times New Roman" w:cs="Times New Roman"/>
                <w:b/>
                <w:bCs/>
                <w:sz w:val="20"/>
                <w:szCs w:val="20"/>
              </w:rPr>
              <w:t> Skewness</w:t>
            </w:r>
          </w:p>
        </w:tc>
        <w:tc>
          <w:tcPr>
            <w:tcW w:w="385" w:type="pct"/>
            <w:vAlign w:val="bottom"/>
          </w:tcPr>
          <w:p w14:paraId="1CFA6B30" w14:textId="77777777" w:rsidR="00A67A09" w:rsidRPr="004138B4" w:rsidRDefault="00A67A09" w:rsidP="005B2612">
            <w:pPr>
              <w:spacing w:before="48" w:after="0" w:line="240" w:lineRule="auto"/>
              <w:jc w:val="right"/>
              <w:rPr>
                <w:rFonts w:eastAsia="Times New Roman" w:cs="Times New Roman"/>
                <w:sz w:val="20"/>
                <w:szCs w:val="20"/>
              </w:rPr>
            </w:pPr>
            <w:r w:rsidRPr="004138B4">
              <w:rPr>
                <w:rFonts w:eastAsia="Times New Roman" w:cs="Times New Roman"/>
                <w:sz w:val="20"/>
                <w:szCs w:val="20"/>
              </w:rPr>
              <w:t>0.872</w:t>
            </w:r>
          </w:p>
        </w:tc>
        <w:tc>
          <w:tcPr>
            <w:tcW w:w="443" w:type="pct"/>
            <w:vAlign w:val="bottom"/>
          </w:tcPr>
          <w:p w14:paraId="4DEED24D" w14:textId="77777777" w:rsidR="00A67A09" w:rsidRPr="004138B4" w:rsidRDefault="00A67A09" w:rsidP="005B2612">
            <w:pPr>
              <w:spacing w:before="48" w:after="0" w:line="240" w:lineRule="auto"/>
              <w:jc w:val="right"/>
              <w:rPr>
                <w:rFonts w:eastAsia="Times New Roman" w:cs="Times New Roman"/>
                <w:sz w:val="20"/>
                <w:szCs w:val="20"/>
              </w:rPr>
            </w:pPr>
            <w:r w:rsidRPr="004138B4">
              <w:rPr>
                <w:rFonts w:eastAsia="Times New Roman" w:cs="Times New Roman"/>
                <w:sz w:val="20"/>
                <w:szCs w:val="20"/>
              </w:rPr>
              <w:t>0.758</w:t>
            </w:r>
          </w:p>
        </w:tc>
        <w:tc>
          <w:tcPr>
            <w:tcW w:w="357" w:type="pct"/>
            <w:vAlign w:val="bottom"/>
          </w:tcPr>
          <w:p w14:paraId="5E06A0D9" w14:textId="77777777" w:rsidR="00A67A09" w:rsidRPr="004138B4" w:rsidRDefault="00A67A09" w:rsidP="005B2612">
            <w:pPr>
              <w:spacing w:before="48" w:after="0" w:line="240" w:lineRule="auto"/>
              <w:jc w:val="right"/>
              <w:rPr>
                <w:rFonts w:eastAsia="Times New Roman" w:cs="Times New Roman"/>
                <w:sz w:val="20"/>
                <w:szCs w:val="20"/>
              </w:rPr>
            </w:pPr>
            <w:r w:rsidRPr="004138B4">
              <w:rPr>
                <w:rFonts w:eastAsia="Times New Roman" w:cs="Times New Roman"/>
                <w:sz w:val="20"/>
                <w:szCs w:val="20"/>
              </w:rPr>
              <w:t>0.770</w:t>
            </w:r>
          </w:p>
        </w:tc>
        <w:tc>
          <w:tcPr>
            <w:tcW w:w="448" w:type="pct"/>
            <w:vAlign w:val="bottom"/>
          </w:tcPr>
          <w:p w14:paraId="3F558C9C" w14:textId="77777777" w:rsidR="00A67A09" w:rsidRPr="004138B4" w:rsidRDefault="00A67A09" w:rsidP="005B2612">
            <w:pPr>
              <w:spacing w:before="48" w:after="0" w:line="240" w:lineRule="auto"/>
              <w:jc w:val="right"/>
              <w:rPr>
                <w:rFonts w:eastAsia="Times New Roman" w:cs="Times New Roman"/>
                <w:sz w:val="20"/>
                <w:szCs w:val="20"/>
              </w:rPr>
            </w:pPr>
            <w:r w:rsidRPr="004138B4">
              <w:rPr>
                <w:rFonts w:eastAsia="Times New Roman" w:cs="Times New Roman"/>
                <w:sz w:val="20"/>
                <w:szCs w:val="20"/>
              </w:rPr>
              <w:t>0.714</w:t>
            </w:r>
          </w:p>
        </w:tc>
        <w:tc>
          <w:tcPr>
            <w:tcW w:w="593" w:type="pct"/>
            <w:vAlign w:val="bottom"/>
          </w:tcPr>
          <w:p w14:paraId="5000061A" w14:textId="77777777" w:rsidR="00A67A09" w:rsidRPr="004138B4" w:rsidRDefault="00A67A09" w:rsidP="005B2612">
            <w:pPr>
              <w:spacing w:before="48" w:after="0" w:line="240" w:lineRule="auto"/>
              <w:jc w:val="right"/>
              <w:rPr>
                <w:rFonts w:eastAsia="Times New Roman" w:cs="Times New Roman"/>
                <w:sz w:val="20"/>
                <w:szCs w:val="20"/>
              </w:rPr>
            </w:pPr>
            <w:r w:rsidRPr="004138B4">
              <w:rPr>
                <w:rFonts w:eastAsia="Times New Roman" w:cs="Times New Roman"/>
                <w:sz w:val="20"/>
                <w:szCs w:val="20"/>
              </w:rPr>
              <w:t>0.644</w:t>
            </w:r>
          </w:p>
        </w:tc>
        <w:tc>
          <w:tcPr>
            <w:tcW w:w="362" w:type="pct"/>
            <w:vAlign w:val="bottom"/>
          </w:tcPr>
          <w:p w14:paraId="2BF6ED96" w14:textId="77777777" w:rsidR="00A67A09" w:rsidRPr="004138B4" w:rsidRDefault="00A67A09" w:rsidP="005B2612">
            <w:pPr>
              <w:spacing w:before="48" w:after="0" w:line="240" w:lineRule="auto"/>
              <w:jc w:val="right"/>
              <w:rPr>
                <w:rFonts w:eastAsia="Times New Roman" w:cs="Times New Roman"/>
                <w:sz w:val="20"/>
                <w:szCs w:val="20"/>
              </w:rPr>
            </w:pPr>
            <w:r w:rsidRPr="004138B4">
              <w:rPr>
                <w:rFonts w:eastAsia="Times New Roman" w:cs="Times New Roman"/>
                <w:sz w:val="20"/>
                <w:szCs w:val="20"/>
              </w:rPr>
              <w:t>1.152</w:t>
            </w:r>
          </w:p>
        </w:tc>
        <w:tc>
          <w:tcPr>
            <w:tcW w:w="480" w:type="pct"/>
            <w:vAlign w:val="bottom"/>
          </w:tcPr>
          <w:p w14:paraId="3B055AAD" w14:textId="77777777" w:rsidR="00A67A09" w:rsidRPr="004138B4" w:rsidRDefault="00A67A09" w:rsidP="005B2612">
            <w:pPr>
              <w:spacing w:before="48" w:after="0" w:line="240" w:lineRule="auto"/>
              <w:jc w:val="right"/>
              <w:rPr>
                <w:rFonts w:eastAsia="Times New Roman" w:cs="Times New Roman"/>
                <w:sz w:val="20"/>
                <w:szCs w:val="20"/>
              </w:rPr>
            </w:pPr>
            <w:r w:rsidRPr="004138B4">
              <w:rPr>
                <w:rFonts w:eastAsia="Times New Roman" w:cs="Times New Roman"/>
                <w:sz w:val="20"/>
                <w:szCs w:val="20"/>
              </w:rPr>
              <w:t>0.736</w:t>
            </w:r>
          </w:p>
        </w:tc>
        <w:tc>
          <w:tcPr>
            <w:tcW w:w="306" w:type="pct"/>
            <w:vAlign w:val="bottom"/>
          </w:tcPr>
          <w:p w14:paraId="577467C0" w14:textId="77777777" w:rsidR="00A67A09" w:rsidRPr="004138B4" w:rsidRDefault="00A67A09" w:rsidP="005B2612">
            <w:pPr>
              <w:spacing w:before="48" w:after="0" w:line="240" w:lineRule="auto"/>
              <w:jc w:val="right"/>
              <w:rPr>
                <w:rFonts w:eastAsia="Times New Roman" w:cs="Times New Roman"/>
                <w:sz w:val="20"/>
                <w:szCs w:val="20"/>
              </w:rPr>
            </w:pPr>
            <w:r w:rsidRPr="004138B4">
              <w:rPr>
                <w:rFonts w:eastAsia="Times New Roman" w:cs="Times New Roman"/>
                <w:sz w:val="20"/>
                <w:szCs w:val="20"/>
              </w:rPr>
              <w:t>1.222</w:t>
            </w:r>
          </w:p>
        </w:tc>
        <w:tc>
          <w:tcPr>
            <w:tcW w:w="630" w:type="pct"/>
            <w:vAlign w:val="bottom"/>
          </w:tcPr>
          <w:p w14:paraId="27BD26D7" w14:textId="77777777" w:rsidR="00A67A09" w:rsidRPr="004138B4" w:rsidRDefault="00A67A09" w:rsidP="005B2612">
            <w:pPr>
              <w:spacing w:before="48" w:after="0" w:line="240" w:lineRule="auto"/>
              <w:jc w:val="right"/>
              <w:rPr>
                <w:rFonts w:eastAsia="Times New Roman" w:cs="Times New Roman"/>
                <w:sz w:val="20"/>
                <w:szCs w:val="20"/>
              </w:rPr>
            </w:pPr>
            <w:r w:rsidRPr="004138B4">
              <w:rPr>
                <w:rFonts w:eastAsia="Times New Roman" w:cs="Times New Roman"/>
                <w:sz w:val="20"/>
                <w:szCs w:val="20"/>
              </w:rPr>
              <w:t>0.465</w:t>
            </w:r>
          </w:p>
        </w:tc>
        <w:tc>
          <w:tcPr>
            <w:tcW w:w="308" w:type="pct"/>
            <w:vAlign w:val="bottom"/>
          </w:tcPr>
          <w:p w14:paraId="1E87C3C6" w14:textId="77777777" w:rsidR="00A67A09" w:rsidRPr="004138B4" w:rsidRDefault="00A67A09" w:rsidP="005B2612">
            <w:pPr>
              <w:spacing w:before="48" w:after="0" w:line="240" w:lineRule="auto"/>
              <w:jc w:val="right"/>
              <w:rPr>
                <w:rFonts w:eastAsia="Times New Roman" w:cs="Times New Roman"/>
                <w:sz w:val="20"/>
                <w:szCs w:val="20"/>
              </w:rPr>
            </w:pPr>
            <w:r w:rsidRPr="004138B4">
              <w:rPr>
                <w:rFonts w:eastAsia="Times New Roman" w:cs="Times New Roman"/>
                <w:sz w:val="20"/>
                <w:szCs w:val="20"/>
              </w:rPr>
              <w:t>0.776</w:t>
            </w:r>
          </w:p>
        </w:tc>
        <w:tc>
          <w:tcPr>
            <w:tcW w:w="306" w:type="pct"/>
            <w:vAlign w:val="bottom"/>
          </w:tcPr>
          <w:p w14:paraId="596E4936" w14:textId="77777777" w:rsidR="00A67A09" w:rsidRPr="004138B4" w:rsidRDefault="00A67A09" w:rsidP="005B2612">
            <w:pPr>
              <w:spacing w:before="48" w:after="0" w:line="240" w:lineRule="auto"/>
              <w:jc w:val="right"/>
              <w:rPr>
                <w:rFonts w:eastAsia="Times New Roman" w:cs="Times New Roman"/>
                <w:sz w:val="20"/>
                <w:szCs w:val="20"/>
              </w:rPr>
            </w:pPr>
            <w:r w:rsidRPr="004138B4">
              <w:rPr>
                <w:rFonts w:eastAsia="Times New Roman" w:cs="Times New Roman"/>
                <w:sz w:val="20"/>
                <w:szCs w:val="20"/>
              </w:rPr>
              <w:t>0.679</w:t>
            </w:r>
          </w:p>
        </w:tc>
      </w:tr>
      <w:tr w:rsidR="00A67A09" w:rsidRPr="004138B4" w14:paraId="10BC5D54" w14:textId="77777777" w:rsidTr="005B2612">
        <w:trPr>
          <w:trHeight w:val="220"/>
        </w:trPr>
        <w:tc>
          <w:tcPr>
            <w:tcW w:w="383" w:type="pct"/>
            <w:tcBorders>
              <w:bottom w:val="single" w:sz="4" w:space="0" w:color="auto"/>
            </w:tcBorders>
            <w:vAlign w:val="bottom"/>
          </w:tcPr>
          <w:p w14:paraId="2A29DF17" w14:textId="77777777" w:rsidR="00A67A09" w:rsidRPr="004138B4" w:rsidRDefault="00A67A09" w:rsidP="005B2612">
            <w:pPr>
              <w:spacing w:before="48" w:after="0" w:line="240" w:lineRule="auto"/>
              <w:rPr>
                <w:rFonts w:eastAsia="Times New Roman" w:cs="Times New Roman"/>
                <w:b/>
                <w:bCs/>
                <w:sz w:val="20"/>
                <w:szCs w:val="20"/>
              </w:rPr>
            </w:pPr>
            <w:r w:rsidRPr="004138B4">
              <w:rPr>
                <w:rFonts w:eastAsia="Times New Roman" w:cs="Times New Roman"/>
                <w:b/>
                <w:bCs/>
                <w:sz w:val="20"/>
                <w:szCs w:val="20"/>
              </w:rPr>
              <w:t> Kurtosis</w:t>
            </w:r>
          </w:p>
        </w:tc>
        <w:tc>
          <w:tcPr>
            <w:tcW w:w="385" w:type="pct"/>
            <w:tcBorders>
              <w:bottom w:val="single" w:sz="4" w:space="0" w:color="auto"/>
            </w:tcBorders>
            <w:vAlign w:val="bottom"/>
          </w:tcPr>
          <w:p w14:paraId="23602E87" w14:textId="77777777" w:rsidR="00A67A09" w:rsidRPr="004138B4" w:rsidRDefault="00A67A09" w:rsidP="005B2612">
            <w:pPr>
              <w:spacing w:before="48" w:after="0" w:line="240" w:lineRule="auto"/>
              <w:jc w:val="right"/>
              <w:rPr>
                <w:rFonts w:eastAsia="Times New Roman" w:cs="Times New Roman"/>
                <w:sz w:val="20"/>
                <w:szCs w:val="20"/>
              </w:rPr>
            </w:pPr>
            <w:r w:rsidRPr="004138B4">
              <w:rPr>
                <w:rFonts w:eastAsia="Times New Roman" w:cs="Times New Roman"/>
                <w:sz w:val="20"/>
                <w:szCs w:val="20"/>
              </w:rPr>
              <w:t>3.255</w:t>
            </w:r>
          </w:p>
        </w:tc>
        <w:tc>
          <w:tcPr>
            <w:tcW w:w="443" w:type="pct"/>
            <w:tcBorders>
              <w:bottom w:val="single" w:sz="4" w:space="0" w:color="auto"/>
            </w:tcBorders>
            <w:vAlign w:val="bottom"/>
          </w:tcPr>
          <w:p w14:paraId="3BE5BB39" w14:textId="77777777" w:rsidR="00A67A09" w:rsidRPr="004138B4" w:rsidRDefault="00A67A09" w:rsidP="005B2612">
            <w:pPr>
              <w:spacing w:before="48" w:after="0" w:line="240" w:lineRule="auto"/>
              <w:jc w:val="right"/>
              <w:rPr>
                <w:rFonts w:eastAsia="Times New Roman" w:cs="Times New Roman"/>
                <w:sz w:val="20"/>
                <w:szCs w:val="20"/>
              </w:rPr>
            </w:pPr>
            <w:r w:rsidRPr="004138B4">
              <w:rPr>
                <w:rFonts w:eastAsia="Times New Roman" w:cs="Times New Roman"/>
                <w:sz w:val="20"/>
                <w:szCs w:val="20"/>
              </w:rPr>
              <w:t>3.177</w:t>
            </w:r>
          </w:p>
        </w:tc>
        <w:tc>
          <w:tcPr>
            <w:tcW w:w="357" w:type="pct"/>
            <w:tcBorders>
              <w:bottom w:val="single" w:sz="4" w:space="0" w:color="auto"/>
            </w:tcBorders>
            <w:vAlign w:val="bottom"/>
          </w:tcPr>
          <w:p w14:paraId="774C4CCD" w14:textId="77777777" w:rsidR="00A67A09" w:rsidRPr="004138B4" w:rsidRDefault="00A67A09" w:rsidP="005B2612">
            <w:pPr>
              <w:spacing w:before="48" w:after="0" w:line="240" w:lineRule="auto"/>
              <w:jc w:val="right"/>
              <w:rPr>
                <w:rFonts w:eastAsia="Times New Roman" w:cs="Times New Roman"/>
                <w:sz w:val="20"/>
                <w:szCs w:val="20"/>
              </w:rPr>
            </w:pPr>
            <w:r w:rsidRPr="004138B4">
              <w:rPr>
                <w:rFonts w:eastAsia="Times New Roman" w:cs="Times New Roman"/>
                <w:sz w:val="20"/>
                <w:szCs w:val="20"/>
              </w:rPr>
              <w:t>3.184</w:t>
            </w:r>
          </w:p>
        </w:tc>
        <w:tc>
          <w:tcPr>
            <w:tcW w:w="448" w:type="pct"/>
            <w:tcBorders>
              <w:bottom w:val="single" w:sz="4" w:space="0" w:color="auto"/>
            </w:tcBorders>
            <w:vAlign w:val="bottom"/>
          </w:tcPr>
          <w:p w14:paraId="452B3F2C" w14:textId="77777777" w:rsidR="00A67A09" w:rsidRPr="004138B4" w:rsidRDefault="00A67A09" w:rsidP="005B2612">
            <w:pPr>
              <w:spacing w:before="48" w:after="0" w:line="240" w:lineRule="auto"/>
              <w:jc w:val="right"/>
              <w:rPr>
                <w:rFonts w:eastAsia="Times New Roman" w:cs="Times New Roman"/>
                <w:sz w:val="20"/>
                <w:szCs w:val="20"/>
              </w:rPr>
            </w:pPr>
            <w:r w:rsidRPr="004138B4">
              <w:rPr>
                <w:rFonts w:eastAsia="Times New Roman" w:cs="Times New Roman"/>
                <w:sz w:val="20"/>
                <w:szCs w:val="20"/>
              </w:rPr>
              <w:t>3.250</w:t>
            </w:r>
          </w:p>
        </w:tc>
        <w:tc>
          <w:tcPr>
            <w:tcW w:w="593" w:type="pct"/>
            <w:tcBorders>
              <w:bottom w:val="single" w:sz="4" w:space="0" w:color="auto"/>
            </w:tcBorders>
            <w:vAlign w:val="bottom"/>
          </w:tcPr>
          <w:p w14:paraId="272347A3" w14:textId="77777777" w:rsidR="00A67A09" w:rsidRPr="004138B4" w:rsidRDefault="00A67A09" w:rsidP="005B2612">
            <w:pPr>
              <w:spacing w:before="48" w:after="0" w:line="240" w:lineRule="auto"/>
              <w:jc w:val="right"/>
              <w:rPr>
                <w:rFonts w:eastAsia="Times New Roman" w:cs="Times New Roman"/>
                <w:sz w:val="20"/>
                <w:szCs w:val="20"/>
              </w:rPr>
            </w:pPr>
            <w:r w:rsidRPr="004138B4">
              <w:rPr>
                <w:rFonts w:eastAsia="Times New Roman" w:cs="Times New Roman"/>
                <w:sz w:val="20"/>
                <w:szCs w:val="20"/>
              </w:rPr>
              <w:t>3.038</w:t>
            </w:r>
          </w:p>
        </w:tc>
        <w:tc>
          <w:tcPr>
            <w:tcW w:w="362" w:type="pct"/>
            <w:tcBorders>
              <w:bottom w:val="single" w:sz="4" w:space="0" w:color="auto"/>
            </w:tcBorders>
            <w:vAlign w:val="bottom"/>
          </w:tcPr>
          <w:p w14:paraId="0F800B17" w14:textId="77777777" w:rsidR="00A67A09" w:rsidRPr="004138B4" w:rsidRDefault="00A67A09" w:rsidP="005B2612">
            <w:pPr>
              <w:spacing w:before="48" w:after="0" w:line="240" w:lineRule="auto"/>
              <w:jc w:val="right"/>
              <w:rPr>
                <w:rFonts w:eastAsia="Times New Roman" w:cs="Times New Roman"/>
                <w:sz w:val="20"/>
                <w:szCs w:val="20"/>
              </w:rPr>
            </w:pPr>
            <w:r w:rsidRPr="004138B4">
              <w:rPr>
                <w:rFonts w:eastAsia="Times New Roman" w:cs="Times New Roman"/>
                <w:sz w:val="20"/>
                <w:szCs w:val="20"/>
              </w:rPr>
              <w:t>5.134</w:t>
            </w:r>
          </w:p>
        </w:tc>
        <w:tc>
          <w:tcPr>
            <w:tcW w:w="480" w:type="pct"/>
            <w:tcBorders>
              <w:bottom w:val="single" w:sz="4" w:space="0" w:color="auto"/>
            </w:tcBorders>
            <w:vAlign w:val="bottom"/>
          </w:tcPr>
          <w:p w14:paraId="3E3620C9" w14:textId="77777777" w:rsidR="00A67A09" w:rsidRPr="004138B4" w:rsidRDefault="00A67A09" w:rsidP="005B2612">
            <w:pPr>
              <w:spacing w:before="48" w:after="0" w:line="240" w:lineRule="auto"/>
              <w:jc w:val="right"/>
              <w:rPr>
                <w:rFonts w:eastAsia="Times New Roman" w:cs="Times New Roman"/>
                <w:sz w:val="20"/>
                <w:szCs w:val="20"/>
              </w:rPr>
            </w:pPr>
            <w:r w:rsidRPr="004138B4">
              <w:rPr>
                <w:rFonts w:eastAsia="Times New Roman" w:cs="Times New Roman"/>
                <w:sz w:val="20"/>
                <w:szCs w:val="20"/>
              </w:rPr>
              <w:t>3.306</w:t>
            </w:r>
          </w:p>
        </w:tc>
        <w:tc>
          <w:tcPr>
            <w:tcW w:w="306" w:type="pct"/>
            <w:tcBorders>
              <w:bottom w:val="single" w:sz="4" w:space="0" w:color="auto"/>
            </w:tcBorders>
            <w:vAlign w:val="bottom"/>
          </w:tcPr>
          <w:p w14:paraId="3D949809" w14:textId="77777777" w:rsidR="00A67A09" w:rsidRPr="004138B4" w:rsidRDefault="00A67A09" w:rsidP="005B2612">
            <w:pPr>
              <w:spacing w:before="48" w:after="0" w:line="240" w:lineRule="auto"/>
              <w:jc w:val="right"/>
              <w:rPr>
                <w:rFonts w:eastAsia="Times New Roman" w:cs="Times New Roman"/>
                <w:sz w:val="20"/>
                <w:szCs w:val="20"/>
              </w:rPr>
            </w:pPr>
            <w:r w:rsidRPr="004138B4">
              <w:rPr>
                <w:rFonts w:eastAsia="Times New Roman" w:cs="Times New Roman"/>
                <w:sz w:val="20"/>
                <w:szCs w:val="20"/>
              </w:rPr>
              <w:t>3.862</w:t>
            </w:r>
          </w:p>
        </w:tc>
        <w:tc>
          <w:tcPr>
            <w:tcW w:w="630" w:type="pct"/>
            <w:tcBorders>
              <w:bottom w:val="single" w:sz="4" w:space="0" w:color="auto"/>
            </w:tcBorders>
            <w:vAlign w:val="bottom"/>
          </w:tcPr>
          <w:p w14:paraId="08996305" w14:textId="77777777" w:rsidR="00A67A09" w:rsidRPr="004138B4" w:rsidRDefault="00A67A09" w:rsidP="005B2612">
            <w:pPr>
              <w:spacing w:before="48" w:after="0" w:line="240" w:lineRule="auto"/>
              <w:jc w:val="right"/>
              <w:rPr>
                <w:rFonts w:eastAsia="Times New Roman" w:cs="Times New Roman"/>
                <w:sz w:val="20"/>
                <w:szCs w:val="20"/>
              </w:rPr>
            </w:pPr>
            <w:r w:rsidRPr="004138B4">
              <w:rPr>
                <w:rFonts w:eastAsia="Times New Roman" w:cs="Times New Roman"/>
                <w:sz w:val="20"/>
                <w:szCs w:val="20"/>
              </w:rPr>
              <w:t>2.773</w:t>
            </w:r>
          </w:p>
        </w:tc>
        <w:tc>
          <w:tcPr>
            <w:tcW w:w="308" w:type="pct"/>
            <w:tcBorders>
              <w:bottom w:val="single" w:sz="4" w:space="0" w:color="auto"/>
            </w:tcBorders>
            <w:vAlign w:val="bottom"/>
          </w:tcPr>
          <w:p w14:paraId="7F7870CF" w14:textId="77777777" w:rsidR="00A67A09" w:rsidRPr="004138B4" w:rsidRDefault="00A67A09" w:rsidP="005B2612">
            <w:pPr>
              <w:spacing w:before="48" w:after="0" w:line="240" w:lineRule="auto"/>
              <w:jc w:val="right"/>
              <w:rPr>
                <w:rFonts w:eastAsia="Times New Roman" w:cs="Times New Roman"/>
                <w:sz w:val="20"/>
                <w:szCs w:val="20"/>
              </w:rPr>
            </w:pPr>
            <w:r w:rsidRPr="004138B4">
              <w:rPr>
                <w:rFonts w:eastAsia="Times New Roman" w:cs="Times New Roman"/>
                <w:sz w:val="20"/>
                <w:szCs w:val="20"/>
              </w:rPr>
              <w:t>3.565</w:t>
            </w:r>
          </w:p>
        </w:tc>
        <w:tc>
          <w:tcPr>
            <w:tcW w:w="306" w:type="pct"/>
            <w:tcBorders>
              <w:bottom w:val="single" w:sz="4" w:space="0" w:color="auto"/>
            </w:tcBorders>
            <w:vAlign w:val="bottom"/>
          </w:tcPr>
          <w:p w14:paraId="4A8CA5AB" w14:textId="77777777" w:rsidR="00A67A09" w:rsidRPr="004138B4" w:rsidRDefault="00A67A09" w:rsidP="005B2612">
            <w:pPr>
              <w:spacing w:before="48" w:after="0" w:line="240" w:lineRule="auto"/>
              <w:jc w:val="right"/>
              <w:rPr>
                <w:rFonts w:eastAsia="Times New Roman" w:cs="Times New Roman"/>
                <w:sz w:val="20"/>
                <w:szCs w:val="20"/>
              </w:rPr>
            </w:pPr>
            <w:r w:rsidRPr="004138B4">
              <w:rPr>
                <w:rFonts w:eastAsia="Times New Roman" w:cs="Times New Roman"/>
                <w:sz w:val="20"/>
                <w:szCs w:val="20"/>
              </w:rPr>
              <w:t>2.959</w:t>
            </w:r>
          </w:p>
        </w:tc>
      </w:tr>
      <w:tr w:rsidR="00A67A09" w:rsidRPr="004138B4" w14:paraId="613968EE" w14:textId="77777777" w:rsidTr="005B2612">
        <w:trPr>
          <w:trHeight w:val="220"/>
        </w:trPr>
        <w:tc>
          <w:tcPr>
            <w:tcW w:w="383" w:type="pct"/>
            <w:tcBorders>
              <w:bottom w:val="single" w:sz="4" w:space="0" w:color="auto"/>
            </w:tcBorders>
            <w:vAlign w:val="bottom"/>
          </w:tcPr>
          <w:p w14:paraId="25550894" w14:textId="77777777" w:rsidR="00A67A09" w:rsidRPr="004138B4" w:rsidRDefault="00A67A09" w:rsidP="005B2612">
            <w:pPr>
              <w:spacing w:before="48" w:after="0" w:line="240" w:lineRule="auto"/>
              <w:rPr>
                <w:rFonts w:eastAsia="Times New Roman" w:cs="Times New Roman"/>
                <w:b/>
                <w:bCs/>
                <w:sz w:val="20"/>
                <w:szCs w:val="20"/>
              </w:rPr>
            </w:pPr>
            <w:r w:rsidRPr="004138B4">
              <w:rPr>
                <w:rFonts w:eastAsia="Times New Roman" w:cs="Times New Roman"/>
                <w:b/>
                <w:bCs/>
                <w:sz w:val="20"/>
                <w:szCs w:val="20"/>
              </w:rPr>
              <w:t>t-Statistic</w:t>
            </w:r>
          </w:p>
        </w:tc>
        <w:tc>
          <w:tcPr>
            <w:tcW w:w="385" w:type="pct"/>
            <w:tcBorders>
              <w:bottom w:val="single" w:sz="4" w:space="0" w:color="auto"/>
            </w:tcBorders>
            <w:vAlign w:val="bottom"/>
          </w:tcPr>
          <w:p w14:paraId="4A36DDEC" w14:textId="77777777" w:rsidR="00A67A09" w:rsidRPr="004138B4" w:rsidRDefault="00A67A09" w:rsidP="005B2612">
            <w:pPr>
              <w:spacing w:before="48" w:after="0" w:line="240" w:lineRule="auto"/>
              <w:jc w:val="right"/>
              <w:rPr>
                <w:rFonts w:eastAsia="Times New Roman" w:cs="Times New Roman"/>
                <w:sz w:val="20"/>
                <w:szCs w:val="20"/>
              </w:rPr>
            </w:pPr>
            <w:r w:rsidRPr="004138B4">
              <w:rPr>
                <w:rFonts w:eastAsia="Times New Roman" w:cs="Times New Roman"/>
                <w:sz w:val="20"/>
                <w:szCs w:val="20"/>
              </w:rPr>
              <w:t>-4.524***</w:t>
            </w:r>
          </w:p>
        </w:tc>
        <w:tc>
          <w:tcPr>
            <w:tcW w:w="443" w:type="pct"/>
            <w:tcBorders>
              <w:bottom w:val="single" w:sz="4" w:space="0" w:color="auto"/>
            </w:tcBorders>
            <w:vAlign w:val="bottom"/>
          </w:tcPr>
          <w:p w14:paraId="35EC7D81" w14:textId="77777777" w:rsidR="00A67A09" w:rsidRPr="004138B4" w:rsidRDefault="00A67A09" w:rsidP="005B2612">
            <w:pPr>
              <w:spacing w:before="48" w:after="0" w:line="240" w:lineRule="auto"/>
              <w:jc w:val="right"/>
              <w:rPr>
                <w:rFonts w:eastAsia="Times New Roman" w:cs="Times New Roman"/>
                <w:sz w:val="20"/>
                <w:szCs w:val="20"/>
              </w:rPr>
            </w:pPr>
            <w:r w:rsidRPr="004138B4">
              <w:rPr>
                <w:rFonts w:eastAsia="Times New Roman" w:cs="Times New Roman"/>
                <w:sz w:val="20"/>
                <w:szCs w:val="20"/>
              </w:rPr>
              <w:t>-4.203***</w:t>
            </w:r>
          </w:p>
        </w:tc>
        <w:tc>
          <w:tcPr>
            <w:tcW w:w="357" w:type="pct"/>
            <w:tcBorders>
              <w:bottom w:val="single" w:sz="4" w:space="0" w:color="auto"/>
            </w:tcBorders>
            <w:vAlign w:val="bottom"/>
          </w:tcPr>
          <w:p w14:paraId="4C977E60" w14:textId="77777777" w:rsidR="00A67A09" w:rsidRPr="004138B4" w:rsidRDefault="00A67A09" w:rsidP="005B2612">
            <w:pPr>
              <w:spacing w:before="48" w:after="0" w:line="240" w:lineRule="auto"/>
              <w:jc w:val="right"/>
              <w:rPr>
                <w:rFonts w:eastAsia="Times New Roman" w:cs="Times New Roman"/>
                <w:sz w:val="20"/>
                <w:szCs w:val="20"/>
              </w:rPr>
            </w:pPr>
            <w:r w:rsidRPr="004138B4">
              <w:rPr>
                <w:rFonts w:eastAsia="Times New Roman" w:cs="Times New Roman"/>
                <w:sz w:val="20"/>
                <w:szCs w:val="20"/>
              </w:rPr>
              <w:t>-7.945***</w:t>
            </w:r>
          </w:p>
        </w:tc>
        <w:tc>
          <w:tcPr>
            <w:tcW w:w="448" w:type="pct"/>
            <w:tcBorders>
              <w:bottom w:val="single" w:sz="4" w:space="0" w:color="auto"/>
            </w:tcBorders>
            <w:vAlign w:val="bottom"/>
          </w:tcPr>
          <w:p w14:paraId="6AD811C6" w14:textId="77777777" w:rsidR="00A67A09" w:rsidRPr="004138B4" w:rsidRDefault="00A67A09" w:rsidP="005B2612">
            <w:pPr>
              <w:spacing w:before="48" w:after="0" w:line="240" w:lineRule="auto"/>
              <w:jc w:val="right"/>
              <w:rPr>
                <w:rFonts w:eastAsia="Times New Roman" w:cs="Times New Roman"/>
                <w:sz w:val="20"/>
                <w:szCs w:val="20"/>
              </w:rPr>
            </w:pPr>
            <w:r w:rsidRPr="004138B4">
              <w:rPr>
                <w:rFonts w:eastAsia="Times New Roman" w:cs="Times New Roman"/>
                <w:sz w:val="20"/>
                <w:szCs w:val="20"/>
              </w:rPr>
              <w:t>-7.632***</w:t>
            </w:r>
          </w:p>
        </w:tc>
        <w:tc>
          <w:tcPr>
            <w:tcW w:w="593" w:type="pct"/>
            <w:tcBorders>
              <w:bottom w:val="single" w:sz="4" w:space="0" w:color="auto"/>
            </w:tcBorders>
            <w:vAlign w:val="bottom"/>
          </w:tcPr>
          <w:p w14:paraId="7E2EBE28" w14:textId="77777777" w:rsidR="00A67A09" w:rsidRPr="004138B4" w:rsidRDefault="00A67A09" w:rsidP="005B2612">
            <w:pPr>
              <w:spacing w:before="48" w:after="0" w:line="240" w:lineRule="auto"/>
              <w:jc w:val="right"/>
              <w:rPr>
                <w:rFonts w:eastAsia="Times New Roman" w:cs="Times New Roman"/>
                <w:sz w:val="20"/>
                <w:szCs w:val="20"/>
              </w:rPr>
            </w:pPr>
            <w:r w:rsidRPr="004138B4">
              <w:rPr>
                <w:rFonts w:eastAsia="Times New Roman" w:cs="Times New Roman"/>
                <w:sz w:val="20"/>
                <w:szCs w:val="20"/>
              </w:rPr>
              <w:t>-9.005***</w:t>
            </w:r>
          </w:p>
        </w:tc>
        <w:tc>
          <w:tcPr>
            <w:tcW w:w="362" w:type="pct"/>
            <w:tcBorders>
              <w:bottom w:val="single" w:sz="4" w:space="0" w:color="auto"/>
            </w:tcBorders>
            <w:vAlign w:val="bottom"/>
          </w:tcPr>
          <w:p w14:paraId="6241EDA7" w14:textId="77777777" w:rsidR="00A67A09" w:rsidRPr="004138B4" w:rsidRDefault="00A67A09" w:rsidP="005B2612">
            <w:pPr>
              <w:spacing w:before="48" w:after="0" w:line="240" w:lineRule="auto"/>
              <w:jc w:val="right"/>
              <w:rPr>
                <w:rFonts w:eastAsia="Times New Roman" w:cs="Times New Roman"/>
                <w:sz w:val="20"/>
                <w:szCs w:val="20"/>
              </w:rPr>
            </w:pPr>
            <w:r w:rsidRPr="004138B4">
              <w:rPr>
                <w:rFonts w:eastAsia="Times New Roman" w:cs="Times New Roman"/>
                <w:sz w:val="20"/>
                <w:szCs w:val="20"/>
              </w:rPr>
              <w:t>-7.897***</w:t>
            </w:r>
          </w:p>
        </w:tc>
        <w:tc>
          <w:tcPr>
            <w:tcW w:w="480" w:type="pct"/>
            <w:tcBorders>
              <w:bottom w:val="single" w:sz="4" w:space="0" w:color="auto"/>
            </w:tcBorders>
            <w:vAlign w:val="bottom"/>
          </w:tcPr>
          <w:p w14:paraId="164719E1" w14:textId="77777777" w:rsidR="00A67A09" w:rsidRPr="004138B4" w:rsidRDefault="00A67A09" w:rsidP="005B2612">
            <w:pPr>
              <w:spacing w:before="48" w:after="0" w:line="240" w:lineRule="auto"/>
              <w:jc w:val="right"/>
              <w:rPr>
                <w:rFonts w:eastAsia="Times New Roman" w:cs="Times New Roman"/>
                <w:sz w:val="20"/>
                <w:szCs w:val="20"/>
              </w:rPr>
            </w:pPr>
            <w:r w:rsidRPr="004138B4">
              <w:rPr>
                <w:rFonts w:eastAsia="Times New Roman" w:cs="Times New Roman"/>
                <w:sz w:val="20"/>
                <w:szCs w:val="20"/>
              </w:rPr>
              <w:t>-7.817***</w:t>
            </w:r>
          </w:p>
        </w:tc>
        <w:tc>
          <w:tcPr>
            <w:tcW w:w="306" w:type="pct"/>
            <w:tcBorders>
              <w:bottom w:val="single" w:sz="4" w:space="0" w:color="auto"/>
            </w:tcBorders>
            <w:vAlign w:val="bottom"/>
          </w:tcPr>
          <w:p w14:paraId="40B88A08" w14:textId="77777777" w:rsidR="00A67A09" w:rsidRPr="004138B4" w:rsidRDefault="00A67A09" w:rsidP="005B2612">
            <w:pPr>
              <w:spacing w:before="48" w:after="0" w:line="240" w:lineRule="auto"/>
              <w:jc w:val="right"/>
              <w:rPr>
                <w:rFonts w:eastAsia="Times New Roman" w:cs="Times New Roman"/>
                <w:sz w:val="20"/>
                <w:szCs w:val="20"/>
              </w:rPr>
            </w:pPr>
            <w:r w:rsidRPr="004138B4">
              <w:rPr>
                <w:rFonts w:eastAsia="Times New Roman" w:cs="Times New Roman"/>
                <w:sz w:val="20"/>
                <w:szCs w:val="20"/>
              </w:rPr>
              <w:t>-3.163*</w:t>
            </w:r>
          </w:p>
        </w:tc>
        <w:tc>
          <w:tcPr>
            <w:tcW w:w="630" w:type="pct"/>
            <w:tcBorders>
              <w:bottom w:val="single" w:sz="4" w:space="0" w:color="auto"/>
            </w:tcBorders>
            <w:vAlign w:val="bottom"/>
          </w:tcPr>
          <w:p w14:paraId="02941EB7" w14:textId="77777777" w:rsidR="00A67A09" w:rsidRPr="004138B4" w:rsidRDefault="00A67A09" w:rsidP="005B2612">
            <w:pPr>
              <w:spacing w:before="48" w:after="0" w:line="240" w:lineRule="auto"/>
              <w:jc w:val="right"/>
              <w:rPr>
                <w:rFonts w:eastAsia="Times New Roman" w:cs="Times New Roman"/>
                <w:sz w:val="20"/>
                <w:szCs w:val="20"/>
              </w:rPr>
            </w:pPr>
            <w:r w:rsidRPr="004138B4">
              <w:rPr>
                <w:rFonts w:eastAsia="Times New Roman" w:cs="Times New Roman"/>
                <w:sz w:val="20"/>
                <w:szCs w:val="20"/>
              </w:rPr>
              <w:t>-4.194***</w:t>
            </w:r>
          </w:p>
        </w:tc>
        <w:tc>
          <w:tcPr>
            <w:tcW w:w="308" w:type="pct"/>
            <w:tcBorders>
              <w:bottom w:val="single" w:sz="4" w:space="0" w:color="auto"/>
            </w:tcBorders>
            <w:vAlign w:val="bottom"/>
          </w:tcPr>
          <w:p w14:paraId="076B02BD" w14:textId="77777777" w:rsidR="00A67A09" w:rsidRPr="004138B4" w:rsidRDefault="00A67A09" w:rsidP="005B2612">
            <w:pPr>
              <w:spacing w:before="48" w:after="0" w:line="240" w:lineRule="auto"/>
              <w:jc w:val="right"/>
              <w:rPr>
                <w:rFonts w:eastAsia="Times New Roman" w:cs="Times New Roman"/>
                <w:sz w:val="20"/>
                <w:szCs w:val="20"/>
              </w:rPr>
            </w:pPr>
            <w:r w:rsidRPr="004138B4">
              <w:rPr>
                <w:rFonts w:eastAsia="Times New Roman" w:cs="Times New Roman"/>
                <w:sz w:val="20"/>
                <w:szCs w:val="20"/>
              </w:rPr>
              <w:t xml:space="preserve">-5.619*** </w:t>
            </w:r>
          </w:p>
        </w:tc>
        <w:tc>
          <w:tcPr>
            <w:tcW w:w="306" w:type="pct"/>
            <w:tcBorders>
              <w:bottom w:val="single" w:sz="4" w:space="0" w:color="auto"/>
            </w:tcBorders>
            <w:vAlign w:val="bottom"/>
          </w:tcPr>
          <w:p w14:paraId="2F54BF3E" w14:textId="77777777" w:rsidR="00A67A09" w:rsidRPr="004138B4" w:rsidRDefault="00A67A09" w:rsidP="005B2612">
            <w:pPr>
              <w:spacing w:before="48" w:after="0" w:line="240" w:lineRule="auto"/>
              <w:jc w:val="right"/>
              <w:rPr>
                <w:rFonts w:eastAsia="Times New Roman" w:cs="Times New Roman"/>
                <w:sz w:val="20"/>
                <w:szCs w:val="20"/>
              </w:rPr>
            </w:pPr>
            <w:r w:rsidRPr="004138B4">
              <w:rPr>
                <w:rFonts w:eastAsia="Times New Roman" w:cs="Times New Roman"/>
                <w:sz w:val="20"/>
                <w:szCs w:val="20"/>
              </w:rPr>
              <w:t>-5.389***</w:t>
            </w:r>
          </w:p>
        </w:tc>
      </w:tr>
      <w:tr w:rsidR="00A67A09" w:rsidRPr="004138B4" w14:paraId="0BDAC65A" w14:textId="77777777" w:rsidTr="005B2612">
        <w:trPr>
          <w:trHeight w:val="220"/>
        </w:trPr>
        <w:tc>
          <w:tcPr>
            <w:tcW w:w="5000" w:type="pct"/>
            <w:gridSpan w:val="12"/>
            <w:tcBorders>
              <w:top w:val="single" w:sz="4" w:space="0" w:color="auto"/>
            </w:tcBorders>
            <w:vAlign w:val="bottom"/>
          </w:tcPr>
          <w:p w14:paraId="727B64FC" w14:textId="77777777" w:rsidR="00A67A09" w:rsidRPr="00240DAF" w:rsidRDefault="00A67A09" w:rsidP="005B2612">
            <w:pPr>
              <w:spacing w:before="48" w:after="0" w:line="312" w:lineRule="auto"/>
              <w:rPr>
                <w:rFonts w:eastAsia="Times New Roman" w:cs="Times New Roman"/>
                <w:sz w:val="24"/>
                <w:szCs w:val="24"/>
              </w:rPr>
            </w:pPr>
            <w:r w:rsidRPr="00240DAF">
              <w:rPr>
                <w:rFonts w:eastAsia="Times New Roman" w:cs="Times New Roman"/>
                <w:sz w:val="24"/>
                <w:szCs w:val="24"/>
              </w:rPr>
              <w:t xml:space="preserve">*,**,***: statistically significant at 10%, 5% and 1% </w:t>
            </w:r>
          </w:p>
          <w:p w14:paraId="02DE1D13" w14:textId="77777777" w:rsidR="00A67A09" w:rsidRPr="00240DAF" w:rsidRDefault="00A67A09" w:rsidP="005B2612">
            <w:pPr>
              <w:pBdr>
                <w:bottom w:val="single" w:sz="2" w:space="0" w:color="auto"/>
              </w:pBdr>
              <w:spacing w:before="48" w:after="0" w:line="312" w:lineRule="auto"/>
              <w:rPr>
                <w:rFonts w:eastAsia="Times New Roman" w:cs="Times New Roman"/>
                <w:sz w:val="24"/>
                <w:szCs w:val="24"/>
              </w:rPr>
            </w:pPr>
            <w:r w:rsidRPr="00240DAF">
              <w:rPr>
                <w:rFonts w:eastAsia="Times New Roman" w:cs="Times New Roman"/>
                <w:sz w:val="24"/>
                <w:szCs w:val="24"/>
              </w:rPr>
              <w:t xml:space="preserve">Note: The Augmented Dickey-Fuller for Stationary test. The unit root test results show that all the t-statistics are significantly negative, with most having p-values close to zero. Spain is the only country with a slightly higher p-value (0.0223). However, it is still below the standard threshold of 0.05, allowing us to reject the unit root hypothesis, suggesting that the data is stationary. Since the time series data does not exhibit unit roots, it is suitable for regression analysis and calculating the accurate transfer entropy estimation between stock markets, as non-stationary data could lead to misleading results in capturing information flows between </w:t>
            </w:r>
            <w:proofErr w:type="gramStart"/>
            <w:r w:rsidRPr="00240DAF">
              <w:rPr>
                <w:rFonts w:eastAsia="Times New Roman" w:cs="Times New Roman"/>
                <w:sz w:val="24"/>
                <w:szCs w:val="24"/>
              </w:rPr>
              <w:t>market</w:t>
            </w:r>
            <w:proofErr w:type="gramEnd"/>
            <w:r w:rsidRPr="00240DAF">
              <w:rPr>
                <w:rFonts w:eastAsia="Times New Roman" w:cs="Times New Roman"/>
                <w:sz w:val="24"/>
                <w:szCs w:val="24"/>
              </w:rPr>
              <w:t>.</w:t>
            </w:r>
          </w:p>
          <w:p w14:paraId="1E0E0964" w14:textId="77777777" w:rsidR="00A67A09" w:rsidRPr="00240DAF" w:rsidRDefault="00A67A09" w:rsidP="005B2612">
            <w:pPr>
              <w:spacing w:before="48" w:after="0" w:line="240" w:lineRule="auto"/>
              <w:jc w:val="right"/>
              <w:rPr>
                <w:rFonts w:eastAsia="Times New Roman" w:cs="Times New Roman"/>
                <w:i/>
                <w:iCs/>
                <w:sz w:val="24"/>
                <w:szCs w:val="24"/>
              </w:rPr>
            </w:pPr>
            <w:r w:rsidRPr="00240DAF">
              <w:rPr>
                <w:rFonts w:eastAsia="Times New Roman" w:cs="Times New Roman"/>
                <w:i/>
                <w:iCs/>
                <w:sz w:val="24"/>
                <w:szCs w:val="24"/>
              </w:rPr>
              <w:t xml:space="preserve">Source: </w:t>
            </w:r>
            <w:r w:rsidRPr="00240DAF">
              <w:rPr>
                <w:rFonts w:eastAsia="Times New Roman" w:cs="Times New Roman"/>
                <w:i/>
                <w:iCs/>
                <w:sz w:val="24"/>
                <w:szCs w:val="24"/>
                <w:lang w:val="vi-VN"/>
              </w:rPr>
              <w:t>Estimated by authors</w:t>
            </w:r>
          </w:p>
          <w:p w14:paraId="1B8B109B" w14:textId="77777777" w:rsidR="00A67A09" w:rsidRPr="00240DAF" w:rsidRDefault="00A67A09" w:rsidP="005B2612">
            <w:pPr>
              <w:spacing w:before="48" w:after="0" w:line="240" w:lineRule="auto"/>
              <w:rPr>
                <w:rFonts w:eastAsia="Times New Roman" w:cs="Times New Roman"/>
                <w:sz w:val="24"/>
                <w:szCs w:val="24"/>
              </w:rPr>
            </w:pPr>
          </w:p>
          <w:p w14:paraId="4108DB88" w14:textId="77777777" w:rsidR="00A67A09" w:rsidRPr="004138B4" w:rsidRDefault="00A67A09" w:rsidP="005B2612">
            <w:pPr>
              <w:spacing w:before="48" w:after="0" w:line="240" w:lineRule="auto"/>
              <w:rPr>
                <w:rFonts w:eastAsia="Times New Roman" w:cs="Times New Roman"/>
                <w:sz w:val="20"/>
                <w:szCs w:val="20"/>
              </w:rPr>
            </w:pPr>
          </w:p>
        </w:tc>
      </w:tr>
    </w:tbl>
    <w:p w14:paraId="061BFDDD" w14:textId="77777777" w:rsidR="003F38E9" w:rsidRDefault="003F38E9" w:rsidP="0037251A">
      <w:pPr>
        <w:tabs>
          <w:tab w:val="num" w:pos="720"/>
        </w:tabs>
        <w:rPr>
          <w:b/>
          <w:bCs/>
        </w:rPr>
      </w:pPr>
    </w:p>
    <w:p w14:paraId="49D164F5" w14:textId="77777777" w:rsidR="008C3C17" w:rsidRDefault="008C3C17" w:rsidP="0037251A">
      <w:pPr>
        <w:tabs>
          <w:tab w:val="num" w:pos="720"/>
        </w:tabs>
        <w:rPr>
          <w:b/>
          <w:bCs/>
        </w:rPr>
      </w:pPr>
    </w:p>
    <w:p w14:paraId="2D320271" w14:textId="77777777" w:rsidR="00F07385" w:rsidRDefault="00F07385" w:rsidP="0037251A">
      <w:pPr>
        <w:tabs>
          <w:tab w:val="num" w:pos="720"/>
        </w:tabs>
        <w:rPr>
          <w:b/>
          <w:bCs/>
        </w:rPr>
        <w:sectPr w:rsidR="00F07385" w:rsidSect="00464139">
          <w:pgSz w:w="15840" w:h="12240" w:orient="landscape"/>
          <w:pgMar w:top="1440" w:right="1440" w:bottom="1440" w:left="1440" w:header="720" w:footer="720" w:gutter="0"/>
          <w:cols w:space="720"/>
          <w:docGrid w:linePitch="360"/>
        </w:sectPr>
      </w:pPr>
    </w:p>
    <w:p w14:paraId="46EE72F1" w14:textId="17723C31" w:rsidR="0037251A" w:rsidRPr="00451FE8" w:rsidRDefault="0037251A" w:rsidP="0037251A">
      <w:pPr>
        <w:tabs>
          <w:tab w:val="num" w:pos="720"/>
        </w:tabs>
        <w:rPr>
          <w:b/>
          <w:bCs/>
          <w:sz w:val="24"/>
          <w:szCs w:val="24"/>
        </w:rPr>
      </w:pPr>
      <w:r w:rsidRPr="00451FE8">
        <w:rPr>
          <w:b/>
          <w:bCs/>
          <w:sz w:val="24"/>
          <w:szCs w:val="24"/>
        </w:rPr>
        <w:lastRenderedPageBreak/>
        <w:t xml:space="preserve">Table </w:t>
      </w:r>
      <w:r w:rsidR="005B10DD">
        <w:rPr>
          <w:b/>
          <w:bCs/>
          <w:sz w:val="24"/>
          <w:szCs w:val="24"/>
        </w:rPr>
        <w:t>S3</w:t>
      </w:r>
      <w:r w:rsidR="005E4582" w:rsidRPr="00451FE8">
        <w:rPr>
          <w:b/>
          <w:bCs/>
          <w:sz w:val="24"/>
          <w:szCs w:val="24"/>
        </w:rPr>
        <w:t>.</w:t>
      </w:r>
      <w:r w:rsidRPr="00451FE8">
        <w:rPr>
          <w:b/>
          <w:bCs/>
          <w:sz w:val="24"/>
          <w:szCs w:val="24"/>
        </w:rPr>
        <w:t xml:space="preserve"> PC1 loadings across all four liquidity sub-indices</w:t>
      </w:r>
      <w:bookmarkEnd w:id="0"/>
      <w:r w:rsidRPr="00451FE8">
        <w:rPr>
          <w:b/>
          <w:bCs/>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3"/>
        <w:gridCol w:w="1744"/>
        <w:gridCol w:w="1744"/>
        <w:gridCol w:w="1744"/>
        <w:gridCol w:w="1744"/>
      </w:tblGrid>
      <w:tr w:rsidR="006537FA" w:rsidRPr="00451FE8" w14:paraId="2BB19A71" w14:textId="77777777" w:rsidTr="00D54343">
        <w:trPr>
          <w:trHeight w:val="340"/>
        </w:trPr>
        <w:tc>
          <w:tcPr>
            <w:tcW w:w="1743" w:type="dxa"/>
            <w:tcBorders>
              <w:bottom w:val="single" w:sz="4" w:space="0" w:color="auto"/>
            </w:tcBorders>
          </w:tcPr>
          <w:p w14:paraId="44BC5B19" w14:textId="77777777" w:rsidR="0037251A" w:rsidRPr="00451FE8" w:rsidRDefault="0037251A" w:rsidP="00D54343">
            <w:pPr>
              <w:spacing w:before="0" w:after="0" w:line="312" w:lineRule="auto"/>
              <w:rPr>
                <w:b/>
                <w:bCs/>
                <w:sz w:val="24"/>
                <w:szCs w:val="24"/>
              </w:rPr>
            </w:pPr>
            <w:r w:rsidRPr="00451FE8">
              <w:rPr>
                <w:b/>
                <w:bCs/>
                <w:sz w:val="24"/>
                <w:szCs w:val="24"/>
              </w:rPr>
              <w:t>PC1</w:t>
            </w:r>
          </w:p>
        </w:tc>
        <w:tc>
          <w:tcPr>
            <w:tcW w:w="1744" w:type="dxa"/>
            <w:tcBorders>
              <w:bottom w:val="single" w:sz="4" w:space="0" w:color="auto"/>
            </w:tcBorders>
          </w:tcPr>
          <w:p w14:paraId="08FF95DE" w14:textId="77777777" w:rsidR="0037251A" w:rsidRPr="00451FE8" w:rsidRDefault="0037251A" w:rsidP="00D54343">
            <w:pPr>
              <w:spacing w:before="0" w:after="0" w:line="312" w:lineRule="auto"/>
              <w:rPr>
                <w:b/>
                <w:bCs/>
                <w:sz w:val="24"/>
                <w:szCs w:val="24"/>
              </w:rPr>
            </w:pPr>
            <w:r w:rsidRPr="00451FE8">
              <w:rPr>
                <w:b/>
                <w:bCs/>
                <w:sz w:val="24"/>
                <w:szCs w:val="24"/>
              </w:rPr>
              <w:t>Bid-ask</w:t>
            </w:r>
            <w:r w:rsidRPr="00451FE8">
              <w:rPr>
                <w:b/>
                <w:bCs/>
                <w:i/>
                <w:iCs/>
                <w:sz w:val="24"/>
                <w:szCs w:val="24"/>
              </w:rPr>
              <w:t xml:space="preserve"> </w:t>
            </w:r>
            <w:r w:rsidRPr="00451FE8">
              <w:rPr>
                <w:b/>
                <w:bCs/>
                <w:sz w:val="24"/>
                <w:szCs w:val="24"/>
              </w:rPr>
              <w:t xml:space="preserve">  </w:t>
            </w:r>
          </w:p>
        </w:tc>
        <w:tc>
          <w:tcPr>
            <w:tcW w:w="1744" w:type="dxa"/>
            <w:tcBorders>
              <w:bottom w:val="single" w:sz="4" w:space="0" w:color="auto"/>
            </w:tcBorders>
          </w:tcPr>
          <w:p w14:paraId="50251993" w14:textId="77777777" w:rsidR="0037251A" w:rsidRPr="00451FE8" w:rsidRDefault="0037251A" w:rsidP="00D54343">
            <w:pPr>
              <w:spacing w:before="0" w:after="0" w:line="312" w:lineRule="auto"/>
              <w:rPr>
                <w:b/>
                <w:bCs/>
                <w:sz w:val="24"/>
                <w:szCs w:val="24"/>
              </w:rPr>
            </w:pPr>
            <w:r w:rsidRPr="00451FE8">
              <w:rPr>
                <w:b/>
                <w:bCs/>
                <w:sz w:val="24"/>
                <w:szCs w:val="24"/>
              </w:rPr>
              <w:t>Roll</w:t>
            </w:r>
          </w:p>
        </w:tc>
        <w:tc>
          <w:tcPr>
            <w:tcW w:w="1744" w:type="dxa"/>
            <w:tcBorders>
              <w:bottom w:val="single" w:sz="4" w:space="0" w:color="auto"/>
            </w:tcBorders>
          </w:tcPr>
          <w:p w14:paraId="3A52F186" w14:textId="77777777" w:rsidR="0037251A" w:rsidRPr="00451FE8" w:rsidRDefault="0037251A" w:rsidP="00D54343">
            <w:pPr>
              <w:spacing w:before="0" w:after="0" w:line="312" w:lineRule="auto"/>
              <w:rPr>
                <w:b/>
                <w:bCs/>
                <w:sz w:val="24"/>
                <w:szCs w:val="24"/>
              </w:rPr>
            </w:pPr>
            <w:proofErr w:type="spellStart"/>
            <w:r w:rsidRPr="00451FE8">
              <w:rPr>
                <w:b/>
                <w:bCs/>
                <w:sz w:val="24"/>
                <w:szCs w:val="24"/>
              </w:rPr>
              <w:t>Amihud</w:t>
            </w:r>
            <w:proofErr w:type="spellEnd"/>
            <w:r w:rsidRPr="00451FE8">
              <w:rPr>
                <w:b/>
                <w:bCs/>
                <w:sz w:val="24"/>
                <w:szCs w:val="24"/>
              </w:rPr>
              <w:t xml:space="preserve">   </w:t>
            </w:r>
          </w:p>
        </w:tc>
        <w:tc>
          <w:tcPr>
            <w:tcW w:w="1744" w:type="dxa"/>
            <w:tcBorders>
              <w:bottom w:val="single" w:sz="4" w:space="0" w:color="auto"/>
            </w:tcBorders>
          </w:tcPr>
          <w:p w14:paraId="1B086258" w14:textId="77777777" w:rsidR="0037251A" w:rsidRPr="00451FE8" w:rsidRDefault="0037251A" w:rsidP="00D54343">
            <w:pPr>
              <w:spacing w:before="0" w:after="0" w:line="312" w:lineRule="auto"/>
              <w:rPr>
                <w:b/>
                <w:bCs/>
                <w:sz w:val="24"/>
                <w:szCs w:val="24"/>
              </w:rPr>
            </w:pPr>
            <w:r w:rsidRPr="00451FE8">
              <w:rPr>
                <w:b/>
                <w:bCs/>
                <w:sz w:val="24"/>
                <w:szCs w:val="24"/>
              </w:rPr>
              <w:t>Volume</w:t>
            </w:r>
          </w:p>
        </w:tc>
      </w:tr>
      <w:tr w:rsidR="006537FA" w:rsidRPr="00451FE8" w14:paraId="3AAD6427" w14:textId="77777777" w:rsidTr="00D54343">
        <w:trPr>
          <w:trHeight w:val="340"/>
        </w:trPr>
        <w:tc>
          <w:tcPr>
            <w:tcW w:w="1743" w:type="dxa"/>
            <w:tcBorders>
              <w:top w:val="single" w:sz="4" w:space="0" w:color="auto"/>
              <w:bottom w:val="single" w:sz="4" w:space="0" w:color="auto"/>
            </w:tcBorders>
          </w:tcPr>
          <w:p w14:paraId="577EBE09" w14:textId="77777777" w:rsidR="0037251A" w:rsidRPr="00451FE8" w:rsidRDefault="0037251A" w:rsidP="00D54343">
            <w:pPr>
              <w:spacing w:before="0" w:line="312" w:lineRule="auto"/>
              <w:rPr>
                <w:b/>
                <w:sz w:val="24"/>
                <w:szCs w:val="24"/>
              </w:rPr>
            </w:pPr>
            <w:r w:rsidRPr="00451FE8">
              <w:rPr>
                <w:sz w:val="24"/>
                <w:szCs w:val="24"/>
              </w:rPr>
              <w:t>Austria</w:t>
            </w:r>
          </w:p>
        </w:tc>
        <w:tc>
          <w:tcPr>
            <w:tcW w:w="1744" w:type="dxa"/>
            <w:tcBorders>
              <w:top w:val="single" w:sz="4" w:space="0" w:color="auto"/>
              <w:bottom w:val="single" w:sz="4" w:space="0" w:color="auto"/>
            </w:tcBorders>
          </w:tcPr>
          <w:p w14:paraId="344D4912" w14:textId="77777777" w:rsidR="0037251A" w:rsidRPr="00451FE8" w:rsidRDefault="0037251A" w:rsidP="00D54343">
            <w:pPr>
              <w:spacing w:before="0" w:after="0" w:line="312" w:lineRule="auto"/>
              <w:rPr>
                <w:sz w:val="24"/>
                <w:szCs w:val="24"/>
              </w:rPr>
            </w:pPr>
            <w:r w:rsidRPr="00451FE8">
              <w:rPr>
                <w:sz w:val="24"/>
                <w:szCs w:val="24"/>
              </w:rPr>
              <w:t xml:space="preserve">0.554576    </w:t>
            </w:r>
          </w:p>
        </w:tc>
        <w:tc>
          <w:tcPr>
            <w:tcW w:w="1744" w:type="dxa"/>
            <w:tcBorders>
              <w:top w:val="single" w:sz="4" w:space="0" w:color="auto"/>
              <w:bottom w:val="single" w:sz="4" w:space="0" w:color="auto"/>
            </w:tcBorders>
          </w:tcPr>
          <w:p w14:paraId="13F8FD4D" w14:textId="77777777" w:rsidR="0037251A" w:rsidRPr="00451FE8" w:rsidRDefault="0037251A" w:rsidP="00D54343">
            <w:pPr>
              <w:spacing w:before="0" w:after="0" w:line="312" w:lineRule="auto"/>
              <w:rPr>
                <w:sz w:val="24"/>
                <w:szCs w:val="24"/>
              </w:rPr>
            </w:pPr>
            <w:r w:rsidRPr="00451FE8">
              <w:rPr>
                <w:sz w:val="24"/>
                <w:szCs w:val="24"/>
              </w:rPr>
              <w:t xml:space="preserve">0.587768  </w:t>
            </w:r>
          </w:p>
        </w:tc>
        <w:tc>
          <w:tcPr>
            <w:tcW w:w="1744" w:type="dxa"/>
            <w:tcBorders>
              <w:top w:val="single" w:sz="4" w:space="0" w:color="auto"/>
              <w:bottom w:val="single" w:sz="4" w:space="0" w:color="auto"/>
            </w:tcBorders>
          </w:tcPr>
          <w:p w14:paraId="521A2A92" w14:textId="77777777" w:rsidR="0037251A" w:rsidRPr="00451FE8" w:rsidRDefault="0037251A" w:rsidP="00D54343">
            <w:pPr>
              <w:spacing w:before="0" w:after="0" w:line="312" w:lineRule="auto"/>
              <w:rPr>
                <w:sz w:val="24"/>
                <w:szCs w:val="24"/>
              </w:rPr>
            </w:pPr>
            <w:r w:rsidRPr="00451FE8">
              <w:rPr>
                <w:sz w:val="24"/>
                <w:szCs w:val="24"/>
              </w:rPr>
              <w:t xml:space="preserve">0.587287  </w:t>
            </w:r>
          </w:p>
        </w:tc>
        <w:tc>
          <w:tcPr>
            <w:tcW w:w="1744" w:type="dxa"/>
            <w:tcBorders>
              <w:top w:val="single" w:sz="4" w:space="0" w:color="auto"/>
              <w:bottom w:val="single" w:sz="4" w:space="0" w:color="auto"/>
            </w:tcBorders>
          </w:tcPr>
          <w:p w14:paraId="50DFF456" w14:textId="77777777" w:rsidR="0037251A" w:rsidRPr="00451FE8" w:rsidRDefault="0037251A" w:rsidP="00D54343">
            <w:pPr>
              <w:spacing w:before="0" w:after="0" w:line="312" w:lineRule="auto"/>
              <w:rPr>
                <w:sz w:val="24"/>
                <w:szCs w:val="24"/>
              </w:rPr>
            </w:pPr>
            <w:r w:rsidRPr="00451FE8">
              <w:rPr>
                <w:sz w:val="24"/>
                <w:szCs w:val="24"/>
              </w:rPr>
              <w:t>0.045466</w:t>
            </w:r>
          </w:p>
        </w:tc>
      </w:tr>
      <w:tr w:rsidR="006537FA" w:rsidRPr="00451FE8" w14:paraId="27DE59B5" w14:textId="77777777" w:rsidTr="00D54343">
        <w:trPr>
          <w:trHeight w:val="340"/>
        </w:trPr>
        <w:tc>
          <w:tcPr>
            <w:tcW w:w="1743" w:type="dxa"/>
            <w:tcBorders>
              <w:top w:val="single" w:sz="4" w:space="0" w:color="auto"/>
              <w:bottom w:val="single" w:sz="4" w:space="0" w:color="auto"/>
            </w:tcBorders>
          </w:tcPr>
          <w:p w14:paraId="28E80F00" w14:textId="77777777" w:rsidR="0037251A" w:rsidRPr="00451FE8" w:rsidRDefault="0037251A" w:rsidP="00D54343">
            <w:pPr>
              <w:spacing w:before="0" w:after="0" w:line="312" w:lineRule="auto"/>
              <w:rPr>
                <w:sz w:val="24"/>
                <w:szCs w:val="24"/>
              </w:rPr>
            </w:pPr>
            <w:r w:rsidRPr="00451FE8">
              <w:rPr>
                <w:sz w:val="24"/>
                <w:szCs w:val="24"/>
              </w:rPr>
              <w:t>Belgium</w:t>
            </w:r>
          </w:p>
        </w:tc>
        <w:tc>
          <w:tcPr>
            <w:tcW w:w="1744" w:type="dxa"/>
            <w:tcBorders>
              <w:top w:val="single" w:sz="4" w:space="0" w:color="auto"/>
              <w:bottom w:val="single" w:sz="4" w:space="0" w:color="auto"/>
            </w:tcBorders>
          </w:tcPr>
          <w:p w14:paraId="69943CE1" w14:textId="77777777" w:rsidR="0037251A" w:rsidRPr="00451FE8" w:rsidRDefault="0037251A" w:rsidP="00D54343">
            <w:pPr>
              <w:spacing w:before="0" w:after="0" w:line="312" w:lineRule="auto"/>
              <w:rPr>
                <w:sz w:val="24"/>
                <w:szCs w:val="24"/>
              </w:rPr>
            </w:pPr>
            <w:r w:rsidRPr="00451FE8">
              <w:rPr>
                <w:sz w:val="24"/>
                <w:szCs w:val="24"/>
              </w:rPr>
              <w:t xml:space="preserve">0.588509  </w:t>
            </w:r>
          </w:p>
        </w:tc>
        <w:tc>
          <w:tcPr>
            <w:tcW w:w="1744" w:type="dxa"/>
            <w:tcBorders>
              <w:top w:val="single" w:sz="4" w:space="0" w:color="auto"/>
              <w:bottom w:val="single" w:sz="4" w:space="0" w:color="auto"/>
            </w:tcBorders>
          </w:tcPr>
          <w:p w14:paraId="76F06152" w14:textId="77777777" w:rsidR="0037251A" w:rsidRPr="00451FE8" w:rsidRDefault="0037251A" w:rsidP="00D54343">
            <w:pPr>
              <w:spacing w:before="0" w:after="0" w:line="312" w:lineRule="auto"/>
              <w:rPr>
                <w:sz w:val="24"/>
                <w:szCs w:val="24"/>
              </w:rPr>
            </w:pPr>
            <w:r w:rsidRPr="00451FE8">
              <w:rPr>
                <w:sz w:val="24"/>
                <w:szCs w:val="24"/>
              </w:rPr>
              <w:t xml:space="preserve">0.515228  </w:t>
            </w:r>
          </w:p>
        </w:tc>
        <w:tc>
          <w:tcPr>
            <w:tcW w:w="1744" w:type="dxa"/>
            <w:tcBorders>
              <w:top w:val="single" w:sz="4" w:space="0" w:color="auto"/>
              <w:bottom w:val="single" w:sz="4" w:space="0" w:color="auto"/>
            </w:tcBorders>
          </w:tcPr>
          <w:p w14:paraId="7ED281F8" w14:textId="77777777" w:rsidR="0037251A" w:rsidRPr="00451FE8" w:rsidRDefault="0037251A" w:rsidP="00D54343">
            <w:pPr>
              <w:spacing w:before="0" w:after="0" w:line="312" w:lineRule="auto"/>
              <w:rPr>
                <w:sz w:val="24"/>
                <w:szCs w:val="24"/>
              </w:rPr>
            </w:pPr>
            <w:r w:rsidRPr="00451FE8">
              <w:rPr>
                <w:sz w:val="24"/>
                <w:szCs w:val="24"/>
              </w:rPr>
              <w:t xml:space="preserve">0.618877  </w:t>
            </w:r>
          </w:p>
        </w:tc>
        <w:tc>
          <w:tcPr>
            <w:tcW w:w="1744" w:type="dxa"/>
            <w:tcBorders>
              <w:top w:val="single" w:sz="4" w:space="0" w:color="auto"/>
              <w:bottom w:val="single" w:sz="4" w:space="0" w:color="auto"/>
            </w:tcBorders>
          </w:tcPr>
          <w:p w14:paraId="6CD0F89C" w14:textId="77777777" w:rsidR="0037251A" w:rsidRPr="00451FE8" w:rsidRDefault="0037251A" w:rsidP="00D54343">
            <w:pPr>
              <w:spacing w:before="0" w:after="0" w:line="312" w:lineRule="auto"/>
              <w:rPr>
                <w:sz w:val="24"/>
                <w:szCs w:val="24"/>
              </w:rPr>
            </w:pPr>
            <w:r w:rsidRPr="00451FE8">
              <w:rPr>
                <w:sz w:val="24"/>
                <w:szCs w:val="24"/>
              </w:rPr>
              <w:t>0.072028</w:t>
            </w:r>
          </w:p>
        </w:tc>
      </w:tr>
      <w:tr w:rsidR="006537FA" w:rsidRPr="00451FE8" w14:paraId="65D0D8D9" w14:textId="77777777" w:rsidTr="00D54343">
        <w:trPr>
          <w:trHeight w:val="340"/>
        </w:trPr>
        <w:tc>
          <w:tcPr>
            <w:tcW w:w="1743" w:type="dxa"/>
            <w:tcBorders>
              <w:top w:val="single" w:sz="4" w:space="0" w:color="auto"/>
              <w:bottom w:val="single" w:sz="4" w:space="0" w:color="auto"/>
            </w:tcBorders>
          </w:tcPr>
          <w:p w14:paraId="182430ED" w14:textId="77777777" w:rsidR="0037251A" w:rsidRPr="00451FE8" w:rsidRDefault="0037251A" w:rsidP="00D54343">
            <w:pPr>
              <w:spacing w:before="0" w:after="0" w:line="312" w:lineRule="auto"/>
              <w:rPr>
                <w:sz w:val="24"/>
                <w:szCs w:val="24"/>
              </w:rPr>
            </w:pPr>
            <w:r w:rsidRPr="00451FE8">
              <w:rPr>
                <w:sz w:val="24"/>
                <w:szCs w:val="24"/>
              </w:rPr>
              <w:t>France</w:t>
            </w:r>
          </w:p>
        </w:tc>
        <w:tc>
          <w:tcPr>
            <w:tcW w:w="1744" w:type="dxa"/>
            <w:tcBorders>
              <w:top w:val="single" w:sz="4" w:space="0" w:color="auto"/>
              <w:bottom w:val="single" w:sz="4" w:space="0" w:color="auto"/>
            </w:tcBorders>
          </w:tcPr>
          <w:p w14:paraId="3F75A21B" w14:textId="77777777" w:rsidR="0037251A" w:rsidRPr="00451FE8" w:rsidRDefault="0037251A" w:rsidP="00D54343">
            <w:pPr>
              <w:spacing w:before="0" w:after="0" w:line="312" w:lineRule="auto"/>
              <w:rPr>
                <w:sz w:val="24"/>
                <w:szCs w:val="24"/>
              </w:rPr>
            </w:pPr>
            <w:r w:rsidRPr="00451FE8">
              <w:rPr>
                <w:sz w:val="24"/>
                <w:szCs w:val="24"/>
              </w:rPr>
              <w:t xml:space="preserve">0.581434 </w:t>
            </w:r>
          </w:p>
        </w:tc>
        <w:tc>
          <w:tcPr>
            <w:tcW w:w="1744" w:type="dxa"/>
            <w:tcBorders>
              <w:top w:val="single" w:sz="4" w:space="0" w:color="auto"/>
              <w:bottom w:val="single" w:sz="4" w:space="0" w:color="auto"/>
            </w:tcBorders>
          </w:tcPr>
          <w:p w14:paraId="1ED8AD84" w14:textId="77777777" w:rsidR="0037251A" w:rsidRPr="00451FE8" w:rsidRDefault="0037251A" w:rsidP="00D54343">
            <w:pPr>
              <w:spacing w:before="0" w:after="0" w:line="312" w:lineRule="auto"/>
              <w:rPr>
                <w:sz w:val="24"/>
                <w:szCs w:val="24"/>
              </w:rPr>
            </w:pPr>
            <w:r w:rsidRPr="00451FE8">
              <w:rPr>
                <w:sz w:val="24"/>
                <w:szCs w:val="24"/>
              </w:rPr>
              <w:t xml:space="preserve">-0.365694  </w:t>
            </w:r>
          </w:p>
        </w:tc>
        <w:tc>
          <w:tcPr>
            <w:tcW w:w="1744" w:type="dxa"/>
            <w:tcBorders>
              <w:top w:val="single" w:sz="4" w:space="0" w:color="auto"/>
              <w:bottom w:val="single" w:sz="4" w:space="0" w:color="auto"/>
            </w:tcBorders>
          </w:tcPr>
          <w:p w14:paraId="79857445" w14:textId="77777777" w:rsidR="0037251A" w:rsidRPr="00451FE8" w:rsidRDefault="0037251A" w:rsidP="00D54343">
            <w:pPr>
              <w:spacing w:before="0" w:after="0" w:line="312" w:lineRule="auto"/>
              <w:rPr>
                <w:sz w:val="24"/>
                <w:szCs w:val="24"/>
              </w:rPr>
            </w:pPr>
            <w:r w:rsidRPr="00451FE8">
              <w:rPr>
                <w:sz w:val="24"/>
                <w:szCs w:val="24"/>
              </w:rPr>
              <w:t xml:space="preserve">0.451506  </w:t>
            </w:r>
          </w:p>
        </w:tc>
        <w:tc>
          <w:tcPr>
            <w:tcW w:w="1744" w:type="dxa"/>
            <w:tcBorders>
              <w:top w:val="single" w:sz="4" w:space="0" w:color="auto"/>
              <w:bottom w:val="single" w:sz="4" w:space="0" w:color="auto"/>
            </w:tcBorders>
          </w:tcPr>
          <w:p w14:paraId="0FCA7AAC" w14:textId="77777777" w:rsidR="0037251A" w:rsidRPr="00451FE8" w:rsidRDefault="0037251A" w:rsidP="00D54343">
            <w:pPr>
              <w:spacing w:before="0" w:after="0" w:line="312" w:lineRule="auto"/>
              <w:rPr>
                <w:sz w:val="24"/>
                <w:szCs w:val="24"/>
              </w:rPr>
            </w:pPr>
            <w:r w:rsidRPr="00451FE8">
              <w:rPr>
                <w:sz w:val="24"/>
                <w:szCs w:val="24"/>
              </w:rPr>
              <w:t>0.569512</w:t>
            </w:r>
          </w:p>
        </w:tc>
      </w:tr>
      <w:tr w:rsidR="006537FA" w:rsidRPr="00451FE8" w14:paraId="73ADEDD5" w14:textId="77777777" w:rsidTr="00D54343">
        <w:trPr>
          <w:trHeight w:val="340"/>
        </w:trPr>
        <w:tc>
          <w:tcPr>
            <w:tcW w:w="1743" w:type="dxa"/>
            <w:tcBorders>
              <w:top w:val="single" w:sz="4" w:space="0" w:color="auto"/>
              <w:bottom w:val="single" w:sz="4" w:space="0" w:color="auto"/>
            </w:tcBorders>
          </w:tcPr>
          <w:p w14:paraId="181BD7CC" w14:textId="77777777" w:rsidR="0037251A" w:rsidRPr="00451FE8" w:rsidRDefault="0037251A" w:rsidP="00D54343">
            <w:pPr>
              <w:spacing w:before="0" w:after="0" w:line="312" w:lineRule="auto"/>
              <w:rPr>
                <w:sz w:val="24"/>
                <w:szCs w:val="24"/>
              </w:rPr>
            </w:pPr>
            <w:r w:rsidRPr="00451FE8">
              <w:rPr>
                <w:sz w:val="24"/>
                <w:szCs w:val="24"/>
              </w:rPr>
              <w:t>Germany</w:t>
            </w:r>
          </w:p>
        </w:tc>
        <w:tc>
          <w:tcPr>
            <w:tcW w:w="1744" w:type="dxa"/>
            <w:tcBorders>
              <w:top w:val="single" w:sz="4" w:space="0" w:color="auto"/>
              <w:bottom w:val="single" w:sz="4" w:space="0" w:color="auto"/>
            </w:tcBorders>
          </w:tcPr>
          <w:p w14:paraId="7F327436" w14:textId="77777777" w:rsidR="0037251A" w:rsidRPr="00451FE8" w:rsidRDefault="0037251A" w:rsidP="00D54343">
            <w:pPr>
              <w:spacing w:before="0" w:after="0" w:line="312" w:lineRule="auto"/>
              <w:rPr>
                <w:sz w:val="24"/>
                <w:szCs w:val="24"/>
              </w:rPr>
            </w:pPr>
            <w:r w:rsidRPr="00451FE8">
              <w:rPr>
                <w:sz w:val="24"/>
                <w:szCs w:val="24"/>
              </w:rPr>
              <w:t xml:space="preserve">0.615009 </w:t>
            </w:r>
          </w:p>
        </w:tc>
        <w:tc>
          <w:tcPr>
            <w:tcW w:w="1744" w:type="dxa"/>
            <w:tcBorders>
              <w:top w:val="single" w:sz="4" w:space="0" w:color="auto"/>
              <w:bottom w:val="single" w:sz="4" w:space="0" w:color="auto"/>
            </w:tcBorders>
          </w:tcPr>
          <w:p w14:paraId="4DA14A48" w14:textId="77777777" w:rsidR="0037251A" w:rsidRPr="00451FE8" w:rsidRDefault="0037251A" w:rsidP="00D54343">
            <w:pPr>
              <w:spacing w:before="0" w:after="0" w:line="312" w:lineRule="auto"/>
              <w:rPr>
                <w:sz w:val="24"/>
                <w:szCs w:val="24"/>
              </w:rPr>
            </w:pPr>
            <w:r w:rsidRPr="00451FE8">
              <w:rPr>
                <w:sz w:val="24"/>
                <w:szCs w:val="24"/>
              </w:rPr>
              <w:t xml:space="preserve">-0.418873  </w:t>
            </w:r>
          </w:p>
        </w:tc>
        <w:tc>
          <w:tcPr>
            <w:tcW w:w="1744" w:type="dxa"/>
            <w:tcBorders>
              <w:top w:val="single" w:sz="4" w:space="0" w:color="auto"/>
              <w:bottom w:val="single" w:sz="4" w:space="0" w:color="auto"/>
            </w:tcBorders>
          </w:tcPr>
          <w:p w14:paraId="3FAB8000" w14:textId="77777777" w:rsidR="0037251A" w:rsidRPr="00451FE8" w:rsidRDefault="0037251A" w:rsidP="00D54343">
            <w:pPr>
              <w:spacing w:before="0" w:after="0" w:line="312" w:lineRule="auto"/>
              <w:rPr>
                <w:sz w:val="24"/>
                <w:szCs w:val="24"/>
              </w:rPr>
            </w:pPr>
            <w:r w:rsidRPr="00451FE8">
              <w:rPr>
                <w:sz w:val="24"/>
                <w:szCs w:val="24"/>
              </w:rPr>
              <w:t xml:space="preserve">0.304873  </w:t>
            </w:r>
          </w:p>
        </w:tc>
        <w:tc>
          <w:tcPr>
            <w:tcW w:w="1744" w:type="dxa"/>
            <w:tcBorders>
              <w:top w:val="single" w:sz="4" w:space="0" w:color="auto"/>
              <w:bottom w:val="single" w:sz="4" w:space="0" w:color="auto"/>
            </w:tcBorders>
          </w:tcPr>
          <w:p w14:paraId="315A63A8" w14:textId="77777777" w:rsidR="0037251A" w:rsidRPr="00451FE8" w:rsidRDefault="0037251A" w:rsidP="00D54343">
            <w:pPr>
              <w:spacing w:before="0" w:after="0" w:line="312" w:lineRule="auto"/>
              <w:rPr>
                <w:sz w:val="24"/>
                <w:szCs w:val="24"/>
              </w:rPr>
            </w:pPr>
            <w:r w:rsidRPr="00451FE8">
              <w:rPr>
                <w:sz w:val="24"/>
                <w:szCs w:val="24"/>
              </w:rPr>
              <w:t>0.594442</w:t>
            </w:r>
          </w:p>
        </w:tc>
      </w:tr>
      <w:tr w:rsidR="006537FA" w:rsidRPr="00451FE8" w14:paraId="0EEA71EB" w14:textId="77777777" w:rsidTr="00D54343">
        <w:trPr>
          <w:trHeight w:val="340"/>
        </w:trPr>
        <w:tc>
          <w:tcPr>
            <w:tcW w:w="1743" w:type="dxa"/>
            <w:tcBorders>
              <w:top w:val="single" w:sz="4" w:space="0" w:color="auto"/>
              <w:bottom w:val="single" w:sz="4" w:space="0" w:color="auto"/>
            </w:tcBorders>
          </w:tcPr>
          <w:p w14:paraId="728A015B" w14:textId="77777777" w:rsidR="0037251A" w:rsidRPr="00451FE8" w:rsidRDefault="0037251A" w:rsidP="00D54343">
            <w:pPr>
              <w:spacing w:before="0" w:after="0" w:line="312" w:lineRule="auto"/>
              <w:rPr>
                <w:sz w:val="24"/>
                <w:szCs w:val="24"/>
              </w:rPr>
            </w:pPr>
            <w:r w:rsidRPr="00451FE8">
              <w:rPr>
                <w:sz w:val="24"/>
                <w:szCs w:val="24"/>
              </w:rPr>
              <w:t>Netherland</w:t>
            </w:r>
          </w:p>
        </w:tc>
        <w:tc>
          <w:tcPr>
            <w:tcW w:w="1744" w:type="dxa"/>
            <w:tcBorders>
              <w:top w:val="single" w:sz="4" w:space="0" w:color="auto"/>
              <w:bottom w:val="single" w:sz="4" w:space="0" w:color="auto"/>
            </w:tcBorders>
          </w:tcPr>
          <w:p w14:paraId="3362FF5D" w14:textId="77777777" w:rsidR="0037251A" w:rsidRPr="00451FE8" w:rsidRDefault="0037251A" w:rsidP="00D54343">
            <w:pPr>
              <w:spacing w:before="0" w:after="0" w:line="312" w:lineRule="auto"/>
              <w:rPr>
                <w:sz w:val="24"/>
                <w:szCs w:val="24"/>
              </w:rPr>
            </w:pPr>
            <w:r w:rsidRPr="00451FE8">
              <w:rPr>
                <w:sz w:val="24"/>
                <w:szCs w:val="24"/>
              </w:rPr>
              <w:t xml:space="preserve">0.405380 </w:t>
            </w:r>
          </w:p>
        </w:tc>
        <w:tc>
          <w:tcPr>
            <w:tcW w:w="1744" w:type="dxa"/>
            <w:tcBorders>
              <w:top w:val="single" w:sz="4" w:space="0" w:color="auto"/>
              <w:bottom w:val="single" w:sz="4" w:space="0" w:color="auto"/>
            </w:tcBorders>
          </w:tcPr>
          <w:p w14:paraId="77EB5DA3" w14:textId="77777777" w:rsidR="0037251A" w:rsidRPr="00451FE8" w:rsidRDefault="0037251A" w:rsidP="00D54343">
            <w:pPr>
              <w:spacing w:before="0" w:after="0" w:line="312" w:lineRule="auto"/>
              <w:rPr>
                <w:sz w:val="24"/>
                <w:szCs w:val="24"/>
              </w:rPr>
            </w:pPr>
            <w:r w:rsidRPr="00451FE8">
              <w:rPr>
                <w:sz w:val="24"/>
                <w:szCs w:val="24"/>
              </w:rPr>
              <w:t xml:space="preserve">-0.467186  </w:t>
            </w:r>
          </w:p>
        </w:tc>
        <w:tc>
          <w:tcPr>
            <w:tcW w:w="1744" w:type="dxa"/>
            <w:tcBorders>
              <w:top w:val="single" w:sz="4" w:space="0" w:color="auto"/>
              <w:bottom w:val="single" w:sz="4" w:space="0" w:color="auto"/>
            </w:tcBorders>
          </w:tcPr>
          <w:p w14:paraId="1B7421AA" w14:textId="77777777" w:rsidR="0037251A" w:rsidRPr="00451FE8" w:rsidRDefault="0037251A" w:rsidP="00D54343">
            <w:pPr>
              <w:spacing w:before="0" w:after="0" w:line="312" w:lineRule="auto"/>
              <w:rPr>
                <w:sz w:val="24"/>
                <w:szCs w:val="24"/>
              </w:rPr>
            </w:pPr>
            <w:r w:rsidRPr="00451FE8">
              <w:rPr>
                <w:sz w:val="24"/>
                <w:szCs w:val="24"/>
              </w:rPr>
              <w:t xml:space="preserve">0.464786  </w:t>
            </w:r>
          </w:p>
        </w:tc>
        <w:tc>
          <w:tcPr>
            <w:tcW w:w="1744" w:type="dxa"/>
            <w:tcBorders>
              <w:top w:val="single" w:sz="4" w:space="0" w:color="auto"/>
              <w:bottom w:val="single" w:sz="4" w:space="0" w:color="auto"/>
            </w:tcBorders>
          </w:tcPr>
          <w:p w14:paraId="513C3C84" w14:textId="77777777" w:rsidR="0037251A" w:rsidRPr="00451FE8" w:rsidRDefault="0037251A" w:rsidP="00D54343">
            <w:pPr>
              <w:spacing w:before="0" w:after="0" w:line="312" w:lineRule="auto"/>
              <w:rPr>
                <w:sz w:val="24"/>
                <w:szCs w:val="24"/>
              </w:rPr>
            </w:pPr>
            <w:r w:rsidRPr="00451FE8">
              <w:rPr>
                <w:sz w:val="24"/>
                <w:szCs w:val="24"/>
              </w:rPr>
              <w:t>0.633545</w:t>
            </w:r>
          </w:p>
        </w:tc>
      </w:tr>
      <w:tr w:rsidR="006537FA" w:rsidRPr="00451FE8" w14:paraId="59DEB94E" w14:textId="77777777" w:rsidTr="00D54343">
        <w:trPr>
          <w:trHeight w:val="340"/>
        </w:trPr>
        <w:tc>
          <w:tcPr>
            <w:tcW w:w="1743" w:type="dxa"/>
            <w:tcBorders>
              <w:top w:val="single" w:sz="4" w:space="0" w:color="auto"/>
              <w:bottom w:val="single" w:sz="4" w:space="0" w:color="auto"/>
            </w:tcBorders>
          </w:tcPr>
          <w:p w14:paraId="5320EF4E" w14:textId="77777777" w:rsidR="0037251A" w:rsidRPr="00451FE8" w:rsidRDefault="0037251A" w:rsidP="00D54343">
            <w:pPr>
              <w:spacing w:before="0" w:after="0" w:line="312" w:lineRule="auto"/>
              <w:rPr>
                <w:sz w:val="24"/>
                <w:szCs w:val="24"/>
              </w:rPr>
            </w:pPr>
            <w:r w:rsidRPr="00451FE8">
              <w:rPr>
                <w:sz w:val="24"/>
                <w:szCs w:val="24"/>
              </w:rPr>
              <w:t>Poland</w:t>
            </w:r>
          </w:p>
        </w:tc>
        <w:tc>
          <w:tcPr>
            <w:tcW w:w="1744" w:type="dxa"/>
            <w:tcBorders>
              <w:top w:val="single" w:sz="4" w:space="0" w:color="auto"/>
              <w:bottom w:val="single" w:sz="4" w:space="0" w:color="auto"/>
            </w:tcBorders>
          </w:tcPr>
          <w:p w14:paraId="31896040" w14:textId="77777777" w:rsidR="0037251A" w:rsidRPr="00451FE8" w:rsidRDefault="0037251A" w:rsidP="00D54343">
            <w:pPr>
              <w:spacing w:before="0" w:after="0" w:line="312" w:lineRule="auto"/>
              <w:rPr>
                <w:sz w:val="24"/>
                <w:szCs w:val="24"/>
              </w:rPr>
            </w:pPr>
            <w:r w:rsidRPr="00451FE8">
              <w:rPr>
                <w:sz w:val="24"/>
                <w:szCs w:val="24"/>
              </w:rPr>
              <w:t xml:space="preserve">0.404062  </w:t>
            </w:r>
          </w:p>
        </w:tc>
        <w:tc>
          <w:tcPr>
            <w:tcW w:w="1744" w:type="dxa"/>
            <w:tcBorders>
              <w:top w:val="single" w:sz="4" w:space="0" w:color="auto"/>
              <w:bottom w:val="single" w:sz="4" w:space="0" w:color="auto"/>
            </w:tcBorders>
          </w:tcPr>
          <w:p w14:paraId="7E3E33B7" w14:textId="77777777" w:rsidR="0037251A" w:rsidRPr="00451FE8" w:rsidRDefault="0037251A" w:rsidP="00D54343">
            <w:pPr>
              <w:spacing w:before="0" w:after="0" w:line="312" w:lineRule="auto"/>
              <w:rPr>
                <w:sz w:val="24"/>
                <w:szCs w:val="24"/>
              </w:rPr>
            </w:pPr>
            <w:r w:rsidRPr="00451FE8">
              <w:rPr>
                <w:sz w:val="24"/>
                <w:szCs w:val="24"/>
              </w:rPr>
              <w:t xml:space="preserve">0.580088  </w:t>
            </w:r>
          </w:p>
        </w:tc>
        <w:tc>
          <w:tcPr>
            <w:tcW w:w="1744" w:type="dxa"/>
            <w:tcBorders>
              <w:top w:val="single" w:sz="4" w:space="0" w:color="auto"/>
              <w:bottom w:val="single" w:sz="4" w:space="0" w:color="auto"/>
            </w:tcBorders>
          </w:tcPr>
          <w:p w14:paraId="3352E3B9" w14:textId="77777777" w:rsidR="0037251A" w:rsidRPr="00451FE8" w:rsidRDefault="0037251A" w:rsidP="00D54343">
            <w:pPr>
              <w:spacing w:before="0" w:after="0" w:line="312" w:lineRule="auto"/>
              <w:rPr>
                <w:sz w:val="24"/>
                <w:szCs w:val="24"/>
              </w:rPr>
            </w:pPr>
            <w:r w:rsidRPr="00451FE8">
              <w:rPr>
                <w:sz w:val="24"/>
                <w:szCs w:val="24"/>
              </w:rPr>
              <w:t xml:space="preserve">0.594981 </w:t>
            </w:r>
          </w:p>
        </w:tc>
        <w:tc>
          <w:tcPr>
            <w:tcW w:w="1744" w:type="dxa"/>
            <w:tcBorders>
              <w:top w:val="single" w:sz="4" w:space="0" w:color="auto"/>
              <w:bottom w:val="single" w:sz="4" w:space="0" w:color="auto"/>
            </w:tcBorders>
          </w:tcPr>
          <w:p w14:paraId="0DF70DF2" w14:textId="77777777" w:rsidR="0037251A" w:rsidRPr="00451FE8" w:rsidRDefault="0037251A" w:rsidP="00D54343">
            <w:pPr>
              <w:spacing w:before="0" w:after="0" w:line="312" w:lineRule="auto"/>
              <w:rPr>
                <w:sz w:val="24"/>
                <w:szCs w:val="24"/>
              </w:rPr>
            </w:pPr>
            <w:r w:rsidRPr="00451FE8">
              <w:rPr>
                <w:sz w:val="24"/>
                <w:szCs w:val="24"/>
              </w:rPr>
              <w:t>-0.382401</w:t>
            </w:r>
          </w:p>
        </w:tc>
      </w:tr>
      <w:tr w:rsidR="006537FA" w:rsidRPr="00451FE8" w14:paraId="6C7CD464" w14:textId="77777777" w:rsidTr="00D54343">
        <w:trPr>
          <w:trHeight w:val="340"/>
        </w:trPr>
        <w:tc>
          <w:tcPr>
            <w:tcW w:w="1743" w:type="dxa"/>
            <w:tcBorders>
              <w:top w:val="single" w:sz="4" w:space="0" w:color="auto"/>
              <w:bottom w:val="single" w:sz="4" w:space="0" w:color="auto"/>
            </w:tcBorders>
          </w:tcPr>
          <w:p w14:paraId="5077CE9C" w14:textId="77777777" w:rsidR="0037251A" w:rsidRPr="00451FE8" w:rsidRDefault="0037251A" w:rsidP="00D54343">
            <w:pPr>
              <w:spacing w:before="0" w:after="0" w:line="312" w:lineRule="auto"/>
              <w:rPr>
                <w:sz w:val="24"/>
                <w:szCs w:val="24"/>
              </w:rPr>
            </w:pPr>
            <w:r w:rsidRPr="00451FE8">
              <w:rPr>
                <w:sz w:val="24"/>
                <w:szCs w:val="24"/>
              </w:rPr>
              <w:t>Portugal</w:t>
            </w:r>
          </w:p>
        </w:tc>
        <w:tc>
          <w:tcPr>
            <w:tcW w:w="1744" w:type="dxa"/>
            <w:tcBorders>
              <w:top w:val="single" w:sz="4" w:space="0" w:color="auto"/>
              <w:bottom w:val="single" w:sz="4" w:space="0" w:color="auto"/>
            </w:tcBorders>
          </w:tcPr>
          <w:p w14:paraId="1F3E1861" w14:textId="77777777" w:rsidR="0037251A" w:rsidRPr="00451FE8" w:rsidRDefault="0037251A" w:rsidP="00D54343">
            <w:pPr>
              <w:spacing w:before="0" w:after="0" w:line="312" w:lineRule="auto"/>
              <w:rPr>
                <w:sz w:val="24"/>
                <w:szCs w:val="24"/>
              </w:rPr>
            </w:pPr>
            <w:r w:rsidRPr="00451FE8">
              <w:rPr>
                <w:sz w:val="24"/>
                <w:szCs w:val="24"/>
              </w:rPr>
              <w:t xml:space="preserve">0.698121   </w:t>
            </w:r>
          </w:p>
        </w:tc>
        <w:tc>
          <w:tcPr>
            <w:tcW w:w="1744" w:type="dxa"/>
            <w:tcBorders>
              <w:top w:val="single" w:sz="4" w:space="0" w:color="auto"/>
              <w:bottom w:val="single" w:sz="4" w:space="0" w:color="auto"/>
            </w:tcBorders>
          </w:tcPr>
          <w:p w14:paraId="2C3A15AF" w14:textId="77777777" w:rsidR="0037251A" w:rsidRPr="00451FE8" w:rsidRDefault="0037251A" w:rsidP="00D54343">
            <w:pPr>
              <w:spacing w:before="0" w:after="0" w:line="312" w:lineRule="auto"/>
              <w:rPr>
                <w:sz w:val="24"/>
                <w:szCs w:val="24"/>
              </w:rPr>
            </w:pPr>
            <w:r w:rsidRPr="00451FE8">
              <w:rPr>
                <w:sz w:val="24"/>
                <w:szCs w:val="24"/>
              </w:rPr>
              <w:t>0.014304</w:t>
            </w:r>
          </w:p>
        </w:tc>
        <w:tc>
          <w:tcPr>
            <w:tcW w:w="1744" w:type="dxa"/>
            <w:tcBorders>
              <w:top w:val="single" w:sz="4" w:space="0" w:color="auto"/>
              <w:bottom w:val="single" w:sz="4" w:space="0" w:color="auto"/>
            </w:tcBorders>
          </w:tcPr>
          <w:p w14:paraId="4B5EA940" w14:textId="77777777" w:rsidR="0037251A" w:rsidRPr="00451FE8" w:rsidRDefault="0037251A" w:rsidP="00D54343">
            <w:pPr>
              <w:spacing w:before="0" w:after="0" w:line="312" w:lineRule="auto"/>
              <w:rPr>
                <w:sz w:val="24"/>
                <w:szCs w:val="24"/>
              </w:rPr>
            </w:pPr>
            <w:r w:rsidRPr="00451FE8">
              <w:rPr>
                <w:sz w:val="24"/>
                <w:szCs w:val="24"/>
              </w:rPr>
              <w:t xml:space="preserve">-0.094947  </w:t>
            </w:r>
          </w:p>
        </w:tc>
        <w:tc>
          <w:tcPr>
            <w:tcW w:w="1744" w:type="dxa"/>
            <w:tcBorders>
              <w:top w:val="single" w:sz="4" w:space="0" w:color="auto"/>
              <w:bottom w:val="single" w:sz="4" w:space="0" w:color="auto"/>
            </w:tcBorders>
          </w:tcPr>
          <w:p w14:paraId="098FCB74" w14:textId="77777777" w:rsidR="0037251A" w:rsidRPr="00451FE8" w:rsidRDefault="0037251A" w:rsidP="00D54343">
            <w:pPr>
              <w:spacing w:before="0" w:after="0" w:line="312" w:lineRule="auto"/>
              <w:rPr>
                <w:sz w:val="24"/>
                <w:szCs w:val="24"/>
              </w:rPr>
            </w:pPr>
            <w:r w:rsidRPr="00451FE8">
              <w:rPr>
                <w:sz w:val="24"/>
                <w:szCs w:val="24"/>
              </w:rPr>
              <w:t>0.709512</w:t>
            </w:r>
          </w:p>
        </w:tc>
      </w:tr>
      <w:tr w:rsidR="006537FA" w:rsidRPr="00451FE8" w14:paraId="243CC295" w14:textId="77777777" w:rsidTr="00D54343">
        <w:trPr>
          <w:trHeight w:val="340"/>
        </w:trPr>
        <w:tc>
          <w:tcPr>
            <w:tcW w:w="1743" w:type="dxa"/>
            <w:tcBorders>
              <w:top w:val="single" w:sz="4" w:space="0" w:color="auto"/>
              <w:bottom w:val="single" w:sz="4" w:space="0" w:color="auto"/>
            </w:tcBorders>
          </w:tcPr>
          <w:p w14:paraId="0BECE376" w14:textId="77777777" w:rsidR="0037251A" w:rsidRPr="00451FE8" w:rsidRDefault="0037251A" w:rsidP="00D54343">
            <w:pPr>
              <w:spacing w:before="0" w:after="0" w:line="312" w:lineRule="auto"/>
              <w:rPr>
                <w:sz w:val="24"/>
                <w:szCs w:val="24"/>
              </w:rPr>
            </w:pPr>
            <w:r w:rsidRPr="00451FE8">
              <w:rPr>
                <w:sz w:val="24"/>
                <w:szCs w:val="24"/>
              </w:rPr>
              <w:t>Spain</w:t>
            </w:r>
          </w:p>
        </w:tc>
        <w:tc>
          <w:tcPr>
            <w:tcW w:w="1744" w:type="dxa"/>
            <w:tcBorders>
              <w:top w:val="single" w:sz="4" w:space="0" w:color="auto"/>
              <w:bottom w:val="single" w:sz="4" w:space="0" w:color="auto"/>
            </w:tcBorders>
          </w:tcPr>
          <w:p w14:paraId="19DEE556" w14:textId="77777777" w:rsidR="0037251A" w:rsidRPr="00451FE8" w:rsidRDefault="0037251A" w:rsidP="00D54343">
            <w:pPr>
              <w:spacing w:before="0" w:after="0" w:line="312" w:lineRule="auto"/>
              <w:rPr>
                <w:sz w:val="24"/>
                <w:szCs w:val="24"/>
              </w:rPr>
            </w:pPr>
            <w:r w:rsidRPr="00451FE8">
              <w:rPr>
                <w:sz w:val="24"/>
                <w:szCs w:val="24"/>
              </w:rPr>
              <w:t xml:space="preserve">0.577693  </w:t>
            </w:r>
          </w:p>
        </w:tc>
        <w:tc>
          <w:tcPr>
            <w:tcW w:w="1744" w:type="dxa"/>
            <w:tcBorders>
              <w:top w:val="single" w:sz="4" w:space="0" w:color="auto"/>
              <w:bottom w:val="single" w:sz="4" w:space="0" w:color="auto"/>
            </w:tcBorders>
          </w:tcPr>
          <w:p w14:paraId="1710C1F4" w14:textId="77777777" w:rsidR="0037251A" w:rsidRPr="00451FE8" w:rsidRDefault="0037251A" w:rsidP="00D54343">
            <w:pPr>
              <w:spacing w:before="0" w:after="0" w:line="312" w:lineRule="auto"/>
              <w:rPr>
                <w:sz w:val="24"/>
                <w:szCs w:val="24"/>
              </w:rPr>
            </w:pPr>
            <w:r w:rsidRPr="00451FE8">
              <w:rPr>
                <w:sz w:val="24"/>
                <w:szCs w:val="24"/>
              </w:rPr>
              <w:t xml:space="preserve">0.528371  </w:t>
            </w:r>
          </w:p>
        </w:tc>
        <w:tc>
          <w:tcPr>
            <w:tcW w:w="1744" w:type="dxa"/>
            <w:tcBorders>
              <w:top w:val="single" w:sz="4" w:space="0" w:color="auto"/>
              <w:bottom w:val="single" w:sz="4" w:space="0" w:color="auto"/>
            </w:tcBorders>
          </w:tcPr>
          <w:p w14:paraId="78ED5978" w14:textId="77777777" w:rsidR="0037251A" w:rsidRPr="00451FE8" w:rsidRDefault="0037251A" w:rsidP="00D54343">
            <w:pPr>
              <w:spacing w:before="0" w:after="0" w:line="312" w:lineRule="auto"/>
              <w:rPr>
                <w:sz w:val="24"/>
                <w:szCs w:val="24"/>
              </w:rPr>
            </w:pPr>
            <w:r w:rsidRPr="00451FE8">
              <w:rPr>
                <w:sz w:val="24"/>
                <w:szCs w:val="24"/>
              </w:rPr>
              <w:t xml:space="preserve">0.537771  </w:t>
            </w:r>
          </w:p>
        </w:tc>
        <w:tc>
          <w:tcPr>
            <w:tcW w:w="1744" w:type="dxa"/>
            <w:tcBorders>
              <w:top w:val="single" w:sz="4" w:space="0" w:color="auto"/>
              <w:bottom w:val="single" w:sz="4" w:space="0" w:color="auto"/>
            </w:tcBorders>
          </w:tcPr>
          <w:p w14:paraId="448E5AC3" w14:textId="77777777" w:rsidR="0037251A" w:rsidRPr="00451FE8" w:rsidRDefault="0037251A" w:rsidP="00D54343">
            <w:pPr>
              <w:spacing w:before="0" w:after="0" w:line="312" w:lineRule="auto"/>
              <w:rPr>
                <w:sz w:val="24"/>
                <w:szCs w:val="24"/>
              </w:rPr>
            </w:pPr>
            <w:r w:rsidRPr="00451FE8">
              <w:rPr>
                <w:sz w:val="24"/>
                <w:szCs w:val="24"/>
              </w:rPr>
              <w:t>0.312885</w:t>
            </w:r>
          </w:p>
        </w:tc>
      </w:tr>
      <w:tr w:rsidR="006537FA" w:rsidRPr="00451FE8" w14:paraId="75B378C8" w14:textId="77777777" w:rsidTr="00D54343">
        <w:trPr>
          <w:trHeight w:val="340"/>
        </w:trPr>
        <w:tc>
          <w:tcPr>
            <w:tcW w:w="1743" w:type="dxa"/>
            <w:tcBorders>
              <w:top w:val="single" w:sz="4" w:space="0" w:color="auto"/>
              <w:bottom w:val="single" w:sz="4" w:space="0" w:color="auto"/>
            </w:tcBorders>
          </w:tcPr>
          <w:p w14:paraId="4A019C81" w14:textId="77777777" w:rsidR="0037251A" w:rsidRPr="00451FE8" w:rsidRDefault="0037251A" w:rsidP="00D54343">
            <w:pPr>
              <w:spacing w:before="0" w:after="0" w:line="312" w:lineRule="auto"/>
              <w:rPr>
                <w:sz w:val="24"/>
                <w:szCs w:val="24"/>
              </w:rPr>
            </w:pPr>
            <w:r w:rsidRPr="00451FE8">
              <w:rPr>
                <w:sz w:val="24"/>
                <w:szCs w:val="24"/>
              </w:rPr>
              <w:t>Switzerland</w:t>
            </w:r>
          </w:p>
        </w:tc>
        <w:tc>
          <w:tcPr>
            <w:tcW w:w="1744" w:type="dxa"/>
            <w:tcBorders>
              <w:top w:val="single" w:sz="4" w:space="0" w:color="auto"/>
              <w:bottom w:val="single" w:sz="4" w:space="0" w:color="auto"/>
            </w:tcBorders>
          </w:tcPr>
          <w:p w14:paraId="3ADDDA8E" w14:textId="77777777" w:rsidR="0037251A" w:rsidRPr="00451FE8" w:rsidRDefault="0037251A" w:rsidP="00D54343">
            <w:pPr>
              <w:spacing w:before="0" w:after="0" w:line="312" w:lineRule="auto"/>
              <w:rPr>
                <w:sz w:val="24"/>
                <w:szCs w:val="24"/>
              </w:rPr>
            </w:pPr>
            <w:r w:rsidRPr="00451FE8">
              <w:rPr>
                <w:sz w:val="24"/>
                <w:szCs w:val="24"/>
              </w:rPr>
              <w:t xml:space="preserve">0.442315  </w:t>
            </w:r>
          </w:p>
        </w:tc>
        <w:tc>
          <w:tcPr>
            <w:tcW w:w="1744" w:type="dxa"/>
            <w:tcBorders>
              <w:top w:val="single" w:sz="4" w:space="0" w:color="auto"/>
              <w:bottom w:val="single" w:sz="4" w:space="0" w:color="auto"/>
            </w:tcBorders>
          </w:tcPr>
          <w:p w14:paraId="6C163D52" w14:textId="77777777" w:rsidR="0037251A" w:rsidRPr="00451FE8" w:rsidRDefault="0037251A" w:rsidP="00D54343">
            <w:pPr>
              <w:spacing w:before="0" w:after="0" w:line="312" w:lineRule="auto"/>
              <w:rPr>
                <w:sz w:val="24"/>
                <w:szCs w:val="24"/>
              </w:rPr>
            </w:pPr>
            <w:r w:rsidRPr="00451FE8">
              <w:rPr>
                <w:sz w:val="24"/>
                <w:szCs w:val="24"/>
              </w:rPr>
              <w:t xml:space="preserve">0.479512  </w:t>
            </w:r>
          </w:p>
        </w:tc>
        <w:tc>
          <w:tcPr>
            <w:tcW w:w="1744" w:type="dxa"/>
            <w:tcBorders>
              <w:top w:val="single" w:sz="4" w:space="0" w:color="auto"/>
              <w:bottom w:val="single" w:sz="4" w:space="0" w:color="auto"/>
            </w:tcBorders>
          </w:tcPr>
          <w:p w14:paraId="2C3B546C" w14:textId="77777777" w:rsidR="0037251A" w:rsidRPr="00451FE8" w:rsidRDefault="0037251A" w:rsidP="00D54343">
            <w:pPr>
              <w:spacing w:before="0" w:after="0" w:line="312" w:lineRule="auto"/>
              <w:rPr>
                <w:sz w:val="24"/>
                <w:szCs w:val="24"/>
              </w:rPr>
            </w:pPr>
            <w:r w:rsidRPr="00451FE8">
              <w:rPr>
                <w:sz w:val="24"/>
                <w:szCs w:val="24"/>
              </w:rPr>
              <w:t xml:space="preserve">0.690733 </w:t>
            </w:r>
          </w:p>
        </w:tc>
        <w:tc>
          <w:tcPr>
            <w:tcW w:w="1744" w:type="dxa"/>
            <w:tcBorders>
              <w:top w:val="single" w:sz="4" w:space="0" w:color="auto"/>
              <w:bottom w:val="single" w:sz="4" w:space="0" w:color="auto"/>
            </w:tcBorders>
          </w:tcPr>
          <w:p w14:paraId="7B2280C8" w14:textId="77777777" w:rsidR="0037251A" w:rsidRPr="00451FE8" w:rsidRDefault="0037251A" w:rsidP="00D54343">
            <w:pPr>
              <w:spacing w:before="0" w:after="0" w:line="312" w:lineRule="auto"/>
              <w:rPr>
                <w:sz w:val="24"/>
                <w:szCs w:val="24"/>
              </w:rPr>
            </w:pPr>
            <w:r w:rsidRPr="00451FE8">
              <w:rPr>
                <w:sz w:val="24"/>
                <w:szCs w:val="24"/>
              </w:rPr>
              <w:t>-0.311953</w:t>
            </w:r>
          </w:p>
        </w:tc>
      </w:tr>
      <w:tr w:rsidR="006537FA" w:rsidRPr="00451FE8" w14:paraId="1B467C08" w14:textId="77777777" w:rsidTr="00D54343">
        <w:trPr>
          <w:trHeight w:val="340"/>
        </w:trPr>
        <w:tc>
          <w:tcPr>
            <w:tcW w:w="1743" w:type="dxa"/>
            <w:tcBorders>
              <w:top w:val="single" w:sz="4" w:space="0" w:color="auto"/>
              <w:bottom w:val="single" w:sz="4" w:space="0" w:color="auto"/>
            </w:tcBorders>
          </w:tcPr>
          <w:p w14:paraId="012D81E1" w14:textId="77777777" w:rsidR="0037251A" w:rsidRPr="00451FE8" w:rsidRDefault="0037251A" w:rsidP="00D54343">
            <w:pPr>
              <w:spacing w:before="0" w:after="0" w:line="312" w:lineRule="auto"/>
              <w:rPr>
                <w:sz w:val="24"/>
                <w:szCs w:val="24"/>
              </w:rPr>
            </w:pPr>
            <w:r w:rsidRPr="00451FE8">
              <w:rPr>
                <w:sz w:val="24"/>
                <w:szCs w:val="24"/>
              </w:rPr>
              <w:t>UK</w:t>
            </w:r>
          </w:p>
        </w:tc>
        <w:tc>
          <w:tcPr>
            <w:tcW w:w="1744" w:type="dxa"/>
            <w:tcBorders>
              <w:top w:val="single" w:sz="4" w:space="0" w:color="auto"/>
              <w:bottom w:val="single" w:sz="4" w:space="0" w:color="auto"/>
            </w:tcBorders>
          </w:tcPr>
          <w:p w14:paraId="49DC3389" w14:textId="77777777" w:rsidR="0037251A" w:rsidRPr="00451FE8" w:rsidRDefault="0037251A" w:rsidP="00D54343">
            <w:pPr>
              <w:spacing w:before="0" w:after="0" w:line="312" w:lineRule="auto"/>
              <w:rPr>
                <w:sz w:val="24"/>
                <w:szCs w:val="24"/>
              </w:rPr>
            </w:pPr>
            <w:r w:rsidRPr="00451FE8">
              <w:rPr>
                <w:sz w:val="24"/>
                <w:szCs w:val="24"/>
              </w:rPr>
              <w:t xml:space="preserve">0.693223  </w:t>
            </w:r>
          </w:p>
        </w:tc>
        <w:tc>
          <w:tcPr>
            <w:tcW w:w="1744" w:type="dxa"/>
            <w:tcBorders>
              <w:top w:val="single" w:sz="4" w:space="0" w:color="auto"/>
              <w:bottom w:val="single" w:sz="4" w:space="0" w:color="auto"/>
            </w:tcBorders>
          </w:tcPr>
          <w:p w14:paraId="1FB1DB5A" w14:textId="77777777" w:rsidR="0037251A" w:rsidRPr="00451FE8" w:rsidRDefault="0037251A" w:rsidP="00D54343">
            <w:pPr>
              <w:spacing w:before="0" w:after="0" w:line="312" w:lineRule="auto"/>
              <w:rPr>
                <w:sz w:val="24"/>
                <w:szCs w:val="24"/>
              </w:rPr>
            </w:pPr>
            <w:r w:rsidRPr="00451FE8">
              <w:rPr>
                <w:sz w:val="24"/>
                <w:szCs w:val="24"/>
              </w:rPr>
              <w:t xml:space="preserve">0.200591  </w:t>
            </w:r>
          </w:p>
        </w:tc>
        <w:tc>
          <w:tcPr>
            <w:tcW w:w="1744" w:type="dxa"/>
            <w:tcBorders>
              <w:top w:val="single" w:sz="4" w:space="0" w:color="auto"/>
              <w:bottom w:val="single" w:sz="4" w:space="0" w:color="auto"/>
            </w:tcBorders>
          </w:tcPr>
          <w:p w14:paraId="0538BCB4" w14:textId="77777777" w:rsidR="0037251A" w:rsidRPr="00451FE8" w:rsidRDefault="0037251A" w:rsidP="00D54343">
            <w:pPr>
              <w:spacing w:before="0" w:after="0" w:line="312" w:lineRule="auto"/>
              <w:rPr>
                <w:sz w:val="24"/>
                <w:szCs w:val="24"/>
              </w:rPr>
            </w:pPr>
            <w:r w:rsidRPr="00451FE8">
              <w:rPr>
                <w:sz w:val="24"/>
                <w:szCs w:val="24"/>
              </w:rPr>
              <w:t xml:space="preserve">0.530520  </w:t>
            </w:r>
          </w:p>
        </w:tc>
        <w:tc>
          <w:tcPr>
            <w:tcW w:w="1744" w:type="dxa"/>
            <w:tcBorders>
              <w:top w:val="single" w:sz="4" w:space="0" w:color="auto"/>
              <w:bottom w:val="single" w:sz="4" w:space="0" w:color="auto"/>
            </w:tcBorders>
          </w:tcPr>
          <w:p w14:paraId="6CABF0EC" w14:textId="77777777" w:rsidR="0037251A" w:rsidRPr="00451FE8" w:rsidRDefault="0037251A" w:rsidP="00D54343">
            <w:pPr>
              <w:spacing w:before="0" w:after="0" w:line="312" w:lineRule="auto"/>
              <w:rPr>
                <w:sz w:val="24"/>
                <w:szCs w:val="24"/>
              </w:rPr>
            </w:pPr>
            <w:r w:rsidRPr="00451FE8">
              <w:rPr>
                <w:sz w:val="24"/>
                <w:szCs w:val="24"/>
              </w:rPr>
              <w:t>0.444695</w:t>
            </w:r>
          </w:p>
        </w:tc>
      </w:tr>
      <w:tr w:rsidR="006537FA" w:rsidRPr="00451FE8" w14:paraId="33398A11" w14:textId="77777777" w:rsidTr="00D54343">
        <w:trPr>
          <w:trHeight w:val="340"/>
        </w:trPr>
        <w:tc>
          <w:tcPr>
            <w:tcW w:w="1743" w:type="dxa"/>
            <w:tcBorders>
              <w:top w:val="single" w:sz="4" w:space="0" w:color="auto"/>
              <w:bottom w:val="single" w:sz="4" w:space="0" w:color="auto"/>
            </w:tcBorders>
          </w:tcPr>
          <w:p w14:paraId="7A1100C4" w14:textId="77777777" w:rsidR="0037251A" w:rsidRPr="00451FE8" w:rsidRDefault="0037251A" w:rsidP="00D54343">
            <w:pPr>
              <w:spacing w:before="0" w:after="0" w:line="312" w:lineRule="auto"/>
              <w:rPr>
                <w:sz w:val="24"/>
                <w:szCs w:val="24"/>
              </w:rPr>
            </w:pPr>
            <w:r w:rsidRPr="00451FE8">
              <w:rPr>
                <w:sz w:val="24"/>
                <w:szCs w:val="24"/>
              </w:rPr>
              <w:t>USA</w:t>
            </w:r>
          </w:p>
        </w:tc>
        <w:tc>
          <w:tcPr>
            <w:tcW w:w="1744" w:type="dxa"/>
            <w:tcBorders>
              <w:top w:val="single" w:sz="4" w:space="0" w:color="auto"/>
              <w:bottom w:val="single" w:sz="4" w:space="0" w:color="auto"/>
            </w:tcBorders>
          </w:tcPr>
          <w:p w14:paraId="79575271" w14:textId="77777777" w:rsidR="0037251A" w:rsidRPr="00451FE8" w:rsidRDefault="0037251A" w:rsidP="00D54343">
            <w:pPr>
              <w:spacing w:before="0" w:after="0" w:line="312" w:lineRule="auto"/>
              <w:rPr>
                <w:sz w:val="24"/>
                <w:szCs w:val="24"/>
              </w:rPr>
            </w:pPr>
            <w:r w:rsidRPr="00451FE8">
              <w:rPr>
                <w:sz w:val="24"/>
                <w:szCs w:val="24"/>
              </w:rPr>
              <w:t xml:space="preserve">0.671559  </w:t>
            </w:r>
          </w:p>
        </w:tc>
        <w:tc>
          <w:tcPr>
            <w:tcW w:w="1744" w:type="dxa"/>
            <w:tcBorders>
              <w:top w:val="single" w:sz="4" w:space="0" w:color="auto"/>
              <w:bottom w:val="single" w:sz="4" w:space="0" w:color="auto"/>
            </w:tcBorders>
          </w:tcPr>
          <w:p w14:paraId="2602A0FA" w14:textId="77777777" w:rsidR="0037251A" w:rsidRPr="00451FE8" w:rsidRDefault="0037251A" w:rsidP="00D54343">
            <w:pPr>
              <w:spacing w:before="0" w:after="0" w:line="312" w:lineRule="auto"/>
              <w:rPr>
                <w:sz w:val="24"/>
                <w:szCs w:val="24"/>
              </w:rPr>
            </w:pPr>
            <w:r w:rsidRPr="00451FE8">
              <w:rPr>
                <w:sz w:val="24"/>
                <w:szCs w:val="24"/>
              </w:rPr>
              <w:t xml:space="preserve">0.297327  </w:t>
            </w:r>
          </w:p>
        </w:tc>
        <w:tc>
          <w:tcPr>
            <w:tcW w:w="1744" w:type="dxa"/>
            <w:tcBorders>
              <w:top w:val="single" w:sz="4" w:space="0" w:color="auto"/>
              <w:bottom w:val="single" w:sz="4" w:space="0" w:color="auto"/>
            </w:tcBorders>
          </w:tcPr>
          <w:p w14:paraId="4DE66E43" w14:textId="77777777" w:rsidR="0037251A" w:rsidRPr="00451FE8" w:rsidRDefault="0037251A" w:rsidP="00D54343">
            <w:pPr>
              <w:spacing w:before="0" w:after="0" w:line="312" w:lineRule="auto"/>
              <w:rPr>
                <w:sz w:val="24"/>
                <w:szCs w:val="24"/>
              </w:rPr>
            </w:pPr>
            <w:r w:rsidRPr="00451FE8">
              <w:rPr>
                <w:sz w:val="24"/>
                <w:szCs w:val="24"/>
              </w:rPr>
              <w:t xml:space="preserve">0.395517  </w:t>
            </w:r>
          </w:p>
        </w:tc>
        <w:tc>
          <w:tcPr>
            <w:tcW w:w="1744" w:type="dxa"/>
            <w:tcBorders>
              <w:top w:val="single" w:sz="4" w:space="0" w:color="auto"/>
              <w:bottom w:val="single" w:sz="4" w:space="0" w:color="auto"/>
            </w:tcBorders>
          </w:tcPr>
          <w:p w14:paraId="1C20D935" w14:textId="77777777" w:rsidR="0037251A" w:rsidRPr="00451FE8" w:rsidRDefault="0037251A" w:rsidP="00D54343">
            <w:pPr>
              <w:spacing w:before="0" w:after="0" w:line="312" w:lineRule="auto"/>
              <w:rPr>
                <w:sz w:val="24"/>
                <w:szCs w:val="24"/>
              </w:rPr>
            </w:pPr>
            <w:r w:rsidRPr="00451FE8">
              <w:rPr>
                <w:sz w:val="24"/>
                <w:szCs w:val="24"/>
              </w:rPr>
              <w:t>0.551517</w:t>
            </w:r>
          </w:p>
        </w:tc>
      </w:tr>
      <w:tr w:rsidR="006537FA" w:rsidRPr="00451FE8" w14:paraId="5E4F5BDC" w14:textId="77777777" w:rsidTr="00D54343">
        <w:trPr>
          <w:trHeight w:val="340"/>
        </w:trPr>
        <w:tc>
          <w:tcPr>
            <w:tcW w:w="8719" w:type="dxa"/>
            <w:gridSpan w:val="5"/>
            <w:tcBorders>
              <w:top w:val="single" w:sz="4" w:space="0" w:color="auto"/>
            </w:tcBorders>
          </w:tcPr>
          <w:p w14:paraId="4172706A" w14:textId="40EF4D62" w:rsidR="0037251A" w:rsidRPr="00451FE8" w:rsidRDefault="0037251A" w:rsidP="00D54343">
            <w:pPr>
              <w:spacing w:before="0" w:line="312" w:lineRule="auto"/>
              <w:jc w:val="right"/>
              <w:rPr>
                <w:i/>
                <w:iCs/>
                <w:sz w:val="24"/>
                <w:szCs w:val="24"/>
              </w:rPr>
            </w:pPr>
            <w:r w:rsidRPr="00451FE8">
              <w:rPr>
                <w:i/>
                <w:iCs/>
                <w:sz w:val="24"/>
                <w:szCs w:val="24"/>
              </w:rPr>
              <w:t xml:space="preserve">(Source: </w:t>
            </w:r>
            <w:r w:rsidRPr="00451FE8">
              <w:rPr>
                <w:rFonts w:cs="Times New Roman"/>
                <w:i/>
                <w:iCs/>
                <w:sz w:val="24"/>
                <w:szCs w:val="24"/>
                <w:lang w:val="vi-VN"/>
              </w:rPr>
              <w:t>Estimated by author</w:t>
            </w:r>
            <w:r w:rsidR="005E4582" w:rsidRPr="00451FE8">
              <w:rPr>
                <w:rFonts w:cs="Times New Roman"/>
                <w:i/>
                <w:iCs/>
                <w:sz w:val="24"/>
                <w:szCs w:val="24"/>
              </w:rPr>
              <w:t>s</w:t>
            </w:r>
            <w:r w:rsidRPr="00451FE8">
              <w:rPr>
                <w:rFonts w:cs="Times New Roman"/>
                <w:i/>
                <w:iCs/>
                <w:sz w:val="24"/>
                <w:szCs w:val="24"/>
              </w:rPr>
              <w:t>)</w:t>
            </w:r>
          </w:p>
        </w:tc>
      </w:tr>
    </w:tbl>
    <w:p w14:paraId="02B7A8F3" w14:textId="77777777" w:rsidR="001C61EF" w:rsidRPr="00451FE8" w:rsidRDefault="001C61EF" w:rsidP="0037251A">
      <w:pPr>
        <w:pStyle w:val="Caption"/>
        <w:rPr>
          <w:b/>
          <w:bCs/>
          <w:sz w:val="24"/>
          <w:szCs w:val="24"/>
        </w:rPr>
      </w:pPr>
      <w:bookmarkStart w:id="2" w:name="_Toc206877953"/>
    </w:p>
    <w:p w14:paraId="5753913E" w14:textId="53375BE1" w:rsidR="001C61EF" w:rsidRPr="00451FE8" w:rsidRDefault="001C61EF">
      <w:pPr>
        <w:spacing w:before="0" w:after="160" w:line="278" w:lineRule="auto"/>
        <w:jc w:val="left"/>
        <w:rPr>
          <w:b/>
          <w:bCs/>
          <w:sz w:val="24"/>
          <w:szCs w:val="24"/>
        </w:rPr>
      </w:pPr>
    </w:p>
    <w:p w14:paraId="79FB5A21" w14:textId="67C5AF7E" w:rsidR="0037251A" w:rsidRPr="00451FE8" w:rsidRDefault="0037251A" w:rsidP="0037251A">
      <w:pPr>
        <w:pStyle w:val="Caption"/>
        <w:rPr>
          <w:b/>
          <w:bCs/>
          <w:sz w:val="24"/>
          <w:szCs w:val="24"/>
        </w:rPr>
      </w:pPr>
      <w:r w:rsidRPr="00451FE8">
        <w:rPr>
          <w:b/>
          <w:bCs/>
          <w:sz w:val="24"/>
          <w:szCs w:val="24"/>
        </w:rPr>
        <w:t xml:space="preserve">Table </w:t>
      </w:r>
      <w:r w:rsidR="005B10DD">
        <w:rPr>
          <w:b/>
          <w:bCs/>
          <w:sz w:val="24"/>
          <w:szCs w:val="24"/>
        </w:rPr>
        <w:t>S4</w:t>
      </w:r>
      <w:r w:rsidR="005E4582" w:rsidRPr="00451FE8">
        <w:rPr>
          <w:b/>
          <w:bCs/>
          <w:sz w:val="24"/>
          <w:szCs w:val="24"/>
        </w:rPr>
        <w:t>.</w:t>
      </w:r>
      <w:r w:rsidRPr="00451FE8">
        <w:rPr>
          <w:b/>
          <w:bCs/>
          <w:sz w:val="24"/>
          <w:szCs w:val="24"/>
        </w:rPr>
        <w:t xml:space="preserve"> Weights of 4 sub-indexes</w:t>
      </w:r>
      <w:bookmarkEnd w:id="2"/>
      <w:r w:rsidRPr="00451FE8">
        <w:rPr>
          <w:b/>
          <w:bCs/>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3"/>
        <w:gridCol w:w="1744"/>
        <w:gridCol w:w="1744"/>
        <w:gridCol w:w="1744"/>
        <w:gridCol w:w="1744"/>
      </w:tblGrid>
      <w:tr w:rsidR="006537FA" w:rsidRPr="00451FE8" w14:paraId="48FDE97A" w14:textId="77777777" w:rsidTr="00D54343">
        <w:tc>
          <w:tcPr>
            <w:tcW w:w="1743" w:type="dxa"/>
            <w:tcBorders>
              <w:bottom w:val="single" w:sz="4" w:space="0" w:color="auto"/>
            </w:tcBorders>
          </w:tcPr>
          <w:p w14:paraId="3ABDAE4E" w14:textId="77777777" w:rsidR="0037251A" w:rsidRPr="00451FE8" w:rsidRDefault="0037251A" w:rsidP="00D54343">
            <w:pPr>
              <w:spacing w:before="0" w:after="0" w:line="240" w:lineRule="auto"/>
              <w:rPr>
                <w:sz w:val="24"/>
                <w:szCs w:val="24"/>
              </w:rPr>
            </w:pPr>
          </w:p>
        </w:tc>
        <w:tc>
          <w:tcPr>
            <w:tcW w:w="1744" w:type="dxa"/>
            <w:tcBorders>
              <w:bottom w:val="single" w:sz="4" w:space="0" w:color="auto"/>
            </w:tcBorders>
          </w:tcPr>
          <w:p w14:paraId="19D4CC2B" w14:textId="77777777" w:rsidR="0037251A" w:rsidRPr="00451FE8" w:rsidRDefault="0037251A" w:rsidP="00D54343">
            <w:pPr>
              <w:spacing w:before="0" w:after="0" w:line="240" w:lineRule="auto"/>
              <w:rPr>
                <w:b/>
                <w:bCs/>
                <w:sz w:val="24"/>
                <w:szCs w:val="24"/>
              </w:rPr>
            </w:pPr>
            <w:r w:rsidRPr="00451FE8">
              <w:rPr>
                <w:b/>
                <w:bCs/>
                <w:sz w:val="24"/>
                <w:szCs w:val="24"/>
              </w:rPr>
              <w:t>Bid-Ask</w:t>
            </w:r>
          </w:p>
        </w:tc>
        <w:tc>
          <w:tcPr>
            <w:tcW w:w="1744" w:type="dxa"/>
            <w:tcBorders>
              <w:bottom w:val="single" w:sz="4" w:space="0" w:color="auto"/>
            </w:tcBorders>
          </w:tcPr>
          <w:p w14:paraId="13A93B55" w14:textId="77777777" w:rsidR="0037251A" w:rsidRPr="00451FE8" w:rsidRDefault="0037251A" w:rsidP="00D54343">
            <w:pPr>
              <w:spacing w:before="0" w:after="0" w:line="240" w:lineRule="auto"/>
              <w:rPr>
                <w:b/>
                <w:bCs/>
                <w:sz w:val="24"/>
                <w:szCs w:val="24"/>
              </w:rPr>
            </w:pPr>
            <w:r w:rsidRPr="00451FE8">
              <w:rPr>
                <w:b/>
                <w:bCs/>
                <w:sz w:val="24"/>
                <w:szCs w:val="24"/>
              </w:rPr>
              <w:t>Roll</w:t>
            </w:r>
          </w:p>
        </w:tc>
        <w:tc>
          <w:tcPr>
            <w:tcW w:w="1744" w:type="dxa"/>
            <w:tcBorders>
              <w:bottom w:val="single" w:sz="4" w:space="0" w:color="auto"/>
            </w:tcBorders>
          </w:tcPr>
          <w:p w14:paraId="5E55D7B6" w14:textId="77777777" w:rsidR="0037251A" w:rsidRPr="00451FE8" w:rsidRDefault="0037251A" w:rsidP="00D54343">
            <w:pPr>
              <w:spacing w:before="0" w:after="0" w:line="240" w:lineRule="auto"/>
              <w:rPr>
                <w:b/>
                <w:bCs/>
                <w:sz w:val="24"/>
                <w:szCs w:val="24"/>
              </w:rPr>
            </w:pPr>
            <w:proofErr w:type="spellStart"/>
            <w:r w:rsidRPr="00451FE8">
              <w:rPr>
                <w:b/>
                <w:bCs/>
                <w:sz w:val="24"/>
                <w:szCs w:val="24"/>
              </w:rPr>
              <w:t>Amihud</w:t>
            </w:r>
            <w:proofErr w:type="spellEnd"/>
            <w:r w:rsidRPr="00451FE8">
              <w:rPr>
                <w:b/>
                <w:bCs/>
                <w:sz w:val="24"/>
                <w:szCs w:val="24"/>
              </w:rPr>
              <w:t xml:space="preserve"> </w:t>
            </w:r>
          </w:p>
        </w:tc>
        <w:tc>
          <w:tcPr>
            <w:tcW w:w="1744" w:type="dxa"/>
            <w:tcBorders>
              <w:bottom w:val="single" w:sz="4" w:space="0" w:color="auto"/>
            </w:tcBorders>
          </w:tcPr>
          <w:p w14:paraId="1E4144ED" w14:textId="77777777" w:rsidR="0037251A" w:rsidRPr="00451FE8" w:rsidRDefault="0037251A" w:rsidP="00D54343">
            <w:pPr>
              <w:spacing w:before="0" w:after="0" w:line="240" w:lineRule="auto"/>
              <w:rPr>
                <w:b/>
                <w:bCs/>
                <w:sz w:val="24"/>
                <w:szCs w:val="24"/>
              </w:rPr>
            </w:pPr>
            <w:r w:rsidRPr="00451FE8">
              <w:rPr>
                <w:b/>
                <w:bCs/>
                <w:sz w:val="24"/>
                <w:szCs w:val="24"/>
              </w:rPr>
              <w:t>Volume</w:t>
            </w:r>
          </w:p>
        </w:tc>
      </w:tr>
      <w:tr w:rsidR="006537FA" w:rsidRPr="00451FE8" w14:paraId="2D207547" w14:textId="77777777" w:rsidTr="00D54343">
        <w:tc>
          <w:tcPr>
            <w:tcW w:w="1743" w:type="dxa"/>
            <w:tcBorders>
              <w:top w:val="single" w:sz="4" w:space="0" w:color="auto"/>
              <w:bottom w:val="single" w:sz="4" w:space="0" w:color="auto"/>
            </w:tcBorders>
          </w:tcPr>
          <w:p w14:paraId="4FF2BBB2" w14:textId="77777777" w:rsidR="0037251A" w:rsidRPr="00451FE8" w:rsidRDefault="0037251A" w:rsidP="00D54343">
            <w:pPr>
              <w:spacing w:before="0" w:after="0" w:line="240" w:lineRule="auto"/>
              <w:rPr>
                <w:b/>
                <w:bCs/>
                <w:sz w:val="24"/>
                <w:szCs w:val="24"/>
              </w:rPr>
            </w:pPr>
            <w:r w:rsidRPr="00451FE8">
              <w:rPr>
                <w:b/>
                <w:bCs/>
                <w:sz w:val="24"/>
                <w:szCs w:val="24"/>
              </w:rPr>
              <w:t>Austria</w:t>
            </w:r>
          </w:p>
        </w:tc>
        <w:tc>
          <w:tcPr>
            <w:tcW w:w="1744" w:type="dxa"/>
            <w:tcBorders>
              <w:top w:val="single" w:sz="4" w:space="0" w:color="auto"/>
              <w:bottom w:val="single" w:sz="4" w:space="0" w:color="auto"/>
            </w:tcBorders>
          </w:tcPr>
          <w:p w14:paraId="2E17755B" w14:textId="77777777" w:rsidR="0037251A" w:rsidRPr="00451FE8" w:rsidRDefault="0037251A" w:rsidP="00D54343">
            <w:pPr>
              <w:spacing w:before="0" w:after="0" w:line="240" w:lineRule="auto"/>
              <w:rPr>
                <w:sz w:val="24"/>
                <w:szCs w:val="24"/>
              </w:rPr>
            </w:pPr>
            <w:r w:rsidRPr="00451FE8">
              <w:rPr>
                <w:sz w:val="24"/>
                <w:szCs w:val="24"/>
              </w:rPr>
              <w:t>0.31242014</w:t>
            </w:r>
          </w:p>
        </w:tc>
        <w:tc>
          <w:tcPr>
            <w:tcW w:w="1744" w:type="dxa"/>
            <w:tcBorders>
              <w:top w:val="single" w:sz="4" w:space="0" w:color="auto"/>
              <w:bottom w:val="single" w:sz="4" w:space="0" w:color="auto"/>
            </w:tcBorders>
          </w:tcPr>
          <w:p w14:paraId="54FDE7CB" w14:textId="77777777" w:rsidR="0037251A" w:rsidRPr="00451FE8" w:rsidRDefault="0037251A" w:rsidP="00D54343">
            <w:pPr>
              <w:spacing w:before="0" w:after="0" w:line="240" w:lineRule="auto"/>
              <w:rPr>
                <w:sz w:val="24"/>
                <w:szCs w:val="24"/>
              </w:rPr>
            </w:pPr>
            <w:r w:rsidRPr="00451FE8">
              <w:rPr>
                <w:sz w:val="24"/>
                <w:szCs w:val="24"/>
              </w:rPr>
              <w:t>0.33111891</w:t>
            </w:r>
          </w:p>
        </w:tc>
        <w:tc>
          <w:tcPr>
            <w:tcW w:w="1744" w:type="dxa"/>
            <w:tcBorders>
              <w:top w:val="single" w:sz="4" w:space="0" w:color="auto"/>
              <w:bottom w:val="single" w:sz="4" w:space="0" w:color="auto"/>
            </w:tcBorders>
          </w:tcPr>
          <w:p w14:paraId="2BB23861" w14:textId="77777777" w:rsidR="0037251A" w:rsidRPr="00451FE8" w:rsidRDefault="0037251A" w:rsidP="00D54343">
            <w:pPr>
              <w:spacing w:before="0" w:after="0" w:line="240" w:lineRule="auto"/>
              <w:rPr>
                <w:sz w:val="24"/>
                <w:szCs w:val="24"/>
              </w:rPr>
            </w:pPr>
            <w:r w:rsidRPr="00451FE8">
              <w:rPr>
                <w:sz w:val="24"/>
                <w:szCs w:val="24"/>
              </w:rPr>
              <w:t>0.33084771</w:t>
            </w:r>
          </w:p>
        </w:tc>
        <w:tc>
          <w:tcPr>
            <w:tcW w:w="1744" w:type="dxa"/>
            <w:tcBorders>
              <w:top w:val="single" w:sz="4" w:space="0" w:color="auto"/>
              <w:bottom w:val="single" w:sz="4" w:space="0" w:color="auto"/>
            </w:tcBorders>
          </w:tcPr>
          <w:p w14:paraId="6F29AEB6" w14:textId="77777777" w:rsidR="0037251A" w:rsidRPr="00451FE8" w:rsidRDefault="0037251A" w:rsidP="00D54343">
            <w:pPr>
              <w:spacing w:before="0" w:after="0" w:line="240" w:lineRule="auto"/>
              <w:rPr>
                <w:sz w:val="24"/>
                <w:szCs w:val="24"/>
              </w:rPr>
            </w:pPr>
            <w:r w:rsidRPr="00451FE8">
              <w:rPr>
                <w:sz w:val="24"/>
                <w:szCs w:val="24"/>
              </w:rPr>
              <w:t>0.02561325</w:t>
            </w:r>
          </w:p>
        </w:tc>
      </w:tr>
      <w:tr w:rsidR="006537FA" w:rsidRPr="00451FE8" w14:paraId="7E6380A3" w14:textId="77777777" w:rsidTr="00D54343">
        <w:tc>
          <w:tcPr>
            <w:tcW w:w="1743" w:type="dxa"/>
            <w:tcBorders>
              <w:top w:val="single" w:sz="4" w:space="0" w:color="auto"/>
              <w:bottom w:val="single" w:sz="4" w:space="0" w:color="auto"/>
            </w:tcBorders>
          </w:tcPr>
          <w:p w14:paraId="513FF3B1" w14:textId="77777777" w:rsidR="0037251A" w:rsidRPr="00451FE8" w:rsidRDefault="0037251A" w:rsidP="00D54343">
            <w:pPr>
              <w:spacing w:before="0" w:after="0" w:line="240" w:lineRule="auto"/>
              <w:rPr>
                <w:b/>
                <w:bCs/>
                <w:sz w:val="24"/>
                <w:szCs w:val="24"/>
              </w:rPr>
            </w:pPr>
            <w:r w:rsidRPr="00451FE8">
              <w:rPr>
                <w:b/>
                <w:bCs/>
                <w:sz w:val="24"/>
                <w:szCs w:val="24"/>
              </w:rPr>
              <w:t>Belgium</w:t>
            </w:r>
          </w:p>
        </w:tc>
        <w:tc>
          <w:tcPr>
            <w:tcW w:w="1744" w:type="dxa"/>
            <w:tcBorders>
              <w:top w:val="single" w:sz="4" w:space="0" w:color="auto"/>
              <w:bottom w:val="single" w:sz="4" w:space="0" w:color="auto"/>
            </w:tcBorders>
          </w:tcPr>
          <w:p w14:paraId="1D74B168" w14:textId="77777777" w:rsidR="0037251A" w:rsidRPr="00451FE8" w:rsidRDefault="0037251A" w:rsidP="00D54343">
            <w:pPr>
              <w:spacing w:before="0" w:after="0" w:line="240" w:lineRule="auto"/>
              <w:rPr>
                <w:sz w:val="24"/>
                <w:szCs w:val="24"/>
              </w:rPr>
            </w:pPr>
            <w:r w:rsidRPr="00451FE8">
              <w:rPr>
                <w:sz w:val="24"/>
                <w:szCs w:val="24"/>
              </w:rPr>
              <w:t>0.32792575</w:t>
            </w:r>
          </w:p>
        </w:tc>
        <w:tc>
          <w:tcPr>
            <w:tcW w:w="1744" w:type="dxa"/>
            <w:tcBorders>
              <w:top w:val="single" w:sz="4" w:space="0" w:color="auto"/>
              <w:bottom w:val="single" w:sz="4" w:space="0" w:color="auto"/>
            </w:tcBorders>
          </w:tcPr>
          <w:p w14:paraId="20C6B009" w14:textId="77777777" w:rsidR="0037251A" w:rsidRPr="00451FE8" w:rsidRDefault="0037251A" w:rsidP="00D54343">
            <w:pPr>
              <w:spacing w:before="0" w:after="0" w:line="240" w:lineRule="auto"/>
              <w:rPr>
                <w:sz w:val="24"/>
                <w:szCs w:val="24"/>
              </w:rPr>
            </w:pPr>
            <w:r w:rsidRPr="00451FE8">
              <w:rPr>
                <w:sz w:val="24"/>
                <w:szCs w:val="24"/>
              </w:rPr>
              <w:t>0.28709238</w:t>
            </w:r>
          </w:p>
        </w:tc>
        <w:tc>
          <w:tcPr>
            <w:tcW w:w="1744" w:type="dxa"/>
            <w:tcBorders>
              <w:top w:val="single" w:sz="4" w:space="0" w:color="auto"/>
              <w:bottom w:val="single" w:sz="4" w:space="0" w:color="auto"/>
            </w:tcBorders>
          </w:tcPr>
          <w:p w14:paraId="015C072A" w14:textId="77777777" w:rsidR="0037251A" w:rsidRPr="00451FE8" w:rsidRDefault="0037251A" w:rsidP="00D54343">
            <w:pPr>
              <w:spacing w:before="0" w:after="0" w:line="240" w:lineRule="auto"/>
              <w:rPr>
                <w:sz w:val="24"/>
                <w:szCs w:val="24"/>
              </w:rPr>
            </w:pPr>
            <w:r w:rsidRPr="00451FE8">
              <w:rPr>
                <w:sz w:val="24"/>
                <w:szCs w:val="24"/>
              </w:rPr>
              <w:t>0.34484688</w:t>
            </w:r>
          </w:p>
        </w:tc>
        <w:tc>
          <w:tcPr>
            <w:tcW w:w="1744" w:type="dxa"/>
            <w:tcBorders>
              <w:top w:val="single" w:sz="4" w:space="0" w:color="auto"/>
              <w:bottom w:val="single" w:sz="4" w:space="0" w:color="auto"/>
            </w:tcBorders>
          </w:tcPr>
          <w:p w14:paraId="428B8B15" w14:textId="77777777" w:rsidR="0037251A" w:rsidRPr="00451FE8" w:rsidRDefault="0037251A" w:rsidP="00D54343">
            <w:pPr>
              <w:spacing w:before="0" w:after="0" w:line="240" w:lineRule="auto"/>
              <w:rPr>
                <w:sz w:val="24"/>
                <w:szCs w:val="24"/>
              </w:rPr>
            </w:pPr>
            <w:r w:rsidRPr="00451FE8">
              <w:rPr>
                <w:sz w:val="24"/>
                <w:szCs w:val="24"/>
              </w:rPr>
              <w:t>0.04013498</w:t>
            </w:r>
          </w:p>
        </w:tc>
      </w:tr>
      <w:tr w:rsidR="006537FA" w:rsidRPr="00451FE8" w14:paraId="651BA321" w14:textId="77777777" w:rsidTr="00D54343">
        <w:tc>
          <w:tcPr>
            <w:tcW w:w="1743" w:type="dxa"/>
            <w:tcBorders>
              <w:top w:val="single" w:sz="4" w:space="0" w:color="auto"/>
              <w:bottom w:val="single" w:sz="4" w:space="0" w:color="auto"/>
            </w:tcBorders>
          </w:tcPr>
          <w:p w14:paraId="4A4AFAFB" w14:textId="77777777" w:rsidR="0037251A" w:rsidRPr="00451FE8" w:rsidRDefault="0037251A" w:rsidP="00D54343">
            <w:pPr>
              <w:spacing w:before="0" w:after="0" w:line="240" w:lineRule="auto"/>
              <w:rPr>
                <w:b/>
                <w:bCs/>
                <w:sz w:val="24"/>
                <w:szCs w:val="24"/>
              </w:rPr>
            </w:pPr>
            <w:r w:rsidRPr="00451FE8">
              <w:rPr>
                <w:b/>
                <w:bCs/>
                <w:sz w:val="24"/>
                <w:szCs w:val="24"/>
              </w:rPr>
              <w:t>France</w:t>
            </w:r>
          </w:p>
        </w:tc>
        <w:tc>
          <w:tcPr>
            <w:tcW w:w="1744" w:type="dxa"/>
            <w:tcBorders>
              <w:top w:val="single" w:sz="4" w:space="0" w:color="auto"/>
              <w:bottom w:val="single" w:sz="4" w:space="0" w:color="auto"/>
            </w:tcBorders>
          </w:tcPr>
          <w:p w14:paraId="398B3C23" w14:textId="77777777" w:rsidR="0037251A" w:rsidRPr="00451FE8" w:rsidRDefault="0037251A" w:rsidP="00D54343">
            <w:pPr>
              <w:spacing w:before="0" w:after="0" w:line="240" w:lineRule="auto"/>
              <w:rPr>
                <w:sz w:val="24"/>
                <w:szCs w:val="24"/>
              </w:rPr>
            </w:pPr>
            <w:r w:rsidRPr="00451FE8">
              <w:rPr>
                <w:sz w:val="24"/>
                <w:szCs w:val="24"/>
              </w:rPr>
              <w:t>0.29542208</w:t>
            </w:r>
          </w:p>
        </w:tc>
        <w:tc>
          <w:tcPr>
            <w:tcW w:w="1744" w:type="dxa"/>
            <w:tcBorders>
              <w:top w:val="single" w:sz="4" w:space="0" w:color="auto"/>
              <w:bottom w:val="single" w:sz="4" w:space="0" w:color="auto"/>
            </w:tcBorders>
          </w:tcPr>
          <w:p w14:paraId="2D8ED319" w14:textId="77777777" w:rsidR="0037251A" w:rsidRPr="00451FE8" w:rsidRDefault="0037251A" w:rsidP="00D54343">
            <w:pPr>
              <w:spacing w:before="0" w:after="0" w:line="240" w:lineRule="auto"/>
              <w:rPr>
                <w:sz w:val="24"/>
                <w:szCs w:val="24"/>
              </w:rPr>
            </w:pPr>
            <w:r w:rsidRPr="00451FE8">
              <w:rPr>
                <w:sz w:val="24"/>
                <w:szCs w:val="24"/>
              </w:rPr>
              <w:t>0.18580644</w:t>
            </w:r>
          </w:p>
        </w:tc>
        <w:tc>
          <w:tcPr>
            <w:tcW w:w="1744" w:type="dxa"/>
            <w:tcBorders>
              <w:top w:val="single" w:sz="4" w:space="0" w:color="auto"/>
              <w:bottom w:val="single" w:sz="4" w:space="0" w:color="auto"/>
            </w:tcBorders>
          </w:tcPr>
          <w:p w14:paraId="5B452B64" w14:textId="77777777" w:rsidR="0037251A" w:rsidRPr="00451FE8" w:rsidRDefault="0037251A" w:rsidP="00D54343">
            <w:pPr>
              <w:spacing w:before="0" w:after="0" w:line="240" w:lineRule="auto"/>
              <w:rPr>
                <w:sz w:val="24"/>
                <w:szCs w:val="24"/>
              </w:rPr>
            </w:pPr>
            <w:r w:rsidRPr="00451FE8">
              <w:rPr>
                <w:sz w:val="24"/>
                <w:szCs w:val="24"/>
              </w:rPr>
              <w:t>0.22940674</w:t>
            </w:r>
          </w:p>
        </w:tc>
        <w:tc>
          <w:tcPr>
            <w:tcW w:w="1744" w:type="dxa"/>
            <w:tcBorders>
              <w:top w:val="single" w:sz="4" w:space="0" w:color="auto"/>
              <w:bottom w:val="single" w:sz="4" w:space="0" w:color="auto"/>
            </w:tcBorders>
          </w:tcPr>
          <w:p w14:paraId="079E75D8" w14:textId="77777777" w:rsidR="0037251A" w:rsidRPr="00451FE8" w:rsidRDefault="0037251A" w:rsidP="00D54343">
            <w:pPr>
              <w:spacing w:before="0" w:after="0" w:line="240" w:lineRule="auto"/>
              <w:rPr>
                <w:sz w:val="24"/>
                <w:szCs w:val="24"/>
              </w:rPr>
            </w:pPr>
            <w:r w:rsidRPr="00451FE8">
              <w:rPr>
                <w:sz w:val="24"/>
                <w:szCs w:val="24"/>
              </w:rPr>
              <w:t>0.28936474</w:t>
            </w:r>
          </w:p>
        </w:tc>
      </w:tr>
      <w:tr w:rsidR="006537FA" w:rsidRPr="00451FE8" w14:paraId="6DB7DD55" w14:textId="77777777" w:rsidTr="00D54343">
        <w:tc>
          <w:tcPr>
            <w:tcW w:w="1743" w:type="dxa"/>
            <w:tcBorders>
              <w:top w:val="single" w:sz="4" w:space="0" w:color="auto"/>
              <w:bottom w:val="single" w:sz="4" w:space="0" w:color="auto"/>
            </w:tcBorders>
          </w:tcPr>
          <w:p w14:paraId="704E03A6" w14:textId="77777777" w:rsidR="0037251A" w:rsidRPr="00451FE8" w:rsidRDefault="0037251A" w:rsidP="00D54343">
            <w:pPr>
              <w:spacing w:before="0" w:after="0" w:line="240" w:lineRule="auto"/>
              <w:rPr>
                <w:b/>
                <w:bCs/>
                <w:sz w:val="24"/>
                <w:szCs w:val="24"/>
              </w:rPr>
            </w:pPr>
            <w:r w:rsidRPr="00451FE8">
              <w:rPr>
                <w:b/>
                <w:bCs/>
                <w:sz w:val="24"/>
                <w:szCs w:val="24"/>
              </w:rPr>
              <w:t>Germany</w:t>
            </w:r>
          </w:p>
        </w:tc>
        <w:tc>
          <w:tcPr>
            <w:tcW w:w="1744" w:type="dxa"/>
            <w:tcBorders>
              <w:top w:val="single" w:sz="4" w:space="0" w:color="auto"/>
              <w:bottom w:val="single" w:sz="4" w:space="0" w:color="auto"/>
            </w:tcBorders>
          </w:tcPr>
          <w:p w14:paraId="7BEEEF43" w14:textId="77777777" w:rsidR="0037251A" w:rsidRPr="00451FE8" w:rsidRDefault="0037251A" w:rsidP="00D54343">
            <w:pPr>
              <w:spacing w:before="0" w:after="0" w:line="240" w:lineRule="auto"/>
              <w:rPr>
                <w:sz w:val="24"/>
                <w:szCs w:val="24"/>
              </w:rPr>
            </w:pPr>
            <w:r w:rsidRPr="00451FE8">
              <w:rPr>
                <w:sz w:val="24"/>
                <w:szCs w:val="24"/>
              </w:rPr>
              <w:t>0.31813049</w:t>
            </w:r>
          </w:p>
        </w:tc>
        <w:tc>
          <w:tcPr>
            <w:tcW w:w="1744" w:type="dxa"/>
            <w:tcBorders>
              <w:top w:val="single" w:sz="4" w:space="0" w:color="auto"/>
              <w:bottom w:val="single" w:sz="4" w:space="0" w:color="auto"/>
            </w:tcBorders>
          </w:tcPr>
          <w:p w14:paraId="185DD634" w14:textId="77777777" w:rsidR="0037251A" w:rsidRPr="00451FE8" w:rsidRDefault="0037251A" w:rsidP="00D54343">
            <w:pPr>
              <w:spacing w:before="0" w:after="0" w:line="240" w:lineRule="auto"/>
              <w:rPr>
                <w:sz w:val="24"/>
                <w:szCs w:val="24"/>
              </w:rPr>
            </w:pPr>
            <w:r w:rsidRPr="00451FE8">
              <w:rPr>
                <w:sz w:val="24"/>
                <w:szCs w:val="24"/>
              </w:rPr>
              <w:t>0.21667385</w:t>
            </w:r>
          </w:p>
        </w:tc>
        <w:tc>
          <w:tcPr>
            <w:tcW w:w="1744" w:type="dxa"/>
            <w:tcBorders>
              <w:top w:val="single" w:sz="4" w:space="0" w:color="auto"/>
              <w:bottom w:val="single" w:sz="4" w:space="0" w:color="auto"/>
            </w:tcBorders>
          </w:tcPr>
          <w:p w14:paraId="62EF3BEA" w14:textId="77777777" w:rsidR="0037251A" w:rsidRPr="00451FE8" w:rsidRDefault="0037251A" w:rsidP="00D54343">
            <w:pPr>
              <w:spacing w:before="0" w:after="0" w:line="240" w:lineRule="auto"/>
              <w:rPr>
                <w:sz w:val="24"/>
                <w:szCs w:val="24"/>
              </w:rPr>
            </w:pPr>
            <w:r w:rsidRPr="00451FE8">
              <w:rPr>
                <w:sz w:val="24"/>
                <w:szCs w:val="24"/>
              </w:rPr>
              <w:t>0.15770391</w:t>
            </w:r>
          </w:p>
        </w:tc>
        <w:tc>
          <w:tcPr>
            <w:tcW w:w="1744" w:type="dxa"/>
            <w:tcBorders>
              <w:top w:val="single" w:sz="4" w:space="0" w:color="auto"/>
              <w:bottom w:val="single" w:sz="4" w:space="0" w:color="auto"/>
            </w:tcBorders>
          </w:tcPr>
          <w:p w14:paraId="0EDA7499" w14:textId="77777777" w:rsidR="0037251A" w:rsidRPr="00451FE8" w:rsidRDefault="0037251A" w:rsidP="00D54343">
            <w:pPr>
              <w:spacing w:before="0" w:after="0" w:line="240" w:lineRule="auto"/>
              <w:rPr>
                <w:sz w:val="24"/>
                <w:szCs w:val="24"/>
              </w:rPr>
            </w:pPr>
            <w:r w:rsidRPr="00451FE8">
              <w:rPr>
                <w:sz w:val="24"/>
                <w:szCs w:val="24"/>
              </w:rPr>
              <w:t>0.30749174</w:t>
            </w:r>
          </w:p>
        </w:tc>
      </w:tr>
      <w:tr w:rsidR="006537FA" w:rsidRPr="00451FE8" w14:paraId="5B31577E" w14:textId="77777777" w:rsidTr="00D54343">
        <w:tc>
          <w:tcPr>
            <w:tcW w:w="1743" w:type="dxa"/>
            <w:tcBorders>
              <w:top w:val="single" w:sz="4" w:space="0" w:color="auto"/>
              <w:bottom w:val="single" w:sz="4" w:space="0" w:color="auto"/>
            </w:tcBorders>
          </w:tcPr>
          <w:p w14:paraId="41B2F838" w14:textId="77777777" w:rsidR="0037251A" w:rsidRPr="00451FE8" w:rsidRDefault="0037251A" w:rsidP="00D54343">
            <w:pPr>
              <w:spacing w:before="0" w:after="0" w:line="240" w:lineRule="auto"/>
              <w:rPr>
                <w:b/>
                <w:bCs/>
                <w:sz w:val="24"/>
                <w:szCs w:val="24"/>
              </w:rPr>
            </w:pPr>
            <w:r w:rsidRPr="00451FE8">
              <w:rPr>
                <w:b/>
                <w:bCs/>
                <w:sz w:val="24"/>
                <w:szCs w:val="24"/>
              </w:rPr>
              <w:t>Netherland</w:t>
            </w:r>
          </w:p>
        </w:tc>
        <w:tc>
          <w:tcPr>
            <w:tcW w:w="1744" w:type="dxa"/>
            <w:tcBorders>
              <w:top w:val="single" w:sz="4" w:space="0" w:color="auto"/>
              <w:bottom w:val="single" w:sz="4" w:space="0" w:color="auto"/>
            </w:tcBorders>
          </w:tcPr>
          <w:p w14:paraId="09E95D61" w14:textId="77777777" w:rsidR="0037251A" w:rsidRPr="00451FE8" w:rsidRDefault="0037251A" w:rsidP="00D54343">
            <w:pPr>
              <w:spacing w:before="0" w:after="0" w:line="240" w:lineRule="auto"/>
              <w:rPr>
                <w:sz w:val="24"/>
                <w:szCs w:val="24"/>
              </w:rPr>
            </w:pPr>
            <w:r w:rsidRPr="00451FE8">
              <w:rPr>
                <w:sz w:val="24"/>
                <w:szCs w:val="24"/>
              </w:rPr>
              <w:t>0.20568286</w:t>
            </w:r>
          </w:p>
        </w:tc>
        <w:tc>
          <w:tcPr>
            <w:tcW w:w="1744" w:type="dxa"/>
            <w:tcBorders>
              <w:top w:val="single" w:sz="4" w:space="0" w:color="auto"/>
              <w:bottom w:val="single" w:sz="4" w:space="0" w:color="auto"/>
            </w:tcBorders>
          </w:tcPr>
          <w:p w14:paraId="58B00E54" w14:textId="77777777" w:rsidR="0037251A" w:rsidRPr="00451FE8" w:rsidRDefault="0037251A" w:rsidP="00D54343">
            <w:pPr>
              <w:spacing w:before="0" w:after="0" w:line="240" w:lineRule="auto"/>
              <w:rPr>
                <w:sz w:val="24"/>
                <w:szCs w:val="24"/>
              </w:rPr>
            </w:pPr>
            <w:r w:rsidRPr="00451FE8">
              <w:rPr>
                <w:sz w:val="24"/>
                <w:szCs w:val="24"/>
              </w:rPr>
              <w:t>0.23704226</w:t>
            </w:r>
          </w:p>
        </w:tc>
        <w:tc>
          <w:tcPr>
            <w:tcW w:w="1744" w:type="dxa"/>
            <w:tcBorders>
              <w:top w:val="single" w:sz="4" w:space="0" w:color="auto"/>
              <w:bottom w:val="single" w:sz="4" w:space="0" w:color="auto"/>
            </w:tcBorders>
          </w:tcPr>
          <w:p w14:paraId="7522A047" w14:textId="77777777" w:rsidR="0037251A" w:rsidRPr="00451FE8" w:rsidRDefault="0037251A" w:rsidP="00D54343">
            <w:pPr>
              <w:spacing w:before="0" w:after="0" w:line="240" w:lineRule="auto"/>
              <w:rPr>
                <w:sz w:val="24"/>
                <w:szCs w:val="24"/>
              </w:rPr>
            </w:pPr>
            <w:r w:rsidRPr="00451FE8">
              <w:rPr>
                <w:sz w:val="24"/>
                <w:szCs w:val="24"/>
              </w:rPr>
              <w:t>0.23582477</w:t>
            </w:r>
          </w:p>
        </w:tc>
        <w:tc>
          <w:tcPr>
            <w:tcW w:w="1744" w:type="dxa"/>
            <w:tcBorders>
              <w:top w:val="single" w:sz="4" w:space="0" w:color="auto"/>
              <w:bottom w:val="single" w:sz="4" w:space="0" w:color="auto"/>
            </w:tcBorders>
          </w:tcPr>
          <w:p w14:paraId="4C6BB5FC" w14:textId="77777777" w:rsidR="0037251A" w:rsidRPr="00451FE8" w:rsidRDefault="0037251A" w:rsidP="00D54343">
            <w:pPr>
              <w:spacing w:before="0" w:after="0" w:line="240" w:lineRule="auto"/>
              <w:rPr>
                <w:sz w:val="24"/>
                <w:szCs w:val="24"/>
              </w:rPr>
            </w:pPr>
            <w:r w:rsidRPr="00451FE8">
              <w:rPr>
                <w:sz w:val="24"/>
                <w:szCs w:val="24"/>
              </w:rPr>
              <w:t>0.32145010</w:t>
            </w:r>
          </w:p>
        </w:tc>
      </w:tr>
      <w:tr w:rsidR="006537FA" w:rsidRPr="00451FE8" w14:paraId="62528193" w14:textId="77777777" w:rsidTr="00D54343">
        <w:tc>
          <w:tcPr>
            <w:tcW w:w="1743" w:type="dxa"/>
            <w:tcBorders>
              <w:top w:val="single" w:sz="4" w:space="0" w:color="auto"/>
              <w:bottom w:val="single" w:sz="4" w:space="0" w:color="auto"/>
            </w:tcBorders>
          </w:tcPr>
          <w:p w14:paraId="0EF6598A" w14:textId="77777777" w:rsidR="0037251A" w:rsidRPr="00451FE8" w:rsidRDefault="0037251A" w:rsidP="00D54343">
            <w:pPr>
              <w:spacing w:before="0" w:after="0" w:line="240" w:lineRule="auto"/>
              <w:rPr>
                <w:b/>
                <w:bCs/>
                <w:sz w:val="24"/>
                <w:szCs w:val="24"/>
              </w:rPr>
            </w:pPr>
            <w:r w:rsidRPr="00451FE8">
              <w:rPr>
                <w:b/>
                <w:bCs/>
                <w:sz w:val="24"/>
                <w:szCs w:val="24"/>
              </w:rPr>
              <w:t>Poland</w:t>
            </w:r>
          </w:p>
        </w:tc>
        <w:tc>
          <w:tcPr>
            <w:tcW w:w="1744" w:type="dxa"/>
            <w:tcBorders>
              <w:top w:val="single" w:sz="4" w:space="0" w:color="auto"/>
              <w:bottom w:val="single" w:sz="4" w:space="0" w:color="auto"/>
            </w:tcBorders>
          </w:tcPr>
          <w:p w14:paraId="1BD5B1AA" w14:textId="77777777" w:rsidR="0037251A" w:rsidRPr="00451FE8" w:rsidRDefault="0037251A" w:rsidP="00D54343">
            <w:pPr>
              <w:spacing w:before="0" w:after="0" w:line="240" w:lineRule="auto"/>
              <w:rPr>
                <w:sz w:val="24"/>
                <w:szCs w:val="24"/>
              </w:rPr>
            </w:pPr>
            <w:r w:rsidRPr="00451FE8">
              <w:rPr>
                <w:sz w:val="24"/>
                <w:szCs w:val="24"/>
              </w:rPr>
              <w:t>0.20599298</w:t>
            </w:r>
          </w:p>
        </w:tc>
        <w:tc>
          <w:tcPr>
            <w:tcW w:w="1744" w:type="dxa"/>
            <w:tcBorders>
              <w:top w:val="single" w:sz="4" w:space="0" w:color="auto"/>
              <w:bottom w:val="single" w:sz="4" w:space="0" w:color="auto"/>
            </w:tcBorders>
          </w:tcPr>
          <w:p w14:paraId="700D98E0" w14:textId="77777777" w:rsidR="0037251A" w:rsidRPr="00451FE8" w:rsidRDefault="0037251A" w:rsidP="00D54343">
            <w:pPr>
              <w:spacing w:before="0" w:after="0" w:line="240" w:lineRule="auto"/>
              <w:rPr>
                <w:sz w:val="24"/>
                <w:szCs w:val="24"/>
              </w:rPr>
            </w:pPr>
            <w:r w:rsidRPr="00451FE8">
              <w:rPr>
                <w:sz w:val="24"/>
                <w:szCs w:val="24"/>
              </w:rPr>
              <w:t>0.29573211</w:t>
            </w:r>
          </w:p>
        </w:tc>
        <w:tc>
          <w:tcPr>
            <w:tcW w:w="1744" w:type="dxa"/>
            <w:tcBorders>
              <w:top w:val="single" w:sz="4" w:space="0" w:color="auto"/>
              <w:bottom w:val="single" w:sz="4" w:space="0" w:color="auto"/>
            </w:tcBorders>
          </w:tcPr>
          <w:p w14:paraId="54AECC93" w14:textId="77777777" w:rsidR="0037251A" w:rsidRPr="00451FE8" w:rsidRDefault="0037251A" w:rsidP="00D54343">
            <w:pPr>
              <w:spacing w:before="0" w:after="0" w:line="240" w:lineRule="auto"/>
              <w:rPr>
                <w:sz w:val="24"/>
                <w:szCs w:val="24"/>
              </w:rPr>
            </w:pPr>
            <w:r w:rsidRPr="00451FE8">
              <w:rPr>
                <w:sz w:val="24"/>
                <w:szCs w:val="24"/>
              </w:rPr>
              <w:t>0.30332483</w:t>
            </w:r>
          </w:p>
        </w:tc>
        <w:tc>
          <w:tcPr>
            <w:tcW w:w="1744" w:type="dxa"/>
            <w:tcBorders>
              <w:top w:val="single" w:sz="4" w:space="0" w:color="auto"/>
              <w:bottom w:val="single" w:sz="4" w:space="0" w:color="auto"/>
            </w:tcBorders>
          </w:tcPr>
          <w:p w14:paraId="50EAFF57" w14:textId="77777777" w:rsidR="0037251A" w:rsidRPr="00451FE8" w:rsidRDefault="0037251A" w:rsidP="00D54343">
            <w:pPr>
              <w:spacing w:before="0" w:after="0" w:line="240" w:lineRule="auto"/>
              <w:rPr>
                <w:sz w:val="24"/>
                <w:szCs w:val="24"/>
              </w:rPr>
            </w:pPr>
            <w:r w:rsidRPr="00451FE8">
              <w:rPr>
                <w:sz w:val="24"/>
                <w:szCs w:val="24"/>
              </w:rPr>
              <w:t>0.19495008</w:t>
            </w:r>
          </w:p>
        </w:tc>
      </w:tr>
      <w:tr w:rsidR="006537FA" w:rsidRPr="00451FE8" w14:paraId="325A693B" w14:textId="77777777" w:rsidTr="00D54343">
        <w:tc>
          <w:tcPr>
            <w:tcW w:w="1743" w:type="dxa"/>
            <w:tcBorders>
              <w:top w:val="single" w:sz="4" w:space="0" w:color="auto"/>
              <w:bottom w:val="single" w:sz="4" w:space="0" w:color="auto"/>
            </w:tcBorders>
          </w:tcPr>
          <w:p w14:paraId="1241BD7F" w14:textId="77777777" w:rsidR="0037251A" w:rsidRPr="00451FE8" w:rsidRDefault="0037251A" w:rsidP="00D54343">
            <w:pPr>
              <w:spacing w:before="0" w:after="0" w:line="240" w:lineRule="auto"/>
              <w:rPr>
                <w:b/>
                <w:bCs/>
                <w:sz w:val="24"/>
                <w:szCs w:val="24"/>
              </w:rPr>
            </w:pPr>
            <w:r w:rsidRPr="00451FE8">
              <w:rPr>
                <w:b/>
                <w:bCs/>
                <w:sz w:val="24"/>
                <w:szCs w:val="24"/>
              </w:rPr>
              <w:t>Portugal</w:t>
            </w:r>
          </w:p>
        </w:tc>
        <w:tc>
          <w:tcPr>
            <w:tcW w:w="1744" w:type="dxa"/>
            <w:tcBorders>
              <w:top w:val="single" w:sz="4" w:space="0" w:color="auto"/>
              <w:bottom w:val="single" w:sz="4" w:space="0" w:color="auto"/>
            </w:tcBorders>
          </w:tcPr>
          <w:p w14:paraId="7F0F637C" w14:textId="77777777" w:rsidR="0037251A" w:rsidRPr="00451FE8" w:rsidRDefault="0037251A" w:rsidP="00D54343">
            <w:pPr>
              <w:spacing w:before="0" w:after="0" w:line="240" w:lineRule="auto"/>
              <w:rPr>
                <w:sz w:val="24"/>
                <w:szCs w:val="24"/>
              </w:rPr>
            </w:pPr>
            <w:r w:rsidRPr="00451FE8">
              <w:rPr>
                <w:sz w:val="24"/>
                <w:szCs w:val="24"/>
              </w:rPr>
              <w:t xml:space="preserve">0.4602337 </w:t>
            </w:r>
          </w:p>
        </w:tc>
        <w:tc>
          <w:tcPr>
            <w:tcW w:w="1744" w:type="dxa"/>
            <w:tcBorders>
              <w:top w:val="single" w:sz="4" w:space="0" w:color="auto"/>
              <w:bottom w:val="single" w:sz="4" w:space="0" w:color="auto"/>
            </w:tcBorders>
          </w:tcPr>
          <w:p w14:paraId="0C688EA6" w14:textId="77777777" w:rsidR="0037251A" w:rsidRPr="00451FE8" w:rsidRDefault="0037251A" w:rsidP="00D54343">
            <w:pPr>
              <w:spacing w:before="0" w:after="0" w:line="240" w:lineRule="auto"/>
              <w:rPr>
                <w:sz w:val="24"/>
                <w:szCs w:val="24"/>
              </w:rPr>
            </w:pPr>
            <w:r w:rsidRPr="00451FE8">
              <w:rPr>
                <w:sz w:val="24"/>
                <w:szCs w:val="24"/>
              </w:rPr>
              <w:t>0.00942971</w:t>
            </w:r>
          </w:p>
        </w:tc>
        <w:tc>
          <w:tcPr>
            <w:tcW w:w="1744" w:type="dxa"/>
            <w:tcBorders>
              <w:top w:val="single" w:sz="4" w:space="0" w:color="auto"/>
              <w:bottom w:val="single" w:sz="4" w:space="0" w:color="auto"/>
            </w:tcBorders>
          </w:tcPr>
          <w:p w14:paraId="223540DC" w14:textId="77777777" w:rsidR="0037251A" w:rsidRPr="00451FE8" w:rsidRDefault="0037251A" w:rsidP="00D54343">
            <w:pPr>
              <w:spacing w:before="0" w:after="0" w:line="240" w:lineRule="auto"/>
              <w:rPr>
                <w:sz w:val="24"/>
                <w:szCs w:val="24"/>
              </w:rPr>
            </w:pPr>
            <w:r w:rsidRPr="00451FE8">
              <w:rPr>
                <w:sz w:val="24"/>
                <w:szCs w:val="24"/>
              </w:rPr>
              <w:t>0.06259315</w:t>
            </w:r>
          </w:p>
        </w:tc>
        <w:tc>
          <w:tcPr>
            <w:tcW w:w="1744" w:type="dxa"/>
            <w:tcBorders>
              <w:top w:val="single" w:sz="4" w:space="0" w:color="auto"/>
              <w:bottom w:val="single" w:sz="4" w:space="0" w:color="auto"/>
            </w:tcBorders>
          </w:tcPr>
          <w:p w14:paraId="7006077E" w14:textId="77777777" w:rsidR="0037251A" w:rsidRPr="00451FE8" w:rsidRDefault="0037251A" w:rsidP="00D54343">
            <w:pPr>
              <w:spacing w:before="0" w:after="0" w:line="240" w:lineRule="auto"/>
              <w:rPr>
                <w:sz w:val="24"/>
                <w:szCs w:val="24"/>
              </w:rPr>
            </w:pPr>
            <w:r w:rsidRPr="00451FE8">
              <w:rPr>
                <w:sz w:val="24"/>
                <w:szCs w:val="24"/>
              </w:rPr>
              <w:t>0.46774344</w:t>
            </w:r>
          </w:p>
        </w:tc>
      </w:tr>
      <w:tr w:rsidR="006537FA" w:rsidRPr="00451FE8" w14:paraId="236D87D8" w14:textId="77777777" w:rsidTr="00D54343">
        <w:tc>
          <w:tcPr>
            <w:tcW w:w="1743" w:type="dxa"/>
            <w:tcBorders>
              <w:top w:val="single" w:sz="4" w:space="0" w:color="auto"/>
              <w:bottom w:val="single" w:sz="4" w:space="0" w:color="auto"/>
            </w:tcBorders>
          </w:tcPr>
          <w:p w14:paraId="5183CB08" w14:textId="77777777" w:rsidR="0037251A" w:rsidRPr="00451FE8" w:rsidRDefault="0037251A" w:rsidP="00D54343">
            <w:pPr>
              <w:spacing w:before="0" w:after="0" w:line="240" w:lineRule="auto"/>
              <w:rPr>
                <w:b/>
                <w:bCs/>
                <w:sz w:val="24"/>
                <w:szCs w:val="24"/>
              </w:rPr>
            </w:pPr>
            <w:r w:rsidRPr="00451FE8">
              <w:rPr>
                <w:b/>
                <w:bCs/>
                <w:sz w:val="24"/>
                <w:szCs w:val="24"/>
              </w:rPr>
              <w:t>Spain</w:t>
            </w:r>
          </w:p>
        </w:tc>
        <w:tc>
          <w:tcPr>
            <w:tcW w:w="1744" w:type="dxa"/>
            <w:tcBorders>
              <w:top w:val="single" w:sz="4" w:space="0" w:color="auto"/>
              <w:bottom w:val="single" w:sz="4" w:space="0" w:color="auto"/>
            </w:tcBorders>
          </w:tcPr>
          <w:p w14:paraId="4810E080" w14:textId="77777777" w:rsidR="0037251A" w:rsidRPr="00451FE8" w:rsidRDefault="0037251A" w:rsidP="00D54343">
            <w:pPr>
              <w:spacing w:before="0" w:after="0" w:line="240" w:lineRule="auto"/>
              <w:rPr>
                <w:sz w:val="24"/>
                <w:szCs w:val="24"/>
              </w:rPr>
            </w:pPr>
            <w:r w:rsidRPr="00451FE8">
              <w:rPr>
                <w:sz w:val="24"/>
                <w:szCs w:val="24"/>
              </w:rPr>
              <w:t>0.29523552</w:t>
            </w:r>
          </w:p>
        </w:tc>
        <w:tc>
          <w:tcPr>
            <w:tcW w:w="1744" w:type="dxa"/>
            <w:tcBorders>
              <w:top w:val="single" w:sz="4" w:space="0" w:color="auto"/>
              <w:bottom w:val="single" w:sz="4" w:space="0" w:color="auto"/>
            </w:tcBorders>
          </w:tcPr>
          <w:p w14:paraId="4A816C3C" w14:textId="77777777" w:rsidR="0037251A" w:rsidRPr="00451FE8" w:rsidRDefault="0037251A" w:rsidP="00D54343">
            <w:pPr>
              <w:spacing w:before="0" w:after="0" w:line="240" w:lineRule="auto"/>
              <w:rPr>
                <w:sz w:val="24"/>
                <w:szCs w:val="24"/>
              </w:rPr>
            </w:pPr>
            <w:r w:rsidRPr="00451FE8">
              <w:rPr>
                <w:sz w:val="24"/>
                <w:szCs w:val="24"/>
              </w:rPr>
              <w:t>0.27002903</w:t>
            </w:r>
          </w:p>
        </w:tc>
        <w:tc>
          <w:tcPr>
            <w:tcW w:w="1744" w:type="dxa"/>
            <w:tcBorders>
              <w:top w:val="single" w:sz="4" w:space="0" w:color="auto"/>
              <w:bottom w:val="single" w:sz="4" w:space="0" w:color="auto"/>
            </w:tcBorders>
          </w:tcPr>
          <w:p w14:paraId="62221C8D" w14:textId="77777777" w:rsidR="0037251A" w:rsidRPr="00451FE8" w:rsidRDefault="0037251A" w:rsidP="00D54343">
            <w:pPr>
              <w:spacing w:before="0" w:after="0" w:line="240" w:lineRule="auto"/>
              <w:rPr>
                <w:sz w:val="24"/>
                <w:szCs w:val="24"/>
              </w:rPr>
            </w:pPr>
            <w:r w:rsidRPr="00451FE8">
              <w:rPr>
                <w:sz w:val="24"/>
                <w:szCs w:val="24"/>
              </w:rPr>
              <w:t>0.27483279</w:t>
            </w:r>
          </w:p>
        </w:tc>
        <w:tc>
          <w:tcPr>
            <w:tcW w:w="1744" w:type="dxa"/>
            <w:tcBorders>
              <w:top w:val="single" w:sz="4" w:space="0" w:color="auto"/>
              <w:bottom w:val="single" w:sz="4" w:space="0" w:color="auto"/>
            </w:tcBorders>
          </w:tcPr>
          <w:p w14:paraId="51AE367F" w14:textId="77777777" w:rsidR="0037251A" w:rsidRPr="00451FE8" w:rsidRDefault="0037251A" w:rsidP="00D54343">
            <w:pPr>
              <w:spacing w:before="0" w:after="0" w:line="240" w:lineRule="auto"/>
              <w:rPr>
                <w:sz w:val="24"/>
                <w:szCs w:val="24"/>
              </w:rPr>
            </w:pPr>
            <w:r w:rsidRPr="00451FE8">
              <w:rPr>
                <w:sz w:val="24"/>
                <w:szCs w:val="24"/>
              </w:rPr>
              <w:t>0.15990266</w:t>
            </w:r>
          </w:p>
        </w:tc>
      </w:tr>
      <w:tr w:rsidR="006537FA" w:rsidRPr="00451FE8" w14:paraId="49E477E1" w14:textId="77777777" w:rsidTr="00D54343">
        <w:tc>
          <w:tcPr>
            <w:tcW w:w="1743" w:type="dxa"/>
            <w:tcBorders>
              <w:top w:val="single" w:sz="4" w:space="0" w:color="auto"/>
              <w:bottom w:val="single" w:sz="4" w:space="0" w:color="auto"/>
            </w:tcBorders>
          </w:tcPr>
          <w:p w14:paraId="3C013DEA" w14:textId="77777777" w:rsidR="0037251A" w:rsidRPr="00451FE8" w:rsidRDefault="0037251A" w:rsidP="00D54343">
            <w:pPr>
              <w:spacing w:before="0" w:after="0" w:line="240" w:lineRule="auto"/>
              <w:rPr>
                <w:b/>
                <w:bCs/>
                <w:sz w:val="24"/>
                <w:szCs w:val="24"/>
              </w:rPr>
            </w:pPr>
            <w:r w:rsidRPr="00451FE8">
              <w:rPr>
                <w:b/>
                <w:bCs/>
                <w:sz w:val="24"/>
                <w:szCs w:val="24"/>
              </w:rPr>
              <w:t>Switzerland</w:t>
            </w:r>
          </w:p>
        </w:tc>
        <w:tc>
          <w:tcPr>
            <w:tcW w:w="1744" w:type="dxa"/>
            <w:tcBorders>
              <w:top w:val="single" w:sz="4" w:space="0" w:color="auto"/>
              <w:bottom w:val="single" w:sz="4" w:space="0" w:color="auto"/>
            </w:tcBorders>
          </w:tcPr>
          <w:p w14:paraId="16B108AF" w14:textId="77777777" w:rsidR="0037251A" w:rsidRPr="00451FE8" w:rsidRDefault="0037251A" w:rsidP="00D54343">
            <w:pPr>
              <w:spacing w:before="0" w:after="0" w:line="240" w:lineRule="auto"/>
              <w:rPr>
                <w:sz w:val="24"/>
                <w:szCs w:val="24"/>
              </w:rPr>
            </w:pPr>
            <w:r w:rsidRPr="00451FE8">
              <w:rPr>
                <w:sz w:val="24"/>
                <w:szCs w:val="24"/>
              </w:rPr>
              <w:t>0.22983219</w:t>
            </w:r>
          </w:p>
        </w:tc>
        <w:tc>
          <w:tcPr>
            <w:tcW w:w="1744" w:type="dxa"/>
            <w:tcBorders>
              <w:top w:val="single" w:sz="4" w:space="0" w:color="auto"/>
              <w:bottom w:val="single" w:sz="4" w:space="0" w:color="auto"/>
            </w:tcBorders>
          </w:tcPr>
          <w:p w14:paraId="20A6F0C7" w14:textId="77777777" w:rsidR="0037251A" w:rsidRPr="00451FE8" w:rsidRDefault="0037251A" w:rsidP="00D54343">
            <w:pPr>
              <w:spacing w:before="0" w:after="0" w:line="240" w:lineRule="auto"/>
              <w:rPr>
                <w:sz w:val="24"/>
                <w:szCs w:val="24"/>
              </w:rPr>
            </w:pPr>
            <w:r w:rsidRPr="00451FE8">
              <w:rPr>
                <w:sz w:val="24"/>
                <w:szCs w:val="24"/>
              </w:rPr>
              <w:t>0.24916011</w:t>
            </w:r>
          </w:p>
        </w:tc>
        <w:tc>
          <w:tcPr>
            <w:tcW w:w="1744" w:type="dxa"/>
            <w:tcBorders>
              <w:top w:val="single" w:sz="4" w:space="0" w:color="auto"/>
              <w:bottom w:val="single" w:sz="4" w:space="0" w:color="auto"/>
            </w:tcBorders>
          </w:tcPr>
          <w:p w14:paraId="3F6FB58B" w14:textId="77777777" w:rsidR="0037251A" w:rsidRPr="00451FE8" w:rsidRDefault="0037251A" w:rsidP="00D54343">
            <w:pPr>
              <w:spacing w:before="0" w:after="0" w:line="240" w:lineRule="auto"/>
              <w:rPr>
                <w:sz w:val="24"/>
                <w:szCs w:val="24"/>
              </w:rPr>
            </w:pPr>
            <w:r w:rsidRPr="00451FE8">
              <w:rPr>
                <w:sz w:val="24"/>
                <w:szCs w:val="24"/>
              </w:rPr>
              <w:t>0.35891327</w:t>
            </w:r>
          </w:p>
        </w:tc>
        <w:tc>
          <w:tcPr>
            <w:tcW w:w="1744" w:type="dxa"/>
            <w:tcBorders>
              <w:top w:val="single" w:sz="4" w:space="0" w:color="auto"/>
              <w:bottom w:val="single" w:sz="4" w:space="0" w:color="auto"/>
            </w:tcBorders>
          </w:tcPr>
          <w:p w14:paraId="3B9478A0" w14:textId="77777777" w:rsidR="0037251A" w:rsidRPr="00451FE8" w:rsidRDefault="0037251A" w:rsidP="00D54343">
            <w:pPr>
              <w:spacing w:before="0" w:after="0" w:line="240" w:lineRule="auto"/>
              <w:rPr>
                <w:sz w:val="24"/>
                <w:szCs w:val="24"/>
              </w:rPr>
            </w:pPr>
            <w:r w:rsidRPr="00451FE8">
              <w:rPr>
                <w:sz w:val="24"/>
                <w:szCs w:val="24"/>
              </w:rPr>
              <w:t>0.16209443</w:t>
            </w:r>
          </w:p>
        </w:tc>
      </w:tr>
      <w:tr w:rsidR="006537FA" w:rsidRPr="00451FE8" w14:paraId="58109BED" w14:textId="77777777" w:rsidTr="00D54343">
        <w:tc>
          <w:tcPr>
            <w:tcW w:w="1743" w:type="dxa"/>
            <w:tcBorders>
              <w:top w:val="single" w:sz="4" w:space="0" w:color="auto"/>
              <w:bottom w:val="single" w:sz="4" w:space="0" w:color="auto"/>
            </w:tcBorders>
          </w:tcPr>
          <w:p w14:paraId="5CD7BFD7" w14:textId="77777777" w:rsidR="0037251A" w:rsidRPr="00451FE8" w:rsidRDefault="0037251A" w:rsidP="00D54343">
            <w:pPr>
              <w:spacing w:before="0" w:after="0" w:line="240" w:lineRule="auto"/>
              <w:rPr>
                <w:b/>
                <w:bCs/>
                <w:sz w:val="24"/>
                <w:szCs w:val="24"/>
              </w:rPr>
            </w:pPr>
            <w:r w:rsidRPr="00451FE8">
              <w:rPr>
                <w:b/>
                <w:bCs/>
                <w:sz w:val="24"/>
                <w:szCs w:val="24"/>
              </w:rPr>
              <w:t>UK</w:t>
            </w:r>
          </w:p>
        </w:tc>
        <w:tc>
          <w:tcPr>
            <w:tcW w:w="1744" w:type="dxa"/>
            <w:tcBorders>
              <w:top w:val="single" w:sz="4" w:space="0" w:color="auto"/>
              <w:bottom w:val="single" w:sz="4" w:space="0" w:color="auto"/>
            </w:tcBorders>
          </w:tcPr>
          <w:p w14:paraId="5BE7716C" w14:textId="77777777" w:rsidR="0037251A" w:rsidRPr="00451FE8" w:rsidRDefault="0037251A" w:rsidP="00D54343">
            <w:pPr>
              <w:spacing w:before="0" w:after="0" w:line="240" w:lineRule="auto"/>
              <w:rPr>
                <w:sz w:val="24"/>
                <w:szCs w:val="24"/>
              </w:rPr>
            </w:pPr>
            <w:r w:rsidRPr="00451FE8">
              <w:rPr>
                <w:sz w:val="24"/>
                <w:szCs w:val="24"/>
              </w:rPr>
              <w:t>0.37090039</w:t>
            </w:r>
          </w:p>
        </w:tc>
        <w:tc>
          <w:tcPr>
            <w:tcW w:w="1744" w:type="dxa"/>
            <w:tcBorders>
              <w:top w:val="single" w:sz="4" w:space="0" w:color="auto"/>
              <w:bottom w:val="single" w:sz="4" w:space="0" w:color="auto"/>
            </w:tcBorders>
          </w:tcPr>
          <w:p w14:paraId="58F71FAA" w14:textId="77777777" w:rsidR="0037251A" w:rsidRPr="00451FE8" w:rsidRDefault="0037251A" w:rsidP="00D54343">
            <w:pPr>
              <w:spacing w:before="0" w:after="0" w:line="240" w:lineRule="auto"/>
              <w:rPr>
                <w:sz w:val="24"/>
                <w:szCs w:val="24"/>
              </w:rPr>
            </w:pPr>
            <w:r w:rsidRPr="00451FE8">
              <w:rPr>
                <w:sz w:val="24"/>
                <w:szCs w:val="24"/>
              </w:rPr>
              <w:t>0.10732346</w:t>
            </w:r>
          </w:p>
        </w:tc>
        <w:tc>
          <w:tcPr>
            <w:tcW w:w="1744" w:type="dxa"/>
            <w:tcBorders>
              <w:top w:val="single" w:sz="4" w:space="0" w:color="auto"/>
              <w:bottom w:val="single" w:sz="4" w:space="0" w:color="auto"/>
            </w:tcBorders>
          </w:tcPr>
          <w:p w14:paraId="1B869806" w14:textId="77777777" w:rsidR="0037251A" w:rsidRPr="00451FE8" w:rsidRDefault="0037251A" w:rsidP="00D54343">
            <w:pPr>
              <w:spacing w:before="0" w:after="0" w:line="240" w:lineRule="auto"/>
              <w:rPr>
                <w:sz w:val="24"/>
                <w:szCs w:val="24"/>
              </w:rPr>
            </w:pPr>
            <w:r w:rsidRPr="00451FE8">
              <w:rPr>
                <w:sz w:val="24"/>
                <w:szCs w:val="24"/>
              </w:rPr>
              <w:t>0.28384771</w:t>
            </w:r>
          </w:p>
        </w:tc>
        <w:tc>
          <w:tcPr>
            <w:tcW w:w="1744" w:type="dxa"/>
            <w:tcBorders>
              <w:top w:val="single" w:sz="4" w:space="0" w:color="auto"/>
              <w:bottom w:val="single" w:sz="4" w:space="0" w:color="auto"/>
            </w:tcBorders>
          </w:tcPr>
          <w:p w14:paraId="1582DACD" w14:textId="77777777" w:rsidR="0037251A" w:rsidRPr="00451FE8" w:rsidRDefault="0037251A" w:rsidP="00D54343">
            <w:pPr>
              <w:spacing w:before="0" w:after="0" w:line="240" w:lineRule="auto"/>
              <w:rPr>
                <w:sz w:val="24"/>
                <w:szCs w:val="24"/>
              </w:rPr>
            </w:pPr>
            <w:r w:rsidRPr="00451FE8">
              <w:rPr>
                <w:sz w:val="24"/>
                <w:szCs w:val="24"/>
              </w:rPr>
              <w:t>0.23792844</w:t>
            </w:r>
          </w:p>
        </w:tc>
      </w:tr>
      <w:tr w:rsidR="006537FA" w:rsidRPr="00451FE8" w14:paraId="7DD6A0CE" w14:textId="77777777" w:rsidTr="00D54343">
        <w:tc>
          <w:tcPr>
            <w:tcW w:w="1743" w:type="dxa"/>
            <w:tcBorders>
              <w:top w:val="single" w:sz="4" w:space="0" w:color="auto"/>
              <w:bottom w:val="single" w:sz="4" w:space="0" w:color="auto"/>
            </w:tcBorders>
          </w:tcPr>
          <w:p w14:paraId="103AA872" w14:textId="77777777" w:rsidR="0037251A" w:rsidRPr="00451FE8" w:rsidRDefault="0037251A" w:rsidP="00D54343">
            <w:pPr>
              <w:spacing w:before="0" w:after="0" w:line="240" w:lineRule="auto"/>
              <w:rPr>
                <w:b/>
                <w:bCs/>
                <w:sz w:val="24"/>
                <w:szCs w:val="24"/>
              </w:rPr>
            </w:pPr>
            <w:r w:rsidRPr="00451FE8">
              <w:rPr>
                <w:b/>
                <w:bCs/>
                <w:sz w:val="24"/>
                <w:szCs w:val="24"/>
              </w:rPr>
              <w:t>USA</w:t>
            </w:r>
          </w:p>
        </w:tc>
        <w:tc>
          <w:tcPr>
            <w:tcW w:w="1744" w:type="dxa"/>
            <w:tcBorders>
              <w:top w:val="single" w:sz="4" w:space="0" w:color="auto"/>
              <w:bottom w:val="single" w:sz="4" w:space="0" w:color="auto"/>
            </w:tcBorders>
          </w:tcPr>
          <w:p w14:paraId="355CCC9F" w14:textId="77777777" w:rsidR="0037251A" w:rsidRPr="00451FE8" w:rsidRDefault="0037251A" w:rsidP="00D54343">
            <w:pPr>
              <w:spacing w:before="0" w:after="0" w:line="240" w:lineRule="auto"/>
              <w:rPr>
                <w:sz w:val="24"/>
                <w:szCs w:val="24"/>
              </w:rPr>
            </w:pPr>
            <w:r w:rsidRPr="00451FE8">
              <w:rPr>
                <w:sz w:val="24"/>
                <w:szCs w:val="24"/>
              </w:rPr>
              <w:t>0.35051504</w:t>
            </w:r>
          </w:p>
        </w:tc>
        <w:tc>
          <w:tcPr>
            <w:tcW w:w="1744" w:type="dxa"/>
            <w:tcBorders>
              <w:top w:val="single" w:sz="4" w:space="0" w:color="auto"/>
              <w:bottom w:val="single" w:sz="4" w:space="0" w:color="auto"/>
            </w:tcBorders>
          </w:tcPr>
          <w:p w14:paraId="4422B3DF" w14:textId="77777777" w:rsidR="0037251A" w:rsidRPr="00451FE8" w:rsidRDefault="0037251A" w:rsidP="00D54343">
            <w:pPr>
              <w:spacing w:before="0" w:after="0" w:line="240" w:lineRule="auto"/>
              <w:rPr>
                <w:sz w:val="24"/>
                <w:szCs w:val="24"/>
              </w:rPr>
            </w:pPr>
            <w:r w:rsidRPr="00451FE8">
              <w:rPr>
                <w:sz w:val="24"/>
                <w:szCs w:val="24"/>
              </w:rPr>
              <w:t>0.15518754</w:t>
            </w:r>
          </w:p>
        </w:tc>
        <w:tc>
          <w:tcPr>
            <w:tcW w:w="1744" w:type="dxa"/>
            <w:tcBorders>
              <w:top w:val="single" w:sz="4" w:space="0" w:color="auto"/>
              <w:bottom w:val="single" w:sz="4" w:space="0" w:color="auto"/>
            </w:tcBorders>
          </w:tcPr>
          <w:p w14:paraId="025B5020" w14:textId="77777777" w:rsidR="0037251A" w:rsidRPr="00451FE8" w:rsidRDefault="0037251A" w:rsidP="00D54343">
            <w:pPr>
              <w:spacing w:before="0" w:after="0" w:line="240" w:lineRule="auto"/>
              <w:rPr>
                <w:sz w:val="24"/>
                <w:szCs w:val="24"/>
              </w:rPr>
            </w:pPr>
            <w:r w:rsidRPr="00451FE8">
              <w:rPr>
                <w:sz w:val="24"/>
                <w:szCs w:val="24"/>
              </w:rPr>
              <w:t>0.20643708</w:t>
            </w:r>
          </w:p>
        </w:tc>
        <w:tc>
          <w:tcPr>
            <w:tcW w:w="1744" w:type="dxa"/>
            <w:tcBorders>
              <w:top w:val="single" w:sz="4" w:space="0" w:color="auto"/>
              <w:bottom w:val="single" w:sz="4" w:space="0" w:color="auto"/>
            </w:tcBorders>
          </w:tcPr>
          <w:p w14:paraId="041D9480" w14:textId="77777777" w:rsidR="0037251A" w:rsidRPr="00451FE8" w:rsidRDefault="0037251A" w:rsidP="00D54343">
            <w:pPr>
              <w:spacing w:before="0" w:after="0" w:line="240" w:lineRule="auto"/>
              <w:rPr>
                <w:sz w:val="24"/>
                <w:szCs w:val="24"/>
              </w:rPr>
            </w:pPr>
            <w:r w:rsidRPr="00451FE8">
              <w:rPr>
                <w:sz w:val="24"/>
                <w:szCs w:val="24"/>
              </w:rPr>
              <w:t>0.28786033</w:t>
            </w:r>
          </w:p>
        </w:tc>
      </w:tr>
    </w:tbl>
    <w:p w14:paraId="201158A9" w14:textId="377870FC" w:rsidR="0037251A" w:rsidRPr="00451FE8" w:rsidRDefault="005E4582" w:rsidP="005E4582">
      <w:pPr>
        <w:jc w:val="right"/>
        <w:rPr>
          <w:i/>
          <w:iCs/>
          <w:sz w:val="24"/>
          <w:szCs w:val="24"/>
        </w:rPr>
      </w:pPr>
      <w:r w:rsidRPr="00451FE8">
        <w:rPr>
          <w:i/>
          <w:iCs/>
          <w:sz w:val="24"/>
          <w:szCs w:val="24"/>
        </w:rPr>
        <w:t xml:space="preserve">(Source: </w:t>
      </w:r>
      <w:r w:rsidRPr="00451FE8">
        <w:rPr>
          <w:rFonts w:cs="Times New Roman"/>
          <w:i/>
          <w:iCs/>
          <w:sz w:val="24"/>
          <w:szCs w:val="24"/>
          <w:lang w:val="vi-VN"/>
        </w:rPr>
        <w:t>Estimated by author</w:t>
      </w:r>
      <w:r w:rsidRPr="00451FE8">
        <w:rPr>
          <w:rFonts w:cs="Times New Roman"/>
          <w:i/>
          <w:iCs/>
          <w:sz w:val="24"/>
          <w:szCs w:val="24"/>
        </w:rPr>
        <w:t>s)</w:t>
      </w:r>
    </w:p>
    <w:p w14:paraId="088030CC" w14:textId="77777777" w:rsidR="00464139" w:rsidRPr="00451FE8" w:rsidRDefault="00464139" w:rsidP="00464139">
      <w:pPr>
        <w:rPr>
          <w:sz w:val="24"/>
          <w:szCs w:val="24"/>
        </w:rPr>
      </w:pPr>
    </w:p>
    <w:p w14:paraId="08DE0E42" w14:textId="77777777" w:rsidR="00464139" w:rsidRPr="00464139" w:rsidRDefault="00464139" w:rsidP="00464139"/>
    <w:p w14:paraId="177CF95A" w14:textId="77777777" w:rsidR="00464139" w:rsidRPr="00ED1CEC" w:rsidRDefault="00464139" w:rsidP="00464139">
      <w:pPr>
        <w:rPr>
          <w:rFonts w:cs="Times New Roman"/>
          <w:b/>
          <w:sz w:val="24"/>
          <w:szCs w:val="24"/>
        </w:rPr>
      </w:pPr>
    </w:p>
    <w:p w14:paraId="3076AF83" w14:textId="77777777" w:rsidR="00464139" w:rsidRPr="00ED1CEC" w:rsidRDefault="00464139" w:rsidP="00464139">
      <w:pPr>
        <w:rPr>
          <w:rFonts w:cs="Times New Roman"/>
          <w:b/>
          <w:sz w:val="24"/>
          <w:szCs w:val="24"/>
        </w:rPr>
      </w:pPr>
    </w:p>
    <w:p w14:paraId="23086EC5" w14:textId="77777777" w:rsidR="00224F86" w:rsidRDefault="00224F86" w:rsidP="005B2612">
      <w:pPr>
        <w:rPr>
          <w:rFonts w:cs="Times New Roman"/>
          <w:b/>
          <w:sz w:val="24"/>
          <w:szCs w:val="24"/>
        </w:rPr>
        <w:sectPr w:rsidR="00224F86" w:rsidSect="00F07385">
          <w:pgSz w:w="12240" w:h="15840"/>
          <w:pgMar w:top="1440" w:right="1440" w:bottom="1440" w:left="1440" w:header="720" w:footer="720" w:gutter="0"/>
          <w:cols w:space="720"/>
          <w:docGrid w:linePitch="360"/>
        </w:sect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0"/>
      </w:tblGrid>
      <w:tr w:rsidR="00464139" w:rsidRPr="00ED1CEC" w14:paraId="04B6CD56" w14:textId="77777777" w:rsidTr="005B2612">
        <w:trPr>
          <w:jc w:val="center"/>
        </w:trPr>
        <w:tc>
          <w:tcPr>
            <w:tcW w:w="13176" w:type="dxa"/>
          </w:tcPr>
          <w:p w14:paraId="543808CF" w14:textId="77777777" w:rsidR="00464139" w:rsidRPr="00ED1CEC" w:rsidRDefault="00464139" w:rsidP="005B2612">
            <w:pPr>
              <w:rPr>
                <w:rFonts w:cs="Times New Roman"/>
                <w:b/>
                <w:sz w:val="24"/>
                <w:szCs w:val="24"/>
              </w:rPr>
            </w:pPr>
            <w:r w:rsidRPr="00ED1CEC">
              <w:rPr>
                <w:rFonts w:cs="Times New Roman"/>
                <w:b/>
                <w:noProof/>
                <w:sz w:val="24"/>
                <w:szCs w:val="24"/>
                <w:lang w:val="en-IN" w:eastAsia="en-IN"/>
              </w:rPr>
              <w:lastRenderedPageBreak/>
              <w:drawing>
                <wp:inline distT="0" distB="0" distL="0" distR="0" wp14:anchorId="012E7111" wp14:editId="2A62955A">
                  <wp:extent cx="7413550" cy="3241140"/>
                  <wp:effectExtent l="0" t="0" r="0" b="0"/>
                  <wp:docPr id="1778631767" name="Picture 1" descr="A close-up of a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631767" name="Picture 1" descr="A close-up of a chart&#10;&#10;AI-generated content may be incorrect."/>
                          <pic:cNvPicPr/>
                        </pic:nvPicPr>
                        <pic:blipFill>
                          <a:blip r:embed="rId4"/>
                          <a:stretch>
                            <a:fillRect/>
                          </a:stretch>
                        </pic:blipFill>
                        <pic:spPr>
                          <a:xfrm>
                            <a:off x="0" y="0"/>
                            <a:ext cx="7426145" cy="3246646"/>
                          </a:xfrm>
                          <a:prstGeom prst="rect">
                            <a:avLst/>
                          </a:prstGeom>
                        </pic:spPr>
                      </pic:pic>
                    </a:graphicData>
                  </a:graphic>
                </wp:inline>
              </w:drawing>
            </w:r>
          </w:p>
        </w:tc>
      </w:tr>
      <w:tr w:rsidR="00464139" w:rsidRPr="00ED1CEC" w14:paraId="5BD9F48A" w14:textId="77777777" w:rsidTr="005B2612">
        <w:trPr>
          <w:jc w:val="center"/>
        </w:trPr>
        <w:tc>
          <w:tcPr>
            <w:tcW w:w="13176" w:type="dxa"/>
          </w:tcPr>
          <w:p w14:paraId="73F01170" w14:textId="4A70B860" w:rsidR="00464139" w:rsidRPr="00ED1CEC" w:rsidRDefault="00464139" w:rsidP="005B2612">
            <w:pPr>
              <w:rPr>
                <w:rFonts w:cs="Times New Roman"/>
                <w:b/>
                <w:sz w:val="24"/>
                <w:szCs w:val="24"/>
              </w:rPr>
            </w:pPr>
            <w:r w:rsidRPr="00ED1CEC">
              <w:rPr>
                <w:rFonts w:eastAsia="Times New Roman" w:cs="Times New Roman"/>
                <w:b/>
                <w:bCs/>
                <w:sz w:val="24"/>
                <w:szCs w:val="24"/>
              </w:rPr>
              <w:t xml:space="preserve">Figure </w:t>
            </w:r>
            <w:r w:rsidR="005B10DD">
              <w:rPr>
                <w:rFonts w:eastAsia="Times New Roman" w:cs="Times New Roman"/>
                <w:b/>
                <w:bCs/>
                <w:sz w:val="24"/>
                <w:szCs w:val="24"/>
              </w:rPr>
              <w:t>S1</w:t>
            </w:r>
            <w:r w:rsidRPr="00ED1CEC">
              <w:rPr>
                <w:rFonts w:eastAsia="Times New Roman" w:cs="Times New Roman"/>
                <w:b/>
                <w:bCs/>
                <w:sz w:val="24"/>
                <w:szCs w:val="24"/>
              </w:rPr>
              <w:t xml:space="preserve">. Information </w:t>
            </w:r>
            <w:proofErr w:type="spellStart"/>
            <w:r w:rsidRPr="00ED1CEC">
              <w:rPr>
                <w:rFonts w:eastAsia="Times New Roman" w:cs="Times New Roman"/>
                <w:b/>
                <w:bCs/>
                <w:sz w:val="24"/>
                <w:szCs w:val="24"/>
              </w:rPr>
              <w:t>transmition</w:t>
            </w:r>
            <w:proofErr w:type="spellEnd"/>
            <w:r w:rsidRPr="00ED1CEC">
              <w:rPr>
                <w:rFonts w:eastAsia="Times New Roman" w:cs="Times New Roman"/>
                <w:b/>
                <w:bCs/>
                <w:sz w:val="24"/>
                <w:szCs w:val="24"/>
              </w:rPr>
              <w:t xml:space="preserve"> between US and EU stock market</w:t>
            </w:r>
          </w:p>
        </w:tc>
      </w:tr>
      <w:tr w:rsidR="00464139" w:rsidRPr="00ED1CEC" w14:paraId="06AB5EBB" w14:textId="77777777" w:rsidTr="005B2612">
        <w:trPr>
          <w:jc w:val="center"/>
        </w:trPr>
        <w:tc>
          <w:tcPr>
            <w:tcW w:w="13176" w:type="dxa"/>
          </w:tcPr>
          <w:p w14:paraId="53873FE7" w14:textId="77777777" w:rsidR="00464139" w:rsidRPr="00ED1CEC" w:rsidRDefault="00464139" w:rsidP="005B2612">
            <w:pPr>
              <w:jc w:val="right"/>
              <w:rPr>
                <w:rFonts w:cs="Times New Roman"/>
                <w:b/>
                <w:sz w:val="24"/>
                <w:szCs w:val="24"/>
              </w:rPr>
            </w:pPr>
            <w:r w:rsidRPr="00ED1CEC">
              <w:rPr>
                <w:rFonts w:eastAsia="Times New Roman" w:cs="Times New Roman"/>
                <w:i/>
                <w:iCs/>
                <w:sz w:val="24"/>
                <w:szCs w:val="24"/>
              </w:rPr>
              <w:t xml:space="preserve">Source: </w:t>
            </w:r>
            <w:r w:rsidRPr="00ED1CEC">
              <w:rPr>
                <w:rFonts w:cs="Times New Roman"/>
                <w:i/>
                <w:iCs/>
                <w:sz w:val="24"/>
                <w:szCs w:val="24"/>
                <w:lang w:val="vi-VN"/>
              </w:rPr>
              <w:t>Estimated by authors</w:t>
            </w:r>
          </w:p>
        </w:tc>
      </w:tr>
    </w:tbl>
    <w:p w14:paraId="775DEF4B" w14:textId="77777777" w:rsidR="00464139" w:rsidRPr="00ED1CEC" w:rsidRDefault="00464139" w:rsidP="00464139">
      <w:pPr>
        <w:rPr>
          <w:rFonts w:cs="Times New Roman"/>
          <w:b/>
          <w:sz w:val="24"/>
          <w:szCs w:val="24"/>
        </w:rPr>
      </w:pPr>
    </w:p>
    <w:p w14:paraId="69B1F566" w14:textId="77777777" w:rsidR="00464139" w:rsidRPr="00ED1CEC" w:rsidRDefault="00464139" w:rsidP="00464139">
      <w:pPr>
        <w:rPr>
          <w:rFonts w:cs="Times New Roman"/>
          <w:b/>
          <w:sz w:val="24"/>
          <w:szCs w:val="24"/>
        </w:rPr>
      </w:pPr>
    </w:p>
    <w:p w14:paraId="6B202C49" w14:textId="77777777" w:rsidR="00464139" w:rsidRPr="00ED1CEC" w:rsidRDefault="00464139" w:rsidP="00464139">
      <w:pPr>
        <w:spacing w:line="240" w:lineRule="auto"/>
        <w:rPr>
          <w:rFonts w:eastAsia="Times New Roman" w:cs="Times New Roman"/>
          <w:sz w:val="24"/>
          <w:szCs w:val="24"/>
        </w:rPr>
        <w:sectPr w:rsidR="00464139" w:rsidRPr="00ED1CEC" w:rsidSect="00224F86">
          <w:pgSz w:w="15840" w:h="12240" w:orient="landscape"/>
          <w:pgMar w:top="1440" w:right="1440" w:bottom="1440" w:left="144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76"/>
      </w:tblGrid>
      <w:tr w:rsidR="00464139" w:rsidRPr="00ED1CEC" w14:paraId="7AE0A1F8" w14:textId="77777777" w:rsidTr="005B2612">
        <w:tc>
          <w:tcPr>
            <w:tcW w:w="13176" w:type="dxa"/>
          </w:tcPr>
          <w:p w14:paraId="26B14CEB" w14:textId="77777777" w:rsidR="00464139" w:rsidRPr="00ED1CEC" w:rsidRDefault="00464139" w:rsidP="005B2612">
            <w:pPr>
              <w:rPr>
                <w:rFonts w:cs="Times New Roman"/>
                <w:b/>
                <w:sz w:val="24"/>
                <w:szCs w:val="24"/>
              </w:rPr>
            </w:pPr>
            <w:r w:rsidRPr="00ED1CEC">
              <w:rPr>
                <w:rFonts w:cs="Times New Roman"/>
                <w:noProof/>
                <w:sz w:val="24"/>
                <w:szCs w:val="24"/>
                <w:lang w:val="en-IN" w:eastAsia="en-IN"/>
              </w:rPr>
              <w:lastRenderedPageBreak/>
              <w:drawing>
                <wp:inline distT="0" distB="0" distL="0" distR="0" wp14:anchorId="69A6FF63" wp14:editId="7D1B0591">
                  <wp:extent cx="8229600" cy="3690620"/>
                  <wp:effectExtent l="0" t="0" r="0" b="0"/>
                  <wp:docPr id="1423309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29600" cy="3690620"/>
                          </a:xfrm>
                          <a:prstGeom prst="rect">
                            <a:avLst/>
                          </a:prstGeom>
                          <a:noFill/>
                          <a:ln>
                            <a:noFill/>
                          </a:ln>
                        </pic:spPr>
                      </pic:pic>
                    </a:graphicData>
                  </a:graphic>
                </wp:inline>
              </w:drawing>
            </w:r>
          </w:p>
        </w:tc>
      </w:tr>
      <w:tr w:rsidR="00464139" w:rsidRPr="00ED1CEC" w14:paraId="5C255EAC" w14:textId="77777777" w:rsidTr="005B2612">
        <w:tc>
          <w:tcPr>
            <w:tcW w:w="13176" w:type="dxa"/>
          </w:tcPr>
          <w:p w14:paraId="16B295B1" w14:textId="77777777" w:rsidR="00464139" w:rsidRPr="00ED1CEC" w:rsidRDefault="00464139" w:rsidP="005B2612">
            <w:pPr>
              <w:rPr>
                <w:rFonts w:cs="Times New Roman"/>
                <w:b/>
                <w:sz w:val="24"/>
                <w:szCs w:val="24"/>
              </w:rPr>
            </w:pPr>
            <w:r w:rsidRPr="00ED1CEC">
              <w:rPr>
                <w:rFonts w:eastAsia="Times New Roman" w:cs="Times New Roman"/>
                <w:sz w:val="24"/>
                <w:szCs w:val="24"/>
              </w:rPr>
              <w:t>Note: The stability of the VAR models has been confirmed, as all eigenvalues lie inside the unit circle, ensuring the robustness of the estimations. This strengthens the validity of our results and reinforces the earlier findings from the Transfer Entropy and Granger causality analyses.</w:t>
            </w:r>
          </w:p>
        </w:tc>
      </w:tr>
      <w:tr w:rsidR="00464139" w:rsidRPr="00ED1CEC" w14:paraId="46F4406F" w14:textId="77777777" w:rsidTr="005B2612">
        <w:tc>
          <w:tcPr>
            <w:tcW w:w="13176" w:type="dxa"/>
          </w:tcPr>
          <w:p w14:paraId="20ADCF3E" w14:textId="7563E0D4" w:rsidR="00464139" w:rsidRPr="00ED1CEC" w:rsidRDefault="00464139" w:rsidP="005B2612">
            <w:pPr>
              <w:rPr>
                <w:rFonts w:cs="Times New Roman"/>
                <w:b/>
                <w:sz w:val="24"/>
                <w:szCs w:val="24"/>
              </w:rPr>
            </w:pPr>
            <w:r w:rsidRPr="00ED1CEC">
              <w:rPr>
                <w:rFonts w:eastAsia="Times New Roman" w:cs="Times New Roman"/>
                <w:b/>
                <w:bCs/>
                <w:sz w:val="24"/>
                <w:szCs w:val="24"/>
              </w:rPr>
              <w:t xml:space="preserve">Figure </w:t>
            </w:r>
            <w:r w:rsidR="005B10DD">
              <w:rPr>
                <w:rFonts w:eastAsia="Times New Roman" w:cs="Times New Roman"/>
                <w:b/>
                <w:bCs/>
                <w:sz w:val="24"/>
                <w:szCs w:val="24"/>
              </w:rPr>
              <w:t>S2</w:t>
            </w:r>
            <w:r w:rsidRPr="00ED1CEC">
              <w:rPr>
                <w:rFonts w:eastAsia="Times New Roman" w:cs="Times New Roman"/>
                <w:b/>
                <w:bCs/>
                <w:sz w:val="24"/>
                <w:szCs w:val="24"/>
              </w:rPr>
              <w:t>. Eigenvalue stability condition</w:t>
            </w:r>
          </w:p>
        </w:tc>
      </w:tr>
      <w:tr w:rsidR="00464139" w:rsidRPr="00ED1CEC" w14:paraId="1F653B5A" w14:textId="77777777" w:rsidTr="005B2612">
        <w:tc>
          <w:tcPr>
            <w:tcW w:w="13176" w:type="dxa"/>
          </w:tcPr>
          <w:p w14:paraId="2358C408" w14:textId="77777777" w:rsidR="00464139" w:rsidRPr="00ED1CEC" w:rsidRDefault="00464139" w:rsidP="005B2612">
            <w:pPr>
              <w:jc w:val="right"/>
              <w:rPr>
                <w:rFonts w:cs="Times New Roman"/>
                <w:b/>
                <w:sz w:val="24"/>
                <w:szCs w:val="24"/>
              </w:rPr>
            </w:pPr>
            <w:r w:rsidRPr="00ED1CEC">
              <w:rPr>
                <w:rFonts w:eastAsia="Times New Roman" w:cs="Times New Roman"/>
                <w:i/>
                <w:iCs/>
                <w:sz w:val="24"/>
                <w:szCs w:val="24"/>
              </w:rPr>
              <w:t>Source: Estimated by authors</w:t>
            </w:r>
          </w:p>
        </w:tc>
      </w:tr>
      <w:bookmarkEnd w:id="1"/>
    </w:tbl>
    <w:p w14:paraId="273AD7FE" w14:textId="77777777" w:rsidR="00464139" w:rsidRPr="00464139" w:rsidRDefault="00464139" w:rsidP="00464139"/>
    <w:sectPr w:rsidR="00464139" w:rsidRPr="00464139" w:rsidSect="00F07385">
      <w:pgSz w:w="16838" w:h="11906" w:orient="landscape"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51A"/>
    <w:rsid w:val="00083376"/>
    <w:rsid w:val="000D794A"/>
    <w:rsid w:val="001521F3"/>
    <w:rsid w:val="001C61EF"/>
    <w:rsid w:val="001E28B7"/>
    <w:rsid w:val="00224F86"/>
    <w:rsid w:val="00240DAF"/>
    <w:rsid w:val="002557E8"/>
    <w:rsid w:val="0037251A"/>
    <w:rsid w:val="003811BD"/>
    <w:rsid w:val="003F38E9"/>
    <w:rsid w:val="004138B4"/>
    <w:rsid w:val="00451FE8"/>
    <w:rsid w:val="00464139"/>
    <w:rsid w:val="004C4640"/>
    <w:rsid w:val="005248E5"/>
    <w:rsid w:val="005811F2"/>
    <w:rsid w:val="005927E4"/>
    <w:rsid w:val="005B10DD"/>
    <w:rsid w:val="005B44A4"/>
    <w:rsid w:val="005E4582"/>
    <w:rsid w:val="006537FA"/>
    <w:rsid w:val="00690B45"/>
    <w:rsid w:val="0073695C"/>
    <w:rsid w:val="007D73F5"/>
    <w:rsid w:val="0083320D"/>
    <w:rsid w:val="008C3C17"/>
    <w:rsid w:val="00922A34"/>
    <w:rsid w:val="009F61FD"/>
    <w:rsid w:val="00A21C18"/>
    <w:rsid w:val="00A67A09"/>
    <w:rsid w:val="00B12387"/>
    <w:rsid w:val="00B349C9"/>
    <w:rsid w:val="00C46B16"/>
    <w:rsid w:val="00CB3E0B"/>
    <w:rsid w:val="00D047C5"/>
    <w:rsid w:val="00D705B9"/>
    <w:rsid w:val="00DA1E65"/>
    <w:rsid w:val="00E07750"/>
    <w:rsid w:val="00E72F14"/>
    <w:rsid w:val="00E86B7C"/>
    <w:rsid w:val="00F07385"/>
    <w:rsid w:val="00F857B9"/>
    <w:rsid w:val="00F95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B4AE5"/>
  <w15:chartTrackingRefBased/>
  <w15:docId w15:val="{4CABD1A7-5BC5-48E3-AE77-1B9EA9868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251A"/>
    <w:pPr>
      <w:spacing w:before="60" w:after="60" w:line="360" w:lineRule="auto"/>
      <w:jc w:val="both"/>
    </w:pPr>
    <w:rPr>
      <w:rFonts w:ascii="Times New Roman" w:hAnsi="Times New Roman"/>
      <w:kern w:val="0"/>
      <w:sz w:val="26"/>
      <w:szCs w:val="22"/>
      <w14:ligatures w14:val="none"/>
    </w:rPr>
  </w:style>
  <w:style w:type="paragraph" w:styleId="Heading1">
    <w:name w:val="heading 1"/>
    <w:basedOn w:val="Normal"/>
    <w:next w:val="Normal"/>
    <w:link w:val="Heading1Char"/>
    <w:uiPriority w:val="9"/>
    <w:qFormat/>
    <w:rsid w:val="0037251A"/>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7251A"/>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7251A"/>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7251A"/>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7251A"/>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7251A"/>
    <w:pPr>
      <w:keepNext/>
      <w:keepLines/>
      <w:spacing w:before="40" w:after="0" w:line="278" w:lineRule="auto"/>
      <w:jc w:val="left"/>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7251A"/>
    <w:pPr>
      <w:keepNext/>
      <w:keepLines/>
      <w:spacing w:before="40" w:after="0" w:line="278" w:lineRule="auto"/>
      <w:jc w:val="left"/>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7251A"/>
    <w:pPr>
      <w:keepNext/>
      <w:keepLines/>
      <w:spacing w:before="0" w:after="0" w:line="278" w:lineRule="auto"/>
      <w:jc w:val="left"/>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7251A"/>
    <w:pPr>
      <w:keepNext/>
      <w:keepLines/>
      <w:spacing w:before="0" w:after="0" w:line="278" w:lineRule="auto"/>
      <w:jc w:val="left"/>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5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25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25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25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25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25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25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25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251A"/>
    <w:rPr>
      <w:rFonts w:eastAsiaTheme="majorEastAsia" w:cstheme="majorBidi"/>
      <w:color w:val="272727" w:themeColor="text1" w:themeTint="D8"/>
    </w:rPr>
  </w:style>
  <w:style w:type="paragraph" w:styleId="Title">
    <w:name w:val="Title"/>
    <w:basedOn w:val="Normal"/>
    <w:next w:val="Normal"/>
    <w:link w:val="TitleChar"/>
    <w:uiPriority w:val="10"/>
    <w:qFormat/>
    <w:rsid w:val="0037251A"/>
    <w:pPr>
      <w:spacing w:before="0" w:after="80" w:line="240" w:lineRule="auto"/>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725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251A"/>
    <w:pPr>
      <w:numPr>
        <w:ilvl w:val="1"/>
      </w:numPr>
      <w:spacing w:before="0"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725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251A"/>
    <w:pPr>
      <w:spacing w:before="160" w:after="160" w:line="278" w:lineRule="auto"/>
      <w:jc w:val="center"/>
    </w:pPr>
    <w:rPr>
      <w:rFonts w:asciiTheme="minorHAnsi" w:hAnsi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7251A"/>
    <w:rPr>
      <w:i/>
      <w:iCs/>
      <w:color w:val="404040" w:themeColor="text1" w:themeTint="BF"/>
    </w:rPr>
  </w:style>
  <w:style w:type="paragraph" w:styleId="ListParagraph">
    <w:name w:val="List Paragraph"/>
    <w:basedOn w:val="Normal"/>
    <w:uiPriority w:val="34"/>
    <w:qFormat/>
    <w:rsid w:val="0037251A"/>
    <w:pPr>
      <w:spacing w:before="0" w:after="160" w:line="278" w:lineRule="auto"/>
      <w:ind w:left="720"/>
      <w:contextualSpacing/>
      <w:jc w:val="left"/>
    </w:pPr>
    <w:rPr>
      <w:rFonts w:asciiTheme="minorHAnsi" w:hAnsiTheme="minorHAnsi"/>
      <w:kern w:val="2"/>
      <w:sz w:val="24"/>
      <w:szCs w:val="24"/>
      <w14:ligatures w14:val="standardContextual"/>
    </w:rPr>
  </w:style>
  <w:style w:type="character" w:styleId="IntenseEmphasis">
    <w:name w:val="Intense Emphasis"/>
    <w:basedOn w:val="DefaultParagraphFont"/>
    <w:uiPriority w:val="21"/>
    <w:qFormat/>
    <w:rsid w:val="0037251A"/>
    <w:rPr>
      <w:i/>
      <w:iCs/>
      <w:color w:val="0F4761" w:themeColor="accent1" w:themeShade="BF"/>
    </w:rPr>
  </w:style>
  <w:style w:type="paragraph" w:styleId="IntenseQuote">
    <w:name w:val="Intense Quote"/>
    <w:basedOn w:val="Normal"/>
    <w:next w:val="Normal"/>
    <w:link w:val="IntenseQuoteChar"/>
    <w:uiPriority w:val="30"/>
    <w:qFormat/>
    <w:rsid w:val="0037251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7251A"/>
    <w:rPr>
      <w:i/>
      <w:iCs/>
      <w:color w:val="0F4761" w:themeColor="accent1" w:themeShade="BF"/>
    </w:rPr>
  </w:style>
  <w:style w:type="character" w:styleId="IntenseReference">
    <w:name w:val="Intense Reference"/>
    <w:basedOn w:val="DefaultParagraphFont"/>
    <w:uiPriority w:val="32"/>
    <w:qFormat/>
    <w:rsid w:val="0037251A"/>
    <w:rPr>
      <w:b/>
      <w:bCs/>
      <w:smallCaps/>
      <w:color w:val="0F4761" w:themeColor="accent1" w:themeShade="BF"/>
      <w:spacing w:val="5"/>
    </w:rPr>
  </w:style>
  <w:style w:type="table" w:styleId="TableGrid">
    <w:name w:val="Table Grid"/>
    <w:basedOn w:val="TableNormal"/>
    <w:uiPriority w:val="39"/>
    <w:rsid w:val="0037251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725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2457</Words>
  <Characters>14008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 Thị Thanh Trang</dc:creator>
  <cp:keywords/>
  <dc:description/>
  <cp:lastModifiedBy>Kevin Emerald</cp:lastModifiedBy>
  <cp:revision>31</cp:revision>
  <dcterms:created xsi:type="dcterms:W3CDTF">2025-10-23T03:04:00Z</dcterms:created>
  <dcterms:modified xsi:type="dcterms:W3CDTF">2026-02-03T13:59:00Z</dcterms:modified>
</cp:coreProperties>
</file>