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F5C0E" w14:textId="3290C563" w:rsidR="004717A5" w:rsidRPr="004717A5" w:rsidRDefault="004717A5" w:rsidP="004717A5">
      <w:pPr>
        <w:jc w:val="center"/>
        <w:rPr>
          <w:b/>
          <w:bCs/>
        </w:rPr>
      </w:pPr>
      <w:r w:rsidRPr="004717A5">
        <w:rPr>
          <w:b/>
          <w:bCs/>
        </w:rPr>
        <w:t>Table S</w:t>
      </w:r>
      <w:r>
        <w:rPr>
          <w:b/>
          <w:bCs/>
        </w:rPr>
        <w:t>1</w:t>
      </w:r>
      <w:r w:rsidRPr="004717A5">
        <w:rPr>
          <w:b/>
          <w:bCs/>
        </w:rPr>
        <w:t>:</w:t>
      </w:r>
      <w:r>
        <w:rPr>
          <w:b/>
          <w:bCs/>
        </w:rPr>
        <w:t xml:space="preserve"> VIF </w:t>
      </w:r>
      <w:bookmarkStart w:id="0" w:name="_GoBack"/>
      <w:bookmarkEnd w:id="0"/>
      <w:r>
        <w:rPr>
          <w:b/>
          <w:bCs/>
        </w:rPr>
        <w:t>Multicollinearity Test</w:t>
      </w:r>
    </w:p>
    <w:p w14:paraId="72BE6A1B" w14:textId="77777777" w:rsidR="004717A5" w:rsidRDefault="004717A5" w:rsidP="004717A5">
      <w:pPr>
        <w:jc w:val="center"/>
      </w:pPr>
    </w:p>
    <w:p w14:paraId="59A1C33C" w14:textId="77777777" w:rsidR="004717A5" w:rsidRDefault="004717A5" w:rsidP="004717A5">
      <w:pPr>
        <w:jc w:val="center"/>
      </w:pPr>
    </w:p>
    <w:tbl>
      <w:tblPr>
        <w:tblStyle w:val="PlainTable2"/>
        <w:tblpPr w:leftFromText="180" w:rightFromText="180" w:horzAnchor="margin" w:tblpXSpec="center" w:tblpY="420"/>
        <w:tblW w:w="0" w:type="auto"/>
        <w:tblLook w:val="04A0" w:firstRow="1" w:lastRow="0" w:firstColumn="1" w:lastColumn="0" w:noHBand="0" w:noVBand="1"/>
      </w:tblPr>
      <w:tblGrid>
        <w:gridCol w:w="3116"/>
        <w:gridCol w:w="3117"/>
      </w:tblGrid>
      <w:tr w:rsidR="004717A5" w14:paraId="718DB799" w14:textId="77777777" w:rsidTr="004717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4EDBFE" w14:textId="5882758B" w:rsidR="004717A5" w:rsidRDefault="004717A5" w:rsidP="004717A5">
            <w:pPr>
              <w:jc w:val="center"/>
            </w:pPr>
            <w:r>
              <w:t>Variable</w:t>
            </w:r>
          </w:p>
        </w:tc>
        <w:tc>
          <w:tcPr>
            <w:tcW w:w="3117" w:type="dxa"/>
          </w:tcPr>
          <w:p w14:paraId="0B5A6496" w14:textId="79265115" w:rsidR="004717A5" w:rsidRDefault="004717A5" w:rsidP="004717A5">
            <w:pPr>
              <w:jc w:val="center"/>
              <w:cnfStyle w:val="100000000000" w:firstRow="1" w:lastRow="0" w:firstColumn="0" w:lastColumn="0" w:oddVBand="0" w:evenVBand="0" w:oddHBand="0" w:evenHBand="0" w:firstRowFirstColumn="0" w:firstRowLastColumn="0" w:lastRowFirstColumn="0" w:lastRowLastColumn="0"/>
            </w:pPr>
            <w:r>
              <w:t>VIF</w:t>
            </w:r>
          </w:p>
        </w:tc>
      </w:tr>
      <w:tr w:rsidR="004717A5" w14:paraId="72789589" w14:textId="77777777" w:rsidTr="004717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4C9699B" w14:textId="180552E7" w:rsidR="004717A5" w:rsidRPr="004717A5" w:rsidRDefault="004717A5" w:rsidP="004717A5">
            <w:pPr>
              <w:jc w:val="center"/>
              <w:rPr>
                <w:b w:val="0"/>
                <w:bCs w:val="0"/>
                <w:i/>
                <w:iCs/>
              </w:rPr>
            </w:pPr>
            <w:proofErr w:type="spellStart"/>
            <w:r w:rsidRPr="004717A5">
              <w:rPr>
                <w:b w:val="0"/>
                <w:bCs w:val="0"/>
                <w:i/>
                <w:iCs/>
              </w:rPr>
              <w:t>lnOil</w:t>
            </w:r>
            <w:proofErr w:type="spellEnd"/>
          </w:p>
        </w:tc>
        <w:tc>
          <w:tcPr>
            <w:tcW w:w="3117" w:type="dxa"/>
          </w:tcPr>
          <w:p w14:paraId="1DE5576C" w14:textId="363742BA" w:rsidR="004717A5" w:rsidRDefault="004717A5" w:rsidP="004717A5">
            <w:pPr>
              <w:jc w:val="center"/>
              <w:cnfStyle w:val="000000100000" w:firstRow="0" w:lastRow="0" w:firstColumn="0" w:lastColumn="0" w:oddVBand="0" w:evenVBand="0" w:oddHBand="1" w:evenHBand="0" w:firstRowFirstColumn="0" w:firstRowLastColumn="0" w:lastRowFirstColumn="0" w:lastRowLastColumn="0"/>
            </w:pPr>
            <w:r>
              <w:t>3.45</w:t>
            </w:r>
          </w:p>
        </w:tc>
      </w:tr>
      <w:tr w:rsidR="004717A5" w14:paraId="37D921AF" w14:textId="77777777" w:rsidTr="004717A5">
        <w:tc>
          <w:tcPr>
            <w:cnfStyle w:val="001000000000" w:firstRow="0" w:lastRow="0" w:firstColumn="1" w:lastColumn="0" w:oddVBand="0" w:evenVBand="0" w:oddHBand="0" w:evenHBand="0" w:firstRowFirstColumn="0" w:firstRowLastColumn="0" w:lastRowFirstColumn="0" w:lastRowLastColumn="0"/>
            <w:tcW w:w="3116" w:type="dxa"/>
          </w:tcPr>
          <w:p w14:paraId="170D9B44" w14:textId="5D669730" w:rsidR="004717A5" w:rsidRPr="004717A5" w:rsidRDefault="00165AEA" w:rsidP="004717A5">
            <w:pPr>
              <w:jc w:val="center"/>
              <w:rPr>
                <w:b w:val="0"/>
                <w:bCs w:val="0"/>
                <w:i/>
                <w:iCs/>
              </w:rPr>
            </w:pPr>
            <w:proofErr w:type="spellStart"/>
            <w:r>
              <w:rPr>
                <w:b w:val="0"/>
                <w:bCs w:val="0"/>
                <w:i/>
                <w:iCs/>
              </w:rPr>
              <w:t>l</w:t>
            </w:r>
            <w:r w:rsidR="004717A5" w:rsidRPr="004717A5">
              <w:rPr>
                <w:b w:val="0"/>
                <w:bCs w:val="0"/>
                <w:i/>
                <w:iCs/>
              </w:rPr>
              <w:t>nY</w:t>
            </w:r>
            <w:proofErr w:type="spellEnd"/>
          </w:p>
        </w:tc>
        <w:tc>
          <w:tcPr>
            <w:tcW w:w="3117" w:type="dxa"/>
          </w:tcPr>
          <w:p w14:paraId="000A38E1" w14:textId="752E95C1" w:rsidR="004717A5" w:rsidRDefault="004717A5" w:rsidP="004717A5">
            <w:pPr>
              <w:jc w:val="center"/>
              <w:cnfStyle w:val="000000000000" w:firstRow="0" w:lastRow="0" w:firstColumn="0" w:lastColumn="0" w:oddVBand="0" w:evenVBand="0" w:oddHBand="0" w:evenHBand="0" w:firstRowFirstColumn="0" w:firstRowLastColumn="0" w:lastRowFirstColumn="0" w:lastRowLastColumn="0"/>
            </w:pPr>
            <w:r>
              <w:t>3.18</w:t>
            </w:r>
          </w:p>
        </w:tc>
      </w:tr>
      <w:tr w:rsidR="004717A5" w14:paraId="17B77862" w14:textId="77777777" w:rsidTr="004717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FEE088C" w14:textId="7352AACD" w:rsidR="004717A5" w:rsidRPr="004717A5" w:rsidRDefault="00165AEA" w:rsidP="004717A5">
            <w:pPr>
              <w:jc w:val="center"/>
              <w:rPr>
                <w:b w:val="0"/>
                <w:bCs w:val="0"/>
                <w:i/>
                <w:iCs/>
              </w:rPr>
            </w:pPr>
            <w:proofErr w:type="spellStart"/>
            <w:r>
              <w:rPr>
                <w:b w:val="0"/>
                <w:bCs w:val="0"/>
                <w:i/>
                <w:iCs/>
              </w:rPr>
              <w:t>l</w:t>
            </w:r>
            <w:r w:rsidR="004717A5" w:rsidRPr="004717A5">
              <w:rPr>
                <w:b w:val="0"/>
                <w:bCs w:val="0"/>
                <w:i/>
                <w:iCs/>
              </w:rPr>
              <w:t>nREM</w:t>
            </w:r>
            <w:proofErr w:type="spellEnd"/>
          </w:p>
        </w:tc>
        <w:tc>
          <w:tcPr>
            <w:tcW w:w="3117" w:type="dxa"/>
          </w:tcPr>
          <w:p w14:paraId="09CAB1C3" w14:textId="5ED43D52" w:rsidR="004717A5" w:rsidRDefault="004717A5" w:rsidP="004717A5">
            <w:pPr>
              <w:jc w:val="center"/>
              <w:cnfStyle w:val="000000100000" w:firstRow="0" w:lastRow="0" w:firstColumn="0" w:lastColumn="0" w:oddVBand="0" w:evenVBand="0" w:oddHBand="1" w:evenHBand="0" w:firstRowFirstColumn="0" w:firstRowLastColumn="0" w:lastRowFirstColumn="0" w:lastRowLastColumn="0"/>
            </w:pPr>
            <w:r>
              <w:t>2.71</w:t>
            </w:r>
          </w:p>
        </w:tc>
      </w:tr>
      <w:tr w:rsidR="004717A5" w14:paraId="551D2F0C" w14:textId="77777777" w:rsidTr="004717A5">
        <w:tc>
          <w:tcPr>
            <w:cnfStyle w:val="001000000000" w:firstRow="0" w:lastRow="0" w:firstColumn="1" w:lastColumn="0" w:oddVBand="0" w:evenVBand="0" w:oddHBand="0" w:evenHBand="0" w:firstRowFirstColumn="0" w:firstRowLastColumn="0" w:lastRowFirstColumn="0" w:lastRowLastColumn="0"/>
            <w:tcW w:w="3116" w:type="dxa"/>
          </w:tcPr>
          <w:p w14:paraId="7492057D" w14:textId="629A0200" w:rsidR="004717A5" w:rsidRPr="004717A5" w:rsidRDefault="004717A5" w:rsidP="004717A5">
            <w:pPr>
              <w:jc w:val="center"/>
              <w:rPr>
                <w:b w:val="0"/>
                <w:bCs w:val="0"/>
                <w:i/>
                <w:iCs/>
              </w:rPr>
            </w:pPr>
            <w:proofErr w:type="spellStart"/>
            <w:r w:rsidRPr="004717A5">
              <w:rPr>
                <w:b w:val="0"/>
                <w:bCs w:val="0"/>
                <w:i/>
                <w:iCs/>
              </w:rPr>
              <w:t>LnTO</w:t>
            </w:r>
            <w:proofErr w:type="spellEnd"/>
          </w:p>
        </w:tc>
        <w:tc>
          <w:tcPr>
            <w:tcW w:w="3117" w:type="dxa"/>
          </w:tcPr>
          <w:p w14:paraId="20E98DF7" w14:textId="4990487F" w:rsidR="004717A5" w:rsidRDefault="004717A5" w:rsidP="004717A5">
            <w:pPr>
              <w:jc w:val="center"/>
              <w:cnfStyle w:val="000000000000" w:firstRow="0" w:lastRow="0" w:firstColumn="0" w:lastColumn="0" w:oddVBand="0" w:evenVBand="0" w:oddHBand="0" w:evenHBand="0" w:firstRowFirstColumn="0" w:firstRowLastColumn="0" w:lastRowFirstColumn="0" w:lastRowLastColumn="0"/>
            </w:pPr>
            <w:r>
              <w:t>1.77</w:t>
            </w:r>
          </w:p>
        </w:tc>
      </w:tr>
      <w:tr w:rsidR="004717A5" w14:paraId="1165E8D3" w14:textId="77777777" w:rsidTr="004717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035E3A6" w14:textId="32D39033" w:rsidR="004717A5" w:rsidRPr="004717A5" w:rsidRDefault="004717A5" w:rsidP="004717A5">
            <w:pPr>
              <w:jc w:val="center"/>
              <w:rPr>
                <w:b w:val="0"/>
                <w:bCs w:val="0"/>
                <w:i/>
                <w:iCs/>
              </w:rPr>
            </w:pPr>
            <w:r w:rsidRPr="004717A5">
              <w:rPr>
                <w:b w:val="0"/>
                <w:bCs w:val="0"/>
                <w:i/>
                <w:iCs/>
              </w:rPr>
              <w:t>Dummy</w:t>
            </w:r>
          </w:p>
        </w:tc>
        <w:tc>
          <w:tcPr>
            <w:tcW w:w="3117" w:type="dxa"/>
          </w:tcPr>
          <w:p w14:paraId="1E6B31E5" w14:textId="37818329" w:rsidR="004717A5" w:rsidRDefault="004717A5" w:rsidP="004717A5">
            <w:pPr>
              <w:jc w:val="center"/>
              <w:cnfStyle w:val="000000100000" w:firstRow="0" w:lastRow="0" w:firstColumn="0" w:lastColumn="0" w:oddVBand="0" w:evenVBand="0" w:oddHBand="1" w:evenHBand="0" w:firstRowFirstColumn="0" w:firstRowLastColumn="0" w:lastRowFirstColumn="0" w:lastRowLastColumn="0"/>
            </w:pPr>
            <w:r>
              <w:t>1.38</w:t>
            </w:r>
          </w:p>
        </w:tc>
      </w:tr>
      <w:tr w:rsidR="004717A5" w14:paraId="6F854220" w14:textId="77777777" w:rsidTr="004717A5">
        <w:tc>
          <w:tcPr>
            <w:cnfStyle w:val="001000000000" w:firstRow="0" w:lastRow="0" w:firstColumn="1" w:lastColumn="0" w:oddVBand="0" w:evenVBand="0" w:oddHBand="0" w:evenHBand="0" w:firstRowFirstColumn="0" w:firstRowLastColumn="0" w:lastRowFirstColumn="0" w:lastRowLastColumn="0"/>
            <w:tcW w:w="3116" w:type="dxa"/>
          </w:tcPr>
          <w:p w14:paraId="2BD417F3" w14:textId="196E9B90" w:rsidR="004717A5" w:rsidRPr="004717A5" w:rsidRDefault="004717A5" w:rsidP="004717A5">
            <w:pPr>
              <w:jc w:val="center"/>
              <w:rPr>
                <w:b w:val="0"/>
                <w:bCs w:val="0"/>
                <w:i/>
                <w:iCs/>
              </w:rPr>
            </w:pPr>
            <w:proofErr w:type="spellStart"/>
            <w:r w:rsidRPr="004717A5">
              <w:rPr>
                <w:b w:val="0"/>
                <w:bCs w:val="0"/>
                <w:i/>
                <w:iCs/>
              </w:rPr>
              <w:t>War</w:t>
            </w:r>
            <w:r w:rsidRPr="004717A5">
              <w:rPr>
                <w:rFonts w:cs="Times New Roman"/>
                <w:b w:val="0"/>
                <w:bCs w:val="0"/>
                <w:i/>
                <w:iCs/>
              </w:rPr>
              <w:t>×</w:t>
            </w:r>
            <w:r w:rsidRPr="004717A5">
              <w:rPr>
                <w:b w:val="0"/>
                <w:bCs w:val="0"/>
                <w:i/>
                <w:iCs/>
              </w:rPr>
              <w:t>Dependency</w:t>
            </w:r>
            <w:proofErr w:type="spellEnd"/>
          </w:p>
        </w:tc>
        <w:tc>
          <w:tcPr>
            <w:tcW w:w="3117" w:type="dxa"/>
          </w:tcPr>
          <w:p w14:paraId="02A78425" w14:textId="2F83CE81" w:rsidR="004717A5" w:rsidRDefault="004717A5" w:rsidP="004717A5">
            <w:pPr>
              <w:jc w:val="center"/>
              <w:cnfStyle w:val="000000000000" w:firstRow="0" w:lastRow="0" w:firstColumn="0" w:lastColumn="0" w:oddVBand="0" w:evenVBand="0" w:oddHBand="0" w:evenHBand="0" w:firstRowFirstColumn="0" w:firstRowLastColumn="0" w:lastRowFirstColumn="0" w:lastRowLastColumn="0"/>
            </w:pPr>
            <w:r>
              <w:t>1.36</w:t>
            </w:r>
          </w:p>
        </w:tc>
      </w:tr>
      <w:tr w:rsidR="004717A5" w14:paraId="348E09C2" w14:textId="77777777" w:rsidTr="004717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623B58A" w14:textId="085FFAFD" w:rsidR="004717A5" w:rsidRPr="004717A5" w:rsidRDefault="00165AEA" w:rsidP="004717A5">
            <w:pPr>
              <w:jc w:val="center"/>
              <w:rPr>
                <w:b w:val="0"/>
                <w:bCs w:val="0"/>
                <w:i/>
                <w:iCs/>
              </w:rPr>
            </w:pPr>
            <w:proofErr w:type="spellStart"/>
            <w:r>
              <w:rPr>
                <w:b w:val="0"/>
                <w:bCs w:val="0"/>
                <w:i/>
                <w:iCs/>
              </w:rPr>
              <w:t>l</w:t>
            </w:r>
            <w:r w:rsidR="004717A5" w:rsidRPr="004717A5">
              <w:rPr>
                <w:b w:val="0"/>
                <w:bCs w:val="0"/>
                <w:i/>
                <w:iCs/>
              </w:rPr>
              <w:t>nUNEMP</w:t>
            </w:r>
            <w:proofErr w:type="spellEnd"/>
          </w:p>
        </w:tc>
        <w:tc>
          <w:tcPr>
            <w:tcW w:w="3117" w:type="dxa"/>
          </w:tcPr>
          <w:p w14:paraId="72F8241B" w14:textId="571C69F6" w:rsidR="004717A5" w:rsidRDefault="004717A5" w:rsidP="004717A5">
            <w:pPr>
              <w:jc w:val="center"/>
              <w:cnfStyle w:val="000000100000" w:firstRow="0" w:lastRow="0" w:firstColumn="0" w:lastColumn="0" w:oddVBand="0" w:evenVBand="0" w:oddHBand="1" w:evenHBand="0" w:firstRowFirstColumn="0" w:firstRowLastColumn="0" w:lastRowFirstColumn="0" w:lastRowLastColumn="0"/>
            </w:pPr>
            <w:r>
              <w:t>1.34</w:t>
            </w:r>
          </w:p>
        </w:tc>
      </w:tr>
      <w:tr w:rsidR="004717A5" w14:paraId="18E45857" w14:textId="77777777" w:rsidTr="004717A5">
        <w:tc>
          <w:tcPr>
            <w:cnfStyle w:val="001000000000" w:firstRow="0" w:lastRow="0" w:firstColumn="1" w:lastColumn="0" w:oddVBand="0" w:evenVBand="0" w:oddHBand="0" w:evenHBand="0" w:firstRowFirstColumn="0" w:firstRowLastColumn="0" w:lastRowFirstColumn="0" w:lastRowLastColumn="0"/>
            <w:tcW w:w="3116" w:type="dxa"/>
          </w:tcPr>
          <w:p w14:paraId="3FE6F087" w14:textId="3BEB6F17" w:rsidR="004717A5" w:rsidRPr="004717A5" w:rsidRDefault="00165AEA" w:rsidP="004717A5">
            <w:pPr>
              <w:jc w:val="center"/>
              <w:rPr>
                <w:b w:val="0"/>
                <w:bCs w:val="0"/>
                <w:i/>
                <w:iCs/>
              </w:rPr>
            </w:pPr>
            <w:proofErr w:type="spellStart"/>
            <w:r>
              <w:rPr>
                <w:b w:val="0"/>
                <w:bCs w:val="0"/>
                <w:i/>
                <w:iCs/>
              </w:rPr>
              <w:t>l</w:t>
            </w:r>
            <w:r w:rsidR="004717A5" w:rsidRPr="004717A5">
              <w:rPr>
                <w:b w:val="0"/>
                <w:bCs w:val="0"/>
                <w:i/>
                <w:iCs/>
              </w:rPr>
              <w:t>nINF</w:t>
            </w:r>
            <w:proofErr w:type="spellEnd"/>
          </w:p>
        </w:tc>
        <w:tc>
          <w:tcPr>
            <w:tcW w:w="3117" w:type="dxa"/>
          </w:tcPr>
          <w:p w14:paraId="19A638F9" w14:textId="36D8EDF2" w:rsidR="004717A5" w:rsidRDefault="004717A5" w:rsidP="004717A5">
            <w:pPr>
              <w:jc w:val="center"/>
              <w:cnfStyle w:val="000000000000" w:firstRow="0" w:lastRow="0" w:firstColumn="0" w:lastColumn="0" w:oddVBand="0" w:evenVBand="0" w:oddHBand="0" w:evenHBand="0" w:firstRowFirstColumn="0" w:firstRowLastColumn="0" w:lastRowFirstColumn="0" w:lastRowLastColumn="0"/>
            </w:pPr>
            <w:r>
              <w:t>1.20</w:t>
            </w:r>
          </w:p>
        </w:tc>
      </w:tr>
      <w:tr w:rsidR="004717A5" w14:paraId="38620F6F" w14:textId="77777777" w:rsidTr="004717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144FDEC" w14:textId="5C24E42B" w:rsidR="004717A5" w:rsidRPr="004717A5" w:rsidRDefault="004717A5" w:rsidP="004717A5">
            <w:pPr>
              <w:jc w:val="center"/>
              <w:rPr>
                <w:b w:val="0"/>
                <w:bCs w:val="0"/>
                <w:i/>
                <w:iCs/>
              </w:rPr>
            </w:pPr>
            <w:proofErr w:type="spellStart"/>
            <w:r w:rsidRPr="004717A5">
              <w:rPr>
                <w:b w:val="0"/>
                <w:bCs w:val="0"/>
                <w:i/>
                <w:iCs/>
              </w:rPr>
              <w:t>lnFDI</w:t>
            </w:r>
            <w:proofErr w:type="spellEnd"/>
          </w:p>
        </w:tc>
        <w:tc>
          <w:tcPr>
            <w:tcW w:w="3117" w:type="dxa"/>
          </w:tcPr>
          <w:p w14:paraId="2ECE38B4" w14:textId="0022EC71" w:rsidR="004717A5" w:rsidRDefault="004717A5" w:rsidP="004717A5">
            <w:pPr>
              <w:jc w:val="center"/>
              <w:cnfStyle w:val="000000100000" w:firstRow="0" w:lastRow="0" w:firstColumn="0" w:lastColumn="0" w:oddVBand="0" w:evenVBand="0" w:oddHBand="1" w:evenHBand="0" w:firstRowFirstColumn="0" w:firstRowLastColumn="0" w:lastRowFirstColumn="0" w:lastRowLastColumn="0"/>
            </w:pPr>
            <w:r>
              <w:t>1.12</w:t>
            </w:r>
          </w:p>
        </w:tc>
      </w:tr>
    </w:tbl>
    <w:p w14:paraId="37EF9040" w14:textId="77777777" w:rsidR="004717A5" w:rsidRDefault="004717A5" w:rsidP="004717A5">
      <w:pPr>
        <w:jc w:val="center"/>
      </w:pPr>
    </w:p>
    <w:p w14:paraId="7FD57BFB" w14:textId="77777777" w:rsidR="004717A5" w:rsidRDefault="004717A5" w:rsidP="004717A5">
      <w:pPr>
        <w:jc w:val="center"/>
      </w:pPr>
    </w:p>
    <w:p w14:paraId="3E1410E7" w14:textId="77777777" w:rsidR="004717A5" w:rsidRDefault="004717A5" w:rsidP="004717A5">
      <w:pPr>
        <w:jc w:val="center"/>
      </w:pPr>
    </w:p>
    <w:p w14:paraId="055D86BF" w14:textId="77777777" w:rsidR="004717A5" w:rsidRDefault="004717A5" w:rsidP="004717A5">
      <w:pPr>
        <w:jc w:val="center"/>
      </w:pPr>
    </w:p>
    <w:p w14:paraId="57C18F91" w14:textId="77777777" w:rsidR="004717A5" w:rsidRDefault="004717A5" w:rsidP="004717A5">
      <w:pPr>
        <w:jc w:val="center"/>
      </w:pPr>
    </w:p>
    <w:p w14:paraId="1B0BB866" w14:textId="77777777" w:rsidR="004717A5" w:rsidRDefault="004717A5" w:rsidP="004717A5">
      <w:pPr>
        <w:jc w:val="center"/>
      </w:pPr>
    </w:p>
    <w:p w14:paraId="482F2686" w14:textId="77777777" w:rsidR="004717A5" w:rsidRDefault="004717A5" w:rsidP="004717A5">
      <w:pPr>
        <w:jc w:val="center"/>
      </w:pPr>
    </w:p>
    <w:p w14:paraId="0942A178" w14:textId="77777777" w:rsidR="004717A5" w:rsidRDefault="004717A5" w:rsidP="004717A5">
      <w:pPr>
        <w:jc w:val="center"/>
        <w:rPr>
          <w:b/>
          <w:bCs/>
        </w:rPr>
      </w:pPr>
    </w:p>
    <w:p w14:paraId="15D89D2F" w14:textId="77777777" w:rsidR="004717A5" w:rsidRDefault="004717A5" w:rsidP="004717A5">
      <w:pPr>
        <w:jc w:val="center"/>
        <w:rPr>
          <w:b/>
          <w:bCs/>
        </w:rPr>
      </w:pPr>
    </w:p>
    <w:p w14:paraId="67686EA0" w14:textId="77777777" w:rsidR="004717A5" w:rsidRDefault="004717A5" w:rsidP="00777FB8">
      <w:pPr>
        <w:rPr>
          <w:b/>
          <w:bCs/>
        </w:rPr>
      </w:pPr>
    </w:p>
    <w:p w14:paraId="15193755" w14:textId="77777777" w:rsidR="004717A5" w:rsidRDefault="004717A5" w:rsidP="004717A5">
      <w:pPr>
        <w:jc w:val="center"/>
        <w:rPr>
          <w:b/>
          <w:bCs/>
        </w:rPr>
      </w:pPr>
    </w:p>
    <w:p w14:paraId="713FB526" w14:textId="7433B588" w:rsidR="004717A5" w:rsidRDefault="004717A5" w:rsidP="004717A5">
      <w:pPr>
        <w:jc w:val="center"/>
        <w:rPr>
          <w:b/>
          <w:bCs/>
        </w:rPr>
      </w:pPr>
      <w:r>
        <w:rPr>
          <w:b/>
          <w:bCs/>
        </w:rPr>
        <w:t xml:space="preserve">Table S2: </w:t>
      </w:r>
      <w:r w:rsidRPr="004717A5">
        <w:rPr>
          <w:b/>
          <w:bCs/>
        </w:rPr>
        <w:t>Breusch-Pagan / Cook-Weisberg test for heteroskedasticity</w:t>
      </w:r>
    </w:p>
    <w:tbl>
      <w:tblPr>
        <w:tblStyle w:val="PlainTable2"/>
        <w:tblW w:w="0" w:type="auto"/>
        <w:tblInd w:w="1230" w:type="dxa"/>
        <w:tblLook w:val="04A0" w:firstRow="1" w:lastRow="0" w:firstColumn="1" w:lastColumn="0" w:noHBand="0" w:noVBand="1"/>
      </w:tblPr>
      <w:tblGrid>
        <w:gridCol w:w="3455"/>
        <w:gridCol w:w="3455"/>
      </w:tblGrid>
      <w:tr w:rsidR="004717A5" w14:paraId="1A45C08D" w14:textId="77777777" w:rsidTr="009F1822">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3455" w:type="dxa"/>
          </w:tcPr>
          <w:p w14:paraId="57A890B4" w14:textId="70A12066" w:rsidR="004717A5" w:rsidRPr="004717A5" w:rsidRDefault="004717A5" w:rsidP="009F1822">
            <w:pPr>
              <w:spacing w:after="160" w:line="256" w:lineRule="auto"/>
              <w:jc w:val="center"/>
              <w:rPr>
                <w:b w:val="0"/>
                <w:bCs w:val="0"/>
                <w:sz w:val="22"/>
                <w:szCs w:val="20"/>
              </w:rPr>
            </w:pPr>
            <w:r>
              <w:rPr>
                <w:b w:val="0"/>
                <w:bCs w:val="0"/>
              </w:rPr>
              <w:t>Chi2 (1)</w:t>
            </w:r>
          </w:p>
        </w:tc>
        <w:tc>
          <w:tcPr>
            <w:tcW w:w="3455" w:type="dxa"/>
          </w:tcPr>
          <w:p w14:paraId="78C43582" w14:textId="48B47092" w:rsidR="004717A5" w:rsidRPr="004717A5" w:rsidRDefault="004717A5" w:rsidP="009F1822">
            <w:pPr>
              <w:spacing w:after="160" w:line="25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0"/>
              </w:rPr>
            </w:pPr>
            <w:r>
              <w:rPr>
                <w:b w:val="0"/>
                <w:bCs w:val="0"/>
              </w:rPr>
              <w:t>0.61</w:t>
            </w:r>
          </w:p>
        </w:tc>
      </w:tr>
      <w:tr w:rsidR="004717A5" w14:paraId="5D5BE8AF" w14:textId="77777777" w:rsidTr="009F1822">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455" w:type="dxa"/>
          </w:tcPr>
          <w:p w14:paraId="00F8B2AD" w14:textId="25D2D39B" w:rsidR="004717A5" w:rsidRPr="004717A5" w:rsidRDefault="004717A5" w:rsidP="009F1822">
            <w:pPr>
              <w:spacing w:after="160" w:line="256" w:lineRule="auto"/>
              <w:jc w:val="center"/>
              <w:rPr>
                <w:b w:val="0"/>
                <w:bCs w:val="0"/>
                <w:sz w:val="22"/>
                <w:szCs w:val="20"/>
              </w:rPr>
            </w:pPr>
            <w:r w:rsidRPr="004717A5">
              <w:rPr>
                <w:b w:val="0"/>
                <w:bCs w:val="0"/>
              </w:rPr>
              <w:t xml:space="preserve">           Prob &gt; </w:t>
            </w:r>
            <w:r>
              <w:rPr>
                <w:b w:val="0"/>
                <w:bCs w:val="0"/>
              </w:rPr>
              <w:t>Chi2</w:t>
            </w:r>
          </w:p>
        </w:tc>
        <w:tc>
          <w:tcPr>
            <w:tcW w:w="3455" w:type="dxa"/>
          </w:tcPr>
          <w:p w14:paraId="5FEB34F8" w14:textId="6140BC7B" w:rsidR="004717A5" w:rsidRPr="004717A5" w:rsidRDefault="004717A5" w:rsidP="009F1822">
            <w:pPr>
              <w:spacing w:after="160" w:line="256" w:lineRule="auto"/>
              <w:jc w:val="center"/>
              <w:cnfStyle w:val="000000100000" w:firstRow="0" w:lastRow="0" w:firstColumn="0" w:lastColumn="0" w:oddVBand="0" w:evenVBand="0" w:oddHBand="1" w:evenHBand="0" w:firstRowFirstColumn="0" w:firstRowLastColumn="0" w:lastRowFirstColumn="0" w:lastRowLastColumn="0"/>
              <w:rPr>
                <w:sz w:val="22"/>
                <w:szCs w:val="20"/>
              </w:rPr>
            </w:pPr>
            <w:r>
              <w:t>0.434</w:t>
            </w:r>
          </w:p>
        </w:tc>
      </w:tr>
    </w:tbl>
    <w:p w14:paraId="49F50408" w14:textId="63FA67A2" w:rsidR="004717A5" w:rsidRPr="004717A5" w:rsidRDefault="004717A5" w:rsidP="004717A5">
      <w:pPr>
        <w:jc w:val="center"/>
      </w:pPr>
      <w:r w:rsidRPr="004717A5">
        <w:t>H</w:t>
      </w:r>
      <w:r>
        <w:rPr>
          <w:vertAlign w:val="subscript"/>
        </w:rPr>
        <w:t>0</w:t>
      </w:r>
      <w:r w:rsidRPr="004717A5">
        <w:t>: Constant variance</w:t>
      </w:r>
    </w:p>
    <w:p w14:paraId="4C830A1B" w14:textId="77777777" w:rsidR="004717A5" w:rsidRDefault="004717A5" w:rsidP="004717A5">
      <w:pPr>
        <w:jc w:val="center"/>
        <w:rPr>
          <w:b/>
          <w:bCs/>
        </w:rPr>
      </w:pPr>
    </w:p>
    <w:p w14:paraId="492F103C" w14:textId="2C68D368" w:rsidR="00E93EFB" w:rsidRPr="004717A5" w:rsidRDefault="00E93EFB" w:rsidP="004717A5">
      <w:pPr>
        <w:jc w:val="center"/>
        <w:rPr>
          <w:b/>
          <w:bCs/>
        </w:rPr>
      </w:pPr>
      <w:r w:rsidRPr="004717A5">
        <w:rPr>
          <w:b/>
          <w:bCs/>
        </w:rPr>
        <w:t>Table S</w:t>
      </w:r>
      <w:r w:rsidR="004717A5" w:rsidRPr="004717A5">
        <w:rPr>
          <w:b/>
          <w:bCs/>
        </w:rPr>
        <w:t xml:space="preserve">3: </w:t>
      </w:r>
      <w:r w:rsidRPr="004717A5">
        <w:rPr>
          <w:b/>
          <w:bCs/>
        </w:rPr>
        <w:t>Wooldridge test for autocorrelation in panel data</w:t>
      </w:r>
    </w:p>
    <w:tbl>
      <w:tblPr>
        <w:tblStyle w:val="PlainTable2"/>
        <w:tblW w:w="0" w:type="auto"/>
        <w:tblInd w:w="1230" w:type="dxa"/>
        <w:tblLook w:val="04A0" w:firstRow="1" w:lastRow="0" w:firstColumn="1" w:lastColumn="0" w:noHBand="0" w:noVBand="1"/>
      </w:tblPr>
      <w:tblGrid>
        <w:gridCol w:w="3455"/>
        <w:gridCol w:w="3455"/>
      </w:tblGrid>
      <w:tr w:rsidR="00E93EFB" w14:paraId="2111150E" w14:textId="77777777" w:rsidTr="00E93EFB">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3455" w:type="dxa"/>
          </w:tcPr>
          <w:p w14:paraId="52B75067" w14:textId="6ECED902" w:rsidR="00E93EFB" w:rsidRPr="004717A5" w:rsidRDefault="00E93EFB" w:rsidP="00627770">
            <w:pPr>
              <w:spacing w:after="160" w:line="256" w:lineRule="auto"/>
              <w:jc w:val="center"/>
              <w:rPr>
                <w:b w:val="0"/>
                <w:bCs w:val="0"/>
                <w:sz w:val="22"/>
                <w:szCs w:val="20"/>
              </w:rPr>
            </w:pPr>
            <w:r w:rsidRPr="004717A5">
              <w:rPr>
                <w:b w:val="0"/>
                <w:bCs w:val="0"/>
              </w:rPr>
              <w:t xml:space="preserve">    F( 1, 9)</w:t>
            </w:r>
          </w:p>
        </w:tc>
        <w:tc>
          <w:tcPr>
            <w:tcW w:w="3455" w:type="dxa"/>
          </w:tcPr>
          <w:p w14:paraId="5D9465C5" w14:textId="2FABFF33" w:rsidR="00E93EFB" w:rsidRPr="004717A5" w:rsidRDefault="00E93EFB" w:rsidP="00627770">
            <w:pPr>
              <w:spacing w:after="160" w:line="25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0"/>
              </w:rPr>
            </w:pPr>
            <w:r w:rsidRPr="004717A5">
              <w:rPr>
                <w:b w:val="0"/>
                <w:bCs w:val="0"/>
              </w:rPr>
              <w:t>44.202</w:t>
            </w:r>
          </w:p>
        </w:tc>
      </w:tr>
      <w:tr w:rsidR="00E93EFB" w14:paraId="02873A35" w14:textId="77777777" w:rsidTr="00E93EFB">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455" w:type="dxa"/>
          </w:tcPr>
          <w:p w14:paraId="27616F70" w14:textId="25CA4E9A" w:rsidR="00E93EFB" w:rsidRPr="004717A5" w:rsidRDefault="00E93EFB" w:rsidP="00627770">
            <w:pPr>
              <w:spacing w:after="160" w:line="256" w:lineRule="auto"/>
              <w:jc w:val="center"/>
              <w:rPr>
                <w:b w:val="0"/>
                <w:bCs w:val="0"/>
                <w:sz w:val="22"/>
                <w:szCs w:val="20"/>
              </w:rPr>
            </w:pPr>
            <w:r w:rsidRPr="004717A5">
              <w:rPr>
                <w:b w:val="0"/>
                <w:bCs w:val="0"/>
              </w:rPr>
              <w:t xml:space="preserve">           Prob &gt; F</w:t>
            </w:r>
          </w:p>
        </w:tc>
        <w:tc>
          <w:tcPr>
            <w:tcW w:w="3455" w:type="dxa"/>
          </w:tcPr>
          <w:p w14:paraId="5FFCDBC0" w14:textId="64498192" w:rsidR="00E93EFB" w:rsidRPr="004717A5" w:rsidRDefault="00E93EFB" w:rsidP="00627770">
            <w:pPr>
              <w:spacing w:after="160" w:line="256" w:lineRule="auto"/>
              <w:jc w:val="center"/>
              <w:cnfStyle w:val="000000100000" w:firstRow="0" w:lastRow="0" w:firstColumn="0" w:lastColumn="0" w:oddVBand="0" w:evenVBand="0" w:oddHBand="1" w:evenHBand="0" w:firstRowFirstColumn="0" w:firstRowLastColumn="0" w:lastRowFirstColumn="0" w:lastRowLastColumn="0"/>
              <w:rPr>
                <w:sz w:val="22"/>
                <w:szCs w:val="20"/>
              </w:rPr>
            </w:pPr>
            <w:r w:rsidRPr="004717A5">
              <w:t>0.000***</w:t>
            </w:r>
          </w:p>
        </w:tc>
      </w:tr>
    </w:tbl>
    <w:p w14:paraId="7D8E918E" w14:textId="69C92A69" w:rsidR="00E93EFB" w:rsidRDefault="00E93EFB" w:rsidP="00627770">
      <w:pPr>
        <w:spacing w:after="160" w:line="256" w:lineRule="auto"/>
        <w:jc w:val="center"/>
      </w:pPr>
      <w:r>
        <w:t>H</w:t>
      </w:r>
      <w:r w:rsidRPr="004717A5">
        <w:rPr>
          <w:vertAlign w:val="subscript"/>
        </w:rPr>
        <w:t>0</w:t>
      </w:r>
      <w:r>
        <w:t>: no first-order autocorrelation</w:t>
      </w:r>
    </w:p>
    <w:p w14:paraId="656CDC7A" w14:textId="77777777" w:rsidR="00E93EFB" w:rsidRPr="00AF46D7" w:rsidRDefault="00E93EFB" w:rsidP="00E93EFB">
      <w:pPr>
        <w:spacing w:after="160" w:line="256" w:lineRule="auto"/>
        <w:jc w:val="center"/>
        <w:rPr>
          <w:sz w:val="20"/>
          <w:szCs w:val="20"/>
        </w:rPr>
      </w:pPr>
      <w:r w:rsidRPr="00AF46D7">
        <w:rPr>
          <w:sz w:val="20"/>
          <w:szCs w:val="20"/>
        </w:rPr>
        <w:t>**</w:t>
      </w:r>
      <w:r w:rsidRPr="00AF46D7">
        <w:rPr>
          <w:sz w:val="20"/>
          <w:szCs w:val="20"/>
          <w:lang w:bidi="ar-EG"/>
        </w:rPr>
        <w:t>* P</w:t>
      </w:r>
      <w:r w:rsidRPr="00AF46D7">
        <w:rPr>
          <w:rFonts w:cs="Times New Roman"/>
          <w:sz w:val="20"/>
          <w:szCs w:val="20"/>
          <w:lang w:bidi="ar-EG"/>
        </w:rPr>
        <w:t xml:space="preserve">&lt; 0.01, ** </w:t>
      </w:r>
      <w:r w:rsidRPr="00AF46D7">
        <w:rPr>
          <w:sz w:val="20"/>
          <w:szCs w:val="20"/>
          <w:lang w:bidi="ar-EG"/>
        </w:rPr>
        <w:t>P</w:t>
      </w:r>
      <w:r w:rsidRPr="00AF46D7">
        <w:rPr>
          <w:rFonts w:cs="Times New Roman"/>
          <w:sz w:val="20"/>
          <w:szCs w:val="20"/>
          <w:lang w:bidi="ar-EG"/>
        </w:rPr>
        <w:t>&lt; 0.05</w:t>
      </w:r>
      <w:r w:rsidRPr="00AF46D7">
        <w:rPr>
          <w:sz w:val="20"/>
          <w:szCs w:val="20"/>
          <w:lang w:bidi="ar-EG"/>
        </w:rPr>
        <w:t xml:space="preserve">, </w:t>
      </w:r>
      <w:r w:rsidRPr="00AF46D7">
        <w:rPr>
          <w:sz w:val="20"/>
          <w:szCs w:val="20"/>
        </w:rPr>
        <w:t xml:space="preserve">* </w:t>
      </w:r>
      <w:r w:rsidRPr="00AF46D7">
        <w:rPr>
          <w:sz w:val="20"/>
          <w:szCs w:val="20"/>
          <w:lang w:bidi="ar-EG"/>
        </w:rPr>
        <w:t>P</w:t>
      </w:r>
      <w:r w:rsidRPr="00AF46D7">
        <w:rPr>
          <w:rFonts w:cs="Times New Roman"/>
          <w:sz w:val="20"/>
          <w:szCs w:val="20"/>
          <w:lang w:bidi="ar-EG"/>
        </w:rPr>
        <w:t>&lt; 0.10</w:t>
      </w:r>
    </w:p>
    <w:p w14:paraId="6A5E900D" w14:textId="77777777" w:rsidR="00E93EFB" w:rsidRDefault="00E93EFB" w:rsidP="00627770">
      <w:pPr>
        <w:spacing w:after="160" w:line="256" w:lineRule="auto"/>
        <w:jc w:val="center"/>
        <w:rPr>
          <w:b/>
          <w:bCs/>
          <w:sz w:val="22"/>
          <w:szCs w:val="20"/>
        </w:rPr>
      </w:pPr>
    </w:p>
    <w:p w14:paraId="141CC493" w14:textId="77777777" w:rsidR="00E93EFB" w:rsidRDefault="00E93EFB" w:rsidP="00627770">
      <w:pPr>
        <w:spacing w:after="160" w:line="256" w:lineRule="auto"/>
        <w:jc w:val="center"/>
        <w:rPr>
          <w:b/>
          <w:bCs/>
          <w:sz w:val="22"/>
          <w:szCs w:val="20"/>
        </w:rPr>
      </w:pPr>
    </w:p>
    <w:p w14:paraId="64DF7ACF" w14:textId="77777777" w:rsidR="00E93EFB" w:rsidRDefault="00E93EFB" w:rsidP="00627770">
      <w:pPr>
        <w:spacing w:after="160" w:line="256" w:lineRule="auto"/>
        <w:jc w:val="center"/>
        <w:rPr>
          <w:b/>
          <w:bCs/>
          <w:sz w:val="22"/>
          <w:szCs w:val="20"/>
        </w:rPr>
      </w:pPr>
    </w:p>
    <w:p w14:paraId="3F727484" w14:textId="77777777" w:rsidR="004717A5" w:rsidRDefault="004717A5" w:rsidP="00483640">
      <w:pPr>
        <w:spacing w:after="160" w:line="256" w:lineRule="auto"/>
        <w:rPr>
          <w:b/>
          <w:bCs/>
          <w:sz w:val="22"/>
          <w:szCs w:val="20"/>
        </w:rPr>
      </w:pPr>
    </w:p>
    <w:p w14:paraId="298C9882" w14:textId="77777777" w:rsidR="004717A5" w:rsidRDefault="004717A5" w:rsidP="00627770">
      <w:pPr>
        <w:spacing w:after="160" w:line="256" w:lineRule="auto"/>
        <w:jc w:val="center"/>
        <w:rPr>
          <w:b/>
          <w:bCs/>
          <w:sz w:val="22"/>
          <w:szCs w:val="20"/>
        </w:rPr>
      </w:pPr>
    </w:p>
    <w:p w14:paraId="126440C1" w14:textId="77777777" w:rsidR="004717A5" w:rsidRDefault="004717A5" w:rsidP="00627770">
      <w:pPr>
        <w:spacing w:after="160" w:line="256" w:lineRule="auto"/>
        <w:jc w:val="center"/>
        <w:rPr>
          <w:b/>
          <w:bCs/>
          <w:sz w:val="22"/>
          <w:szCs w:val="20"/>
        </w:rPr>
      </w:pPr>
    </w:p>
    <w:p w14:paraId="1E49A78C" w14:textId="30DCBC36" w:rsidR="00627770" w:rsidRPr="00E418D5" w:rsidRDefault="00627770" w:rsidP="00627770">
      <w:pPr>
        <w:spacing w:after="160" w:line="256" w:lineRule="auto"/>
        <w:jc w:val="center"/>
        <w:rPr>
          <w:b/>
          <w:bCs/>
          <w:sz w:val="22"/>
          <w:szCs w:val="20"/>
        </w:rPr>
      </w:pPr>
      <w:r w:rsidRPr="00E418D5">
        <w:rPr>
          <w:b/>
          <w:bCs/>
          <w:sz w:val="22"/>
          <w:szCs w:val="20"/>
        </w:rPr>
        <w:lastRenderedPageBreak/>
        <w:t>Table S</w:t>
      </w:r>
      <w:r w:rsidR="004717A5">
        <w:rPr>
          <w:b/>
          <w:bCs/>
          <w:sz w:val="22"/>
          <w:szCs w:val="20"/>
        </w:rPr>
        <w:t>4</w:t>
      </w:r>
      <w:r w:rsidRPr="00E418D5">
        <w:rPr>
          <w:b/>
          <w:bCs/>
          <w:sz w:val="22"/>
          <w:szCs w:val="20"/>
        </w:rPr>
        <w:t>: Panel Unit Root Tests</w:t>
      </w:r>
    </w:p>
    <w:tbl>
      <w:tblPr>
        <w:tblW w:w="9071" w:type="dxa"/>
        <w:tblLook w:val="04A0" w:firstRow="1" w:lastRow="0" w:firstColumn="1" w:lastColumn="0" w:noHBand="0" w:noVBand="1"/>
      </w:tblPr>
      <w:tblGrid>
        <w:gridCol w:w="1931"/>
        <w:gridCol w:w="1723"/>
        <w:gridCol w:w="1870"/>
        <w:gridCol w:w="1643"/>
        <w:gridCol w:w="1904"/>
      </w:tblGrid>
      <w:tr w:rsidR="00627770" w:rsidRPr="00AF46D7" w14:paraId="08DAA8A9" w14:textId="77777777" w:rsidTr="00A77975">
        <w:trPr>
          <w:trHeight w:val="594"/>
        </w:trPr>
        <w:tc>
          <w:tcPr>
            <w:tcW w:w="1931" w:type="dxa"/>
            <w:vMerge w:val="restart"/>
            <w:tcBorders>
              <w:top w:val="single" w:sz="4" w:space="0" w:color="auto"/>
              <w:left w:val="single" w:sz="4" w:space="0" w:color="auto"/>
              <w:bottom w:val="single" w:sz="4" w:space="0" w:color="auto"/>
              <w:right w:val="single" w:sz="4" w:space="0" w:color="auto"/>
            </w:tcBorders>
            <w:hideMark/>
          </w:tcPr>
          <w:p w14:paraId="0AAD58BD" w14:textId="77777777" w:rsidR="00627770" w:rsidRPr="00AF46D7" w:rsidRDefault="00627770" w:rsidP="005565D2">
            <w:pPr>
              <w:spacing w:after="160" w:line="256" w:lineRule="auto"/>
              <w:rPr>
                <w:rFonts w:cs="Times New Roman"/>
                <w:b/>
                <w:bCs/>
                <w:sz w:val="22"/>
              </w:rPr>
            </w:pPr>
            <w:r w:rsidRPr="00AF46D7">
              <w:rPr>
                <w:rFonts w:cs="Times New Roman"/>
                <w:b/>
                <w:bCs/>
                <w:sz w:val="22"/>
              </w:rPr>
              <w:t>Variables</w:t>
            </w:r>
          </w:p>
        </w:tc>
        <w:tc>
          <w:tcPr>
            <w:tcW w:w="3593" w:type="dxa"/>
            <w:gridSpan w:val="2"/>
            <w:tcBorders>
              <w:top w:val="single" w:sz="4" w:space="0" w:color="auto"/>
              <w:left w:val="single" w:sz="4" w:space="0" w:color="auto"/>
              <w:bottom w:val="single" w:sz="4" w:space="0" w:color="auto"/>
              <w:right w:val="single" w:sz="4" w:space="0" w:color="auto"/>
            </w:tcBorders>
            <w:hideMark/>
          </w:tcPr>
          <w:p w14:paraId="37320AF3" w14:textId="77777777" w:rsidR="00627770" w:rsidRPr="00AF46D7" w:rsidRDefault="00627770" w:rsidP="005565D2">
            <w:pPr>
              <w:spacing w:after="160" w:line="256" w:lineRule="auto"/>
              <w:jc w:val="center"/>
              <w:rPr>
                <w:rFonts w:cs="Times New Roman"/>
                <w:b/>
                <w:bCs/>
                <w:sz w:val="22"/>
              </w:rPr>
            </w:pPr>
            <w:r w:rsidRPr="00AF46D7">
              <w:rPr>
                <w:rFonts w:cs="Times New Roman"/>
                <w:b/>
                <w:bCs/>
                <w:sz w:val="22"/>
              </w:rPr>
              <w:t>Level</w:t>
            </w:r>
          </w:p>
        </w:tc>
        <w:tc>
          <w:tcPr>
            <w:tcW w:w="3547" w:type="dxa"/>
            <w:gridSpan w:val="2"/>
            <w:tcBorders>
              <w:top w:val="single" w:sz="4" w:space="0" w:color="auto"/>
              <w:left w:val="single" w:sz="4" w:space="0" w:color="auto"/>
              <w:bottom w:val="single" w:sz="4" w:space="0" w:color="auto"/>
              <w:right w:val="single" w:sz="4" w:space="0" w:color="auto"/>
            </w:tcBorders>
            <w:hideMark/>
          </w:tcPr>
          <w:p w14:paraId="15DAE046" w14:textId="77777777" w:rsidR="00627770" w:rsidRPr="00AF46D7" w:rsidRDefault="00627770" w:rsidP="005565D2">
            <w:pPr>
              <w:spacing w:after="160" w:line="256" w:lineRule="auto"/>
              <w:jc w:val="center"/>
              <w:rPr>
                <w:rFonts w:cs="Times New Roman"/>
                <w:b/>
                <w:bCs/>
                <w:sz w:val="22"/>
              </w:rPr>
            </w:pPr>
            <w:r w:rsidRPr="00AF46D7">
              <w:rPr>
                <w:rFonts w:cs="Times New Roman"/>
                <w:b/>
                <w:bCs/>
                <w:sz w:val="22"/>
              </w:rPr>
              <w:t>Difference</w:t>
            </w:r>
          </w:p>
        </w:tc>
      </w:tr>
      <w:tr w:rsidR="00627770" w:rsidRPr="00AF46D7" w14:paraId="30219FDE" w14:textId="77777777" w:rsidTr="00A77975">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51CF5" w14:textId="77777777" w:rsidR="00627770" w:rsidRPr="00AF46D7" w:rsidRDefault="00627770" w:rsidP="005565D2">
            <w:pPr>
              <w:spacing w:line="240" w:lineRule="auto"/>
              <w:rPr>
                <w:rFonts w:cs="Times New Roman"/>
                <w:b/>
                <w:bCs/>
                <w:sz w:val="22"/>
              </w:rPr>
            </w:pPr>
          </w:p>
        </w:tc>
        <w:tc>
          <w:tcPr>
            <w:tcW w:w="1723" w:type="dxa"/>
            <w:tcBorders>
              <w:top w:val="single" w:sz="4" w:space="0" w:color="auto"/>
              <w:left w:val="single" w:sz="4" w:space="0" w:color="auto"/>
              <w:bottom w:val="single" w:sz="4" w:space="0" w:color="auto"/>
              <w:right w:val="single" w:sz="4" w:space="0" w:color="auto"/>
            </w:tcBorders>
            <w:hideMark/>
          </w:tcPr>
          <w:p w14:paraId="58B4BA5E" w14:textId="77777777" w:rsidR="00627770" w:rsidRPr="00AF46D7" w:rsidRDefault="00627770" w:rsidP="005565D2">
            <w:pPr>
              <w:spacing w:after="160" w:line="256" w:lineRule="auto"/>
              <w:rPr>
                <w:rFonts w:cs="Times New Roman"/>
                <w:b/>
                <w:bCs/>
                <w:sz w:val="22"/>
              </w:rPr>
            </w:pPr>
            <w:r w:rsidRPr="00AF46D7">
              <w:rPr>
                <w:rFonts w:cs="Times New Roman"/>
                <w:b/>
                <w:bCs/>
                <w:sz w:val="22"/>
              </w:rPr>
              <w:t>Levin-Lin-Chu</w:t>
            </w:r>
          </w:p>
        </w:tc>
        <w:tc>
          <w:tcPr>
            <w:tcW w:w="1870" w:type="dxa"/>
            <w:tcBorders>
              <w:top w:val="single" w:sz="4" w:space="0" w:color="auto"/>
              <w:left w:val="single" w:sz="4" w:space="0" w:color="auto"/>
              <w:bottom w:val="single" w:sz="4" w:space="0" w:color="auto"/>
              <w:right w:val="single" w:sz="4" w:space="0" w:color="auto"/>
            </w:tcBorders>
            <w:hideMark/>
          </w:tcPr>
          <w:p w14:paraId="285EA069" w14:textId="77777777" w:rsidR="00627770" w:rsidRPr="00AF46D7" w:rsidRDefault="00627770" w:rsidP="005565D2">
            <w:pPr>
              <w:spacing w:after="160" w:line="256" w:lineRule="auto"/>
              <w:rPr>
                <w:rFonts w:cs="Times New Roman"/>
                <w:b/>
                <w:bCs/>
                <w:sz w:val="22"/>
              </w:rPr>
            </w:pPr>
            <w:proofErr w:type="spellStart"/>
            <w:r w:rsidRPr="00AF46D7">
              <w:rPr>
                <w:rFonts w:cs="Times New Roman"/>
                <w:b/>
                <w:bCs/>
                <w:sz w:val="22"/>
              </w:rPr>
              <w:t>Im</w:t>
            </w:r>
            <w:proofErr w:type="spellEnd"/>
            <w:r w:rsidRPr="00AF46D7">
              <w:rPr>
                <w:rFonts w:cs="Times New Roman"/>
                <w:b/>
                <w:bCs/>
                <w:sz w:val="22"/>
              </w:rPr>
              <w:t>-</w:t>
            </w:r>
            <w:proofErr w:type="spellStart"/>
            <w:r w:rsidRPr="00AF46D7">
              <w:rPr>
                <w:rFonts w:cs="Times New Roman"/>
                <w:b/>
                <w:bCs/>
                <w:sz w:val="22"/>
              </w:rPr>
              <w:t>Pesaran</w:t>
            </w:r>
            <w:proofErr w:type="spellEnd"/>
            <w:r w:rsidRPr="00AF46D7">
              <w:rPr>
                <w:rFonts w:cs="Times New Roman"/>
                <w:b/>
                <w:bCs/>
                <w:sz w:val="22"/>
              </w:rPr>
              <w:t>-Shin</w:t>
            </w:r>
          </w:p>
        </w:tc>
        <w:tc>
          <w:tcPr>
            <w:tcW w:w="1643" w:type="dxa"/>
            <w:tcBorders>
              <w:top w:val="single" w:sz="4" w:space="0" w:color="auto"/>
              <w:left w:val="single" w:sz="4" w:space="0" w:color="auto"/>
              <w:bottom w:val="single" w:sz="4" w:space="0" w:color="auto"/>
              <w:right w:val="single" w:sz="4" w:space="0" w:color="auto"/>
            </w:tcBorders>
            <w:hideMark/>
          </w:tcPr>
          <w:p w14:paraId="513CA413" w14:textId="77777777" w:rsidR="00627770" w:rsidRPr="001F7792" w:rsidRDefault="00627770" w:rsidP="005565D2">
            <w:pPr>
              <w:spacing w:after="160" w:line="256" w:lineRule="auto"/>
              <w:rPr>
                <w:rFonts w:cs="Times New Roman"/>
                <w:b/>
                <w:bCs/>
                <w:sz w:val="22"/>
              </w:rPr>
            </w:pPr>
            <w:r w:rsidRPr="001F7792">
              <w:rPr>
                <w:rFonts w:cs="Times New Roman"/>
                <w:b/>
                <w:bCs/>
                <w:sz w:val="22"/>
              </w:rPr>
              <w:t>Levin-Lin-Chu</w:t>
            </w:r>
          </w:p>
        </w:tc>
        <w:tc>
          <w:tcPr>
            <w:tcW w:w="1904" w:type="dxa"/>
            <w:tcBorders>
              <w:top w:val="single" w:sz="4" w:space="0" w:color="auto"/>
              <w:left w:val="single" w:sz="4" w:space="0" w:color="auto"/>
              <w:bottom w:val="single" w:sz="4" w:space="0" w:color="auto"/>
              <w:right w:val="single" w:sz="4" w:space="0" w:color="auto"/>
            </w:tcBorders>
            <w:hideMark/>
          </w:tcPr>
          <w:p w14:paraId="1E6F5521" w14:textId="77777777" w:rsidR="00627770" w:rsidRPr="00810013" w:rsidRDefault="00627770" w:rsidP="005565D2">
            <w:pPr>
              <w:spacing w:after="160" w:line="256" w:lineRule="auto"/>
              <w:rPr>
                <w:rFonts w:cs="Times New Roman"/>
                <w:b/>
                <w:bCs/>
                <w:sz w:val="22"/>
              </w:rPr>
            </w:pPr>
            <w:proofErr w:type="spellStart"/>
            <w:r w:rsidRPr="00810013">
              <w:rPr>
                <w:rFonts w:cs="Times New Roman"/>
                <w:b/>
                <w:bCs/>
                <w:sz w:val="22"/>
              </w:rPr>
              <w:t>Im</w:t>
            </w:r>
            <w:proofErr w:type="spellEnd"/>
            <w:r w:rsidRPr="00810013">
              <w:rPr>
                <w:rFonts w:cs="Times New Roman"/>
                <w:b/>
                <w:bCs/>
                <w:sz w:val="22"/>
              </w:rPr>
              <w:t>-</w:t>
            </w:r>
            <w:proofErr w:type="spellStart"/>
            <w:r w:rsidRPr="00810013">
              <w:rPr>
                <w:rFonts w:cs="Times New Roman"/>
                <w:b/>
                <w:bCs/>
                <w:sz w:val="22"/>
              </w:rPr>
              <w:t>Pesaran</w:t>
            </w:r>
            <w:proofErr w:type="spellEnd"/>
            <w:r w:rsidRPr="00810013">
              <w:rPr>
                <w:rFonts w:cs="Times New Roman"/>
                <w:b/>
                <w:bCs/>
                <w:sz w:val="22"/>
              </w:rPr>
              <w:t>-Shin</w:t>
            </w:r>
          </w:p>
        </w:tc>
      </w:tr>
      <w:tr w:rsidR="00627770" w:rsidRPr="00AF46D7" w14:paraId="48A74E3A" w14:textId="77777777" w:rsidTr="00A77975">
        <w:trPr>
          <w:trHeight w:val="577"/>
        </w:trPr>
        <w:tc>
          <w:tcPr>
            <w:tcW w:w="1931" w:type="dxa"/>
            <w:tcBorders>
              <w:top w:val="single" w:sz="4" w:space="0" w:color="auto"/>
              <w:left w:val="single" w:sz="4" w:space="0" w:color="auto"/>
              <w:bottom w:val="single" w:sz="4" w:space="0" w:color="auto"/>
              <w:right w:val="single" w:sz="4" w:space="0" w:color="auto"/>
            </w:tcBorders>
            <w:hideMark/>
          </w:tcPr>
          <w:p w14:paraId="14FEC910" w14:textId="77777777" w:rsidR="00627770" w:rsidRPr="00040726" w:rsidRDefault="00627770" w:rsidP="005565D2">
            <w:pPr>
              <w:spacing w:after="160" w:line="256" w:lineRule="auto"/>
              <w:jc w:val="center"/>
              <w:rPr>
                <w:rFonts w:cs="Times New Roman"/>
                <w:i/>
                <w:iCs/>
                <w:sz w:val="22"/>
              </w:rPr>
            </w:pPr>
            <w:proofErr w:type="spellStart"/>
            <w:r w:rsidRPr="00040726">
              <w:rPr>
                <w:rFonts w:cs="Times New Roman"/>
                <w:i/>
                <w:iCs/>
                <w:sz w:val="22"/>
              </w:rPr>
              <w:t>lnGini</w:t>
            </w:r>
            <w:proofErr w:type="spellEnd"/>
          </w:p>
        </w:tc>
        <w:tc>
          <w:tcPr>
            <w:tcW w:w="1723" w:type="dxa"/>
            <w:tcBorders>
              <w:top w:val="single" w:sz="4" w:space="0" w:color="auto"/>
              <w:left w:val="single" w:sz="4" w:space="0" w:color="auto"/>
              <w:bottom w:val="single" w:sz="4" w:space="0" w:color="auto"/>
              <w:right w:val="single" w:sz="4" w:space="0" w:color="auto"/>
            </w:tcBorders>
            <w:hideMark/>
          </w:tcPr>
          <w:p w14:paraId="0D74343F" w14:textId="3EB7FA0A" w:rsidR="00627770" w:rsidRPr="00AF46D7" w:rsidRDefault="00627770" w:rsidP="005565D2">
            <w:pPr>
              <w:spacing w:after="160" w:line="256" w:lineRule="auto"/>
              <w:jc w:val="center"/>
              <w:rPr>
                <w:rFonts w:cs="Times New Roman"/>
                <w:sz w:val="22"/>
              </w:rPr>
            </w:pPr>
            <w:r w:rsidRPr="00AF46D7">
              <w:rPr>
                <w:rFonts w:cs="Times New Roman"/>
                <w:sz w:val="22"/>
              </w:rPr>
              <w:t>(</w:t>
            </w:r>
            <w:r w:rsidR="000537EE" w:rsidRPr="00AF46D7">
              <w:rPr>
                <w:rFonts w:cs="Times New Roman"/>
                <w:sz w:val="22"/>
              </w:rPr>
              <w:t>0.</w:t>
            </w:r>
            <w:r w:rsidR="000537EE">
              <w:rPr>
                <w:rFonts w:cs="Times New Roman"/>
                <w:sz w:val="22"/>
              </w:rPr>
              <w:t>011</w:t>
            </w:r>
            <w:r w:rsidR="000537EE" w:rsidRPr="00AF46D7">
              <w:rPr>
                <w:rFonts w:cs="Times New Roman"/>
                <w:sz w:val="22"/>
              </w:rPr>
              <w:t>)</w:t>
            </w:r>
            <w:r w:rsidR="000537EE">
              <w:rPr>
                <w:rFonts w:cs="Times New Roman"/>
                <w:sz w:val="22"/>
              </w:rPr>
              <w:t xml:space="preserve"> **</w:t>
            </w:r>
          </w:p>
        </w:tc>
        <w:tc>
          <w:tcPr>
            <w:tcW w:w="1870" w:type="dxa"/>
            <w:tcBorders>
              <w:top w:val="single" w:sz="4" w:space="0" w:color="auto"/>
              <w:left w:val="single" w:sz="4" w:space="0" w:color="auto"/>
              <w:bottom w:val="single" w:sz="4" w:space="0" w:color="auto"/>
              <w:right w:val="single" w:sz="4" w:space="0" w:color="auto"/>
            </w:tcBorders>
            <w:hideMark/>
          </w:tcPr>
          <w:p w14:paraId="3E0508AA" w14:textId="5611A377" w:rsidR="00627770" w:rsidRPr="00AF46D7" w:rsidRDefault="00627770" w:rsidP="005565D2">
            <w:pPr>
              <w:spacing w:after="160" w:line="256" w:lineRule="auto"/>
              <w:jc w:val="center"/>
              <w:rPr>
                <w:rFonts w:cs="Times New Roman"/>
                <w:sz w:val="22"/>
              </w:rPr>
            </w:pPr>
            <w:r w:rsidRPr="00AF46D7">
              <w:rPr>
                <w:rFonts w:cs="Times New Roman"/>
                <w:sz w:val="22"/>
              </w:rPr>
              <w:t>(0.0</w:t>
            </w:r>
            <w:r w:rsidR="000537EE">
              <w:rPr>
                <w:rFonts w:cs="Times New Roman"/>
                <w:sz w:val="22"/>
              </w:rPr>
              <w:t>00</w:t>
            </w:r>
            <w:r w:rsidRPr="00AF46D7">
              <w:rPr>
                <w:rFonts w:cs="Times New Roman"/>
                <w:sz w:val="22"/>
              </w:rPr>
              <w:t>) ***</w:t>
            </w:r>
          </w:p>
        </w:tc>
        <w:tc>
          <w:tcPr>
            <w:tcW w:w="1643" w:type="dxa"/>
            <w:tcBorders>
              <w:top w:val="single" w:sz="4" w:space="0" w:color="auto"/>
              <w:left w:val="single" w:sz="4" w:space="0" w:color="auto"/>
              <w:bottom w:val="single" w:sz="4" w:space="0" w:color="auto"/>
              <w:right w:val="single" w:sz="4" w:space="0" w:color="auto"/>
            </w:tcBorders>
            <w:hideMark/>
          </w:tcPr>
          <w:p w14:paraId="622A28F0" w14:textId="28174C7F" w:rsidR="00627770" w:rsidRPr="001F7792" w:rsidRDefault="00627770" w:rsidP="005565D2">
            <w:pPr>
              <w:spacing w:after="160" w:line="256" w:lineRule="auto"/>
              <w:jc w:val="center"/>
              <w:rPr>
                <w:rFonts w:cs="Times New Roman"/>
                <w:sz w:val="22"/>
              </w:rPr>
            </w:pPr>
            <w:r w:rsidRPr="001F7792">
              <w:rPr>
                <w:rFonts w:cs="Times New Roman"/>
                <w:sz w:val="22"/>
              </w:rPr>
              <w:t>(0.0</w:t>
            </w:r>
            <w:r w:rsidR="00B1725A">
              <w:rPr>
                <w:rFonts w:cs="Times New Roman"/>
                <w:sz w:val="22"/>
              </w:rPr>
              <w:t>00</w:t>
            </w:r>
            <w:r w:rsidRPr="001F7792">
              <w:rPr>
                <w:rFonts w:cs="Times New Roman"/>
                <w:sz w:val="22"/>
              </w:rPr>
              <w:t xml:space="preserve">) </w:t>
            </w:r>
            <w:r w:rsidR="00B1725A">
              <w:rPr>
                <w:rFonts w:cs="Times New Roman"/>
                <w:sz w:val="22"/>
              </w:rPr>
              <w:t>*</w:t>
            </w:r>
            <w:r w:rsidRPr="001F7792">
              <w:rPr>
                <w:rFonts w:cs="Times New Roman"/>
                <w:sz w:val="22"/>
              </w:rPr>
              <w:t>**</w:t>
            </w:r>
          </w:p>
        </w:tc>
        <w:tc>
          <w:tcPr>
            <w:tcW w:w="1904" w:type="dxa"/>
            <w:tcBorders>
              <w:top w:val="single" w:sz="4" w:space="0" w:color="auto"/>
              <w:left w:val="single" w:sz="4" w:space="0" w:color="auto"/>
              <w:bottom w:val="single" w:sz="4" w:space="0" w:color="auto"/>
              <w:right w:val="single" w:sz="4" w:space="0" w:color="auto"/>
            </w:tcBorders>
            <w:hideMark/>
          </w:tcPr>
          <w:p w14:paraId="06716E76" w14:textId="20DE7AAE" w:rsidR="00627770" w:rsidRPr="00810013" w:rsidRDefault="00627770" w:rsidP="005565D2">
            <w:pPr>
              <w:spacing w:after="160" w:line="256" w:lineRule="auto"/>
              <w:jc w:val="center"/>
              <w:rPr>
                <w:rFonts w:cs="Times New Roman"/>
                <w:sz w:val="22"/>
              </w:rPr>
            </w:pPr>
            <w:r w:rsidRPr="00810013">
              <w:rPr>
                <w:rFonts w:cs="Times New Roman"/>
                <w:sz w:val="22"/>
              </w:rPr>
              <w:t>(0.000) ***</w:t>
            </w:r>
          </w:p>
        </w:tc>
      </w:tr>
      <w:tr w:rsidR="00627770" w:rsidRPr="00AF46D7" w14:paraId="59B8D3FD" w14:textId="77777777" w:rsidTr="00A77975">
        <w:trPr>
          <w:trHeight w:val="594"/>
        </w:trPr>
        <w:tc>
          <w:tcPr>
            <w:tcW w:w="1931" w:type="dxa"/>
            <w:tcBorders>
              <w:top w:val="single" w:sz="4" w:space="0" w:color="auto"/>
              <w:left w:val="single" w:sz="4" w:space="0" w:color="auto"/>
              <w:bottom w:val="single" w:sz="4" w:space="0" w:color="auto"/>
              <w:right w:val="single" w:sz="4" w:space="0" w:color="auto"/>
            </w:tcBorders>
            <w:hideMark/>
          </w:tcPr>
          <w:p w14:paraId="5570EB19" w14:textId="77777777" w:rsidR="00627770" w:rsidRPr="00040726" w:rsidRDefault="00627770" w:rsidP="005565D2">
            <w:pPr>
              <w:spacing w:after="160" w:line="256" w:lineRule="auto"/>
              <w:jc w:val="center"/>
              <w:rPr>
                <w:rFonts w:cs="Times New Roman"/>
                <w:i/>
                <w:iCs/>
                <w:sz w:val="22"/>
              </w:rPr>
            </w:pPr>
            <w:proofErr w:type="spellStart"/>
            <w:r w:rsidRPr="00040726">
              <w:rPr>
                <w:rFonts w:cs="Times New Roman"/>
                <w:i/>
                <w:iCs/>
                <w:sz w:val="22"/>
              </w:rPr>
              <w:t>lnY</w:t>
            </w:r>
            <w:proofErr w:type="spellEnd"/>
          </w:p>
        </w:tc>
        <w:tc>
          <w:tcPr>
            <w:tcW w:w="1723" w:type="dxa"/>
            <w:tcBorders>
              <w:top w:val="single" w:sz="4" w:space="0" w:color="auto"/>
              <w:left w:val="single" w:sz="4" w:space="0" w:color="auto"/>
              <w:bottom w:val="single" w:sz="4" w:space="0" w:color="auto"/>
              <w:right w:val="single" w:sz="4" w:space="0" w:color="auto"/>
            </w:tcBorders>
            <w:hideMark/>
          </w:tcPr>
          <w:p w14:paraId="67F80ABA" w14:textId="77777777" w:rsidR="00627770" w:rsidRPr="008474D8" w:rsidRDefault="00627770" w:rsidP="005565D2">
            <w:pPr>
              <w:spacing w:after="160" w:line="256" w:lineRule="auto"/>
              <w:jc w:val="center"/>
              <w:rPr>
                <w:rFonts w:cs="Times New Roman"/>
                <w:sz w:val="22"/>
              </w:rPr>
            </w:pPr>
            <w:r w:rsidRPr="008474D8">
              <w:rPr>
                <w:rFonts w:cs="Times New Roman"/>
                <w:sz w:val="22"/>
              </w:rPr>
              <w:t>(0.000) ***</w:t>
            </w:r>
          </w:p>
        </w:tc>
        <w:tc>
          <w:tcPr>
            <w:tcW w:w="1870" w:type="dxa"/>
            <w:tcBorders>
              <w:top w:val="single" w:sz="4" w:space="0" w:color="auto"/>
              <w:left w:val="single" w:sz="4" w:space="0" w:color="auto"/>
              <w:bottom w:val="single" w:sz="4" w:space="0" w:color="auto"/>
              <w:right w:val="single" w:sz="4" w:space="0" w:color="auto"/>
            </w:tcBorders>
            <w:hideMark/>
          </w:tcPr>
          <w:p w14:paraId="31C069F2" w14:textId="12B8C95D" w:rsidR="00627770" w:rsidRPr="008474D8" w:rsidRDefault="00627770" w:rsidP="005565D2">
            <w:pPr>
              <w:spacing w:after="160" w:line="256" w:lineRule="auto"/>
              <w:jc w:val="center"/>
              <w:rPr>
                <w:rFonts w:cs="Times New Roman"/>
                <w:sz w:val="22"/>
              </w:rPr>
            </w:pPr>
            <w:r w:rsidRPr="008474D8">
              <w:rPr>
                <w:rFonts w:cs="Times New Roman"/>
                <w:sz w:val="22"/>
              </w:rPr>
              <w:t>(0.</w:t>
            </w:r>
            <w:r w:rsidR="000537EE">
              <w:rPr>
                <w:rFonts w:cs="Times New Roman"/>
                <w:sz w:val="22"/>
              </w:rPr>
              <w:t>806</w:t>
            </w:r>
            <w:r w:rsidRPr="008474D8">
              <w:rPr>
                <w:rFonts w:cs="Times New Roman"/>
                <w:sz w:val="22"/>
              </w:rPr>
              <w:t>)</w:t>
            </w:r>
          </w:p>
        </w:tc>
        <w:tc>
          <w:tcPr>
            <w:tcW w:w="1643" w:type="dxa"/>
            <w:tcBorders>
              <w:top w:val="single" w:sz="4" w:space="0" w:color="auto"/>
              <w:left w:val="single" w:sz="4" w:space="0" w:color="auto"/>
              <w:bottom w:val="single" w:sz="4" w:space="0" w:color="auto"/>
              <w:right w:val="single" w:sz="4" w:space="0" w:color="auto"/>
            </w:tcBorders>
            <w:hideMark/>
          </w:tcPr>
          <w:p w14:paraId="3DAD43BA" w14:textId="77777777" w:rsidR="00627770" w:rsidRPr="008474D8" w:rsidRDefault="00627770" w:rsidP="005565D2">
            <w:pPr>
              <w:spacing w:after="160" w:line="256" w:lineRule="auto"/>
              <w:jc w:val="center"/>
              <w:rPr>
                <w:rFonts w:cs="Times New Roman"/>
                <w:sz w:val="22"/>
              </w:rPr>
            </w:pPr>
            <w:r w:rsidRPr="008474D8">
              <w:rPr>
                <w:rFonts w:cs="Times New Roman"/>
                <w:sz w:val="22"/>
              </w:rPr>
              <w:t>(0.000) ***</w:t>
            </w:r>
          </w:p>
        </w:tc>
        <w:tc>
          <w:tcPr>
            <w:tcW w:w="1904" w:type="dxa"/>
            <w:tcBorders>
              <w:top w:val="single" w:sz="4" w:space="0" w:color="auto"/>
              <w:left w:val="single" w:sz="4" w:space="0" w:color="auto"/>
              <w:bottom w:val="single" w:sz="4" w:space="0" w:color="auto"/>
              <w:right w:val="single" w:sz="4" w:space="0" w:color="auto"/>
            </w:tcBorders>
            <w:hideMark/>
          </w:tcPr>
          <w:p w14:paraId="3B0C161B" w14:textId="12153730" w:rsidR="00627770" w:rsidRPr="008474D8" w:rsidRDefault="00627770" w:rsidP="005565D2">
            <w:pPr>
              <w:spacing w:after="160" w:line="256" w:lineRule="auto"/>
              <w:jc w:val="center"/>
              <w:rPr>
                <w:rFonts w:cs="Times New Roman"/>
                <w:sz w:val="22"/>
              </w:rPr>
            </w:pPr>
            <w:r w:rsidRPr="008474D8">
              <w:rPr>
                <w:rFonts w:cs="Times New Roman"/>
                <w:sz w:val="22"/>
              </w:rPr>
              <w:t>(0.000) ***</w:t>
            </w:r>
          </w:p>
        </w:tc>
      </w:tr>
      <w:tr w:rsidR="00627770" w:rsidRPr="00AF46D7" w14:paraId="3925432D" w14:textId="77777777" w:rsidTr="00A77975">
        <w:trPr>
          <w:trHeight w:val="594"/>
        </w:trPr>
        <w:tc>
          <w:tcPr>
            <w:tcW w:w="1931" w:type="dxa"/>
            <w:tcBorders>
              <w:top w:val="single" w:sz="4" w:space="0" w:color="auto"/>
              <w:left w:val="single" w:sz="4" w:space="0" w:color="auto"/>
              <w:bottom w:val="single" w:sz="4" w:space="0" w:color="auto"/>
              <w:right w:val="single" w:sz="4" w:space="0" w:color="auto"/>
            </w:tcBorders>
            <w:hideMark/>
          </w:tcPr>
          <w:p w14:paraId="22A96402" w14:textId="77777777" w:rsidR="00627770" w:rsidRPr="00040726" w:rsidRDefault="00627770" w:rsidP="005565D2">
            <w:pPr>
              <w:spacing w:after="160" w:line="256" w:lineRule="auto"/>
              <w:jc w:val="center"/>
              <w:rPr>
                <w:rFonts w:cs="Times New Roman"/>
                <w:i/>
                <w:iCs/>
                <w:sz w:val="22"/>
              </w:rPr>
            </w:pPr>
            <w:proofErr w:type="spellStart"/>
            <w:r w:rsidRPr="00040726">
              <w:rPr>
                <w:rFonts w:cs="Times New Roman"/>
                <w:i/>
                <w:iCs/>
                <w:sz w:val="22"/>
              </w:rPr>
              <w:t>lnTG</w:t>
            </w:r>
            <w:proofErr w:type="spellEnd"/>
          </w:p>
        </w:tc>
        <w:tc>
          <w:tcPr>
            <w:tcW w:w="1723" w:type="dxa"/>
            <w:tcBorders>
              <w:top w:val="single" w:sz="4" w:space="0" w:color="auto"/>
              <w:left w:val="single" w:sz="4" w:space="0" w:color="auto"/>
              <w:bottom w:val="single" w:sz="4" w:space="0" w:color="auto"/>
              <w:right w:val="single" w:sz="4" w:space="0" w:color="auto"/>
            </w:tcBorders>
            <w:hideMark/>
          </w:tcPr>
          <w:p w14:paraId="576E650F" w14:textId="77777777" w:rsidR="00627770" w:rsidRPr="00AF46D7" w:rsidRDefault="00627770" w:rsidP="005565D2">
            <w:pPr>
              <w:spacing w:after="160" w:line="256" w:lineRule="auto"/>
              <w:jc w:val="center"/>
              <w:rPr>
                <w:rFonts w:cs="Times New Roman"/>
                <w:sz w:val="22"/>
              </w:rPr>
            </w:pPr>
            <w:r w:rsidRPr="00AF46D7">
              <w:rPr>
                <w:rFonts w:cs="Times New Roman"/>
                <w:sz w:val="22"/>
              </w:rPr>
              <w:t>(0.000) ***</w:t>
            </w:r>
          </w:p>
        </w:tc>
        <w:tc>
          <w:tcPr>
            <w:tcW w:w="1870" w:type="dxa"/>
            <w:tcBorders>
              <w:top w:val="single" w:sz="4" w:space="0" w:color="auto"/>
              <w:left w:val="single" w:sz="4" w:space="0" w:color="auto"/>
              <w:bottom w:val="single" w:sz="4" w:space="0" w:color="auto"/>
              <w:right w:val="single" w:sz="4" w:space="0" w:color="auto"/>
            </w:tcBorders>
            <w:hideMark/>
          </w:tcPr>
          <w:p w14:paraId="4127E377" w14:textId="38859EE9" w:rsidR="00627770" w:rsidRPr="00AF46D7" w:rsidRDefault="00627770" w:rsidP="005565D2">
            <w:pPr>
              <w:spacing w:after="160" w:line="256" w:lineRule="auto"/>
              <w:jc w:val="center"/>
              <w:rPr>
                <w:rFonts w:cs="Times New Roman"/>
                <w:sz w:val="22"/>
                <w:highlight w:val="yellow"/>
              </w:rPr>
            </w:pPr>
            <w:r w:rsidRPr="00AF46D7">
              <w:rPr>
                <w:rFonts w:cs="Times New Roman"/>
                <w:sz w:val="22"/>
              </w:rPr>
              <w:t>(0.0</w:t>
            </w:r>
            <w:r w:rsidR="000537EE">
              <w:rPr>
                <w:rFonts w:cs="Times New Roman"/>
                <w:sz w:val="22"/>
              </w:rPr>
              <w:t>15</w:t>
            </w:r>
            <w:r w:rsidRPr="00AF46D7">
              <w:rPr>
                <w:rFonts w:cs="Times New Roman"/>
                <w:sz w:val="22"/>
              </w:rPr>
              <w:t>) **</w:t>
            </w:r>
          </w:p>
        </w:tc>
        <w:tc>
          <w:tcPr>
            <w:tcW w:w="1643" w:type="dxa"/>
            <w:tcBorders>
              <w:top w:val="single" w:sz="4" w:space="0" w:color="auto"/>
              <w:left w:val="single" w:sz="4" w:space="0" w:color="auto"/>
              <w:bottom w:val="single" w:sz="4" w:space="0" w:color="auto"/>
              <w:right w:val="single" w:sz="4" w:space="0" w:color="auto"/>
            </w:tcBorders>
            <w:hideMark/>
          </w:tcPr>
          <w:p w14:paraId="324E1F1A" w14:textId="77777777" w:rsidR="00627770" w:rsidRPr="001F7792" w:rsidRDefault="00627770" w:rsidP="005565D2">
            <w:pPr>
              <w:spacing w:after="160" w:line="256" w:lineRule="auto"/>
              <w:jc w:val="center"/>
              <w:rPr>
                <w:rFonts w:cs="Times New Roman"/>
                <w:sz w:val="22"/>
              </w:rPr>
            </w:pPr>
            <w:r w:rsidRPr="001F7792">
              <w:rPr>
                <w:rFonts w:cs="Times New Roman"/>
                <w:sz w:val="22"/>
              </w:rPr>
              <w:t>(0.000) ***</w:t>
            </w:r>
          </w:p>
        </w:tc>
        <w:tc>
          <w:tcPr>
            <w:tcW w:w="1904" w:type="dxa"/>
            <w:tcBorders>
              <w:top w:val="single" w:sz="4" w:space="0" w:color="auto"/>
              <w:left w:val="single" w:sz="4" w:space="0" w:color="auto"/>
              <w:bottom w:val="single" w:sz="4" w:space="0" w:color="auto"/>
              <w:right w:val="single" w:sz="4" w:space="0" w:color="auto"/>
            </w:tcBorders>
            <w:hideMark/>
          </w:tcPr>
          <w:p w14:paraId="7A0BFE3C" w14:textId="77777777" w:rsidR="00627770" w:rsidRPr="00AF46D7" w:rsidRDefault="00627770" w:rsidP="005565D2">
            <w:pPr>
              <w:spacing w:after="160" w:line="256" w:lineRule="auto"/>
              <w:jc w:val="center"/>
              <w:rPr>
                <w:rFonts w:cs="Times New Roman"/>
                <w:sz w:val="22"/>
                <w:highlight w:val="yellow"/>
              </w:rPr>
            </w:pPr>
            <w:r w:rsidRPr="008474D8">
              <w:rPr>
                <w:rFonts w:cs="Times New Roman"/>
                <w:sz w:val="22"/>
              </w:rPr>
              <w:t>(0.000) ***</w:t>
            </w:r>
          </w:p>
        </w:tc>
      </w:tr>
      <w:tr w:rsidR="00627770" w:rsidRPr="00AF46D7" w14:paraId="11D26AA0" w14:textId="77777777" w:rsidTr="00A77975">
        <w:trPr>
          <w:trHeight w:val="577"/>
        </w:trPr>
        <w:tc>
          <w:tcPr>
            <w:tcW w:w="1931" w:type="dxa"/>
            <w:tcBorders>
              <w:top w:val="single" w:sz="4" w:space="0" w:color="auto"/>
              <w:left w:val="single" w:sz="4" w:space="0" w:color="auto"/>
              <w:bottom w:val="single" w:sz="4" w:space="0" w:color="auto"/>
              <w:right w:val="single" w:sz="4" w:space="0" w:color="auto"/>
            </w:tcBorders>
            <w:vAlign w:val="center"/>
            <w:hideMark/>
          </w:tcPr>
          <w:p w14:paraId="658EE718" w14:textId="77777777" w:rsidR="00627770" w:rsidRPr="00040726" w:rsidRDefault="00627770" w:rsidP="005565D2">
            <w:pPr>
              <w:spacing w:after="160" w:line="256" w:lineRule="auto"/>
              <w:jc w:val="center"/>
              <w:rPr>
                <w:rFonts w:cs="Times New Roman"/>
                <w:i/>
                <w:iCs/>
                <w:sz w:val="22"/>
              </w:rPr>
            </w:pPr>
            <w:proofErr w:type="spellStart"/>
            <w:r w:rsidRPr="00040726">
              <w:rPr>
                <w:rFonts w:cs="Times New Roman"/>
                <w:i/>
                <w:iCs/>
                <w:sz w:val="22"/>
              </w:rPr>
              <w:t>ln</w:t>
            </w:r>
            <w:r>
              <w:rPr>
                <w:rFonts w:cs="Times New Roman"/>
                <w:i/>
                <w:iCs/>
                <w:sz w:val="22"/>
              </w:rPr>
              <w:t>UN</w:t>
            </w:r>
            <w:r w:rsidRPr="00040726">
              <w:rPr>
                <w:rFonts w:cs="Times New Roman"/>
                <w:i/>
                <w:iCs/>
                <w:sz w:val="22"/>
              </w:rPr>
              <w:t>EMP</w:t>
            </w:r>
            <w:proofErr w:type="spellEnd"/>
          </w:p>
        </w:tc>
        <w:tc>
          <w:tcPr>
            <w:tcW w:w="1723" w:type="dxa"/>
            <w:tcBorders>
              <w:top w:val="single" w:sz="4" w:space="0" w:color="auto"/>
              <w:left w:val="single" w:sz="4" w:space="0" w:color="auto"/>
              <w:bottom w:val="single" w:sz="4" w:space="0" w:color="auto"/>
              <w:right w:val="single" w:sz="4" w:space="0" w:color="auto"/>
            </w:tcBorders>
            <w:vAlign w:val="center"/>
            <w:hideMark/>
          </w:tcPr>
          <w:p w14:paraId="36446414" w14:textId="3601AC2A" w:rsidR="00627770" w:rsidRPr="00AF46D7" w:rsidRDefault="00627770" w:rsidP="005565D2">
            <w:pPr>
              <w:spacing w:after="160" w:line="256" w:lineRule="auto"/>
              <w:jc w:val="center"/>
              <w:rPr>
                <w:rFonts w:cs="Times New Roman"/>
                <w:sz w:val="22"/>
              </w:rPr>
            </w:pPr>
            <w:r w:rsidRPr="00AF46D7">
              <w:rPr>
                <w:rFonts w:cs="Times New Roman"/>
                <w:sz w:val="22"/>
              </w:rPr>
              <w:t>(0.00</w:t>
            </w:r>
            <w:r w:rsidR="000537EE">
              <w:rPr>
                <w:rFonts w:cs="Times New Roman"/>
                <w:sz w:val="22"/>
              </w:rPr>
              <w:t>0</w:t>
            </w:r>
            <w:r w:rsidRPr="00AF46D7">
              <w:rPr>
                <w:rFonts w:cs="Times New Roman"/>
                <w:sz w:val="22"/>
              </w:rPr>
              <w:t>) ***</w:t>
            </w:r>
          </w:p>
        </w:tc>
        <w:tc>
          <w:tcPr>
            <w:tcW w:w="1870" w:type="dxa"/>
            <w:tcBorders>
              <w:top w:val="single" w:sz="4" w:space="0" w:color="auto"/>
              <w:left w:val="single" w:sz="4" w:space="0" w:color="auto"/>
              <w:bottom w:val="single" w:sz="4" w:space="0" w:color="auto"/>
              <w:right w:val="single" w:sz="4" w:space="0" w:color="auto"/>
            </w:tcBorders>
            <w:vAlign w:val="center"/>
            <w:hideMark/>
          </w:tcPr>
          <w:p w14:paraId="78C01D5E" w14:textId="2822399F" w:rsidR="00627770" w:rsidRPr="00AF46D7" w:rsidRDefault="00627770" w:rsidP="005565D2">
            <w:pPr>
              <w:spacing w:after="160" w:line="256" w:lineRule="auto"/>
              <w:jc w:val="center"/>
              <w:rPr>
                <w:rFonts w:cs="Times New Roman"/>
                <w:sz w:val="22"/>
                <w:highlight w:val="yellow"/>
              </w:rPr>
            </w:pPr>
            <w:r w:rsidRPr="00AF46D7">
              <w:rPr>
                <w:rFonts w:cs="Times New Roman"/>
                <w:sz w:val="22"/>
              </w:rPr>
              <w:t>(0.</w:t>
            </w:r>
            <w:r w:rsidR="000537EE">
              <w:rPr>
                <w:rFonts w:cs="Times New Roman"/>
                <w:sz w:val="22"/>
              </w:rPr>
              <w:t>293</w:t>
            </w:r>
            <w:r w:rsidRPr="00AF46D7">
              <w:rPr>
                <w:rFonts w:cs="Times New Roman"/>
                <w:sz w:val="22"/>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D3391A3" w14:textId="77777777" w:rsidR="00627770" w:rsidRPr="004C5D9F" w:rsidRDefault="00627770" w:rsidP="005565D2">
            <w:pPr>
              <w:spacing w:after="160" w:line="256" w:lineRule="auto"/>
              <w:jc w:val="center"/>
              <w:rPr>
                <w:rFonts w:cs="Times New Roman"/>
                <w:sz w:val="22"/>
              </w:rPr>
            </w:pPr>
            <w:r w:rsidRPr="004C5D9F">
              <w:rPr>
                <w:rFonts w:cs="Times New Roman"/>
                <w:sz w:val="22"/>
              </w:rPr>
              <w:t>(0.000) ***</w:t>
            </w:r>
          </w:p>
        </w:tc>
        <w:tc>
          <w:tcPr>
            <w:tcW w:w="1904" w:type="dxa"/>
            <w:tcBorders>
              <w:top w:val="single" w:sz="4" w:space="0" w:color="auto"/>
              <w:left w:val="single" w:sz="4" w:space="0" w:color="auto"/>
              <w:bottom w:val="single" w:sz="4" w:space="0" w:color="auto"/>
              <w:right w:val="single" w:sz="4" w:space="0" w:color="auto"/>
            </w:tcBorders>
            <w:vAlign w:val="center"/>
            <w:hideMark/>
          </w:tcPr>
          <w:p w14:paraId="3E670909" w14:textId="77777777" w:rsidR="00627770" w:rsidRPr="004C5D9F" w:rsidRDefault="00627770" w:rsidP="005565D2">
            <w:pPr>
              <w:spacing w:after="160" w:line="256" w:lineRule="auto"/>
              <w:jc w:val="center"/>
              <w:rPr>
                <w:rFonts w:cs="Times New Roman"/>
                <w:sz w:val="22"/>
              </w:rPr>
            </w:pPr>
            <w:r w:rsidRPr="004C5D9F">
              <w:rPr>
                <w:rFonts w:cs="Times New Roman"/>
                <w:sz w:val="22"/>
              </w:rPr>
              <w:t>(0.000) ***</w:t>
            </w:r>
          </w:p>
        </w:tc>
      </w:tr>
      <w:tr w:rsidR="00627770" w:rsidRPr="00AF46D7" w14:paraId="16EC672E" w14:textId="77777777" w:rsidTr="00A77975">
        <w:trPr>
          <w:trHeight w:val="594"/>
        </w:trPr>
        <w:tc>
          <w:tcPr>
            <w:tcW w:w="1931" w:type="dxa"/>
            <w:tcBorders>
              <w:top w:val="single" w:sz="4" w:space="0" w:color="auto"/>
              <w:left w:val="single" w:sz="4" w:space="0" w:color="auto"/>
              <w:bottom w:val="single" w:sz="4" w:space="0" w:color="auto"/>
              <w:right w:val="single" w:sz="4" w:space="0" w:color="auto"/>
            </w:tcBorders>
            <w:vAlign w:val="center"/>
            <w:hideMark/>
          </w:tcPr>
          <w:p w14:paraId="5051331F" w14:textId="77777777" w:rsidR="00627770" w:rsidRPr="00040726" w:rsidRDefault="00627770" w:rsidP="005565D2">
            <w:pPr>
              <w:spacing w:after="160" w:line="256" w:lineRule="auto"/>
              <w:jc w:val="center"/>
              <w:rPr>
                <w:rFonts w:cs="Times New Roman"/>
                <w:i/>
                <w:iCs/>
                <w:sz w:val="22"/>
              </w:rPr>
            </w:pPr>
            <w:proofErr w:type="spellStart"/>
            <w:r w:rsidRPr="00040726">
              <w:rPr>
                <w:rFonts w:cs="Times New Roman"/>
                <w:i/>
                <w:iCs/>
                <w:sz w:val="22"/>
              </w:rPr>
              <w:t>lnFDI</w:t>
            </w:r>
            <w:proofErr w:type="spellEnd"/>
          </w:p>
        </w:tc>
        <w:tc>
          <w:tcPr>
            <w:tcW w:w="1723" w:type="dxa"/>
            <w:tcBorders>
              <w:top w:val="single" w:sz="4" w:space="0" w:color="auto"/>
              <w:left w:val="single" w:sz="4" w:space="0" w:color="auto"/>
              <w:bottom w:val="single" w:sz="4" w:space="0" w:color="auto"/>
              <w:right w:val="single" w:sz="4" w:space="0" w:color="auto"/>
            </w:tcBorders>
            <w:vAlign w:val="center"/>
            <w:hideMark/>
          </w:tcPr>
          <w:p w14:paraId="5623128A" w14:textId="42B1B1A5" w:rsidR="00627770" w:rsidRPr="00AF46D7" w:rsidRDefault="00627770" w:rsidP="005565D2">
            <w:pPr>
              <w:spacing w:after="160" w:line="256" w:lineRule="auto"/>
              <w:jc w:val="center"/>
              <w:rPr>
                <w:rFonts w:cs="Times New Roman"/>
                <w:sz w:val="22"/>
              </w:rPr>
            </w:pPr>
            <w:r w:rsidRPr="00AF46D7">
              <w:rPr>
                <w:rFonts w:cs="Times New Roman"/>
                <w:sz w:val="22"/>
              </w:rPr>
              <w:t>(</w:t>
            </w:r>
            <w:r w:rsidR="000537EE" w:rsidRPr="00AF46D7">
              <w:rPr>
                <w:rFonts w:cs="Times New Roman"/>
                <w:sz w:val="22"/>
              </w:rPr>
              <w:t>0.</w:t>
            </w:r>
            <w:r w:rsidR="000537EE">
              <w:rPr>
                <w:rFonts w:cs="Times New Roman"/>
                <w:sz w:val="22"/>
              </w:rPr>
              <w:t>019</w:t>
            </w:r>
            <w:r w:rsidR="000537EE" w:rsidRPr="00AF46D7">
              <w:rPr>
                <w:rFonts w:cs="Times New Roman"/>
                <w:sz w:val="22"/>
              </w:rPr>
              <w:t>)</w:t>
            </w:r>
            <w:r w:rsidR="000537EE">
              <w:rPr>
                <w:rFonts w:cs="Times New Roman"/>
                <w:sz w:val="22"/>
              </w:rPr>
              <w:t xml:space="preserve"> **</w:t>
            </w:r>
          </w:p>
        </w:tc>
        <w:tc>
          <w:tcPr>
            <w:tcW w:w="1870" w:type="dxa"/>
            <w:tcBorders>
              <w:top w:val="single" w:sz="4" w:space="0" w:color="auto"/>
              <w:left w:val="single" w:sz="4" w:space="0" w:color="auto"/>
              <w:bottom w:val="single" w:sz="4" w:space="0" w:color="auto"/>
              <w:right w:val="single" w:sz="4" w:space="0" w:color="auto"/>
            </w:tcBorders>
            <w:vAlign w:val="center"/>
            <w:hideMark/>
          </w:tcPr>
          <w:p w14:paraId="1A8B0FA7" w14:textId="77777777" w:rsidR="00627770" w:rsidRPr="00AF46D7" w:rsidRDefault="00627770" w:rsidP="005565D2">
            <w:pPr>
              <w:spacing w:after="160" w:line="256" w:lineRule="auto"/>
              <w:jc w:val="center"/>
              <w:rPr>
                <w:rFonts w:cs="Times New Roman"/>
                <w:sz w:val="22"/>
                <w:highlight w:val="yellow"/>
              </w:rPr>
            </w:pPr>
            <w:r w:rsidRPr="00AF46D7">
              <w:rPr>
                <w:rFonts w:cs="Times New Roman"/>
                <w:sz w:val="22"/>
              </w:rPr>
              <w:t>(0.000) ***</w:t>
            </w:r>
          </w:p>
        </w:tc>
        <w:tc>
          <w:tcPr>
            <w:tcW w:w="1643" w:type="dxa"/>
            <w:tcBorders>
              <w:top w:val="single" w:sz="4" w:space="0" w:color="auto"/>
              <w:left w:val="single" w:sz="4" w:space="0" w:color="auto"/>
              <w:bottom w:val="single" w:sz="4" w:space="0" w:color="auto"/>
              <w:right w:val="single" w:sz="4" w:space="0" w:color="auto"/>
            </w:tcBorders>
            <w:vAlign w:val="center"/>
            <w:hideMark/>
          </w:tcPr>
          <w:p w14:paraId="63E43323" w14:textId="77777777" w:rsidR="00627770" w:rsidRPr="00B37E7D" w:rsidRDefault="00627770" w:rsidP="005565D2">
            <w:pPr>
              <w:spacing w:after="160" w:line="256" w:lineRule="auto"/>
              <w:jc w:val="center"/>
              <w:rPr>
                <w:rFonts w:cs="Times New Roman"/>
                <w:sz w:val="22"/>
              </w:rPr>
            </w:pPr>
            <w:r w:rsidRPr="00B37E7D">
              <w:rPr>
                <w:rFonts w:cs="Times New Roman"/>
                <w:sz w:val="22"/>
              </w:rPr>
              <w:t>(0.000) ***</w:t>
            </w:r>
          </w:p>
        </w:tc>
        <w:tc>
          <w:tcPr>
            <w:tcW w:w="1904" w:type="dxa"/>
            <w:tcBorders>
              <w:top w:val="single" w:sz="4" w:space="0" w:color="auto"/>
              <w:left w:val="single" w:sz="4" w:space="0" w:color="auto"/>
              <w:bottom w:val="single" w:sz="4" w:space="0" w:color="auto"/>
              <w:right w:val="single" w:sz="4" w:space="0" w:color="auto"/>
            </w:tcBorders>
            <w:vAlign w:val="center"/>
            <w:hideMark/>
          </w:tcPr>
          <w:p w14:paraId="448AABC4" w14:textId="77777777" w:rsidR="00627770" w:rsidRPr="00B37E7D" w:rsidRDefault="00627770" w:rsidP="005565D2">
            <w:pPr>
              <w:spacing w:after="160" w:line="256" w:lineRule="auto"/>
              <w:jc w:val="center"/>
              <w:rPr>
                <w:rFonts w:cs="Times New Roman"/>
                <w:sz w:val="22"/>
              </w:rPr>
            </w:pPr>
            <w:r w:rsidRPr="00B37E7D">
              <w:rPr>
                <w:rFonts w:cs="Times New Roman"/>
                <w:sz w:val="22"/>
              </w:rPr>
              <w:t>(0.000)</w:t>
            </w:r>
            <w:r>
              <w:rPr>
                <w:rFonts w:cs="Times New Roman"/>
                <w:sz w:val="22"/>
              </w:rPr>
              <w:t xml:space="preserve"> </w:t>
            </w:r>
            <w:r w:rsidRPr="00B37E7D">
              <w:rPr>
                <w:rFonts w:cs="Times New Roman"/>
                <w:sz w:val="22"/>
              </w:rPr>
              <w:t>***</w:t>
            </w:r>
          </w:p>
        </w:tc>
      </w:tr>
      <w:tr w:rsidR="00627770" w:rsidRPr="00AF46D7" w14:paraId="10873086" w14:textId="77777777" w:rsidTr="00A77975">
        <w:trPr>
          <w:trHeight w:val="594"/>
        </w:trPr>
        <w:tc>
          <w:tcPr>
            <w:tcW w:w="1931" w:type="dxa"/>
            <w:tcBorders>
              <w:top w:val="single" w:sz="4" w:space="0" w:color="auto"/>
              <w:left w:val="single" w:sz="4" w:space="0" w:color="auto"/>
              <w:bottom w:val="single" w:sz="4" w:space="0" w:color="auto"/>
              <w:right w:val="single" w:sz="4" w:space="0" w:color="auto"/>
            </w:tcBorders>
            <w:vAlign w:val="center"/>
            <w:hideMark/>
          </w:tcPr>
          <w:p w14:paraId="063F158C" w14:textId="77777777" w:rsidR="00627770" w:rsidRPr="00040726" w:rsidRDefault="00627770" w:rsidP="005565D2">
            <w:pPr>
              <w:spacing w:after="160" w:line="256" w:lineRule="auto"/>
              <w:jc w:val="center"/>
              <w:rPr>
                <w:rFonts w:cs="Times New Roman"/>
                <w:i/>
                <w:iCs/>
                <w:sz w:val="22"/>
              </w:rPr>
            </w:pPr>
            <w:proofErr w:type="spellStart"/>
            <w:r w:rsidRPr="00040726">
              <w:rPr>
                <w:rFonts w:cs="Times New Roman"/>
                <w:i/>
                <w:iCs/>
                <w:sz w:val="22"/>
              </w:rPr>
              <w:t>lnREM</w:t>
            </w:r>
            <w:proofErr w:type="spellEnd"/>
          </w:p>
        </w:tc>
        <w:tc>
          <w:tcPr>
            <w:tcW w:w="1723" w:type="dxa"/>
            <w:tcBorders>
              <w:top w:val="single" w:sz="4" w:space="0" w:color="auto"/>
              <w:left w:val="single" w:sz="4" w:space="0" w:color="auto"/>
              <w:bottom w:val="single" w:sz="4" w:space="0" w:color="auto"/>
              <w:right w:val="single" w:sz="4" w:space="0" w:color="auto"/>
            </w:tcBorders>
            <w:vAlign w:val="center"/>
            <w:hideMark/>
          </w:tcPr>
          <w:p w14:paraId="3D2A5A6D" w14:textId="77777777" w:rsidR="00627770" w:rsidRPr="00AF46D7" w:rsidRDefault="00627770" w:rsidP="005565D2">
            <w:pPr>
              <w:spacing w:after="160" w:line="256" w:lineRule="auto"/>
              <w:jc w:val="center"/>
              <w:rPr>
                <w:rFonts w:cs="Times New Roman"/>
                <w:sz w:val="22"/>
              </w:rPr>
            </w:pPr>
            <w:r w:rsidRPr="00AF46D7">
              <w:rPr>
                <w:rFonts w:cs="Times New Roman"/>
                <w:sz w:val="22"/>
              </w:rPr>
              <w:t>(0.000) ***</w:t>
            </w:r>
          </w:p>
        </w:tc>
        <w:tc>
          <w:tcPr>
            <w:tcW w:w="1870" w:type="dxa"/>
            <w:tcBorders>
              <w:top w:val="single" w:sz="4" w:space="0" w:color="auto"/>
              <w:left w:val="single" w:sz="4" w:space="0" w:color="auto"/>
              <w:bottom w:val="single" w:sz="4" w:space="0" w:color="auto"/>
              <w:right w:val="single" w:sz="4" w:space="0" w:color="auto"/>
            </w:tcBorders>
            <w:vAlign w:val="center"/>
            <w:hideMark/>
          </w:tcPr>
          <w:p w14:paraId="1CDBD4C7" w14:textId="0E9ADBF1" w:rsidR="00627770" w:rsidRPr="00AF46D7" w:rsidRDefault="00627770" w:rsidP="005565D2">
            <w:pPr>
              <w:spacing w:after="160" w:line="256" w:lineRule="auto"/>
              <w:jc w:val="center"/>
              <w:rPr>
                <w:rFonts w:cs="Times New Roman"/>
                <w:sz w:val="22"/>
                <w:highlight w:val="yellow"/>
              </w:rPr>
            </w:pPr>
            <w:r w:rsidRPr="00AF46D7">
              <w:rPr>
                <w:rFonts w:cs="Times New Roman"/>
                <w:sz w:val="22"/>
              </w:rPr>
              <w:t>(0.00</w:t>
            </w:r>
            <w:r w:rsidR="000537EE">
              <w:rPr>
                <w:rFonts w:cs="Times New Roman"/>
                <w:sz w:val="22"/>
              </w:rPr>
              <w:t>0</w:t>
            </w:r>
            <w:r w:rsidRPr="00AF46D7">
              <w:rPr>
                <w:rFonts w:cs="Times New Roman"/>
                <w:sz w:val="22"/>
              </w:rPr>
              <w:t>) ***</w:t>
            </w:r>
          </w:p>
        </w:tc>
        <w:tc>
          <w:tcPr>
            <w:tcW w:w="1643" w:type="dxa"/>
            <w:tcBorders>
              <w:top w:val="single" w:sz="4" w:space="0" w:color="auto"/>
              <w:left w:val="single" w:sz="4" w:space="0" w:color="auto"/>
              <w:bottom w:val="single" w:sz="4" w:space="0" w:color="auto"/>
              <w:right w:val="single" w:sz="4" w:space="0" w:color="auto"/>
            </w:tcBorders>
            <w:vAlign w:val="center"/>
            <w:hideMark/>
          </w:tcPr>
          <w:p w14:paraId="387E8D37" w14:textId="77777777" w:rsidR="00627770" w:rsidRPr="00C40BD4" w:rsidRDefault="00627770" w:rsidP="005565D2">
            <w:pPr>
              <w:spacing w:after="160" w:line="256" w:lineRule="auto"/>
              <w:jc w:val="center"/>
              <w:rPr>
                <w:rFonts w:cs="Times New Roman"/>
                <w:sz w:val="22"/>
              </w:rPr>
            </w:pPr>
            <w:r w:rsidRPr="00C40BD4">
              <w:rPr>
                <w:rFonts w:cs="Times New Roman"/>
                <w:sz w:val="22"/>
              </w:rPr>
              <w:t>(0.000) ***</w:t>
            </w:r>
          </w:p>
        </w:tc>
        <w:tc>
          <w:tcPr>
            <w:tcW w:w="1904" w:type="dxa"/>
            <w:tcBorders>
              <w:top w:val="single" w:sz="4" w:space="0" w:color="auto"/>
              <w:left w:val="single" w:sz="4" w:space="0" w:color="auto"/>
              <w:bottom w:val="single" w:sz="4" w:space="0" w:color="auto"/>
              <w:right w:val="single" w:sz="4" w:space="0" w:color="auto"/>
            </w:tcBorders>
            <w:vAlign w:val="center"/>
            <w:hideMark/>
          </w:tcPr>
          <w:p w14:paraId="69FC5649" w14:textId="77777777" w:rsidR="00627770" w:rsidRPr="00040726" w:rsidRDefault="00627770" w:rsidP="005565D2">
            <w:pPr>
              <w:spacing w:after="160" w:line="256" w:lineRule="auto"/>
              <w:jc w:val="center"/>
              <w:rPr>
                <w:rFonts w:cs="Times New Roman"/>
                <w:sz w:val="22"/>
              </w:rPr>
            </w:pPr>
            <w:r w:rsidRPr="00040726">
              <w:rPr>
                <w:rFonts w:cs="Times New Roman"/>
                <w:sz w:val="22"/>
              </w:rPr>
              <w:t>(0.000)</w:t>
            </w:r>
            <w:r>
              <w:rPr>
                <w:rFonts w:cs="Times New Roman"/>
                <w:sz w:val="22"/>
              </w:rPr>
              <w:t xml:space="preserve"> </w:t>
            </w:r>
            <w:r w:rsidRPr="00040726">
              <w:rPr>
                <w:rFonts w:cs="Times New Roman"/>
                <w:sz w:val="22"/>
              </w:rPr>
              <w:t>***</w:t>
            </w:r>
          </w:p>
        </w:tc>
      </w:tr>
      <w:tr w:rsidR="00627770" w:rsidRPr="00AF46D7" w14:paraId="1EBC3ED6" w14:textId="77777777" w:rsidTr="00A77975">
        <w:trPr>
          <w:trHeight w:val="594"/>
        </w:trPr>
        <w:tc>
          <w:tcPr>
            <w:tcW w:w="1931" w:type="dxa"/>
            <w:tcBorders>
              <w:top w:val="single" w:sz="4" w:space="0" w:color="auto"/>
              <w:left w:val="single" w:sz="4" w:space="0" w:color="auto"/>
              <w:bottom w:val="single" w:sz="4" w:space="0" w:color="auto"/>
              <w:right w:val="single" w:sz="4" w:space="0" w:color="auto"/>
            </w:tcBorders>
            <w:vAlign w:val="center"/>
          </w:tcPr>
          <w:p w14:paraId="736A4FCF" w14:textId="77777777" w:rsidR="00627770" w:rsidRPr="00040726" w:rsidRDefault="00627770" w:rsidP="005565D2">
            <w:pPr>
              <w:spacing w:after="160" w:line="256" w:lineRule="auto"/>
              <w:jc w:val="center"/>
              <w:rPr>
                <w:rFonts w:cs="Times New Roman"/>
                <w:i/>
                <w:iCs/>
                <w:sz w:val="22"/>
              </w:rPr>
            </w:pPr>
            <w:proofErr w:type="spellStart"/>
            <w:r>
              <w:rPr>
                <w:rFonts w:cs="Times New Roman"/>
                <w:i/>
                <w:iCs/>
                <w:sz w:val="22"/>
              </w:rPr>
              <w:t>lnINF</w:t>
            </w:r>
            <w:proofErr w:type="spellEnd"/>
          </w:p>
        </w:tc>
        <w:tc>
          <w:tcPr>
            <w:tcW w:w="1723" w:type="dxa"/>
            <w:tcBorders>
              <w:top w:val="single" w:sz="4" w:space="0" w:color="auto"/>
              <w:left w:val="single" w:sz="4" w:space="0" w:color="auto"/>
              <w:bottom w:val="single" w:sz="4" w:space="0" w:color="auto"/>
              <w:right w:val="single" w:sz="4" w:space="0" w:color="auto"/>
            </w:tcBorders>
            <w:vAlign w:val="center"/>
          </w:tcPr>
          <w:p w14:paraId="5084A9CA" w14:textId="77777777" w:rsidR="00627770" w:rsidRPr="00AF46D7" w:rsidRDefault="00627770" w:rsidP="005565D2">
            <w:pPr>
              <w:spacing w:after="160" w:line="256" w:lineRule="auto"/>
              <w:jc w:val="center"/>
              <w:rPr>
                <w:rFonts w:cs="Times New Roman"/>
                <w:sz w:val="22"/>
              </w:rPr>
            </w:pPr>
            <w:r>
              <w:rPr>
                <w:rFonts w:cs="Times New Roman"/>
                <w:sz w:val="22"/>
              </w:rPr>
              <w:t>(0.000) ***</w:t>
            </w:r>
          </w:p>
        </w:tc>
        <w:tc>
          <w:tcPr>
            <w:tcW w:w="1870" w:type="dxa"/>
            <w:tcBorders>
              <w:top w:val="single" w:sz="4" w:space="0" w:color="auto"/>
              <w:left w:val="single" w:sz="4" w:space="0" w:color="auto"/>
              <w:bottom w:val="single" w:sz="4" w:space="0" w:color="auto"/>
              <w:right w:val="single" w:sz="4" w:space="0" w:color="auto"/>
            </w:tcBorders>
            <w:vAlign w:val="center"/>
          </w:tcPr>
          <w:p w14:paraId="0C729250" w14:textId="77777777" w:rsidR="00627770" w:rsidRPr="00AF46D7" w:rsidRDefault="00627770" w:rsidP="005565D2">
            <w:pPr>
              <w:spacing w:after="160" w:line="256" w:lineRule="auto"/>
              <w:jc w:val="center"/>
              <w:rPr>
                <w:rFonts w:cs="Times New Roman"/>
                <w:sz w:val="22"/>
              </w:rPr>
            </w:pPr>
            <w:r>
              <w:rPr>
                <w:rFonts w:cs="Times New Roman"/>
                <w:sz w:val="22"/>
              </w:rPr>
              <w:t>(0.000) ***</w:t>
            </w:r>
          </w:p>
        </w:tc>
        <w:tc>
          <w:tcPr>
            <w:tcW w:w="1643" w:type="dxa"/>
            <w:tcBorders>
              <w:top w:val="single" w:sz="4" w:space="0" w:color="auto"/>
              <w:left w:val="single" w:sz="4" w:space="0" w:color="auto"/>
              <w:bottom w:val="single" w:sz="4" w:space="0" w:color="auto"/>
              <w:right w:val="single" w:sz="4" w:space="0" w:color="auto"/>
            </w:tcBorders>
            <w:vAlign w:val="center"/>
          </w:tcPr>
          <w:p w14:paraId="2263B811" w14:textId="77777777" w:rsidR="00627770" w:rsidRDefault="00627770" w:rsidP="005565D2">
            <w:pPr>
              <w:spacing w:after="160" w:line="256" w:lineRule="auto"/>
              <w:jc w:val="center"/>
              <w:rPr>
                <w:rFonts w:cs="Times New Roman"/>
                <w:sz w:val="22"/>
              </w:rPr>
            </w:pPr>
            <w:r>
              <w:rPr>
                <w:rFonts w:cs="Times New Roman"/>
                <w:sz w:val="22"/>
              </w:rPr>
              <w:t>(0.000) ***</w:t>
            </w:r>
          </w:p>
        </w:tc>
        <w:tc>
          <w:tcPr>
            <w:tcW w:w="1904" w:type="dxa"/>
            <w:tcBorders>
              <w:top w:val="single" w:sz="4" w:space="0" w:color="auto"/>
              <w:left w:val="single" w:sz="4" w:space="0" w:color="auto"/>
              <w:bottom w:val="single" w:sz="4" w:space="0" w:color="auto"/>
              <w:right w:val="single" w:sz="4" w:space="0" w:color="auto"/>
            </w:tcBorders>
            <w:vAlign w:val="center"/>
          </w:tcPr>
          <w:p w14:paraId="66993612" w14:textId="77777777" w:rsidR="00627770" w:rsidRPr="00040726" w:rsidRDefault="00627770" w:rsidP="005565D2">
            <w:pPr>
              <w:spacing w:after="160" w:line="256" w:lineRule="auto"/>
              <w:jc w:val="center"/>
              <w:rPr>
                <w:rFonts w:cs="Times New Roman"/>
                <w:sz w:val="22"/>
              </w:rPr>
            </w:pPr>
            <w:r>
              <w:rPr>
                <w:rFonts w:cs="Times New Roman"/>
                <w:sz w:val="22"/>
              </w:rPr>
              <w:t>(0.000) ***</w:t>
            </w:r>
          </w:p>
        </w:tc>
      </w:tr>
      <w:tr w:rsidR="004717A5" w:rsidRPr="00AF46D7" w14:paraId="44646385" w14:textId="77777777" w:rsidTr="00A77975">
        <w:trPr>
          <w:trHeight w:val="594"/>
        </w:trPr>
        <w:tc>
          <w:tcPr>
            <w:tcW w:w="1931" w:type="dxa"/>
            <w:tcBorders>
              <w:top w:val="single" w:sz="4" w:space="0" w:color="auto"/>
              <w:left w:val="single" w:sz="4" w:space="0" w:color="auto"/>
              <w:bottom w:val="single" w:sz="4" w:space="0" w:color="auto"/>
              <w:right w:val="single" w:sz="4" w:space="0" w:color="auto"/>
            </w:tcBorders>
            <w:vAlign w:val="center"/>
          </w:tcPr>
          <w:p w14:paraId="219A7A42" w14:textId="0F59424C" w:rsidR="004717A5" w:rsidRDefault="004717A5" w:rsidP="005565D2">
            <w:pPr>
              <w:spacing w:after="160" w:line="256" w:lineRule="auto"/>
              <w:jc w:val="center"/>
              <w:rPr>
                <w:rFonts w:cs="Times New Roman"/>
                <w:i/>
                <w:iCs/>
                <w:sz w:val="22"/>
              </w:rPr>
            </w:pPr>
            <w:proofErr w:type="spellStart"/>
            <w:r>
              <w:rPr>
                <w:rFonts w:cs="Times New Roman"/>
                <w:i/>
                <w:iCs/>
                <w:sz w:val="22"/>
              </w:rPr>
              <w:t>lnOil</w:t>
            </w:r>
            <w:proofErr w:type="spellEnd"/>
            <w:r>
              <w:rPr>
                <w:rFonts w:cs="Times New Roman"/>
                <w:i/>
                <w:iCs/>
                <w:sz w:val="22"/>
              </w:rPr>
              <w:t xml:space="preserve"> </w:t>
            </w:r>
          </w:p>
        </w:tc>
        <w:tc>
          <w:tcPr>
            <w:tcW w:w="1723" w:type="dxa"/>
            <w:tcBorders>
              <w:top w:val="single" w:sz="4" w:space="0" w:color="auto"/>
              <w:left w:val="single" w:sz="4" w:space="0" w:color="auto"/>
              <w:bottom w:val="single" w:sz="4" w:space="0" w:color="auto"/>
              <w:right w:val="single" w:sz="4" w:space="0" w:color="auto"/>
            </w:tcBorders>
            <w:vAlign w:val="center"/>
          </w:tcPr>
          <w:p w14:paraId="3E510D6B" w14:textId="66D4AED0" w:rsidR="004717A5" w:rsidRDefault="00777FB8" w:rsidP="005565D2">
            <w:pPr>
              <w:spacing w:after="160" w:line="256" w:lineRule="auto"/>
              <w:jc w:val="center"/>
              <w:rPr>
                <w:rFonts w:cs="Times New Roman"/>
                <w:sz w:val="22"/>
              </w:rPr>
            </w:pPr>
            <w:r>
              <w:rPr>
                <w:rFonts w:cs="Times New Roman"/>
                <w:sz w:val="22"/>
              </w:rPr>
              <w:t>(0.000) ***</w:t>
            </w:r>
          </w:p>
        </w:tc>
        <w:tc>
          <w:tcPr>
            <w:tcW w:w="1870" w:type="dxa"/>
            <w:tcBorders>
              <w:top w:val="single" w:sz="4" w:space="0" w:color="auto"/>
              <w:left w:val="single" w:sz="4" w:space="0" w:color="auto"/>
              <w:bottom w:val="single" w:sz="4" w:space="0" w:color="auto"/>
              <w:right w:val="single" w:sz="4" w:space="0" w:color="auto"/>
            </w:tcBorders>
            <w:vAlign w:val="center"/>
          </w:tcPr>
          <w:p w14:paraId="467C9ABC" w14:textId="22D30D30" w:rsidR="004717A5" w:rsidRDefault="00777FB8" w:rsidP="005565D2">
            <w:pPr>
              <w:spacing w:after="160" w:line="256" w:lineRule="auto"/>
              <w:jc w:val="center"/>
              <w:rPr>
                <w:rFonts w:cs="Times New Roman"/>
                <w:sz w:val="22"/>
              </w:rPr>
            </w:pPr>
            <w:r>
              <w:rPr>
                <w:rFonts w:cs="Times New Roman"/>
                <w:sz w:val="22"/>
              </w:rPr>
              <w:t>(0.000) ***</w:t>
            </w:r>
          </w:p>
        </w:tc>
        <w:tc>
          <w:tcPr>
            <w:tcW w:w="1643" w:type="dxa"/>
            <w:tcBorders>
              <w:top w:val="single" w:sz="4" w:space="0" w:color="auto"/>
              <w:left w:val="single" w:sz="4" w:space="0" w:color="auto"/>
              <w:bottom w:val="single" w:sz="4" w:space="0" w:color="auto"/>
              <w:right w:val="single" w:sz="4" w:space="0" w:color="auto"/>
            </w:tcBorders>
            <w:vAlign w:val="center"/>
          </w:tcPr>
          <w:p w14:paraId="35490879" w14:textId="623345BF" w:rsidR="004717A5" w:rsidRDefault="00777FB8" w:rsidP="005565D2">
            <w:pPr>
              <w:spacing w:after="160" w:line="256" w:lineRule="auto"/>
              <w:jc w:val="center"/>
              <w:rPr>
                <w:rFonts w:cs="Times New Roman"/>
                <w:sz w:val="22"/>
              </w:rPr>
            </w:pPr>
            <w:r>
              <w:rPr>
                <w:rFonts w:cs="Times New Roman"/>
                <w:sz w:val="22"/>
              </w:rPr>
              <w:t>(0.000) ***</w:t>
            </w:r>
          </w:p>
        </w:tc>
        <w:tc>
          <w:tcPr>
            <w:tcW w:w="1904" w:type="dxa"/>
            <w:tcBorders>
              <w:top w:val="single" w:sz="4" w:space="0" w:color="auto"/>
              <w:left w:val="single" w:sz="4" w:space="0" w:color="auto"/>
              <w:bottom w:val="single" w:sz="4" w:space="0" w:color="auto"/>
              <w:right w:val="single" w:sz="4" w:space="0" w:color="auto"/>
            </w:tcBorders>
            <w:vAlign w:val="center"/>
          </w:tcPr>
          <w:p w14:paraId="4DD6CC31" w14:textId="3006E413" w:rsidR="004717A5" w:rsidRDefault="00777FB8" w:rsidP="005565D2">
            <w:pPr>
              <w:spacing w:after="160" w:line="256" w:lineRule="auto"/>
              <w:jc w:val="center"/>
              <w:rPr>
                <w:rFonts w:cs="Times New Roman"/>
                <w:sz w:val="22"/>
              </w:rPr>
            </w:pPr>
            <w:r>
              <w:rPr>
                <w:rFonts w:cs="Times New Roman"/>
                <w:sz w:val="22"/>
              </w:rPr>
              <w:t>(0.000) ***</w:t>
            </w:r>
          </w:p>
        </w:tc>
      </w:tr>
    </w:tbl>
    <w:p w14:paraId="36C3599B" w14:textId="77777777" w:rsidR="00627770" w:rsidRPr="00AF46D7" w:rsidRDefault="00627770" w:rsidP="00627770">
      <w:pPr>
        <w:spacing w:after="160" w:line="256" w:lineRule="auto"/>
        <w:jc w:val="center"/>
        <w:rPr>
          <w:sz w:val="20"/>
          <w:szCs w:val="20"/>
        </w:rPr>
      </w:pPr>
      <w:r w:rsidRPr="00AF46D7">
        <w:rPr>
          <w:sz w:val="20"/>
          <w:szCs w:val="20"/>
        </w:rPr>
        <w:t>Values in parentheses represent p-values</w:t>
      </w:r>
    </w:p>
    <w:p w14:paraId="7F515C2E" w14:textId="77777777" w:rsidR="00627770" w:rsidRPr="00AF46D7" w:rsidRDefault="00627770" w:rsidP="00627770">
      <w:pPr>
        <w:spacing w:after="160" w:line="256" w:lineRule="auto"/>
        <w:jc w:val="center"/>
        <w:rPr>
          <w:sz w:val="20"/>
          <w:szCs w:val="20"/>
        </w:rPr>
      </w:pPr>
      <w:r w:rsidRPr="00AF46D7">
        <w:rPr>
          <w:sz w:val="20"/>
          <w:szCs w:val="20"/>
        </w:rPr>
        <w:t>**</w:t>
      </w:r>
      <w:r w:rsidRPr="00AF46D7">
        <w:rPr>
          <w:sz w:val="20"/>
          <w:szCs w:val="20"/>
          <w:lang w:bidi="ar-EG"/>
        </w:rPr>
        <w:t>* P</w:t>
      </w:r>
      <w:r w:rsidRPr="00AF46D7">
        <w:rPr>
          <w:rFonts w:cs="Times New Roman"/>
          <w:sz w:val="20"/>
          <w:szCs w:val="20"/>
          <w:lang w:bidi="ar-EG"/>
        </w:rPr>
        <w:t xml:space="preserve">&lt; 0.01, ** </w:t>
      </w:r>
      <w:r w:rsidRPr="00AF46D7">
        <w:rPr>
          <w:sz w:val="20"/>
          <w:szCs w:val="20"/>
          <w:lang w:bidi="ar-EG"/>
        </w:rPr>
        <w:t>P</w:t>
      </w:r>
      <w:r w:rsidRPr="00AF46D7">
        <w:rPr>
          <w:rFonts w:cs="Times New Roman"/>
          <w:sz w:val="20"/>
          <w:szCs w:val="20"/>
          <w:lang w:bidi="ar-EG"/>
        </w:rPr>
        <w:t>&lt; 0.05</w:t>
      </w:r>
      <w:r w:rsidRPr="00AF46D7">
        <w:rPr>
          <w:sz w:val="20"/>
          <w:szCs w:val="20"/>
          <w:lang w:bidi="ar-EG"/>
        </w:rPr>
        <w:t xml:space="preserve">, </w:t>
      </w:r>
      <w:r w:rsidRPr="00AF46D7">
        <w:rPr>
          <w:sz w:val="20"/>
          <w:szCs w:val="20"/>
        </w:rPr>
        <w:t xml:space="preserve">* </w:t>
      </w:r>
      <w:r w:rsidRPr="00AF46D7">
        <w:rPr>
          <w:sz w:val="20"/>
          <w:szCs w:val="20"/>
          <w:lang w:bidi="ar-EG"/>
        </w:rPr>
        <w:t>P</w:t>
      </w:r>
      <w:r w:rsidRPr="00AF46D7">
        <w:rPr>
          <w:rFonts w:cs="Times New Roman"/>
          <w:sz w:val="20"/>
          <w:szCs w:val="20"/>
          <w:lang w:bidi="ar-EG"/>
        </w:rPr>
        <w:t>&lt; 0.10</w:t>
      </w:r>
    </w:p>
    <w:p w14:paraId="6F4A5ED9" w14:textId="77777777" w:rsidR="00627770" w:rsidRPr="00AB5A0A" w:rsidRDefault="00627770" w:rsidP="00627770">
      <w:pPr>
        <w:spacing w:after="160" w:line="256" w:lineRule="auto"/>
        <w:jc w:val="both"/>
      </w:pPr>
    </w:p>
    <w:p w14:paraId="13259AB4" w14:textId="77777777" w:rsidR="00627770" w:rsidRDefault="00627770"/>
    <w:p w14:paraId="46FEFFC4" w14:textId="77777777" w:rsidR="00F97214" w:rsidRDefault="00F97214" w:rsidP="00EC2D56">
      <w:pPr>
        <w:rPr>
          <w:b/>
          <w:bCs/>
        </w:rPr>
      </w:pPr>
    </w:p>
    <w:p w14:paraId="007C765A" w14:textId="77777777" w:rsidR="00F97214" w:rsidRDefault="00F97214" w:rsidP="00F97214">
      <w:pPr>
        <w:jc w:val="center"/>
        <w:rPr>
          <w:b/>
          <w:bCs/>
        </w:rPr>
      </w:pPr>
    </w:p>
    <w:p w14:paraId="5D81A50F" w14:textId="3DFDE40D" w:rsidR="00EC2D56" w:rsidRPr="004717A5" w:rsidRDefault="00EC2D56" w:rsidP="00EC2D56">
      <w:pPr>
        <w:jc w:val="center"/>
        <w:rPr>
          <w:b/>
          <w:bCs/>
        </w:rPr>
      </w:pPr>
      <w:r w:rsidRPr="004717A5">
        <w:rPr>
          <w:b/>
          <w:bCs/>
        </w:rPr>
        <w:t>Table S</w:t>
      </w:r>
      <w:r>
        <w:rPr>
          <w:b/>
          <w:bCs/>
        </w:rPr>
        <w:t>5</w:t>
      </w:r>
      <w:r w:rsidRPr="004717A5">
        <w:rPr>
          <w:b/>
          <w:bCs/>
        </w:rPr>
        <w:t xml:space="preserve">: </w:t>
      </w:r>
      <w:r>
        <w:rPr>
          <w:b/>
          <w:bCs/>
        </w:rPr>
        <w:t>Slope Homogeneity Test</w:t>
      </w:r>
    </w:p>
    <w:tbl>
      <w:tblPr>
        <w:tblStyle w:val="PlainTable2"/>
        <w:tblW w:w="0" w:type="auto"/>
        <w:tblInd w:w="1230" w:type="dxa"/>
        <w:tblLook w:val="04A0" w:firstRow="1" w:lastRow="0" w:firstColumn="1" w:lastColumn="0" w:noHBand="0" w:noVBand="1"/>
      </w:tblPr>
      <w:tblGrid>
        <w:gridCol w:w="3455"/>
        <w:gridCol w:w="3455"/>
      </w:tblGrid>
      <w:tr w:rsidR="00EC2D56" w14:paraId="723EF048" w14:textId="77777777" w:rsidTr="00880150">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3455" w:type="dxa"/>
          </w:tcPr>
          <w:p w14:paraId="51A620B1" w14:textId="0B7B19BA" w:rsidR="00EC2D56" w:rsidRPr="004717A5" w:rsidRDefault="00EC2D56" w:rsidP="00880150">
            <w:pPr>
              <w:spacing w:after="160" w:line="256" w:lineRule="auto"/>
              <w:jc w:val="center"/>
              <w:rPr>
                <w:b w:val="0"/>
                <w:bCs w:val="0"/>
                <w:sz w:val="22"/>
                <w:szCs w:val="20"/>
              </w:rPr>
            </w:pPr>
            <w:r>
              <w:rPr>
                <w:b w:val="0"/>
                <w:bCs w:val="0"/>
              </w:rPr>
              <w:t>Delta</w:t>
            </w:r>
          </w:p>
        </w:tc>
        <w:tc>
          <w:tcPr>
            <w:tcW w:w="3455" w:type="dxa"/>
          </w:tcPr>
          <w:p w14:paraId="6D4103E2" w14:textId="43F35929" w:rsidR="00EC2D56" w:rsidRPr="004717A5" w:rsidRDefault="00EC2D56" w:rsidP="00880150">
            <w:pPr>
              <w:spacing w:after="160" w:line="25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0"/>
              </w:rPr>
            </w:pPr>
            <w:r>
              <w:rPr>
                <w:b w:val="0"/>
                <w:bCs w:val="0"/>
              </w:rPr>
              <w:t>P-value</w:t>
            </w:r>
          </w:p>
        </w:tc>
      </w:tr>
      <w:tr w:rsidR="00EC2D56" w14:paraId="3B60D87C" w14:textId="77777777" w:rsidTr="0088015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455" w:type="dxa"/>
          </w:tcPr>
          <w:p w14:paraId="7394EBAB" w14:textId="390D1C35" w:rsidR="00EC2D56" w:rsidRPr="00EC2D56" w:rsidRDefault="00EC2D56" w:rsidP="00EC2D56">
            <w:pPr>
              <w:spacing w:after="160" w:line="256" w:lineRule="auto"/>
              <w:jc w:val="center"/>
              <w:rPr>
                <w:b w:val="0"/>
                <w:bCs w:val="0"/>
                <w:sz w:val="22"/>
                <w:szCs w:val="20"/>
              </w:rPr>
            </w:pPr>
            <w:r w:rsidRPr="00EC2D56">
              <w:rPr>
                <w:b w:val="0"/>
                <w:bCs w:val="0"/>
              </w:rPr>
              <w:t xml:space="preserve"> 3.838          </w:t>
            </w:r>
          </w:p>
        </w:tc>
        <w:tc>
          <w:tcPr>
            <w:tcW w:w="3455" w:type="dxa"/>
          </w:tcPr>
          <w:p w14:paraId="33220685" w14:textId="5F742579" w:rsidR="00EC2D56" w:rsidRPr="004717A5" w:rsidRDefault="00EC2D56" w:rsidP="00EC2D56">
            <w:pPr>
              <w:spacing w:after="160" w:line="256" w:lineRule="auto"/>
              <w:jc w:val="center"/>
              <w:cnfStyle w:val="000000100000" w:firstRow="0" w:lastRow="0" w:firstColumn="0" w:lastColumn="0" w:oddVBand="0" w:evenVBand="0" w:oddHBand="1" w:evenHBand="0" w:firstRowFirstColumn="0" w:firstRowLastColumn="0" w:lastRowFirstColumn="0" w:lastRowLastColumn="0"/>
              <w:rPr>
                <w:sz w:val="22"/>
                <w:szCs w:val="20"/>
              </w:rPr>
            </w:pPr>
            <w:r>
              <w:t>0.0</w:t>
            </w:r>
            <w:r w:rsidRPr="0034317E">
              <w:t>00</w:t>
            </w:r>
          </w:p>
        </w:tc>
      </w:tr>
      <w:tr w:rsidR="00EC2D56" w14:paraId="1E403A01" w14:textId="77777777" w:rsidTr="00880150">
        <w:trPr>
          <w:trHeight w:val="426"/>
        </w:trPr>
        <w:tc>
          <w:tcPr>
            <w:cnfStyle w:val="001000000000" w:firstRow="0" w:lastRow="0" w:firstColumn="1" w:lastColumn="0" w:oddVBand="0" w:evenVBand="0" w:oddHBand="0" w:evenHBand="0" w:firstRowFirstColumn="0" w:firstRowLastColumn="0" w:lastRowFirstColumn="0" w:lastRowLastColumn="0"/>
            <w:tcW w:w="3455" w:type="dxa"/>
          </w:tcPr>
          <w:p w14:paraId="5FD91789" w14:textId="0785F871" w:rsidR="00EC2D56" w:rsidRPr="00EC2D56" w:rsidRDefault="00EC2D56" w:rsidP="00EC2D56">
            <w:pPr>
              <w:spacing w:after="160" w:line="256" w:lineRule="auto"/>
              <w:jc w:val="center"/>
              <w:rPr>
                <w:b w:val="0"/>
                <w:bCs w:val="0"/>
              </w:rPr>
            </w:pPr>
            <w:r w:rsidRPr="00EC2D56">
              <w:rPr>
                <w:b w:val="0"/>
                <w:bCs w:val="0"/>
              </w:rPr>
              <w:t xml:space="preserve">5.052           </w:t>
            </w:r>
          </w:p>
        </w:tc>
        <w:tc>
          <w:tcPr>
            <w:tcW w:w="3455" w:type="dxa"/>
          </w:tcPr>
          <w:p w14:paraId="2668D1AA" w14:textId="3998C637" w:rsidR="00EC2D56" w:rsidRPr="0034317E" w:rsidRDefault="00EC2D56" w:rsidP="00EC2D56">
            <w:pPr>
              <w:spacing w:after="160" w:line="256" w:lineRule="auto"/>
              <w:jc w:val="center"/>
              <w:cnfStyle w:val="000000000000" w:firstRow="0" w:lastRow="0" w:firstColumn="0" w:lastColumn="0" w:oddVBand="0" w:evenVBand="0" w:oddHBand="0" w:evenHBand="0" w:firstRowFirstColumn="0" w:firstRowLastColumn="0" w:lastRowFirstColumn="0" w:lastRowLastColumn="0"/>
            </w:pPr>
            <w:r w:rsidRPr="00EC2D56">
              <w:t>0.000</w:t>
            </w:r>
          </w:p>
        </w:tc>
      </w:tr>
    </w:tbl>
    <w:p w14:paraId="0D5DE16B" w14:textId="2514E3B1" w:rsidR="00EC2D56" w:rsidRDefault="00EC2D56" w:rsidP="00EC2D56">
      <w:pPr>
        <w:spacing w:after="160" w:line="256" w:lineRule="auto"/>
        <w:jc w:val="center"/>
      </w:pPr>
      <w:r>
        <w:t>H</w:t>
      </w:r>
      <w:r w:rsidRPr="004717A5">
        <w:rPr>
          <w:vertAlign w:val="subscript"/>
        </w:rPr>
        <w:t>0</w:t>
      </w:r>
      <w:r>
        <w:t xml:space="preserve">: </w:t>
      </w:r>
      <w:r w:rsidRPr="00EC2D56">
        <w:t>slope coefficients are homogenous</w:t>
      </w:r>
    </w:p>
    <w:p w14:paraId="659D8D93" w14:textId="77777777" w:rsidR="00EC2D56" w:rsidRPr="00AF46D7" w:rsidRDefault="00EC2D56" w:rsidP="00EC2D56">
      <w:pPr>
        <w:spacing w:after="160" w:line="256" w:lineRule="auto"/>
        <w:jc w:val="center"/>
        <w:rPr>
          <w:sz w:val="20"/>
          <w:szCs w:val="20"/>
        </w:rPr>
      </w:pPr>
      <w:r w:rsidRPr="00AF46D7">
        <w:rPr>
          <w:sz w:val="20"/>
          <w:szCs w:val="20"/>
        </w:rPr>
        <w:t>**</w:t>
      </w:r>
      <w:r w:rsidRPr="00AF46D7">
        <w:rPr>
          <w:sz w:val="20"/>
          <w:szCs w:val="20"/>
          <w:lang w:bidi="ar-EG"/>
        </w:rPr>
        <w:t>* P</w:t>
      </w:r>
      <w:r w:rsidRPr="00AF46D7">
        <w:rPr>
          <w:rFonts w:cs="Times New Roman"/>
          <w:sz w:val="20"/>
          <w:szCs w:val="20"/>
          <w:lang w:bidi="ar-EG"/>
        </w:rPr>
        <w:t xml:space="preserve">&lt; 0.01, ** </w:t>
      </w:r>
      <w:r w:rsidRPr="00AF46D7">
        <w:rPr>
          <w:sz w:val="20"/>
          <w:szCs w:val="20"/>
          <w:lang w:bidi="ar-EG"/>
        </w:rPr>
        <w:t>P</w:t>
      </w:r>
      <w:r w:rsidRPr="00AF46D7">
        <w:rPr>
          <w:rFonts w:cs="Times New Roman"/>
          <w:sz w:val="20"/>
          <w:szCs w:val="20"/>
          <w:lang w:bidi="ar-EG"/>
        </w:rPr>
        <w:t>&lt; 0.05</w:t>
      </w:r>
      <w:r w:rsidRPr="00AF46D7">
        <w:rPr>
          <w:sz w:val="20"/>
          <w:szCs w:val="20"/>
          <w:lang w:bidi="ar-EG"/>
        </w:rPr>
        <w:t xml:space="preserve">, </w:t>
      </w:r>
      <w:r w:rsidRPr="00AF46D7">
        <w:rPr>
          <w:sz w:val="20"/>
          <w:szCs w:val="20"/>
        </w:rPr>
        <w:t xml:space="preserve">* </w:t>
      </w:r>
      <w:r w:rsidRPr="00AF46D7">
        <w:rPr>
          <w:sz w:val="20"/>
          <w:szCs w:val="20"/>
          <w:lang w:bidi="ar-EG"/>
        </w:rPr>
        <w:t>P</w:t>
      </w:r>
      <w:r w:rsidRPr="00AF46D7">
        <w:rPr>
          <w:rFonts w:cs="Times New Roman"/>
          <w:sz w:val="20"/>
          <w:szCs w:val="20"/>
          <w:lang w:bidi="ar-EG"/>
        </w:rPr>
        <w:t>&lt; 0.10</w:t>
      </w:r>
    </w:p>
    <w:p w14:paraId="684D3A15" w14:textId="77777777" w:rsidR="00EC2D56" w:rsidRDefault="00EC2D56" w:rsidP="00EC2D56">
      <w:pPr>
        <w:spacing w:after="160" w:line="256" w:lineRule="auto"/>
        <w:jc w:val="center"/>
        <w:rPr>
          <w:b/>
          <w:bCs/>
          <w:sz w:val="22"/>
          <w:szCs w:val="20"/>
        </w:rPr>
      </w:pPr>
    </w:p>
    <w:p w14:paraId="251D64B4" w14:textId="77777777" w:rsidR="00F97214" w:rsidRDefault="00F97214" w:rsidP="00F97214">
      <w:pPr>
        <w:jc w:val="center"/>
        <w:rPr>
          <w:b/>
          <w:bCs/>
        </w:rPr>
      </w:pPr>
    </w:p>
    <w:p w14:paraId="51C476C4" w14:textId="77777777" w:rsidR="00F97214" w:rsidRDefault="00F97214" w:rsidP="00F97214">
      <w:pPr>
        <w:jc w:val="center"/>
        <w:rPr>
          <w:b/>
          <w:bCs/>
        </w:rPr>
      </w:pPr>
    </w:p>
    <w:p w14:paraId="2D6CAAB7" w14:textId="77777777" w:rsidR="00EC2D56" w:rsidRPr="004717A5" w:rsidRDefault="00EC2D56" w:rsidP="00EC2D56">
      <w:pPr>
        <w:jc w:val="center"/>
        <w:rPr>
          <w:b/>
          <w:bCs/>
        </w:rPr>
      </w:pPr>
      <w:r w:rsidRPr="004717A5">
        <w:rPr>
          <w:b/>
          <w:bCs/>
        </w:rPr>
        <w:lastRenderedPageBreak/>
        <w:t>Table S</w:t>
      </w:r>
      <w:r>
        <w:rPr>
          <w:b/>
          <w:bCs/>
        </w:rPr>
        <w:t>6</w:t>
      </w:r>
      <w:r w:rsidRPr="004717A5">
        <w:rPr>
          <w:b/>
          <w:bCs/>
        </w:rPr>
        <w:t xml:space="preserve">: </w:t>
      </w:r>
      <w:r w:rsidRPr="007E0C51">
        <w:rPr>
          <w:b/>
          <w:bCs/>
        </w:rPr>
        <w:t>Dumitrescu &amp; Hurlin Granger non-causality test</w:t>
      </w:r>
    </w:p>
    <w:tbl>
      <w:tblPr>
        <w:tblStyle w:val="PlainTable2"/>
        <w:tblW w:w="0" w:type="auto"/>
        <w:tblInd w:w="1227" w:type="dxa"/>
        <w:tblLook w:val="04A0" w:firstRow="1" w:lastRow="0" w:firstColumn="1" w:lastColumn="0" w:noHBand="0" w:noVBand="1"/>
      </w:tblPr>
      <w:tblGrid>
        <w:gridCol w:w="3455"/>
        <w:gridCol w:w="3455"/>
      </w:tblGrid>
      <w:tr w:rsidR="00EC2D56" w14:paraId="341B8DCE" w14:textId="77777777" w:rsidTr="00880150">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3455" w:type="dxa"/>
          </w:tcPr>
          <w:p w14:paraId="3CDE07F2" w14:textId="77777777" w:rsidR="00EC2D56" w:rsidRPr="004717A5" w:rsidRDefault="00EC2D56" w:rsidP="00880150">
            <w:pPr>
              <w:spacing w:after="160" w:line="256" w:lineRule="auto"/>
              <w:jc w:val="center"/>
              <w:rPr>
                <w:b w:val="0"/>
                <w:bCs w:val="0"/>
                <w:sz w:val="22"/>
                <w:szCs w:val="20"/>
              </w:rPr>
            </w:pPr>
            <w:r w:rsidRPr="004717A5">
              <w:rPr>
                <w:b w:val="0"/>
                <w:bCs w:val="0"/>
              </w:rPr>
              <w:t xml:space="preserve">    </w:t>
            </w:r>
            <w:r>
              <w:rPr>
                <w:b w:val="0"/>
                <w:bCs w:val="0"/>
              </w:rPr>
              <w:t>Z-bar=0.3891</w:t>
            </w:r>
          </w:p>
        </w:tc>
        <w:tc>
          <w:tcPr>
            <w:tcW w:w="3455" w:type="dxa"/>
          </w:tcPr>
          <w:p w14:paraId="2CE3A41C" w14:textId="77777777" w:rsidR="00EC2D56" w:rsidRPr="004717A5" w:rsidRDefault="00EC2D56" w:rsidP="00880150">
            <w:pPr>
              <w:spacing w:after="160" w:line="256" w:lineRule="auto"/>
              <w:jc w:val="center"/>
              <w:cnfStyle w:val="100000000000" w:firstRow="1" w:lastRow="0" w:firstColumn="0" w:lastColumn="0" w:oddVBand="0" w:evenVBand="0" w:oddHBand="0" w:evenHBand="0" w:firstRowFirstColumn="0" w:firstRowLastColumn="0" w:lastRowFirstColumn="0" w:lastRowLastColumn="0"/>
              <w:rPr>
                <w:b w:val="0"/>
                <w:bCs w:val="0"/>
                <w:sz w:val="22"/>
                <w:szCs w:val="20"/>
              </w:rPr>
            </w:pPr>
            <w:r>
              <w:rPr>
                <w:b w:val="0"/>
                <w:bCs w:val="0"/>
              </w:rPr>
              <w:t>0.6972</w:t>
            </w:r>
          </w:p>
        </w:tc>
      </w:tr>
      <w:tr w:rsidR="00EC2D56" w14:paraId="54C29263" w14:textId="77777777" w:rsidTr="0088015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455" w:type="dxa"/>
          </w:tcPr>
          <w:p w14:paraId="201BE431" w14:textId="77777777" w:rsidR="00EC2D56" w:rsidRPr="004717A5" w:rsidRDefault="00EC2D56" w:rsidP="00880150">
            <w:pPr>
              <w:spacing w:after="160" w:line="256" w:lineRule="auto"/>
              <w:jc w:val="center"/>
              <w:rPr>
                <w:b w:val="0"/>
                <w:bCs w:val="0"/>
                <w:sz w:val="22"/>
                <w:szCs w:val="20"/>
              </w:rPr>
            </w:pPr>
            <w:r>
              <w:rPr>
                <w:b w:val="0"/>
                <w:bCs w:val="0"/>
              </w:rPr>
              <w:t>Z-bar tilde= 0.1393</w:t>
            </w:r>
          </w:p>
        </w:tc>
        <w:tc>
          <w:tcPr>
            <w:tcW w:w="3455" w:type="dxa"/>
          </w:tcPr>
          <w:p w14:paraId="690DE2CC" w14:textId="77777777" w:rsidR="00EC2D56" w:rsidRPr="004717A5" w:rsidRDefault="00EC2D56" w:rsidP="00880150">
            <w:pPr>
              <w:spacing w:after="160" w:line="256" w:lineRule="auto"/>
              <w:jc w:val="center"/>
              <w:cnfStyle w:val="000000100000" w:firstRow="0" w:lastRow="0" w:firstColumn="0" w:lastColumn="0" w:oddVBand="0" w:evenVBand="0" w:oddHBand="1" w:evenHBand="0" w:firstRowFirstColumn="0" w:firstRowLastColumn="0" w:lastRowFirstColumn="0" w:lastRowLastColumn="0"/>
              <w:rPr>
                <w:sz w:val="22"/>
                <w:szCs w:val="20"/>
              </w:rPr>
            </w:pPr>
            <w:r>
              <w:t>0.8892</w:t>
            </w:r>
          </w:p>
        </w:tc>
      </w:tr>
      <w:tr w:rsidR="00EC2D56" w14:paraId="3069C985" w14:textId="77777777" w:rsidTr="00880150">
        <w:trPr>
          <w:trHeight w:val="426"/>
        </w:trPr>
        <w:tc>
          <w:tcPr>
            <w:cnfStyle w:val="001000000000" w:firstRow="0" w:lastRow="0" w:firstColumn="1" w:lastColumn="0" w:oddVBand="0" w:evenVBand="0" w:oddHBand="0" w:evenHBand="0" w:firstRowFirstColumn="0" w:firstRowLastColumn="0" w:lastRowFirstColumn="0" w:lastRowLastColumn="0"/>
            <w:tcW w:w="6910" w:type="dxa"/>
            <w:gridSpan w:val="2"/>
          </w:tcPr>
          <w:p w14:paraId="4776B77B" w14:textId="77777777" w:rsidR="00EC2D56" w:rsidRPr="00702205" w:rsidRDefault="00EC2D56" w:rsidP="00880150">
            <w:pPr>
              <w:spacing w:after="160" w:line="256" w:lineRule="auto"/>
              <w:jc w:val="center"/>
              <w:rPr>
                <w:sz w:val="22"/>
                <w:szCs w:val="20"/>
              </w:rPr>
            </w:pPr>
            <w:r w:rsidRPr="00702205">
              <w:rPr>
                <w:sz w:val="22"/>
                <w:szCs w:val="20"/>
              </w:rPr>
              <w:t>H</w:t>
            </w:r>
            <w:r w:rsidRPr="00702205">
              <w:rPr>
                <w:sz w:val="22"/>
                <w:szCs w:val="20"/>
                <w:vertAlign w:val="subscript"/>
              </w:rPr>
              <w:t>0</w:t>
            </w:r>
            <w:r w:rsidRPr="00702205">
              <w:rPr>
                <w:sz w:val="22"/>
                <w:szCs w:val="20"/>
              </w:rPr>
              <w:t>: Gini Coefficient does not Granger-cause Remittances</w:t>
            </w:r>
          </w:p>
        </w:tc>
      </w:tr>
      <w:tr w:rsidR="00EC2D56" w14:paraId="6049CD70" w14:textId="77777777" w:rsidTr="0088015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455" w:type="dxa"/>
          </w:tcPr>
          <w:p w14:paraId="6564B301" w14:textId="77777777" w:rsidR="00EC2D56" w:rsidRDefault="00EC2D56" w:rsidP="00880150">
            <w:pPr>
              <w:spacing w:after="160" w:line="256" w:lineRule="auto"/>
              <w:jc w:val="center"/>
            </w:pPr>
            <w:r w:rsidRPr="004717A5">
              <w:rPr>
                <w:b w:val="0"/>
                <w:bCs w:val="0"/>
              </w:rPr>
              <w:t xml:space="preserve">    </w:t>
            </w:r>
            <w:r>
              <w:rPr>
                <w:b w:val="0"/>
                <w:bCs w:val="0"/>
              </w:rPr>
              <w:t>Z-bar= -0.7186</w:t>
            </w:r>
          </w:p>
        </w:tc>
        <w:tc>
          <w:tcPr>
            <w:tcW w:w="3455" w:type="dxa"/>
          </w:tcPr>
          <w:p w14:paraId="63341656" w14:textId="77777777" w:rsidR="00EC2D56" w:rsidRDefault="00EC2D56" w:rsidP="00880150">
            <w:pPr>
              <w:spacing w:after="160" w:line="256" w:lineRule="auto"/>
              <w:jc w:val="center"/>
              <w:cnfStyle w:val="000000100000" w:firstRow="0" w:lastRow="0" w:firstColumn="0" w:lastColumn="0" w:oddVBand="0" w:evenVBand="0" w:oddHBand="1" w:evenHBand="0" w:firstRowFirstColumn="0" w:firstRowLastColumn="0" w:lastRowFirstColumn="0" w:lastRowLastColumn="0"/>
            </w:pPr>
            <w:r>
              <w:t>0.4724</w:t>
            </w:r>
          </w:p>
        </w:tc>
      </w:tr>
      <w:tr w:rsidR="00EC2D56" w14:paraId="281E0CB1" w14:textId="77777777" w:rsidTr="00880150">
        <w:trPr>
          <w:trHeight w:val="426"/>
        </w:trPr>
        <w:tc>
          <w:tcPr>
            <w:cnfStyle w:val="001000000000" w:firstRow="0" w:lastRow="0" w:firstColumn="1" w:lastColumn="0" w:oddVBand="0" w:evenVBand="0" w:oddHBand="0" w:evenHBand="0" w:firstRowFirstColumn="0" w:firstRowLastColumn="0" w:lastRowFirstColumn="0" w:lastRowLastColumn="0"/>
            <w:tcW w:w="3455" w:type="dxa"/>
          </w:tcPr>
          <w:p w14:paraId="0A5B269F" w14:textId="77777777" w:rsidR="00EC2D56" w:rsidRDefault="00EC2D56" w:rsidP="00880150">
            <w:pPr>
              <w:spacing w:after="160" w:line="256" w:lineRule="auto"/>
              <w:jc w:val="center"/>
            </w:pPr>
            <w:r>
              <w:rPr>
                <w:b w:val="0"/>
                <w:bCs w:val="0"/>
              </w:rPr>
              <w:t>Z-bar tilde= -0.7930</w:t>
            </w:r>
          </w:p>
        </w:tc>
        <w:tc>
          <w:tcPr>
            <w:tcW w:w="3455" w:type="dxa"/>
          </w:tcPr>
          <w:p w14:paraId="65E54893" w14:textId="77777777" w:rsidR="00EC2D56" w:rsidRDefault="00EC2D56" w:rsidP="00880150">
            <w:pPr>
              <w:spacing w:after="160" w:line="256" w:lineRule="auto"/>
              <w:jc w:val="center"/>
              <w:cnfStyle w:val="000000000000" w:firstRow="0" w:lastRow="0" w:firstColumn="0" w:lastColumn="0" w:oddVBand="0" w:evenVBand="0" w:oddHBand="0" w:evenHBand="0" w:firstRowFirstColumn="0" w:firstRowLastColumn="0" w:lastRowFirstColumn="0" w:lastRowLastColumn="0"/>
            </w:pPr>
            <w:r>
              <w:t>0.4277</w:t>
            </w:r>
          </w:p>
        </w:tc>
      </w:tr>
      <w:tr w:rsidR="00EC2D56" w14:paraId="6E259B86" w14:textId="77777777" w:rsidTr="0088015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6910" w:type="dxa"/>
            <w:gridSpan w:val="2"/>
          </w:tcPr>
          <w:p w14:paraId="23D99B40" w14:textId="77777777" w:rsidR="00EC2D56" w:rsidRDefault="00EC2D56" w:rsidP="00880150">
            <w:pPr>
              <w:spacing w:after="160" w:line="256" w:lineRule="auto"/>
              <w:jc w:val="center"/>
            </w:pPr>
            <w:r w:rsidRPr="00702205">
              <w:rPr>
                <w:sz w:val="22"/>
                <w:szCs w:val="20"/>
              </w:rPr>
              <w:t>H</w:t>
            </w:r>
            <w:r w:rsidRPr="00702205">
              <w:rPr>
                <w:sz w:val="22"/>
                <w:szCs w:val="20"/>
                <w:vertAlign w:val="subscript"/>
              </w:rPr>
              <w:t>0</w:t>
            </w:r>
            <w:r w:rsidRPr="00702205">
              <w:rPr>
                <w:sz w:val="22"/>
                <w:szCs w:val="20"/>
              </w:rPr>
              <w:t>: Gini Coefficient does not Granger-cause FDI</w:t>
            </w:r>
          </w:p>
        </w:tc>
      </w:tr>
      <w:tr w:rsidR="00EC2D56" w14:paraId="187DD0D8" w14:textId="77777777" w:rsidTr="00880150">
        <w:trPr>
          <w:trHeight w:val="426"/>
        </w:trPr>
        <w:tc>
          <w:tcPr>
            <w:cnfStyle w:val="001000000000" w:firstRow="0" w:lastRow="0" w:firstColumn="1" w:lastColumn="0" w:oddVBand="0" w:evenVBand="0" w:oddHBand="0" w:evenHBand="0" w:firstRowFirstColumn="0" w:firstRowLastColumn="0" w:lastRowFirstColumn="0" w:lastRowLastColumn="0"/>
            <w:tcW w:w="3455" w:type="dxa"/>
          </w:tcPr>
          <w:p w14:paraId="33CC4324" w14:textId="77777777" w:rsidR="00EC2D56" w:rsidRDefault="00EC2D56" w:rsidP="00880150">
            <w:pPr>
              <w:spacing w:after="160" w:line="256" w:lineRule="auto"/>
              <w:jc w:val="center"/>
            </w:pPr>
            <w:r w:rsidRPr="004717A5">
              <w:rPr>
                <w:b w:val="0"/>
                <w:bCs w:val="0"/>
              </w:rPr>
              <w:t xml:space="preserve">    </w:t>
            </w:r>
            <w:r>
              <w:rPr>
                <w:b w:val="0"/>
                <w:bCs w:val="0"/>
              </w:rPr>
              <w:t>Z-bar= -0.2507</w:t>
            </w:r>
          </w:p>
        </w:tc>
        <w:tc>
          <w:tcPr>
            <w:tcW w:w="3455" w:type="dxa"/>
          </w:tcPr>
          <w:p w14:paraId="3E387F70" w14:textId="77777777" w:rsidR="00EC2D56" w:rsidRDefault="00EC2D56" w:rsidP="00880150">
            <w:pPr>
              <w:spacing w:after="160" w:line="256" w:lineRule="auto"/>
              <w:jc w:val="center"/>
              <w:cnfStyle w:val="000000000000" w:firstRow="0" w:lastRow="0" w:firstColumn="0" w:lastColumn="0" w:oddVBand="0" w:evenVBand="0" w:oddHBand="0" w:evenHBand="0" w:firstRowFirstColumn="0" w:firstRowLastColumn="0" w:lastRowFirstColumn="0" w:lastRowLastColumn="0"/>
            </w:pPr>
            <w:r>
              <w:t>0.8020</w:t>
            </w:r>
          </w:p>
        </w:tc>
      </w:tr>
      <w:tr w:rsidR="00EC2D56" w14:paraId="273BDDDB" w14:textId="77777777" w:rsidTr="00880150">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455" w:type="dxa"/>
          </w:tcPr>
          <w:p w14:paraId="2DC1AA30" w14:textId="77777777" w:rsidR="00EC2D56" w:rsidRDefault="00EC2D56" w:rsidP="00880150">
            <w:pPr>
              <w:spacing w:after="160" w:line="256" w:lineRule="auto"/>
              <w:jc w:val="center"/>
            </w:pPr>
            <w:r>
              <w:rPr>
                <w:b w:val="0"/>
                <w:bCs w:val="0"/>
              </w:rPr>
              <w:t>Z-bar tilde= -0.3992</w:t>
            </w:r>
          </w:p>
        </w:tc>
        <w:tc>
          <w:tcPr>
            <w:tcW w:w="3455" w:type="dxa"/>
          </w:tcPr>
          <w:p w14:paraId="79AAC45B" w14:textId="77777777" w:rsidR="00EC2D56" w:rsidRDefault="00EC2D56" w:rsidP="00880150">
            <w:pPr>
              <w:spacing w:after="160" w:line="256" w:lineRule="auto"/>
              <w:jc w:val="center"/>
              <w:cnfStyle w:val="000000100000" w:firstRow="0" w:lastRow="0" w:firstColumn="0" w:lastColumn="0" w:oddVBand="0" w:evenVBand="0" w:oddHBand="1" w:evenHBand="0" w:firstRowFirstColumn="0" w:firstRowLastColumn="0" w:lastRowFirstColumn="0" w:lastRowLastColumn="0"/>
            </w:pPr>
            <w:r>
              <w:t>0.6897</w:t>
            </w:r>
          </w:p>
        </w:tc>
      </w:tr>
      <w:tr w:rsidR="00EC2D56" w14:paraId="23F14DBB" w14:textId="77777777" w:rsidTr="00880150">
        <w:trPr>
          <w:trHeight w:val="426"/>
        </w:trPr>
        <w:tc>
          <w:tcPr>
            <w:cnfStyle w:val="001000000000" w:firstRow="0" w:lastRow="0" w:firstColumn="1" w:lastColumn="0" w:oddVBand="0" w:evenVBand="0" w:oddHBand="0" w:evenHBand="0" w:firstRowFirstColumn="0" w:firstRowLastColumn="0" w:lastRowFirstColumn="0" w:lastRowLastColumn="0"/>
            <w:tcW w:w="6910" w:type="dxa"/>
            <w:gridSpan w:val="2"/>
          </w:tcPr>
          <w:p w14:paraId="3EBAEBB5" w14:textId="77777777" w:rsidR="00EC2D56" w:rsidRDefault="00EC2D56" w:rsidP="00880150">
            <w:pPr>
              <w:spacing w:after="160" w:line="256" w:lineRule="auto"/>
              <w:jc w:val="center"/>
            </w:pPr>
            <w:r w:rsidRPr="00702205">
              <w:rPr>
                <w:sz w:val="22"/>
                <w:szCs w:val="20"/>
              </w:rPr>
              <w:t>H</w:t>
            </w:r>
            <w:r w:rsidRPr="00702205">
              <w:rPr>
                <w:sz w:val="22"/>
                <w:szCs w:val="20"/>
                <w:vertAlign w:val="subscript"/>
              </w:rPr>
              <w:t>0</w:t>
            </w:r>
            <w:r w:rsidRPr="00702205">
              <w:rPr>
                <w:sz w:val="22"/>
                <w:szCs w:val="20"/>
              </w:rPr>
              <w:t>: Gini Coefficient does not Granger-cause Economic Growth</w:t>
            </w:r>
          </w:p>
        </w:tc>
      </w:tr>
    </w:tbl>
    <w:p w14:paraId="04F7E128" w14:textId="77777777" w:rsidR="00F97214" w:rsidRDefault="00F97214" w:rsidP="00F97214">
      <w:pPr>
        <w:jc w:val="center"/>
        <w:rPr>
          <w:b/>
          <w:bCs/>
        </w:rPr>
      </w:pPr>
    </w:p>
    <w:p w14:paraId="7E22EFD8" w14:textId="77777777" w:rsidR="00F97214" w:rsidRDefault="00F97214" w:rsidP="00F97214">
      <w:pPr>
        <w:jc w:val="center"/>
        <w:rPr>
          <w:b/>
          <w:bCs/>
        </w:rPr>
      </w:pPr>
    </w:p>
    <w:p w14:paraId="2150F35C" w14:textId="77777777" w:rsidR="00F97214" w:rsidRDefault="00F97214" w:rsidP="00483640">
      <w:pPr>
        <w:rPr>
          <w:b/>
          <w:bCs/>
        </w:rPr>
      </w:pPr>
    </w:p>
    <w:p w14:paraId="4DA31C96" w14:textId="7BECDDD8" w:rsidR="00F97214" w:rsidRPr="001C567B" w:rsidRDefault="00F97214" w:rsidP="00F97214">
      <w:pPr>
        <w:jc w:val="center"/>
        <w:rPr>
          <w:b/>
          <w:bCs/>
          <w:u w:val="single"/>
        </w:rPr>
      </w:pPr>
      <w:r w:rsidRPr="001C567B">
        <w:rPr>
          <w:b/>
          <w:bCs/>
        </w:rPr>
        <w:t xml:space="preserve">Table </w:t>
      </w:r>
      <w:r>
        <w:rPr>
          <w:b/>
          <w:bCs/>
        </w:rPr>
        <w:t>S</w:t>
      </w:r>
      <w:r w:rsidR="00EC2D56">
        <w:rPr>
          <w:b/>
          <w:bCs/>
        </w:rPr>
        <w:t>7</w:t>
      </w:r>
      <w:r w:rsidRPr="001C567B">
        <w:rPr>
          <w:b/>
          <w:bCs/>
        </w:rPr>
        <w:t>: Pooled-FMOLS Results</w:t>
      </w:r>
    </w:p>
    <w:tbl>
      <w:tblPr>
        <w:tblStyle w:val="PlainTable3"/>
        <w:tblW w:w="9416" w:type="dxa"/>
        <w:jc w:val="center"/>
        <w:tblLook w:val="04A0" w:firstRow="1" w:lastRow="0" w:firstColumn="1" w:lastColumn="0" w:noHBand="0" w:noVBand="1"/>
      </w:tblPr>
      <w:tblGrid>
        <w:gridCol w:w="4708"/>
        <w:gridCol w:w="4708"/>
      </w:tblGrid>
      <w:tr w:rsidR="00F97214" w:rsidRPr="00D734CF" w14:paraId="133C817A" w14:textId="77777777" w:rsidTr="009F1822">
        <w:trPr>
          <w:cnfStyle w:val="100000000000" w:firstRow="1" w:lastRow="0" w:firstColumn="0" w:lastColumn="0" w:oddVBand="0" w:evenVBand="0" w:oddHBand="0" w:evenHBand="0" w:firstRowFirstColumn="0" w:firstRowLastColumn="0" w:lastRowFirstColumn="0" w:lastRowLastColumn="0"/>
          <w:trHeight w:val="425"/>
          <w:jc w:val="center"/>
        </w:trPr>
        <w:tc>
          <w:tcPr>
            <w:cnfStyle w:val="001000000100" w:firstRow="0" w:lastRow="0" w:firstColumn="1" w:lastColumn="0" w:oddVBand="0" w:evenVBand="0" w:oddHBand="0" w:evenHBand="0" w:firstRowFirstColumn="1" w:firstRowLastColumn="0" w:lastRowFirstColumn="0" w:lastRowLastColumn="0"/>
            <w:tcW w:w="4708" w:type="dxa"/>
          </w:tcPr>
          <w:p w14:paraId="058C83DB" w14:textId="77777777" w:rsidR="00F97214" w:rsidRPr="00B9252C" w:rsidRDefault="00F97214" w:rsidP="009F1822">
            <w:pPr>
              <w:jc w:val="center"/>
              <w:rPr>
                <w:caps w:val="0"/>
              </w:rPr>
            </w:pPr>
            <w:r w:rsidRPr="00B9252C">
              <w:rPr>
                <w:caps w:val="0"/>
              </w:rPr>
              <w:t>Variables</w:t>
            </w:r>
          </w:p>
        </w:tc>
        <w:tc>
          <w:tcPr>
            <w:tcW w:w="4708" w:type="dxa"/>
          </w:tcPr>
          <w:p w14:paraId="7AAB2878" w14:textId="77777777" w:rsidR="00F97214" w:rsidRPr="00B9252C" w:rsidRDefault="00F97214" w:rsidP="009F1822">
            <w:pPr>
              <w:jc w:val="center"/>
              <w:cnfStyle w:val="100000000000" w:firstRow="1" w:lastRow="0" w:firstColumn="0" w:lastColumn="0" w:oddVBand="0" w:evenVBand="0" w:oddHBand="0" w:evenHBand="0" w:firstRowFirstColumn="0" w:firstRowLastColumn="0" w:lastRowFirstColumn="0" w:lastRowLastColumn="0"/>
              <w:rPr>
                <w:caps w:val="0"/>
              </w:rPr>
            </w:pPr>
            <w:r w:rsidRPr="00B9252C">
              <w:rPr>
                <w:caps w:val="0"/>
              </w:rPr>
              <w:t>Coefficient</w:t>
            </w:r>
          </w:p>
        </w:tc>
      </w:tr>
      <w:tr w:rsidR="00910393" w:rsidRPr="00D734CF" w14:paraId="594A6261" w14:textId="77777777" w:rsidTr="009F1822">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4708" w:type="dxa"/>
          </w:tcPr>
          <w:p w14:paraId="5FC8E7CE" w14:textId="6A9F8537" w:rsidR="00910393" w:rsidRPr="00B9252C" w:rsidRDefault="00910393" w:rsidP="00910393">
            <w:pPr>
              <w:jc w:val="center"/>
              <w:rPr>
                <w:i/>
                <w:iCs/>
              </w:rPr>
            </w:pPr>
            <w:r w:rsidRPr="00B9252C">
              <w:rPr>
                <w:b w:val="0"/>
                <w:bCs w:val="0"/>
                <w:i/>
                <w:iCs/>
                <w:caps w:val="0"/>
              </w:rPr>
              <w:t>Dummy</w:t>
            </w:r>
          </w:p>
        </w:tc>
        <w:tc>
          <w:tcPr>
            <w:tcW w:w="4708" w:type="dxa"/>
          </w:tcPr>
          <w:p w14:paraId="3971AEC4" w14:textId="04C67590" w:rsidR="00910393" w:rsidRDefault="00910393" w:rsidP="00910393">
            <w:pPr>
              <w:jc w:val="center"/>
              <w:cnfStyle w:val="000000100000" w:firstRow="0" w:lastRow="0" w:firstColumn="0" w:lastColumn="0" w:oddVBand="0" w:evenVBand="0" w:oddHBand="1" w:evenHBand="0" w:firstRowFirstColumn="0" w:firstRowLastColumn="0" w:lastRowFirstColumn="0" w:lastRowLastColumn="0"/>
            </w:pPr>
            <w:r>
              <w:t>0.87</w:t>
            </w:r>
            <w:r w:rsidRPr="00D734CF">
              <w:t>***</w:t>
            </w:r>
            <w:r>
              <w:t xml:space="preserve">   </w:t>
            </w:r>
          </w:p>
        </w:tc>
      </w:tr>
      <w:tr w:rsidR="00910393" w:rsidRPr="00D734CF" w14:paraId="18120C8D" w14:textId="77777777" w:rsidTr="009F1822">
        <w:trPr>
          <w:trHeight w:val="425"/>
          <w:jc w:val="center"/>
        </w:trPr>
        <w:tc>
          <w:tcPr>
            <w:cnfStyle w:val="001000000000" w:firstRow="0" w:lastRow="0" w:firstColumn="1" w:lastColumn="0" w:oddVBand="0" w:evenVBand="0" w:oddHBand="0" w:evenHBand="0" w:firstRowFirstColumn="0" w:firstRowLastColumn="0" w:lastRowFirstColumn="0" w:lastRowLastColumn="0"/>
            <w:tcW w:w="4708" w:type="dxa"/>
          </w:tcPr>
          <w:p w14:paraId="15AD0087" w14:textId="4C98BBFA" w:rsidR="00910393" w:rsidRPr="00B9252C" w:rsidRDefault="00910393" w:rsidP="00910393">
            <w:pPr>
              <w:jc w:val="center"/>
              <w:rPr>
                <w:i/>
                <w:iCs/>
              </w:rPr>
            </w:pPr>
            <w:r w:rsidRPr="00072E82">
              <w:rPr>
                <w:b w:val="0"/>
                <w:bCs w:val="0"/>
                <w:i/>
                <w:iCs/>
              </w:rPr>
              <w:t>War</w:t>
            </w:r>
            <w:r w:rsidRPr="00072E82">
              <w:rPr>
                <w:rFonts w:cs="Times New Roman"/>
                <w:b w:val="0"/>
                <w:bCs w:val="0"/>
                <w:i/>
                <w:iCs/>
              </w:rPr>
              <w:t>×Dependency</w:t>
            </w:r>
          </w:p>
        </w:tc>
        <w:tc>
          <w:tcPr>
            <w:tcW w:w="4708" w:type="dxa"/>
          </w:tcPr>
          <w:p w14:paraId="28F9F3FD" w14:textId="1A70352C" w:rsidR="00910393" w:rsidRPr="00D734CF" w:rsidRDefault="00910393" w:rsidP="00910393">
            <w:pPr>
              <w:jc w:val="center"/>
              <w:cnfStyle w:val="000000000000" w:firstRow="0" w:lastRow="0" w:firstColumn="0" w:lastColumn="0" w:oddVBand="0" w:evenVBand="0" w:oddHBand="0" w:evenHBand="0" w:firstRowFirstColumn="0" w:firstRowLastColumn="0" w:lastRowFirstColumn="0" w:lastRowLastColumn="0"/>
            </w:pPr>
            <w:r>
              <w:t>0.71***</w:t>
            </w:r>
          </w:p>
        </w:tc>
      </w:tr>
      <w:tr w:rsidR="00910393" w:rsidRPr="00D734CF" w14:paraId="1254F638" w14:textId="77777777" w:rsidTr="009F1822">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4708" w:type="dxa"/>
          </w:tcPr>
          <w:p w14:paraId="07783652" w14:textId="5DB49A2C" w:rsidR="00910393" w:rsidRPr="00B9252C" w:rsidRDefault="00910393" w:rsidP="00910393">
            <w:pPr>
              <w:jc w:val="center"/>
              <w:rPr>
                <w:i/>
                <w:iCs/>
              </w:rPr>
            </w:pPr>
            <w:r>
              <w:rPr>
                <w:b w:val="0"/>
                <w:bCs w:val="0"/>
                <w:i/>
                <w:iCs/>
              </w:rPr>
              <w:t>INF</w:t>
            </w:r>
          </w:p>
        </w:tc>
        <w:tc>
          <w:tcPr>
            <w:tcW w:w="4708" w:type="dxa"/>
          </w:tcPr>
          <w:p w14:paraId="29C8AB00" w14:textId="748B64DF" w:rsidR="00910393" w:rsidRDefault="00910393" w:rsidP="00910393">
            <w:pPr>
              <w:jc w:val="center"/>
              <w:cnfStyle w:val="000000100000" w:firstRow="0" w:lastRow="0" w:firstColumn="0" w:lastColumn="0" w:oddVBand="0" w:evenVBand="0" w:oddHBand="1" w:evenHBand="0" w:firstRowFirstColumn="0" w:firstRowLastColumn="0" w:lastRowFirstColumn="0" w:lastRowLastColumn="0"/>
            </w:pPr>
            <w:r>
              <w:t>0.36***</w:t>
            </w:r>
          </w:p>
        </w:tc>
      </w:tr>
      <w:tr w:rsidR="00910393" w:rsidRPr="00D734CF" w14:paraId="4E0418B4" w14:textId="77777777" w:rsidTr="009F1822">
        <w:trPr>
          <w:trHeight w:val="425"/>
          <w:jc w:val="center"/>
        </w:trPr>
        <w:tc>
          <w:tcPr>
            <w:cnfStyle w:val="001000000000" w:firstRow="0" w:lastRow="0" w:firstColumn="1" w:lastColumn="0" w:oddVBand="0" w:evenVBand="0" w:oddHBand="0" w:evenHBand="0" w:firstRowFirstColumn="0" w:firstRowLastColumn="0" w:lastRowFirstColumn="0" w:lastRowLastColumn="0"/>
            <w:tcW w:w="4708" w:type="dxa"/>
          </w:tcPr>
          <w:p w14:paraId="6076864D" w14:textId="6E51290F" w:rsidR="00910393" w:rsidRPr="00B9252C" w:rsidRDefault="00910393" w:rsidP="00910393">
            <w:pPr>
              <w:jc w:val="center"/>
              <w:rPr>
                <w:i/>
                <w:iCs/>
              </w:rPr>
            </w:pPr>
            <w:r w:rsidRPr="00F56E12">
              <w:rPr>
                <w:b w:val="0"/>
                <w:bCs w:val="0"/>
                <w:i/>
                <w:iCs/>
              </w:rPr>
              <w:t xml:space="preserve">Oil </w:t>
            </w:r>
          </w:p>
        </w:tc>
        <w:tc>
          <w:tcPr>
            <w:tcW w:w="4708" w:type="dxa"/>
          </w:tcPr>
          <w:p w14:paraId="3E0B2E82" w14:textId="613F7F02" w:rsidR="00910393" w:rsidRPr="00151820" w:rsidRDefault="00910393" w:rsidP="00910393">
            <w:pPr>
              <w:jc w:val="center"/>
              <w:cnfStyle w:val="000000000000" w:firstRow="0" w:lastRow="0" w:firstColumn="0" w:lastColumn="0" w:oddVBand="0" w:evenVBand="0" w:oddHBand="0" w:evenHBand="0" w:firstRowFirstColumn="0" w:firstRowLastColumn="0" w:lastRowFirstColumn="0" w:lastRowLastColumn="0"/>
            </w:pPr>
            <w:r>
              <w:t>0.28***</w:t>
            </w:r>
          </w:p>
        </w:tc>
      </w:tr>
      <w:tr w:rsidR="00910393" w:rsidRPr="00D734CF" w14:paraId="482ABFD6" w14:textId="77777777" w:rsidTr="009F1822">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4708" w:type="dxa"/>
          </w:tcPr>
          <w:p w14:paraId="0E348550" w14:textId="5BF8698F" w:rsidR="00910393" w:rsidRPr="00B9252C" w:rsidRDefault="00910393" w:rsidP="00910393">
            <w:pPr>
              <w:jc w:val="center"/>
              <w:rPr>
                <w:i/>
                <w:iCs/>
              </w:rPr>
            </w:pPr>
            <w:r w:rsidRPr="00B9252C">
              <w:rPr>
                <w:b w:val="0"/>
                <w:bCs w:val="0"/>
                <w:i/>
                <w:iCs/>
                <w:caps w:val="0"/>
              </w:rPr>
              <w:t>T</w:t>
            </w:r>
            <w:r>
              <w:rPr>
                <w:b w:val="0"/>
                <w:bCs w:val="0"/>
                <w:i/>
                <w:iCs/>
                <w:caps w:val="0"/>
              </w:rPr>
              <w:t>O</w:t>
            </w:r>
          </w:p>
        </w:tc>
        <w:tc>
          <w:tcPr>
            <w:tcW w:w="4708" w:type="dxa"/>
          </w:tcPr>
          <w:p w14:paraId="0FEB1253" w14:textId="63F67A20" w:rsidR="00910393" w:rsidRPr="00095E5F" w:rsidRDefault="00910393" w:rsidP="00910393">
            <w:pPr>
              <w:jc w:val="center"/>
              <w:cnfStyle w:val="000000100000" w:firstRow="0" w:lastRow="0" w:firstColumn="0" w:lastColumn="0" w:oddVBand="0" w:evenVBand="0" w:oddHBand="1" w:evenHBand="0" w:firstRowFirstColumn="0" w:firstRowLastColumn="0" w:lastRowFirstColumn="0" w:lastRowLastColumn="0"/>
              <w:rPr>
                <w:highlight w:val="yellow"/>
              </w:rPr>
            </w:pPr>
            <w:r>
              <w:t>0.16</w:t>
            </w:r>
            <w:r w:rsidRPr="00E82F93">
              <w:t>**</w:t>
            </w:r>
            <w:r>
              <w:t xml:space="preserve">*   </w:t>
            </w:r>
          </w:p>
        </w:tc>
      </w:tr>
      <w:tr w:rsidR="00910393" w:rsidRPr="00D734CF" w14:paraId="5FCB8904" w14:textId="77777777" w:rsidTr="009F1822">
        <w:trPr>
          <w:trHeight w:val="425"/>
          <w:jc w:val="center"/>
        </w:trPr>
        <w:tc>
          <w:tcPr>
            <w:cnfStyle w:val="001000000000" w:firstRow="0" w:lastRow="0" w:firstColumn="1" w:lastColumn="0" w:oddVBand="0" w:evenVBand="0" w:oddHBand="0" w:evenHBand="0" w:firstRowFirstColumn="0" w:firstRowLastColumn="0" w:lastRowFirstColumn="0" w:lastRowLastColumn="0"/>
            <w:tcW w:w="4708" w:type="dxa"/>
          </w:tcPr>
          <w:p w14:paraId="2B0E4BBC" w14:textId="01B7FC0A" w:rsidR="00910393" w:rsidRPr="00B9252C" w:rsidRDefault="00910393" w:rsidP="00910393">
            <w:pPr>
              <w:jc w:val="center"/>
              <w:rPr>
                <w:b w:val="0"/>
                <w:bCs w:val="0"/>
                <w:i/>
                <w:iCs/>
                <w:caps w:val="0"/>
              </w:rPr>
            </w:pPr>
            <w:r w:rsidRPr="00DF28B0">
              <w:rPr>
                <w:b w:val="0"/>
                <w:bCs w:val="0"/>
                <w:i/>
                <w:iCs/>
                <w:caps w:val="0"/>
              </w:rPr>
              <w:t>FDI</w:t>
            </w:r>
          </w:p>
        </w:tc>
        <w:tc>
          <w:tcPr>
            <w:tcW w:w="4708" w:type="dxa"/>
          </w:tcPr>
          <w:p w14:paraId="5E7C40B7" w14:textId="0A4CBA04" w:rsidR="00910393" w:rsidRPr="00D734CF" w:rsidRDefault="00910393" w:rsidP="00910393">
            <w:pPr>
              <w:jc w:val="center"/>
              <w:cnfStyle w:val="000000000000" w:firstRow="0" w:lastRow="0" w:firstColumn="0" w:lastColumn="0" w:oddVBand="0" w:evenVBand="0" w:oddHBand="0" w:evenHBand="0" w:firstRowFirstColumn="0" w:firstRowLastColumn="0" w:lastRowFirstColumn="0" w:lastRowLastColumn="0"/>
            </w:pPr>
            <w:r w:rsidRPr="00DF28B0">
              <w:t xml:space="preserve">0.13**   </w:t>
            </w:r>
          </w:p>
        </w:tc>
      </w:tr>
      <w:tr w:rsidR="00910393" w:rsidRPr="00D734CF" w14:paraId="3A683281" w14:textId="77777777" w:rsidTr="009F1822">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4708" w:type="dxa"/>
          </w:tcPr>
          <w:p w14:paraId="1E5444CF" w14:textId="3C88EFA4" w:rsidR="00910393" w:rsidRPr="00B9252C" w:rsidRDefault="00910393" w:rsidP="00910393">
            <w:pPr>
              <w:jc w:val="center"/>
              <w:rPr>
                <w:i/>
                <w:iCs/>
              </w:rPr>
            </w:pPr>
            <w:r w:rsidRPr="00B9252C">
              <w:rPr>
                <w:b w:val="0"/>
                <w:bCs w:val="0"/>
                <w:i/>
                <w:iCs/>
                <w:caps w:val="0"/>
              </w:rPr>
              <w:t>REM</w:t>
            </w:r>
          </w:p>
        </w:tc>
        <w:tc>
          <w:tcPr>
            <w:tcW w:w="4708" w:type="dxa"/>
          </w:tcPr>
          <w:p w14:paraId="21E07153" w14:textId="6C5E3C49" w:rsidR="00910393" w:rsidRPr="00D734CF" w:rsidRDefault="00910393" w:rsidP="00910393">
            <w:pPr>
              <w:jc w:val="center"/>
              <w:cnfStyle w:val="000000100000" w:firstRow="0" w:lastRow="0" w:firstColumn="0" w:lastColumn="0" w:oddVBand="0" w:evenVBand="0" w:oddHBand="1" w:evenHBand="0" w:firstRowFirstColumn="0" w:firstRowLastColumn="0" w:lastRowFirstColumn="0" w:lastRowLastColumn="0"/>
            </w:pPr>
            <w:r>
              <w:t>-</w:t>
            </w:r>
            <w:r w:rsidRPr="00D734CF">
              <w:t>0.</w:t>
            </w:r>
            <w:r>
              <w:t>07</w:t>
            </w:r>
            <w:r w:rsidRPr="00D734CF">
              <w:t>***</w:t>
            </w:r>
          </w:p>
        </w:tc>
      </w:tr>
      <w:tr w:rsidR="00910393" w:rsidRPr="00D734CF" w14:paraId="535ACBD0" w14:textId="77777777" w:rsidTr="009F1822">
        <w:trPr>
          <w:trHeight w:val="425"/>
          <w:jc w:val="center"/>
        </w:trPr>
        <w:tc>
          <w:tcPr>
            <w:cnfStyle w:val="001000000000" w:firstRow="0" w:lastRow="0" w:firstColumn="1" w:lastColumn="0" w:oddVBand="0" w:evenVBand="0" w:oddHBand="0" w:evenHBand="0" w:firstRowFirstColumn="0" w:firstRowLastColumn="0" w:lastRowFirstColumn="0" w:lastRowLastColumn="0"/>
            <w:tcW w:w="4708" w:type="dxa"/>
          </w:tcPr>
          <w:p w14:paraId="4A663EED" w14:textId="763BA5A4" w:rsidR="00910393" w:rsidRPr="00072E82" w:rsidRDefault="00910393" w:rsidP="00910393">
            <w:pPr>
              <w:jc w:val="center"/>
              <w:rPr>
                <w:b w:val="0"/>
                <w:bCs w:val="0"/>
                <w:i/>
                <w:iCs/>
              </w:rPr>
            </w:pPr>
            <w:r w:rsidRPr="00116788">
              <w:rPr>
                <w:b w:val="0"/>
                <w:bCs w:val="0"/>
                <w:i/>
                <w:iCs/>
              </w:rPr>
              <w:t>y</w:t>
            </w:r>
          </w:p>
        </w:tc>
        <w:tc>
          <w:tcPr>
            <w:tcW w:w="4708" w:type="dxa"/>
          </w:tcPr>
          <w:p w14:paraId="4F88EF8D" w14:textId="694E7EC9" w:rsidR="00910393" w:rsidRDefault="00910393" w:rsidP="00910393">
            <w:pPr>
              <w:jc w:val="center"/>
              <w:cnfStyle w:val="000000000000" w:firstRow="0" w:lastRow="0" w:firstColumn="0" w:lastColumn="0" w:oddVBand="0" w:evenVBand="0" w:oddHBand="0" w:evenHBand="0" w:firstRowFirstColumn="0" w:firstRowLastColumn="0" w:lastRowFirstColumn="0" w:lastRowLastColumn="0"/>
            </w:pPr>
            <w:r w:rsidRPr="00116788">
              <w:t>-0.04***</w:t>
            </w:r>
          </w:p>
        </w:tc>
      </w:tr>
      <w:tr w:rsidR="00910393" w:rsidRPr="00D734CF" w14:paraId="1C2E5BD5" w14:textId="77777777" w:rsidTr="009F1822">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4708" w:type="dxa"/>
          </w:tcPr>
          <w:p w14:paraId="5D49D15D" w14:textId="0362C8C1" w:rsidR="00910393" w:rsidRPr="00B9252C" w:rsidRDefault="00910393" w:rsidP="00910393">
            <w:pPr>
              <w:jc w:val="center"/>
              <w:rPr>
                <w:b w:val="0"/>
                <w:bCs w:val="0"/>
                <w:i/>
                <w:iCs/>
                <w:caps w:val="0"/>
              </w:rPr>
            </w:pPr>
            <w:r w:rsidRPr="00116788">
              <w:rPr>
                <w:b w:val="0"/>
                <w:bCs w:val="0"/>
                <w:i/>
                <w:iCs/>
                <w:caps w:val="0"/>
              </w:rPr>
              <w:t>UNEMP</w:t>
            </w:r>
          </w:p>
        </w:tc>
        <w:tc>
          <w:tcPr>
            <w:tcW w:w="4708" w:type="dxa"/>
          </w:tcPr>
          <w:p w14:paraId="73F1BEB7" w14:textId="7FBC3E85" w:rsidR="00910393" w:rsidRPr="00D734CF" w:rsidRDefault="00910393" w:rsidP="00910393">
            <w:pPr>
              <w:jc w:val="center"/>
              <w:cnfStyle w:val="000000100000" w:firstRow="0" w:lastRow="0" w:firstColumn="0" w:lastColumn="0" w:oddVBand="0" w:evenVBand="0" w:oddHBand="1" w:evenHBand="0" w:firstRowFirstColumn="0" w:firstRowLastColumn="0" w:lastRowFirstColumn="0" w:lastRowLastColumn="0"/>
            </w:pPr>
            <w:r w:rsidRPr="00116788">
              <w:t xml:space="preserve">-0.03***   </w:t>
            </w:r>
          </w:p>
        </w:tc>
      </w:tr>
    </w:tbl>
    <w:p w14:paraId="3985BCD7" w14:textId="77777777" w:rsidR="00F97214" w:rsidRPr="00555A94" w:rsidRDefault="00F97214" w:rsidP="00F97214">
      <w:pPr>
        <w:jc w:val="center"/>
        <w:rPr>
          <w:sz w:val="20"/>
          <w:szCs w:val="20"/>
        </w:rPr>
      </w:pPr>
      <w:r w:rsidRPr="00555A94">
        <w:rPr>
          <w:sz w:val="20"/>
          <w:szCs w:val="20"/>
        </w:rPr>
        <w:t>Values represent coefficients</w:t>
      </w:r>
    </w:p>
    <w:p w14:paraId="273DB877" w14:textId="13686A7F" w:rsidR="00E418D5" w:rsidRPr="00777FB8" w:rsidRDefault="00F97214" w:rsidP="00777FB8">
      <w:pPr>
        <w:spacing w:after="160" w:line="256" w:lineRule="auto"/>
        <w:jc w:val="center"/>
        <w:rPr>
          <w:sz w:val="20"/>
          <w:szCs w:val="20"/>
        </w:rPr>
      </w:pPr>
      <w:r w:rsidRPr="00555A94">
        <w:rPr>
          <w:sz w:val="20"/>
          <w:szCs w:val="20"/>
        </w:rPr>
        <w:t>**</w:t>
      </w:r>
      <w:r w:rsidRPr="00555A94">
        <w:rPr>
          <w:sz w:val="20"/>
          <w:szCs w:val="20"/>
          <w:lang w:bidi="ar-EG"/>
        </w:rPr>
        <w:t>* P</w:t>
      </w:r>
      <w:r w:rsidRPr="00555A94">
        <w:rPr>
          <w:rFonts w:cs="Times New Roman"/>
          <w:sz w:val="20"/>
          <w:szCs w:val="20"/>
          <w:lang w:bidi="ar-EG"/>
        </w:rPr>
        <w:t xml:space="preserve">&lt; 0.01, ** </w:t>
      </w:r>
      <w:r w:rsidRPr="00555A94">
        <w:rPr>
          <w:sz w:val="20"/>
          <w:szCs w:val="20"/>
          <w:lang w:bidi="ar-EG"/>
        </w:rPr>
        <w:t>P</w:t>
      </w:r>
      <w:r w:rsidRPr="00555A94">
        <w:rPr>
          <w:rFonts w:cs="Times New Roman"/>
          <w:sz w:val="20"/>
          <w:szCs w:val="20"/>
          <w:lang w:bidi="ar-EG"/>
        </w:rPr>
        <w:t>&lt; 0.05</w:t>
      </w:r>
      <w:r w:rsidRPr="00555A94">
        <w:rPr>
          <w:sz w:val="20"/>
          <w:szCs w:val="20"/>
          <w:lang w:bidi="ar-EG"/>
        </w:rPr>
        <w:t xml:space="preserve">, </w:t>
      </w:r>
      <w:r w:rsidRPr="00555A94">
        <w:rPr>
          <w:sz w:val="20"/>
          <w:szCs w:val="20"/>
        </w:rPr>
        <w:t xml:space="preserve">* </w:t>
      </w:r>
      <w:r w:rsidRPr="00555A94">
        <w:rPr>
          <w:sz w:val="20"/>
          <w:szCs w:val="20"/>
          <w:lang w:bidi="ar-EG"/>
        </w:rPr>
        <w:t>P</w:t>
      </w:r>
      <w:r w:rsidRPr="00555A94">
        <w:rPr>
          <w:rFonts w:cs="Times New Roman"/>
          <w:sz w:val="20"/>
          <w:szCs w:val="20"/>
          <w:lang w:bidi="ar-EG"/>
        </w:rPr>
        <w:t>&lt; 0.10</w:t>
      </w:r>
    </w:p>
    <w:p w14:paraId="297FC61A" w14:textId="77777777" w:rsidR="00E418D5" w:rsidRDefault="00E418D5"/>
    <w:p w14:paraId="25DFAD5C" w14:textId="77777777" w:rsidR="00E418D5" w:rsidRDefault="00E418D5"/>
    <w:p w14:paraId="4AC397B4" w14:textId="77777777" w:rsidR="00777FB8" w:rsidRDefault="00777FB8" w:rsidP="007E0C51">
      <w:pPr>
        <w:spacing w:after="160" w:line="256" w:lineRule="auto"/>
        <w:jc w:val="center"/>
      </w:pPr>
    </w:p>
    <w:p w14:paraId="49B5407E" w14:textId="44E4DE72" w:rsidR="006270F7" w:rsidRDefault="006270F7">
      <w:pPr>
        <w:spacing w:after="160" w:line="259" w:lineRule="auto"/>
      </w:pPr>
      <w:r>
        <w:br w:type="page"/>
      </w:r>
    </w:p>
    <w:p w14:paraId="0443E0C1" w14:textId="51FE6B17" w:rsidR="006270F7" w:rsidRPr="00D734CF" w:rsidRDefault="006270F7" w:rsidP="006270F7">
      <w:pPr>
        <w:keepNext/>
        <w:jc w:val="center"/>
        <w:rPr>
          <w:sz w:val="20"/>
          <w:szCs w:val="18"/>
        </w:rPr>
      </w:pPr>
      <w:r w:rsidRPr="00E0591F">
        <w:rPr>
          <w:b/>
          <w:bCs/>
          <w:szCs w:val="24"/>
        </w:rPr>
        <w:lastRenderedPageBreak/>
        <w:t>Figure</w:t>
      </w:r>
      <w:r w:rsidRPr="00E0591F">
        <w:rPr>
          <w:b/>
          <w:bCs/>
        </w:rPr>
        <w:t xml:space="preserve"> </w:t>
      </w:r>
      <w:r w:rsidR="002B67BF">
        <w:rPr>
          <w:b/>
          <w:bCs/>
        </w:rPr>
        <w:t>S</w:t>
      </w:r>
      <w:r w:rsidRPr="00E0591F">
        <w:rPr>
          <w:b/>
          <w:bCs/>
        </w:rPr>
        <w:t xml:space="preserve">1: FDI Inflows before and </w:t>
      </w:r>
      <w:r>
        <w:rPr>
          <w:b/>
          <w:bCs/>
        </w:rPr>
        <w:t>amid</w:t>
      </w:r>
      <w:r w:rsidRPr="00E0591F">
        <w:rPr>
          <w:b/>
          <w:bCs/>
        </w:rPr>
        <w:t xml:space="preserve"> Russia-Ukraine war     </w:t>
      </w:r>
      <w:r w:rsidRPr="00D734CF">
        <w:rPr>
          <w:b/>
          <w:bCs/>
          <w:sz w:val="20"/>
          <w:szCs w:val="18"/>
        </w:rPr>
        <w:t xml:space="preserve">              </w:t>
      </w:r>
    </w:p>
    <w:p w14:paraId="3B11F45A" w14:textId="77777777" w:rsidR="006270F7" w:rsidRDefault="006270F7" w:rsidP="006270F7">
      <w:pPr>
        <w:jc w:val="both"/>
      </w:pPr>
      <w:r>
        <w:rPr>
          <w:noProof/>
          <w:lang w:val="en-IN" w:eastAsia="en-IN"/>
        </w:rPr>
        <w:drawing>
          <wp:anchor distT="0" distB="0" distL="114300" distR="114300" simplePos="0" relativeHeight="251660288" behindDoc="0" locked="0" layoutInCell="1" allowOverlap="1" wp14:anchorId="324C7736" wp14:editId="3A8613CE">
            <wp:simplePos x="0" y="0"/>
            <wp:positionH relativeFrom="margin">
              <wp:align>center</wp:align>
            </wp:positionH>
            <wp:positionV relativeFrom="paragraph">
              <wp:posOffset>7620</wp:posOffset>
            </wp:positionV>
            <wp:extent cx="3718560" cy="2514600"/>
            <wp:effectExtent l="0" t="0" r="15240" b="0"/>
            <wp:wrapSquare wrapText="bothSides"/>
            <wp:docPr id="200194270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42911E7-1B34-9B64-BDF6-61FC57EF26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AD7E8ED" w14:textId="77777777" w:rsidR="006270F7" w:rsidRPr="00712DDD" w:rsidRDefault="006270F7" w:rsidP="006270F7">
      <w:pPr>
        <w:jc w:val="both"/>
      </w:pPr>
    </w:p>
    <w:p w14:paraId="080FA9D6" w14:textId="77777777" w:rsidR="006270F7" w:rsidRPr="00CD1BD0" w:rsidRDefault="006270F7" w:rsidP="006270F7">
      <w:pPr>
        <w:jc w:val="both"/>
      </w:pPr>
    </w:p>
    <w:p w14:paraId="5BF33322" w14:textId="77777777" w:rsidR="006270F7" w:rsidRDefault="006270F7" w:rsidP="006270F7">
      <w:pPr>
        <w:jc w:val="both"/>
        <w:rPr>
          <w:rFonts w:cstheme="majorBidi"/>
          <w:i/>
          <w:iCs/>
        </w:rPr>
      </w:pPr>
    </w:p>
    <w:p w14:paraId="1BFD88A1" w14:textId="77777777" w:rsidR="006270F7" w:rsidRDefault="006270F7" w:rsidP="006270F7">
      <w:pPr>
        <w:jc w:val="both"/>
        <w:rPr>
          <w:rFonts w:cstheme="majorBidi"/>
          <w:i/>
          <w:iCs/>
        </w:rPr>
      </w:pPr>
    </w:p>
    <w:p w14:paraId="686F43D4" w14:textId="77777777" w:rsidR="006270F7" w:rsidRDefault="006270F7" w:rsidP="006270F7">
      <w:pPr>
        <w:jc w:val="both"/>
        <w:rPr>
          <w:rFonts w:cstheme="majorBidi"/>
          <w:i/>
          <w:iCs/>
        </w:rPr>
      </w:pPr>
    </w:p>
    <w:p w14:paraId="0F8A16D4" w14:textId="77777777" w:rsidR="006270F7" w:rsidRDefault="006270F7" w:rsidP="006270F7">
      <w:pPr>
        <w:jc w:val="both"/>
        <w:rPr>
          <w:rFonts w:cstheme="majorBidi"/>
          <w:i/>
          <w:iCs/>
        </w:rPr>
      </w:pPr>
    </w:p>
    <w:p w14:paraId="3F9A6B54" w14:textId="77777777" w:rsidR="006270F7" w:rsidRDefault="006270F7" w:rsidP="006270F7">
      <w:pPr>
        <w:jc w:val="both"/>
        <w:rPr>
          <w:rFonts w:cstheme="majorBidi"/>
          <w:i/>
          <w:iCs/>
        </w:rPr>
      </w:pPr>
    </w:p>
    <w:p w14:paraId="221444B8" w14:textId="77777777" w:rsidR="006270F7" w:rsidRDefault="006270F7" w:rsidP="006270F7">
      <w:pPr>
        <w:jc w:val="both"/>
        <w:rPr>
          <w:rFonts w:cstheme="majorBidi"/>
          <w:i/>
          <w:iCs/>
        </w:rPr>
      </w:pPr>
    </w:p>
    <w:p w14:paraId="7E9CFA17" w14:textId="77777777" w:rsidR="006270F7" w:rsidRDefault="006270F7" w:rsidP="006270F7">
      <w:pPr>
        <w:jc w:val="center"/>
        <w:rPr>
          <w:rFonts w:asciiTheme="majorBidi" w:hAnsiTheme="majorBidi" w:cstheme="majorBidi"/>
          <w:sz w:val="20"/>
          <w:szCs w:val="20"/>
        </w:rPr>
      </w:pPr>
    </w:p>
    <w:p w14:paraId="67334DD9" w14:textId="77777777" w:rsidR="006270F7" w:rsidRPr="00D734CF" w:rsidRDefault="006270F7" w:rsidP="006270F7">
      <w:pPr>
        <w:jc w:val="center"/>
        <w:rPr>
          <w:rFonts w:asciiTheme="majorBidi" w:hAnsiTheme="majorBidi" w:cstheme="majorBidi"/>
          <w:sz w:val="20"/>
          <w:szCs w:val="20"/>
        </w:rPr>
      </w:pPr>
      <w:r w:rsidRPr="00610F93">
        <w:rPr>
          <w:rFonts w:asciiTheme="majorBidi" w:hAnsiTheme="majorBidi" w:cstheme="majorBidi"/>
          <w:sz w:val="20"/>
          <w:szCs w:val="20"/>
        </w:rPr>
        <w:t>Source: (</w:t>
      </w:r>
      <w:r>
        <w:rPr>
          <w:rFonts w:asciiTheme="majorBidi" w:hAnsiTheme="majorBidi" w:cstheme="majorBidi"/>
          <w:sz w:val="20"/>
          <w:szCs w:val="20"/>
        </w:rPr>
        <w:t>World Bank</w:t>
      </w:r>
      <w:proofErr w:type="gramStart"/>
      <w:r w:rsidRPr="00610F93">
        <w:rPr>
          <w:rFonts w:asciiTheme="majorBidi" w:hAnsiTheme="majorBidi" w:cstheme="majorBidi"/>
          <w:sz w:val="20"/>
          <w:szCs w:val="20"/>
        </w:rPr>
        <w:t>,202</w:t>
      </w:r>
      <w:r>
        <w:rPr>
          <w:rFonts w:asciiTheme="majorBidi" w:hAnsiTheme="majorBidi" w:cstheme="majorBidi"/>
          <w:sz w:val="20"/>
          <w:szCs w:val="20"/>
        </w:rPr>
        <w:t>4</w:t>
      </w:r>
      <w:proofErr w:type="gramEnd"/>
      <w:r w:rsidRPr="00610F93">
        <w:rPr>
          <w:rFonts w:asciiTheme="majorBidi" w:hAnsiTheme="majorBidi" w:cstheme="majorBidi"/>
          <w:sz w:val="20"/>
          <w:szCs w:val="20"/>
        </w:rPr>
        <w:t>)</w:t>
      </w:r>
    </w:p>
    <w:p w14:paraId="363E63A9" w14:textId="77777777" w:rsidR="006270F7" w:rsidRDefault="006270F7" w:rsidP="006270F7">
      <w:pPr>
        <w:jc w:val="both"/>
        <w:rPr>
          <w:rFonts w:asciiTheme="majorBidi" w:hAnsiTheme="majorBidi" w:cstheme="majorBidi"/>
          <w:sz w:val="20"/>
          <w:szCs w:val="20"/>
        </w:rPr>
      </w:pPr>
    </w:p>
    <w:p w14:paraId="12821E78" w14:textId="285F2DD2" w:rsidR="006270F7" w:rsidRDefault="006270F7" w:rsidP="006270F7">
      <w:pPr>
        <w:jc w:val="both"/>
        <w:rPr>
          <w:rFonts w:asciiTheme="majorBidi" w:hAnsiTheme="majorBidi" w:cstheme="majorBidi"/>
          <w:sz w:val="20"/>
          <w:szCs w:val="20"/>
        </w:rPr>
      </w:pPr>
      <w:r w:rsidRPr="00D734CF">
        <w:rPr>
          <w:rFonts w:asciiTheme="majorBidi" w:hAnsiTheme="majorBidi" w:cstheme="majorBidi"/>
          <w:sz w:val="20"/>
          <w:szCs w:val="20"/>
        </w:rPr>
        <w:t xml:space="preserve">Figure </w:t>
      </w:r>
      <w:r w:rsidR="002B67BF">
        <w:rPr>
          <w:rFonts w:asciiTheme="majorBidi" w:hAnsiTheme="majorBidi" w:cstheme="majorBidi"/>
          <w:sz w:val="20"/>
          <w:szCs w:val="20"/>
        </w:rPr>
        <w:t>S</w:t>
      </w:r>
      <w:r>
        <w:rPr>
          <w:rFonts w:asciiTheme="majorBidi" w:hAnsiTheme="majorBidi" w:cstheme="majorBidi"/>
          <w:sz w:val="20"/>
          <w:szCs w:val="20"/>
        </w:rPr>
        <w:t>1</w:t>
      </w:r>
      <w:r w:rsidRPr="00D734CF">
        <w:rPr>
          <w:rFonts w:asciiTheme="majorBidi" w:hAnsiTheme="majorBidi" w:cstheme="majorBidi"/>
          <w:sz w:val="20"/>
          <w:szCs w:val="20"/>
        </w:rPr>
        <w:t xml:space="preserve"> above shows </w:t>
      </w:r>
      <w:r>
        <w:rPr>
          <w:rFonts w:asciiTheme="majorBidi" w:hAnsiTheme="majorBidi" w:cstheme="majorBidi"/>
          <w:sz w:val="20"/>
          <w:szCs w:val="20"/>
        </w:rPr>
        <w:t xml:space="preserve">FDI inflows (% of GDP) to Russia, Ukraine and Armenia before and after the Russia-Ukraine war. Due to the geopolitical conflict, FDI inflows to both Russia and Ukraine significantly stagnated. On the contrary, inflows to Armenia saw a surge as investors sought a politically stable alternative. </w:t>
      </w:r>
    </w:p>
    <w:p w14:paraId="24D78D6E" w14:textId="77777777" w:rsidR="006270F7" w:rsidRDefault="006270F7" w:rsidP="006270F7">
      <w:pPr>
        <w:jc w:val="both"/>
        <w:rPr>
          <w:rFonts w:asciiTheme="majorBidi" w:hAnsiTheme="majorBidi" w:cstheme="majorBidi"/>
          <w:sz w:val="20"/>
          <w:szCs w:val="20"/>
        </w:rPr>
      </w:pPr>
    </w:p>
    <w:p w14:paraId="7C597266" w14:textId="77777777" w:rsidR="006270F7" w:rsidRDefault="006270F7" w:rsidP="006270F7">
      <w:pPr>
        <w:jc w:val="both"/>
        <w:rPr>
          <w:rFonts w:asciiTheme="majorBidi" w:hAnsiTheme="majorBidi" w:cstheme="majorBidi"/>
          <w:sz w:val="20"/>
          <w:szCs w:val="20"/>
        </w:rPr>
      </w:pPr>
    </w:p>
    <w:p w14:paraId="0E86B12A" w14:textId="77777777" w:rsidR="006270F7" w:rsidRDefault="006270F7" w:rsidP="006270F7">
      <w:pPr>
        <w:jc w:val="both"/>
        <w:rPr>
          <w:rFonts w:asciiTheme="majorBidi" w:hAnsiTheme="majorBidi" w:cstheme="majorBidi"/>
          <w:sz w:val="20"/>
          <w:szCs w:val="20"/>
        </w:rPr>
      </w:pPr>
    </w:p>
    <w:p w14:paraId="60474058" w14:textId="77777777" w:rsidR="006270F7" w:rsidRPr="00CA463A" w:rsidRDefault="006270F7" w:rsidP="006270F7">
      <w:pPr>
        <w:jc w:val="both"/>
        <w:rPr>
          <w:rFonts w:asciiTheme="majorBidi" w:hAnsiTheme="majorBidi" w:cstheme="majorBidi"/>
          <w:sz w:val="20"/>
          <w:szCs w:val="20"/>
        </w:rPr>
      </w:pPr>
    </w:p>
    <w:p w14:paraId="287C50A1" w14:textId="77777777" w:rsidR="006270F7" w:rsidRDefault="006270F7" w:rsidP="006270F7">
      <w:pPr>
        <w:jc w:val="both"/>
        <w:rPr>
          <w:b/>
          <w:bCs/>
        </w:rPr>
      </w:pPr>
    </w:p>
    <w:p w14:paraId="442DF01A" w14:textId="77777777" w:rsidR="006270F7" w:rsidRDefault="006270F7" w:rsidP="006270F7">
      <w:pPr>
        <w:jc w:val="both"/>
        <w:rPr>
          <w:rFonts w:cstheme="majorBidi"/>
          <w:i/>
          <w:iCs/>
        </w:rPr>
      </w:pPr>
    </w:p>
    <w:p w14:paraId="3160F774" w14:textId="77777777" w:rsidR="006270F7" w:rsidRDefault="006270F7" w:rsidP="006270F7">
      <w:pPr>
        <w:jc w:val="both"/>
        <w:rPr>
          <w:rFonts w:cstheme="majorBidi"/>
          <w:i/>
          <w:iCs/>
        </w:rPr>
      </w:pPr>
    </w:p>
    <w:p w14:paraId="7001E718" w14:textId="77777777" w:rsidR="006270F7" w:rsidRDefault="006270F7" w:rsidP="006270F7">
      <w:pPr>
        <w:jc w:val="both"/>
        <w:rPr>
          <w:rFonts w:cstheme="majorBidi"/>
          <w:i/>
          <w:iCs/>
        </w:rPr>
      </w:pPr>
    </w:p>
    <w:p w14:paraId="140B6847" w14:textId="77777777" w:rsidR="006270F7" w:rsidRDefault="006270F7" w:rsidP="006270F7">
      <w:pPr>
        <w:jc w:val="both"/>
        <w:rPr>
          <w:rFonts w:cstheme="majorBidi"/>
          <w:i/>
          <w:iCs/>
        </w:rPr>
      </w:pPr>
    </w:p>
    <w:p w14:paraId="14AC1648" w14:textId="77777777" w:rsidR="006270F7" w:rsidRDefault="006270F7" w:rsidP="006270F7">
      <w:pPr>
        <w:jc w:val="both"/>
        <w:rPr>
          <w:rFonts w:cstheme="majorBidi"/>
          <w:i/>
          <w:iCs/>
        </w:rPr>
      </w:pPr>
    </w:p>
    <w:p w14:paraId="28DF7B42" w14:textId="77777777" w:rsidR="006270F7" w:rsidRDefault="006270F7" w:rsidP="006270F7">
      <w:pPr>
        <w:jc w:val="both"/>
        <w:rPr>
          <w:rFonts w:cstheme="majorBidi"/>
          <w:i/>
          <w:iCs/>
        </w:rPr>
      </w:pPr>
    </w:p>
    <w:p w14:paraId="2088682C" w14:textId="77777777" w:rsidR="006270F7" w:rsidRDefault="006270F7" w:rsidP="006270F7">
      <w:pPr>
        <w:jc w:val="both"/>
        <w:rPr>
          <w:rFonts w:cstheme="majorBidi"/>
          <w:i/>
          <w:iCs/>
        </w:rPr>
      </w:pPr>
    </w:p>
    <w:p w14:paraId="2C11279E" w14:textId="77777777" w:rsidR="006270F7" w:rsidRDefault="006270F7" w:rsidP="006270F7">
      <w:pPr>
        <w:jc w:val="both"/>
        <w:rPr>
          <w:rFonts w:cstheme="majorBidi"/>
          <w:i/>
          <w:iCs/>
        </w:rPr>
      </w:pPr>
    </w:p>
    <w:p w14:paraId="2929A4C1" w14:textId="77777777" w:rsidR="006270F7" w:rsidRDefault="006270F7" w:rsidP="006270F7">
      <w:pPr>
        <w:jc w:val="both"/>
        <w:rPr>
          <w:rFonts w:cstheme="majorBidi"/>
          <w:i/>
          <w:iCs/>
        </w:rPr>
      </w:pPr>
    </w:p>
    <w:p w14:paraId="639CC4D2" w14:textId="77777777" w:rsidR="006270F7" w:rsidRDefault="006270F7" w:rsidP="006270F7">
      <w:pPr>
        <w:jc w:val="center"/>
        <w:rPr>
          <w:b/>
          <w:bCs/>
        </w:rPr>
      </w:pPr>
    </w:p>
    <w:p w14:paraId="3EEA7D19" w14:textId="77777777" w:rsidR="006270F7" w:rsidRDefault="006270F7" w:rsidP="006270F7">
      <w:pPr>
        <w:jc w:val="center"/>
        <w:rPr>
          <w:b/>
          <w:bCs/>
        </w:rPr>
      </w:pPr>
    </w:p>
    <w:p w14:paraId="2DA5727C" w14:textId="77777777" w:rsidR="006270F7" w:rsidRDefault="006270F7" w:rsidP="006270F7">
      <w:pPr>
        <w:jc w:val="center"/>
        <w:rPr>
          <w:b/>
          <w:bCs/>
        </w:rPr>
      </w:pPr>
    </w:p>
    <w:p w14:paraId="3DA2371C" w14:textId="666D8A4F" w:rsidR="006270F7" w:rsidRPr="00E0591F" w:rsidRDefault="006270F7" w:rsidP="006270F7">
      <w:pPr>
        <w:jc w:val="center"/>
        <w:rPr>
          <w:rFonts w:cstheme="majorBidi"/>
          <w:b/>
          <w:bCs/>
          <w:sz w:val="32"/>
          <w:szCs w:val="28"/>
        </w:rPr>
      </w:pPr>
      <w:r w:rsidRPr="00E0591F">
        <w:rPr>
          <w:b/>
          <w:bCs/>
        </w:rPr>
        <w:lastRenderedPageBreak/>
        <w:t xml:space="preserve">Figure </w:t>
      </w:r>
      <w:r w:rsidR="002B67BF">
        <w:rPr>
          <w:b/>
          <w:bCs/>
        </w:rPr>
        <w:t>S</w:t>
      </w:r>
      <w:r>
        <w:rPr>
          <w:b/>
          <w:bCs/>
        </w:rPr>
        <w:t>2</w:t>
      </w:r>
      <w:r w:rsidRPr="00E0591F">
        <w:rPr>
          <w:b/>
          <w:bCs/>
        </w:rPr>
        <w:t>: Shifts in Trade Patterns after Russia-Ukraine war</w:t>
      </w:r>
    </w:p>
    <w:p w14:paraId="13291374" w14:textId="77777777" w:rsidR="006270F7" w:rsidRDefault="006270F7" w:rsidP="006270F7">
      <w:pPr>
        <w:jc w:val="both"/>
        <w:rPr>
          <w:rFonts w:cstheme="majorBidi"/>
          <w:i/>
          <w:iCs/>
        </w:rPr>
      </w:pPr>
      <w:r>
        <w:rPr>
          <w:noProof/>
          <w:lang w:val="en-IN" w:eastAsia="en-IN"/>
        </w:rPr>
        <w:drawing>
          <wp:anchor distT="0" distB="0" distL="114300" distR="114300" simplePos="0" relativeHeight="251659264" behindDoc="0" locked="0" layoutInCell="1" allowOverlap="1" wp14:anchorId="44B2A0B9" wp14:editId="13CCBFB6">
            <wp:simplePos x="0" y="0"/>
            <wp:positionH relativeFrom="margin">
              <wp:posOffset>768985</wp:posOffset>
            </wp:positionH>
            <wp:positionV relativeFrom="paragraph">
              <wp:posOffset>6350</wp:posOffset>
            </wp:positionV>
            <wp:extent cx="4234815" cy="3063240"/>
            <wp:effectExtent l="0" t="0" r="13335" b="3810"/>
            <wp:wrapSquare wrapText="bothSides"/>
            <wp:docPr id="110750461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8D579A-3EAE-E9B7-15CE-B6AB065021BE}"/>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29DBFA4C" w14:textId="77777777" w:rsidR="006270F7" w:rsidRDefault="006270F7" w:rsidP="006270F7">
      <w:pPr>
        <w:jc w:val="both"/>
        <w:rPr>
          <w:rFonts w:cstheme="majorBidi"/>
          <w:i/>
          <w:iCs/>
        </w:rPr>
      </w:pPr>
    </w:p>
    <w:p w14:paraId="771DEF14" w14:textId="77777777" w:rsidR="006270F7" w:rsidRDefault="006270F7" w:rsidP="006270F7">
      <w:pPr>
        <w:jc w:val="both"/>
        <w:rPr>
          <w:rFonts w:cstheme="majorBidi"/>
          <w:i/>
          <w:iCs/>
        </w:rPr>
      </w:pPr>
    </w:p>
    <w:p w14:paraId="5269B851" w14:textId="77777777" w:rsidR="006270F7" w:rsidRDefault="006270F7" w:rsidP="006270F7">
      <w:pPr>
        <w:jc w:val="both"/>
        <w:rPr>
          <w:rFonts w:cstheme="majorBidi"/>
          <w:i/>
          <w:iCs/>
        </w:rPr>
      </w:pPr>
    </w:p>
    <w:p w14:paraId="3CD0E48D" w14:textId="77777777" w:rsidR="006270F7" w:rsidRPr="00067E06" w:rsidRDefault="006270F7" w:rsidP="006270F7">
      <w:pPr>
        <w:jc w:val="both"/>
        <w:rPr>
          <w:rFonts w:cstheme="majorBidi"/>
        </w:rPr>
      </w:pPr>
    </w:p>
    <w:p w14:paraId="34DCC8FE" w14:textId="77777777" w:rsidR="006270F7" w:rsidRDefault="006270F7" w:rsidP="006270F7">
      <w:pPr>
        <w:jc w:val="both"/>
        <w:rPr>
          <w:rFonts w:cstheme="majorBidi"/>
          <w:i/>
          <w:iCs/>
        </w:rPr>
      </w:pPr>
    </w:p>
    <w:p w14:paraId="151794F6" w14:textId="77777777" w:rsidR="006270F7" w:rsidRDefault="006270F7" w:rsidP="006270F7">
      <w:pPr>
        <w:jc w:val="both"/>
        <w:rPr>
          <w:rFonts w:cstheme="majorBidi"/>
          <w:i/>
          <w:iCs/>
        </w:rPr>
      </w:pPr>
    </w:p>
    <w:p w14:paraId="44BA6F4B" w14:textId="77777777" w:rsidR="006270F7" w:rsidRDefault="006270F7" w:rsidP="006270F7">
      <w:pPr>
        <w:jc w:val="both"/>
        <w:rPr>
          <w:rFonts w:cstheme="majorBidi"/>
          <w:i/>
          <w:iCs/>
        </w:rPr>
      </w:pPr>
    </w:p>
    <w:p w14:paraId="3F4C667D" w14:textId="77777777" w:rsidR="006270F7" w:rsidRDefault="006270F7" w:rsidP="006270F7">
      <w:pPr>
        <w:jc w:val="both"/>
        <w:rPr>
          <w:rFonts w:cstheme="majorBidi"/>
          <w:i/>
          <w:iCs/>
        </w:rPr>
      </w:pPr>
    </w:p>
    <w:p w14:paraId="7104A5DE" w14:textId="77777777" w:rsidR="006270F7" w:rsidRDefault="006270F7" w:rsidP="006270F7">
      <w:pPr>
        <w:jc w:val="both"/>
        <w:rPr>
          <w:rFonts w:cstheme="majorBidi"/>
          <w:i/>
          <w:iCs/>
        </w:rPr>
      </w:pPr>
    </w:p>
    <w:p w14:paraId="5A5C3B65" w14:textId="77777777" w:rsidR="006270F7" w:rsidRDefault="006270F7" w:rsidP="006270F7">
      <w:pPr>
        <w:jc w:val="both"/>
        <w:rPr>
          <w:rFonts w:cstheme="majorBidi"/>
          <w:i/>
          <w:iCs/>
        </w:rPr>
      </w:pPr>
    </w:p>
    <w:p w14:paraId="1F5F7460" w14:textId="77777777" w:rsidR="006270F7" w:rsidRDefault="006270F7" w:rsidP="006270F7">
      <w:pPr>
        <w:jc w:val="both"/>
        <w:rPr>
          <w:rFonts w:cstheme="majorBidi"/>
          <w:i/>
          <w:iCs/>
        </w:rPr>
      </w:pPr>
    </w:p>
    <w:p w14:paraId="2C0042D2" w14:textId="77777777" w:rsidR="006270F7" w:rsidRPr="00D734CF" w:rsidRDefault="006270F7" w:rsidP="006270F7">
      <w:pPr>
        <w:jc w:val="center"/>
        <w:rPr>
          <w:rFonts w:asciiTheme="majorBidi" w:hAnsiTheme="majorBidi" w:cstheme="majorBidi"/>
          <w:sz w:val="20"/>
          <w:szCs w:val="20"/>
        </w:rPr>
      </w:pPr>
      <w:r w:rsidRPr="00610F93">
        <w:rPr>
          <w:rFonts w:asciiTheme="majorBidi" w:hAnsiTheme="majorBidi" w:cstheme="majorBidi"/>
          <w:sz w:val="20"/>
          <w:szCs w:val="20"/>
        </w:rPr>
        <w:t>Source: (</w:t>
      </w:r>
      <w:r>
        <w:rPr>
          <w:rFonts w:asciiTheme="majorBidi" w:hAnsiTheme="majorBidi" w:cstheme="majorBidi"/>
          <w:sz w:val="20"/>
          <w:szCs w:val="20"/>
        </w:rPr>
        <w:t>OEC, 2023a; OEC</w:t>
      </w:r>
      <w:proofErr w:type="gramStart"/>
      <w:r>
        <w:rPr>
          <w:rFonts w:asciiTheme="majorBidi" w:hAnsiTheme="majorBidi" w:cstheme="majorBidi"/>
          <w:sz w:val="20"/>
          <w:szCs w:val="20"/>
        </w:rPr>
        <w:t>,2023b</w:t>
      </w:r>
      <w:proofErr w:type="gramEnd"/>
      <w:r>
        <w:rPr>
          <w:rFonts w:asciiTheme="majorBidi" w:hAnsiTheme="majorBidi" w:cstheme="majorBidi"/>
          <w:sz w:val="20"/>
          <w:szCs w:val="20"/>
        </w:rPr>
        <w:t>)</w:t>
      </w:r>
    </w:p>
    <w:p w14:paraId="211031C1" w14:textId="77777777" w:rsidR="006270F7" w:rsidRDefault="006270F7" w:rsidP="006270F7">
      <w:pPr>
        <w:jc w:val="both"/>
        <w:rPr>
          <w:rFonts w:asciiTheme="majorBidi" w:hAnsiTheme="majorBidi" w:cstheme="majorBidi"/>
          <w:sz w:val="20"/>
          <w:szCs w:val="20"/>
        </w:rPr>
      </w:pPr>
    </w:p>
    <w:p w14:paraId="05518D30" w14:textId="135FDB4F" w:rsidR="006270F7" w:rsidRDefault="006270F7" w:rsidP="006270F7">
      <w:pPr>
        <w:jc w:val="both"/>
        <w:rPr>
          <w:rFonts w:asciiTheme="majorBidi" w:hAnsiTheme="majorBidi" w:cstheme="majorBidi"/>
          <w:sz w:val="20"/>
          <w:szCs w:val="20"/>
        </w:rPr>
      </w:pPr>
      <w:r w:rsidRPr="00D734CF">
        <w:rPr>
          <w:rFonts w:asciiTheme="majorBidi" w:hAnsiTheme="majorBidi" w:cstheme="majorBidi"/>
          <w:sz w:val="20"/>
          <w:szCs w:val="20"/>
        </w:rPr>
        <w:t xml:space="preserve">Figure </w:t>
      </w:r>
      <w:r w:rsidR="002B67BF">
        <w:rPr>
          <w:rFonts w:asciiTheme="majorBidi" w:hAnsiTheme="majorBidi" w:cstheme="majorBidi"/>
          <w:sz w:val="20"/>
          <w:szCs w:val="20"/>
        </w:rPr>
        <w:t>S</w:t>
      </w:r>
      <w:r>
        <w:rPr>
          <w:rFonts w:asciiTheme="majorBidi" w:hAnsiTheme="majorBidi" w:cstheme="majorBidi"/>
          <w:sz w:val="20"/>
          <w:szCs w:val="20"/>
        </w:rPr>
        <w:t xml:space="preserve">2 </w:t>
      </w:r>
      <w:r w:rsidRPr="00D734CF">
        <w:rPr>
          <w:rFonts w:asciiTheme="majorBidi" w:hAnsiTheme="majorBidi" w:cstheme="majorBidi"/>
          <w:sz w:val="20"/>
          <w:szCs w:val="20"/>
        </w:rPr>
        <w:t xml:space="preserve">above shows </w:t>
      </w:r>
      <w:r>
        <w:rPr>
          <w:rFonts w:asciiTheme="majorBidi" w:hAnsiTheme="majorBidi" w:cstheme="majorBidi"/>
          <w:sz w:val="20"/>
          <w:szCs w:val="20"/>
        </w:rPr>
        <w:t>how global trade patterns were restructured by Russia-Ukraine war and the accompanying sanctions. Consolidating Ukraine’s exports, total exports were considered without dividing them by destination as overall exports decreased. In 2021, Ukraine’s exports were $69 billion falling sharply to $48 billion in 2022, due to infrastructure destruction and the blockade of Black Sea corridors which were vital to its trade routes. On the other hand, due to the sanctions Russia’s exports to the EU, UK and U.S. significantly declined despite the pre-war period strong trade relationships, with exports instead mainly re-directed to China, India, Turkey, South Korea and Japan reflecting a shift toward friendly nations.</w:t>
      </w:r>
    </w:p>
    <w:p w14:paraId="24A21646" w14:textId="77777777" w:rsidR="006270F7" w:rsidRDefault="006270F7" w:rsidP="006270F7">
      <w:pPr>
        <w:jc w:val="both"/>
        <w:rPr>
          <w:rFonts w:asciiTheme="majorBidi" w:hAnsiTheme="majorBidi" w:cstheme="majorBidi"/>
          <w:sz w:val="20"/>
          <w:szCs w:val="20"/>
        </w:rPr>
      </w:pPr>
    </w:p>
    <w:p w14:paraId="793D38DE" w14:textId="77777777" w:rsidR="006270F7" w:rsidRDefault="006270F7" w:rsidP="006270F7">
      <w:pPr>
        <w:jc w:val="both"/>
        <w:rPr>
          <w:rFonts w:asciiTheme="majorBidi" w:hAnsiTheme="majorBidi" w:cstheme="majorBidi"/>
          <w:sz w:val="20"/>
          <w:szCs w:val="20"/>
        </w:rPr>
      </w:pPr>
    </w:p>
    <w:p w14:paraId="3CBB9AC1" w14:textId="77777777" w:rsidR="006270F7" w:rsidRDefault="006270F7" w:rsidP="006270F7">
      <w:pPr>
        <w:jc w:val="center"/>
        <w:rPr>
          <w:b/>
          <w:bCs/>
        </w:rPr>
      </w:pPr>
    </w:p>
    <w:p w14:paraId="042CAC91" w14:textId="77777777" w:rsidR="006270F7" w:rsidRDefault="006270F7" w:rsidP="006270F7">
      <w:pPr>
        <w:jc w:val="center"/>
        <w:rPr>
          <w:b/>
          <w:bCs/>
        </w:rPr>
      </w:pPr>
    </w:p>
    <w:p w14:paraId="40E4F0F8" w14:textId="77777777" w:rsidR="006270F7" w:rsidRDefault="006270F7" w:rsidP="006270F7">
      <w:pPr>
        <w:jc w:val="center"/>
        <w:rPr>
          <w:b/>
          <w:bCs/>
        </w:rPr>
      </w:pPr>
    </w:p>
    <w:p w14:paraId="29FD4013" w14:textId="77777777" w:rsidR="006270F7" w:rsidRDefault="006270F7" w:rsidP="006270F7">
      <w:pPr>
        <w:jc w:val="center"/>
        <w:rPr>
          <w:b/>
          <w:bCs/>
        </w:rPr>
      </w:pPr>
    </w:p>
    <w:p w14:paraId="738FD48B" w14:textId="77777777" w:rsidR="006270F7" w:rsidRDefault="006270F7" w:rsidP="006270F7">
      <w:pPr>
        <w:jc w:val="center"/>
        <w:rPr>
          <w:b/>
          <w:bCs/>
        </w:rPr>
      </w:pPr>
    </w:p>
    <w:p w14:paraId="6FD9C8D0" w14:textId="77777777" w:rsidR="006270F7" w:rsidRDefault="006270F7" w:rsidP="006270F7">
      <w:pPr>
        <w:jc w:val="center"/>
        <w:rPr>
          <w:b/>
          <w:bCs/>
        </w:rPr>
      </w:pPr>
    </w:p>
    <w:p w14:paraId="10F9B832" w14:textId="77777777" w:rsidR="006270F7" w:rsidRDefault="006270F7" w:rsidP="006270F7">
      <w:pPr>
        <w:jc w:val="center"/>
        <w:rPr>
          <w:b/>
          <w:bCs/>
        </w:rPr>
      </w:pPr>
    </w:p>
    <w:p w14:paraId="571C078A" w14:textId="77777777" w:rsidR="006270F7" w:rsidRDefault="006270F7" w:rsidP="006270F7">
      <w:pPr>
        <w:jc w:val="center"/>
        <w:rPr>
          <w:b/>
          <w:bCs/>
        </w:rPr>
      </w:pPr>
    </w:p>
    <w:p w14:paraId="695A2DDE" w14:textId="77777777" w:rsidR="006270F7" w:rsidRDefault="006270F7" w:rsidP="006270F7">
      <w:pPr>
        <w:jc w:val="center"/>
        <w:rPr>
          <w:b/>
          <w:bCs/>
        </w:rPr>
      </w:pPr>
    </w:p>
    <w:p w14:paraId="439E9DB3" w14:textId="5F6D1AAC" w:rsidR="006270F7" w:rsidRPr="006E06DD" w:rsidRDefault="006270F7" w:rsidP="006270F7">
      <w:pPr>
        <w:jc w:val="center"/>
        <w:rPr>
          <w:b/>
          <w:bCs/>
        </w:rPr>
      </w:pPr>
      <w:r w:rsidRPr="00E0591F">
        <w:rPr>
          <w:b/>
          <w:bCs/>
        </w:rPr>
        <w:lastRenderedPageBreak/>
        <w:t xml:space="preserve">Figure </w:t>
      </w:r>
      <w:r w:rsidR="002B67BF">
        <w:rPr>
          <w:b/>
          <w:bCs/>
        </w:rPr>
        <w:t>S</w:t>
      </w:r>
      <w:r>
        <w:rPr>
          <w:b/>
          <w:bCs/>
        </w:rPr>
        <w:t>3</w:t>
      </w:r>
      <w:r w:rsidRPr="00E0591F">
        <w:rPr>
          <w:b/>
          <w:bCs/>
        </w:rPr>
        <w:t xml:space="preserve">: </w:t>
      </w:r>
      <w:r w:rsidRPr="006E06DD">
        <w:rPr>
          <w:b/>
          <w:bCs/>
        </w:rPr>
        <w:t>Azerbaijan's Crude Petroleum Exports</w:t>
      </w:r>
      <w:r>
        <w:rPr>
          <w:b/>
          <w:bCs/>
        </w:rPr>
        <w:t xml:space="preserve"> Value</w:t>
      </w:r>
      <w:r w:rsidRPr="006E06DD">
        <w:rPr>
          <w:b/>
          <w:bCs/>
        </w:rPr>
        <w:t xml:space="preserve"> before and amid Russia-Ukraine war</w:t>
      </w:r>
    </w:p>
    <w:p w14:paraId="3714C620" w14:textId="77777777" w:rsidR="006270F7" w:rsidRDefault="006270F7" w:rsidP="006270F7">
      <w:pPr>
        <w:keepNext/>
        <w:jc w:val="center"/>
      </w:pPr>
      <w:r>
        <w:rPr>
          <w:noProof/>
          <w:lang w:val="en-IN" w:eastAsia="en-IN"/>
          <w14:ligatures w14:val="standardContextual"/>
        </w:rPr>
        <w:drawing>
          <wp:anchor distT="0" distB="0" distL="114300" distR="114300" simplePos="0" relativeHeight="251661312" behindDoc="0" locked="0" layoutInCell="1" allowOverlap="1" wp14:anchorId="30E36F2D" wp14:editId="202CE4D2">
            <wp:simplePos x="0" y="0"/>
            <wp:positionH relativeFrom="margin">
              <wp:align>center</wp:align>
            </wp:positionH>
            <wp:positionV relativeFrom="paragraph">
              <wp:posOffset>102870</wp:posOffset>
            </wp:positionV>
            <wp:extent cx="4053840" cy="2506980"/>
            <wp:effectExtent l="0" t="0" r="3810" b="7620"/>
            <wp:wrapSquare wrapText="bothSides"/>
            <wp:docPr id="135834007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AFA250-0592-0E59-9CED-1F514CA20F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3019B42" w14:textId="77777777" w:rsidR="006270F7" w:rsidRDefault="006270F7" w:rsidP="006270F7">
      <w:pPr>
        <w:keepNext/>
        <w:jc w:val="center"/>
      </w:pPr>
    </w:p>
    <w:p w14:paraId="5FAE0073" w14:textId="77777777" w:rsidR="006270F7" w:rsidRDefault="006270F7" w:rsidP="006270F7">
      <w:pPr>
        <w:keepNext/>
        <w:jc w:val="center"/>
      </w:pPr>
    </w:p>
    <w:p w14:paraId="315434F0" w14:textId="77777777" w:rsidR="006270F7" w:rsidRDefault="006270F7" w:rsidP="006270F7">
      <w:pPr>
        <w:keepNext/>
        <w:jc w:val="center"/>
      </w:pPr>
    </w:p>
    <w:p w14:paraId="067FAA04" w14:textId="77777777" w:rsidR="006270F7" w:rsidRDefault="006270F7" w:rsidP="006270F7">
      <w:pPr>
        <w:keepNext/>
        <w:jc w:val="center"/>
      </w:pPr>
    </w:p>
    <w:p w14:paraId="6AAA1239" w14:textId="77777777" w:rsidR="006270F7" w:rsidRDefault="006270F7" w:rsidP="006270F7">
      <w:pPr>
        <w:keepNext/>
        <w:jc w:val="center"/>
      </w:pPr>
    </w:p>
    <w:p w14:paraId="198A0C72" w14:textId="77777777" w:rsidR="006270F7" w:rsidRDefault="006270F7" w:rsidP="006270F7">
      <w:pPr>
        <w:keepNext/>
        <w:jc w:val="center"/>
      </w:pPr>
    </w:p>
    <w:p w14:paraId="600C2EEE" w14:textId="77777777" w:rsidR="006270F7" w:rsidRDefault="006270F7" w:rsidP="006270F7">
      <w:pPr>
        <w:keepNext/>
        <w:jc w:val="center"/>
      </w:pPr>
    </w:p>
    <w:p w14:paraId="4E713F2B" w14:textId="77777777" w:rsidR="006270F7" w:rsidRDefault="006270F7" w:rsidP="006270F7">
      <w:pPr>
        <w:keepNext/>
        <w:jc w:val="center"/>
      </w:pPr>
    </w:p>
    <w:p w14:paraId="6991453C" w14:textId="77777777" w:rsidR="006270F7" w:rsidRDefault="006270F7" w:rsidP="006270F7">
      <w:pPr>
        <w:keepNext/>
        <w:jc w:val="center"/>
      </w:pPr>
    </w:p>
    <w:p w14:paraId="051A0F3A" w14:textId="77777777" w:rsidR="006270F7" w:rsidRPr="003A2EF7" w:rsidRDefault="006270F7" w:rsidP="006270F7">
      <w:pPr>
        <w:keepNext/>
        <w:jc w:val="center"/>
        <w:rPr>
          <w:sz w:val="20"/>
          <w:szCs w:val="18"/>
        </w:rPr>
      </w:pPr>
      <w:r w:rsidRPr="003A2EF7">
        <w:rPr>
          <w:sz w:val="20"/>
          <w:szCs w:val="18"/>
        </w:rPr>
        <w:t>Source: (OEC, 2023c)</w:t>
      </w:r>
    </w:p>
    <w:p w14:paraId="53C6E448" w14:textId="77777777" w:rsidR="006270F7" w:rsidRDefault="006270F7" w:rsidP="006270F7">
      <w:pPr>
        <w:keepNext/>
        <w:rPr>
          <w:sz w:val="22"/>
          <w:szCs w:val="20"/>
        </w:rPr>
      </w:pPr>
    </w:p>
    <w:p w14:paraId="1030918D" w14:textId="77A5226E" w:rsidR="006270F7" w:rsidRDefault="006270F7" w:rsidP="006270F7">
      <w:pPr>
        <w:keepNext/>
        <w:jc w:val="both"/>
        <w:rPr>
          <w:sz w:val="22"/>
          <w:szCs w:val="20"/>
        </w:rPr>
      </w:pPr>
      <w:r>
        <w:rPr>
          <w:sz w:val="22"/>
          <w:szCs w:val="20"/>
        </w:rPr>
        <w:t xml:space="preserve">Figure </w:t>
      </w:r>
      <w:r w:rsidR="002B67BF">
        <w:rPr>
          <w:sz w:val="22"/>
          <w:szCs w:val="20"/>
        </w:rPr>
        <w:t>S</w:t>
      </w:r>
      <w:r>
        <w:rPr>
          <w:sz w:val="22"/>
          <w:szCs w:val="20"/>
        </w:rPr>
        <w:t>3 above</w:t>
      </w:r>
      <w:r w:rsidRPr="00BA1411">
        <w:rPr>
          <w:sz w:val="22"/>
          <w:szCs w:val="20"/>
        </w:rPr>
        <w:t xml:space="preserve"> </w:t>
      </w:r>
      <w:r>
        <w:rPr>
          <w:sz w:val="22"/>
          <w:szCs w:val="20"/>
        </w:rPr>
        <w:t xml:space="preserve">shows Azerbaijan’s crude oil exports from 2018 to 2023. As evident in the figure, exports value in Azerbaijan were the highest at $20 billion </w:t>
      </w:r>
      <w:r w:rsidRPr="00BA1411">
        <w:rPr>
          <w:sz w:val="22"/>
          <w:szCs w:val="20"/>
        </w:rPr>
        <w:t>during the war period</w:t>
      </w:r>
      <w:r>
        <w:rPr>
          <w:sz w:val="22"/>
          <w:szCs w:val="20"/>
        </w:rPr>
        <w:t xml:space="preserve"> in 2022</w:t>
      </w:r>
      <w:r w:rsidRPr="00BA1411">
        <w:rPr>
          <w:sz w:val="22"/>
          <w:szCs w:val="20"/>
        </w:rPr>
        <w:t>, reflecting the broader geopolitical reorientation of energy trade flows following the Russia</w:t>
      </w:r>
      <w:r>
        <w:rPr>
          <w:sz w:val="22"/>
          <w:szCs w:val="20"/>
        </w:rPr>
        <w:t>-</w:t>
      </w:r>
      <w:r w:rsidRPr="00BA1411">
        <w:rPr>
          <w:sz w:val="22"/>
          <w:szCs w:val="20"/>
        </w:rPr>
        <w:t xml:space="preserve">Ukraine </w:t>
      </w:r>
      <w:r>
        <w:rPr>
          <w:sz w:val="22"/>
          <w:szCs w:val="20"/>
        </w:rPr>
        <w:t>war</w:t>
      </w:r>
      <w:r w:rsidRPr="00BA1411">
        <w:rPr>
          <w:sz w:val="22"/>
          <w:szCs w:val="20"/>
        </w:rPr>
        <w:t>.</w:t>
      </w:r>
    </w:p>
    <w:p w14:paraId="1B368273" w14:textId="77777777" w:rsidR="00E418D5" w:rsidRDefault="00E418D5"/>
    <w:sectPr w:rsidR="00E418D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BB7B0" w14:textId="77777777" w:rsidR="00FD4971" w:rsidRDefault="00FD4971" w:rsidP="00792807">
      <w:pPr>
        <w:spacing w:line="240" w:lineRule="auto"/>
      </w:pPr>
      <w:r>
        <w:separator/>
      </w:r>
    </w:p>
  </w:endnote>
  <w:endnote w:type="continuationSeparator" w:id="0">
    <w:p w14:paraId="659056A6" w14:textId="77777777" w:rsidR="00FD4971" w:rsidRDefault="00FD4971" w:rsidP="007928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BFC0" w14:textId="77777777" w:rsidR="00FD4971" w:rsidRDefault="00FD4971" w:rsidP="00792807">
      <w:pPr>
        <w:spacing w:line="240" w:lineRule="auto"/>
      </w:pPr>
      <w:r>
        <w:separator/>
      </w:r>
    </w:p>
  </w:footnote>
  <w:footnote w:type="continuationSeparator" w:id="0">
    <w:p w14:paraId="7DAB454C" w14:textId="77777777" w:rsidR="00FD4971" w:rsidRDefault="00FD4971" w:rsidP="007928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FB954" w14:textId="1D6D5A0F" w:rsidR="00792807" w:rsidRPr="00792807" w:rsidRDefault="00792807">
    <w:pPr>
      <w:pStyle w:val="Header"/>
      <w:rPr>
        <w:lang w:val="en-US"/>
      </w:rPr>
    </w:pPr>
    <w:r>
      <w:rPr>
        <w:lang w:val="en-US"/>
      </w:rPr>
      <w:t>Supplementary Material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70"/>
    <w:rsid w:val="000537EE"/>
    <w:rsid w:val="00165AEA"/>
    <w:rsid w:val="002B67BF"/>
    <w:rsid w:val="002D250D"/>
    <w:rsid w:val="004717A5"/>
    <w:rsid w:val="00483640"/>
    <w:rsid w:val="006270F7"/>
    <w:rsid w:val="00627770"/>
    <w:rsid w:val="00646ABB"/>
    <w:rsid w:val="00702205"/>
    <w:rsid w:val="00777FB8"/>
    <w:rsid w:val="00792807"/>
    <w:rsid w:val="007E0C51"/>
    <w:rsid w:val="007E1F49"/>
    <w:rsid w:val="008D1A88"/>
    <w:rsid w:val="008E4C31"/>
    <w:rsid w:val="00910393"/>
    <w:rsid w:val="00A77975"/>
    <w:rsid w:val="00AC4101"/>
    <w:rsid w:val="00B1725A"/>
    <w:rsid w:val="00B42906"/>
    <w:rsid w:val="00B9303D"/>
    <w:rsid w:val="00BC6719"/>
    <w:rsid w:val="00C739FF"/>
    <w:rsid w:val="00C90AF2"/>
    <w:rsid w:val="00CD75E2"/>
    <w:rsid w:val="00DC6BF7"/>
    <w:rsid w:val="00E418D5"/>
    <w:rsid w:val="00E93EFB"/>
    <w:rsid w:val="00EC2D56"/>
    <w:rsid w:val="00F97214"/>
    <w:rsid w:val="00FD4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284A"/>
  <w15:chartTrackingRefBased/>
  <w15:docId w15:val="{8E20EE20-7F6D-4867-89C7-BC8DBA1D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770"/>
    <w:pPr>
      <w:spacing w:after="0" w:line="360" w:lineRule="auto"/>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62777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72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E93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77F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92807"/>
    <w:pPr>
      <w:tabs>
        <w:tab w:val="center" w:pos="4513"/>
        <w:tab w:val="right" w:pos="9026"/>
      </w:tabs>
      <w:spacing w:line="240" w:lineRule="auto"/>
    </w:pPr>
  </w:style>
  <w:style w:type="character" w:customStyle="1" w:styleId="HeaderChar">
    <w:name w:val="Header Char"/>
    <w:basedOn w:val="DefaultParagraphFont"/>
    <w:link w:val="Header"/>
    <w:uiPriority w:val="99"/>
    <w:rsid w:val="00792807"/>
    <w:rPr>
      <w:rFonts w:ascii="Times New Roman" w:hAnsi="Times New Roman"/>
      <w:sz w:val="24"/>
      <w:lang w:val="en-GB"/>
    </w:rPr>
  </w:style>
  <w:style w:type="paragraph" w:styleId="Footer">
    <w:name w:val="footer"/>
    <w:basedOn w:val="Normal"/>
    <w:link w:val="FooterChar"/>
    <w:uiPriority w:val="99"/>
    <w:unhideWhenUsed/>
    <w:rsid w:val="00792807"/>
    <w:pPr>
      <w:tabs>
        <w:tab w:val="center" w:pos="4513"/>
        <w:tab w:val="right" w:pos="9026"/>
      </w:tabs>
      <w:spacing w:line="240" w:lineRule="auto"/>
    </w:pPr>
  </w:style>
  <w:style w:type="character" w:customStyle="1" w:styleId="FooterChar">
    <w:name w:val="Footer Char"/>
    <w:basedOn w:val="DefaultParagraphFont"/>
    <w:link w:val="Footer"/>
    <w:uiPriority w:val="99"/>
    <w:rsid w:val="00792807"/>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https://livebueedu-my.sharepoint.com/personal/jomana_mohamed_bue_edu_eg/Documents/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livebueedu-my.sharepoint.com/personal/jomana_mohamed_bue_edu_eg/Documents/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livebueedu-my.sharepoint.com/personal/jomana_mohamed_bue_edu_eg/Documents/PAPERS/RU%20War/Graph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FDI Inflows Pre and Post-War</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Sheet5!$A$2</c:f>
              <c:strCache>
                <c:ptCount val="1"/>
                <c:pt idx="0">
                  <c:v>2021</c:v>
                </c:pt>
              </c:strCache>
            </c:strRef>
          </c:tx>
          <c:spPr>
            <a:solidFill>
              <a:schemeClr val="accent1">
                <a:lumMod val="75000"/>
              </a:schemeClr>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Sheet5!$B$1:$D$1</c:f>
              <c:strCache>
                <c:ptCount val="3"/>
                <c:pt idx="0">
                  <c:v>Russia</c:v>
                </c:pt>
                <c:pt idx="1">
                  <c:v>Ukraine</c:v>
                </c:pt>
                <c:pt idx="2">
                  <c:v>Armenia</c:v>
                </c:pt>
              </c:strCache>
            </c:strRef>
          </c:cat>
          <c:val>
            <c:numRef>
              <c:f>Sheet5!$B$2:$D$2</c:f>
              <c:numCache>
                <c:formatCode>General</c:formatCode>
                <c:ptCount val="3"/>
                <c:pt idx="0">
                  <c:v>2.2000000000000002</c:v>
                </c:pt>
                <c:pt idx="1">
                  <c:v>4</c:v>
                </c:pt>
                <c:pt idx="2">
                  <c:v>2.6</c:v>
                </c:pt>
              </c:numCache>
            </c:numRef>
          </c:val>
          <c:extLst xmlns:c16r2="http://schemas.microsoft.com/office/drawing/2015/06/chart">
            <c:ext xmlns:c16="http://schemas.microsoft.com/office/drawing/2014/chart" uri="{C3380CC4-5D6E-409C-BE32-E72D297353CC}">
              <c16:uniqueId val="{00000000-0072-432D-B44C-4023863F7DDB}"/>
            </c:ext>
          </c:extLst>
        </c:ser>
        <c:ser>
          <c:idx val="1"/>
          <c:order val="1"/>
          <c:tx>
            <c:strRef>
              <c:f>Sheet5!$A$3</c:f>
              <c:strCache>
                <c:ptCount val="1"/>
                <c:pt idx="0">
                  <c:v>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Sheet5!$B$1:$D$1</c:f>
              <c:strCache>
                <c:ptCount val="3"/>
                <c:pt idx="0">
                  <c:v>Russia</c:v>
                </c:pt>
                <c:pt idx="1">
                  <c:v>Ukraine</c:v>
                </c:pt>
                <c:pt idx="2">
                  <c:v>Armenia</c:v>
                </c:pt>
              </c:strCache>
            </c:strRef>
          </c:cat>
          <c:val>
            <c:numRef>
              <c:f>Sheet5!$B$3:$D$3</c:f>
              <c:numCache>
                <c:formatCode>General</c:formatCode>
                <c:ptCount val="3"/>
                <c:pt idx="0">
                  <c:v>-1.7</c:v>
                </c:pt>
                <c:pt idx="1">
                  <c:v>0.1</c:v>
                </c:pt>
                <c:pt idx="2">
                  <c:v>5</c:v>
                </c:pt>
              </c:numCache>
            </c:numRef>
          </c:val>
          <c:extLst xmlns:c16r2="http://schemas.microsoft.com/office/drawing/2015/06/chart">
            <c:ext xmlns:c16="http://schemas.microsoft.com/office/drawing/2014/chart" uri="{C3380CC4-5D6E-409C-BE32-E72D297353CC}">
              <c16:uniqueId val="{00000001-0072-432D-B44C-4023863F7DDB}"/>
            </c:ext>
          </c:extLst>
        </c:ser>
        <c:dLbls>
          <c:dLblPos val="outEnd"/>
          <c:showLegendKey val="0"/>
          <c:showVal val="1"/>
          <c:showCatName val="0"/>
          <c:showSerName val="0"/>
          <c:showPercent val="0"/>
          <c:showBubbleSize val="0"/>
        </c:dLbls>
        <c:gapWidth val="219"/>
        <c:overlap val="-27"/>
        <c:axId val="750880336"/>
        <c:axId val="750879248"/>
      </c:barChart>
      <c:catAx>
        <c:axId val="750880336"/>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Countries</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0879248"/>
        <c:crosses val="autoZero"/>
        <c:auto val="1"/>
        <c:lblAlgn val="ctr"/>
        <c:lblOffset val="100"/>
        <c:noMultiLvlLbl val="0"/>
      </c:catAx>
      <c:valAx>
        <c:axId val="750879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FDI (% of GDP)</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088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Ukraine's Trade Collapse and Russia's</a:t>
            </a:r>
            <a:r>
              <a:rPr lang="en-US" sz="1200" baseline="0"/>
              <a:t> Trade </a:t>
            </a:r>
            <a:r>
              <a:rPr lang="en-US" sz="1200"/>
              <a:t>Reorientation</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Sheet3!$I$2</c:f>
              <c:strCache>
                <c:ptCount val="1"/>
                <c:pt idx="0">
                  <c:v>Russia's Exports to EU, UK and U.S.</c:v>
                </c:pt>
              </c:strCache>
            </c:strRef>
          </c:tx>
          <c:spPr>
            <a:ln w="28575" cap="rnd">
              <a:solidFill>
                <a:srgbClr val="FF0000"/>
              </a:solidFill>
              <a:round/>
            </a:ln>
            <a:effectLst/>
          </c:spPr>
          <c:marker>
            <c:symbol val="none"/>
          </c:marker>
          <c:cat>
            <c:numRef>
              <c:f>Sheet1!$H$2:$H$7</c:f>
              <c:numCache>
                <c:formatCode>General</c:formatCode>
                <c:ptCount val="6"/>
                <c:pt idx="0">
                  <c:v>2018</c:v>
                </c:pt>
                <c:pt idx="1">
                  <c:v>2019</c:v>
                </c:pt>
                <c:pt idx="2">
                  <c:v>2020</c:v>
                </c:pt>
                <c:pt idx="3">
                  <c:v>2021</c:v>
                </c:pt>
                <c:pt idx="4">
                  <c:v>2022</c:v>
                </c:pt>
                <c:pt idx="5">
                  <c:v>2023</c:v>
                </c:pt>
              </c:numCache>
            </c:numRef>
          </c:cat>
          <c:val>
            <c:numRef>
              <c:f>Sheet1!$I$2:$I$7</c:f>
              <c:numCache>
                <c:formatCode>0</c:formatCode>
                <c:ptCount val="6"/>
                <c:pt idx="0">
                  <c:v>126.80000000000001</c:v>
                </c:pt>
                <c:pt idx="1">
                  <c:v>123.39999999999999</c:v>
                </c:pt>
                <c:pt idx="2">
                  <c:v>94.299999999999983</c:v>
                </c:pt>
                <c:pt idx="3">
                  <c:v>147.6</c:v>
                </c:pt>
                <c:pt idx="4">
                  <c:v>114.7</c:v>
                </c:pt>
                <c:pt idx="5" formatCode="General">
                  <c:v>19.143000000000001</c:v>
                </c:pt>
              </c:numCache>
            </c:numRef>
          </c:val>
          <c:smooth val="0"/>
          <c:extLst xmlns:c16r2="http://schemas.microsoft.com/office/drawing/2015/06/chart">
            <c:ext xmlns:c16="http://schemas.microsoft.com/office/drawing/2014/chart" uri="{C3380CC4-5D6E-409C-BE32-E72D297353CC}">
              <c16:uniqueId val="{00000000-1327-40D4-A6CE-47160B3C6EDD}"/>
            </c:ext>
          </c:extLst>
        </c:ser>
        <c:ser>
          <c:idx val="2"/>
          <c:order val="2"/>
          <c:tx>
            <c:strRef>
              <c:f>Sheet1!$K$1</c:f>
              <c:strCache>
                <c:ptCount val="1"/>
                <c:pt idx="0">
                  <c:v>Ukraine's Total Exports</c:v>
                </c:pt>
              </c:strCache>
            </c:strRef>
          </c:tx>
          <c:spPr>
            <a:ln w="28575" cap="rnd">
              <a:solidFill>
                <a:srgbClr val="0070C0"/>
              </a:solidFill>
              <a:round/>
            </a:ln>
            <a:effectLst/>
          </c:spPr>
          <c:marker>
            <c:symbol val="none"/>
          </c:marker>
          <c:cat>
            <c:numRef>
              <c:f>Sheet1!$H$2:$H$7</c:f>
              <c:numCache>
                <c:formatCode>General</c:formatCode>
                <c:ptCount val="6"/>
                <c:pt idx="0">
                  <c:v>2018</c:v>
                </c:pt>
                <c:pt idx="1">
                  <c:v>2019</c:v>
                </c:pt>
                <c:pt idx="2">
                  <c:v>2020</c:v>
                </c:pt>
                <c:pt idx="3">
                  <c:v>2021</c:v>
                </c:pt>
                <c:pt idx="4">
                  <c:v>2022</c:v>
                </c:pt>
                <c:pt idx="5">
                  <c:v>2023</c:v>
                </c:pt>
              </c:numCache>
            </c:numRef>
          </c:cat>
          <c:val>
            <c:numRef>
              <c:f>Sheet1!$K$2:$K$7</c:f>
              <c:numCache>
                <c:formatCode>0</c:formatCode>
                <c:ptCount val="6"/>
                <c:pt idx="0">
                  <c:v>47.1</c:v>
                </c:pt>
                <c:pt idx="1">
                  <c:v>50.7</c:v>
                </c:pt>
                <c:pt idx="2">
                  <c:v>52.4</c:v>
                </c:pt>
                <c:pt idx="3">
                  <c:v>69.2</c:v>
                </c:pt>
                <c:pt idx="4">
                  <c:v>47.8</c:v>
                </c:pt>
                <c:pt idx="5">
                  <c:v>40</c:v>
                </c:pt>
              </c:numCache>
            </c:numRef>
          </c:val>
          <c:smooth val="0"/>
          <c:extLst xmlns:c16r2="http://schemas.microsoft.com/office/drawing/2015/06/chart">
            <c:ext xmlns:c16="http://schemas.microsoft.com/office/drawing/2014/chart" uri="{C3380CC4-5D6E-409C-BE32-E72D297353CC}">
              <c16:uniqueId val="{00000001-1327-40D4-A6CE-47160B3C6EDD}"/>
            </c:ext>
          </c:extLst>
        </c:ser>
        <c:dLbls>
          <c:showLegendKey val="0"/>
          <c:showVal val="0"/>
          <c:showCatName val="0"/>
          <c:showSerName val="0"/>
          <c:showPercent val="0"/>
          <c:showBubbleSize val="0"/>
        </c:dLbls>
        <c:marker val="1"/>
        <c:smooth val="0"/>
        <c:axId val="750881424"/>
        <c:axId val="750887408"/>
      </c:lineChart>
      <c:lineChart>
        <c:grouping val="standard"/>
        <c:varyColors val="0"/>
        <c:ser>
          <c:idx val="1"/>
          <c:order val="1"/>
          <c:tx>
            <c:strRef>
              <c:f>Sheet1!$J$1</c:f>
              <c:strCache>
                <c:ptCount val="1"/>
                <c:pt idx="0">
                  <c:v>Russia's Exports to China, India, Turkey, South Korea and Japan</c:v>
                </c:pt>
              </c:strCache>
            </c:strRef>
          </c:tx>
          <c:spPr>
            <a:ln w="28575" cap="rnd">
              <a:solidFill>
                <a:schemeClr val="accent6"/>
              </a:solidFill>
              <a:round/>
            </a:ln>
            <a:effectLst/>
          </c:spPr>
          <c:marker>
            <c:symbol val="none"/>
          </c:marker>
          <c:cat>
            <c:numRef>
              <c:f>Sheet1!$H$2:$H$6</c:f>
              <c:numCache>
                <c:formatCode>General</c:formatCode>
                <c:ptCount val="5"/>
                <c:pt idx="0">
                  <c:v>2018</c:v>
                </c:pt>
                <c:pt idx="1">
                  <c:v>2019</c:v>
                </c:pt>
                <c:pt idx="2">
                  <c:v>2020</c:v>
                </c:pt>
                <c:pt idx="3">
                  <c:v>2021</c:v>
                </c:pt>
                <c:pt idx="4">
                  <c:v>2022</c:v>
                </c:pt>
              </c:numCache>
            </c:numRef>
          </c:cat>
          <c:val>
            <c:numRef>
              <c:f>Sheet1!$J$2:$J$7</c:f>
              <c:numCache>
                <c:formatCode>0</c:formatCode>
                <c:ptCount val="6"/>
                <c:pt idx="0">
                  <c:v>109.71</c:v>
                </c:pt>
                <c:pt idx="1">
                  <c:v>110.60000000000001</c:v>
                </c:pt>
                <c:pt idx="2">
                  <c:v>92.600000000000009</c:v>
                </c:pt>
                <c:pt idx="3">
                  <c:v>127.69999999999999</c:v>
                </c:pt>
                <c:pt idx="4">
                  <c:v>212.40000000000003</c:v>
                </c:pt>
                <c:pt idx="5" formatCode="General">
                  <c:v>233.47</c:v>
                </c:pt>
              </c:numCache>
            </c:numRef>
          </c:val>
          <c:smooth val="0"/>
          <c:extLst xmlns:c16r2="http://schemas.microsoft.com/office/drawing/2015/06/chart">
            <c:ext xmlns:c16="http://schemas.microsoft.com/office/drawing/2014/chart" uri="{C3380CC4-5D6E-409C-BE32-E72D297353CC}">
              <c16:uniqueId val="{00000002-1327-40D4-A6CE-47160B3C6EDD}"/>
            </c:ext>
          </c:extLst>
        </c:ser>
        <c:dLbls>
          <c:showLegendKey val="0"/>
          <c:showVal val="0"/>
          <c:showCatName val="0"/>
          <c:showSerName val="0"/>
          <c:showPercent val="0"/>
          <c:showBubbleSize val="0"/>
        </c:dLbls>
        <c:marker val="1"/>
        <c:smooth val="0"/>
        <c:axId val="750893392"/>
        <c:axId val="750887952"/>
      </c:lineChart>
      <c:catAx>
        <c:axId val="7508814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0887408"/>
        <c:crosses val="autoZero"/>
        <c:auto val="1"/>
        <c:lblAlgn val="ctr"/>
        <c:lblOffset val="100"/>
        <c:noMultiLvlLbl val="0"/>
      </c:catAx>
      <c:valAx>
        <c:axId val="750887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Ukraine's Export Value ($ Billion)</a:t>
                </a:r>
              </a:p>
            </c:rich>
          </c:tx>
          <c:layout>
            <c:manualLayout>
              <c:xMode val="edge"/>
              <c:yMode val="edge"/>
              <c:x val="1.7777777777777778E-2"/>
              <c:y val="0.1594524602293747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0881424"/>
        <c:crosses val="autoZero"/>
        <c:crossBetween val="between"/>
      </c:valAx>
      <c:valAx>
        <c:axId val="750887952"/>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Russia's Exports Value ($ Billion)</a:t>
                </a:r>
              </a:p>
              <a:p>
                <a:pPr>
                  <a:defRPr/>
                </a:pPr>
                <a:endParaRPr lang="en-US"/>
              </a:p>
            </c:rich>
          </c:tx>
          <c:layout>
            <c:manualLayout>
              <c:xMode val="edge"/>
              <c:yMode val="edge"/>
              <c:x val="0.89263592567102545"/>
              <c:y val="0.1491912464319695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0893392"/>
        <c:crosses val="max"/>
        <c:crossBetween val="between"/>
      </c:valAx>
      <c:catAx>
        <c:axId val="750893392"/>
        <c:scaling>
          <c:orientation val="minMax"/>
        </c:scaling>
        <c:delete val="1"/>
        <c:axPos val="b"/>
        <c:numFmt formatCode="General" sourceLinked="1"/>
        <c:majorTickMark val="out"/>
        <c:minorTickMark val="none"/>
        <c:tickLblPos val="nextTo"/>
        <c:crossAx val="7508879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t>Azerbaijan's Crude Petroleum Exports Value before and amid Russia-Ukraine war</a:t>
            </a:r>
          </a:p>
        </c:rich>
      </c:tx>
      <c:layout>
        <c:manualLayout>
          <c:xMode val="edge"/>
          <c:yMode val="edge"/>
          <c:x val="0.1318414145600221"/>
          <c:y val="4.629634061699734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Sheet4!$B$1</c:f>
              <c:strCache>
                <c:ptCount val="1"/>
                <c:pt idx="0">
                  <c:v>Crude Petroleum</c:v>
                </c:pt>
              </c:strCache>
            </c:strRef>
          </c:tx>
          <c:spPr>
            <a:ln w="28575" cap="rnd">
              <a:solidFill>
                <a:schemeClr val="tx2"/>
              </a:solidFill>
              <a:round/>
            </a:ln>
            <a:effectLst/>
          </c:spPr>
          <c:marker>
            <c:symbol val="none"/>
          </c:marker>
          <c:cat>
            <c:numRef>
              <c:f>Sheet4!$A$2:$A$7</c:f>
              <c:numCache>
                <c:formatCode>General</c:formatCode>
                <c:ptCount val="6"/>
                <c:pt idx="0">
                  <c:v>2018</c:v>
                </c:pt>
                <c:pt idx="1">
                  <c:v>2019</c:v>
                </c:pt>
                <c:pt idx="2">
                  <c:v>2020</c:v>
                </c:pt>
                <c:pt idx="3">
                  <c:v>2021</c:v>
                </c:pt>
                <c:pt idx="4">
                  <c:v>2022</c:v>
                </c:pt>
                <c:pt idx="5">
                  <c:v>2023</c:v>
                </c:pt>
              </c:numCache>
            </c:numRef>
          </c:cat>
          <c:val>
            <c:numRef>
              <c:f>Sheet4!$B$2:$B$7</c:f>
              <c:numCache>
                <c:formatCode>0</c:formatCode>
                <c:ptCount val="6"/>
                <c:pt idx="0">
                  <c:v>16</c:v>
                </c:pt>
                <c:pt idx="1">
                  <c:v>14.8</c:v>
                </c:pt>
                <c:pt idx="2">
                  <c:v>9.39</c:v>
                </c:pt>
                <c:pt idx="3">
                  <c:v>13.4</c:v>
                </c:pt>
                <c:pt idx="4">
                  <c:v>19.600000000000001</c:v>
                </c:pt>
                <c:pt idx="5">
                  <c:v>16.600000000000001</c:v>
                </c:pt>
              </c:numCache>
            </c:numRef>
          </c:val>
          <c:smooth val="0"/>
          <c:extLst xmlns:c16r2="http://schemas.microsoft.com/office/drawing/2015/06/chart">
            <c:ext xmlns:c16="http://schemas.microsoft.com/office/drawing/2014/chart" uri="{C3380CC4-5D6E-409C-BE32-E72D297353CC}">
              <c16:uniqueId val="{00000000-4DD3-41C4-B6B8-DC142AA276C7}"/>
            </c:ext>
          </c:extLst>
        </c:ser>
        <c:dLbls>
          <c:showLegendKey val="0"/>
          <c:showVal val="0"/>
          <c:showCatName val="0"/>
          <c:showSerName val="0"/>
          <c:showPercent val="0"/>
          <c:showBubbleSize val="0"/>
        </c:dLbls>
        <c:smooth val="0"/>
        <c:axId val="750884688"/>
        <c:axId val="750879792"/>
      </c:lineChart>
      <c:catAx>
        <c:axId val="750884688"/>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Years</a:t>
                </a:r>
              </a:p>
            </c:rich>
          </c:tx>
          <c:layout>
            <c:manualLayout>
              <c:xMode val="edge"/>
              <c:yMode val="edge"/>
              <c:x val="0.46629155730533683"/>
              <c:y val="0.89444444444444449"/>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0879792"/>
        <c:crosses val="autoZero"/>
        <c:auto val="1"/>
        <c:lblAlgn val="ctr"/>
        <c:lblOffset val="100"/>
        <c:noMultiLvlLbl val="0"/>
      </c:catAx>
      <c:valAx>
        <c:axId val="750879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Exports Value ($ Billion)</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50884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18050-C65B-4FEB-A077-EBA66BC4A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6</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Jomana.Mohamed</dc:creator>
  <cp:keywords/>
  <dc:description/>
  <cp:lastModifiedBy>Kevin Emerald</cp:lastModifiedBy>
  <cp:revision>14</cp:revision>
  <dcterms:created xsi:type="dcterms:W3CDTF">2025-12-11T09:37:00Z</dcterms:created>
  <dcterms:modified xsi:type="dcterms:W3CDTF">2026-06-25T17:09:00Z</dcterms:modified>
</cp:coreProperties>
</file>