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C946" w14:textId="77777777" w:rsidR="00B5625C" w:rsidRPr="00A76490" w:rsidRDefault="0075796B">
      <w:pPr>
        <w:spacing w:after="60"/>
      </w:pPr>
      <w:r w:rsidRPr="00A76490">
        <w:rPr>
          <w:b/>
          <w:bCs/>
          <w:sz w:val="21"/>
          <w:szCs w:val="21"/>
        </w:rPr>
        <w:t>Table S1. Actor-Specific CAS Policy Recommendations: Intervention, CAS Mechanism Targeted, and Responsible Actor</w:t>
      </w:r>
    </w:p>
    <w:p w14:paraId="52044AE2" w14:textId="63B6A907" w:rsidR="00B5625C" w:rsidRDefault="00B5625C">
      <w:pPr>
        <w:spacing w:after="180"/>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27"/>
        <w:gridCol w:w="2248"/>
        <w:gridCol w:w="2094"/>
        <w:gridCol w:w="3086"/>
        <w:gridCol w:w="1042"/>
      </w:tblGrid>
      <w:tr w:rsidR="00B5625C" w:rsidRPr="00A446E1" w14:paraId="1A42F74D" w14:textId="77777777" w:rsidTr="001407F2">
        <w:trPr>
          <w:trHeight w:val="325"/>
          <w:tblHeader/>
        </w:trPr>
        <w:tc>
          <w:tcPr>
            <w:tcW w:w="1527" w:type="dxa"/>
            <w:tcBorders>
              <w:top w:val="single" w:sz="4" w:space="0" w:color="auto"/>
              <w:left w:val="single" w:sz="4" w:space="0" w:color="auto"/>
              <w:bottom w:val="single" w:sz="4" w:space="0" w:color="auto"/>
              <w:right w:val="single" w:sz="2" w:space="0" w:color="AAAAAA"/>
            </w:tcBorders>
            <w:shd w:val="clear" w:color="auto" w:fill="1F4E79"/>
            <w:tcMar>
              <w:top w:w="100" w:type="dxa"/>
              <w:left w:w="130" w:type="dxa"/>
              <w:bottom w:w="100" w:type="dxa"/>
              <w:right w:w="130" w:type="dxa"/>
            </w:tcMar>
            <w:vAlign w:val="center"/>
          </w:tcPr>
          <w:p w14:paraId="09B9B2BF" w14:textId="77777777" w:rsidR="00B5625C" w:rsidRPr="00A446E1" w:rsidRDefault="0075796B">
            <w:pPr>
              <w:jc w:val="center"/>
              <w:rPr>
                <w:rFonts w:ascii="Times New Roman" w:hAnsi="Times New Roman" w:cs="Times New Roman"/>
                <w:sz w:val="20"/>
                <w:szCs w:val="20"/>
              </w:rPr>
            </w:pPr>
            <w:r w:rsidRPr="00A446E1">
              <w:rPr>
                <w:rFonts w:ascii="Times New Roman" w:hAnsi="Times New Roman" w:cs="Times New Roman"/>
                <w:b/>
                <w:bCs/>
                <w:color w:val="FFFFFF"/>
                <w:sz w:val="20"/>
                <w:szCs w:val="20"/>
              </w:rPr>
              <w:t>Responsible Actor</w:t>
            </w:r>
          </w:p>
        </w:tc>
        <w:tc>
          <w:tcPr>
            <w:tcW w:w="2248" w:type="dxa"/>
            <w:tcBorders>
              <w:top w:val="single" w:sz="4" w:space="0" w:color="auto"/>
              <w:left w:val="single" w:sz="2" w:space="0" w:color="AAAAAA"/>
              <w:bottom w:val="single" w:sz="4" w:space="0" w:color="auto"/>
              <w:right w:val="single" w:sz="2" w:space="0" w:color="AAAAAA"/>
            </w:tcBorders>
            <w:shd w:val="clear" w:color="auto" w:fill="1F4E79"/>
            <w:tcMar>
              <w:top w:w="100" w:type="dxa"/>
              <w:left w:w="130" w:type="dxa"/>
              <w:bottom w:w="100" w:type="dxa"/>
              <w:right w:w="130" w:type="dxa"/>
            </w:tcMar>
            <w:vAlign w:val="center"/>
          </w:tcPr>
          <w:p w14:paraId="340AF96B" w14:textId="77777777" w:rsidR="00B5625C" w:rsidRPr="00A446E1" w:rsidRDefault="0075796B">
            <w:pPr>
              <w:jc w:val="center"/>
              <w:rPr>
                <w:rFonts w:ascii="Times New Roman" w:hAnsi="Times New Roman" w:cs="Times New Roman"/>
                <w:sz w:val="20"/>
                <w:szCs w:val="20"/>
              </w:rPr>
            </w:pPr>
            <w:r w:rsidRPr="00A446E1">
              <w:rPr>
                <w:rFonts w:ascii="Times New Roman" w:hAnsi="Times New Roman" w:cs="Times New Roman"/>
                <w:b/>
                <w:bCs/>
                <w:color w:val="FFFFFF"/>
                <w:sz w:val="20"/>
                <w:szCs w:val="20"/>
              </w:rPr>
              <w:t>Intervention</w:t>
            </w:r>
          </w:p>
        </w:tc>
        <w:tc>
          <w:tcPr>
            <w:tcW w:w="2094" w:type="dxa"/>
            <w:tcBorders>
              <w:top w:val="single" w:sz="4" w:space="0" w:color="auto"/>
              <w:left w:val="single" w:sz="2" w:space="0" w:color="AAAAAA"/>
              <w:bottom w:val="single" w:sz="4" w:space="0" w:color="auto"/>
              <w:right w:val="single" w:sz="2" w:space="0" w:color="AAAAAA"/>
            </w:tcBorders>
            <w:shd w:val="clear" w:color="auto" w:fill="1F4E79"/>
            <w:tcMar>
              <w:top w:w="100" w:type="dxa"/>
              <w:left w:w="130" w:type="dxa"/>
              <w:bottom w:w="100" w:type="dxa"/>
              <w:right w:w="130" w:type="dxa"/>
            </w:tcMar>
            <w:vAlign w:val="center"/>
          </w:tcPr>
          <w:p w14:paraId="240F41E8" w14:textId="77777777" w:rsidR="00B5625C" w:rsidRPr="00A446E1" w:rsidRDefault="0075796B">
            <w:pPr>
              <w:jc w:val="center"/>
              <w:rPr>
                <w:rFonts w:ascii="Times New Roman" w:hAnsi="Times New Roman" w:cs="Times New Roman"/>
                <w:sz w:val="20"/>
                <w:szCs w:val="20"/>
              </w:rPr>
            </w:pPr>
            <w:r w:rsidRPr="00A446E1">
              <w:rPr>
                <w:rFonts w:ascii="Times New Roman" w:hAnsi="Times New Roman" w:cs="Times New Roman"/>
                <w:b/>
                <w:bCs/>
                <w:color w:val="FFFFFF"/>
                <w:sz w:val="20"/>
                <w:szCs w:val="20"/>
              </w:rPr>
              <w:t>CAS Mechanism Targeted</w:t>
            </w:r>
          </w:p>
        </w:tc>
        <w:tc>
          <w:tcPr>
            <w:tcW w:w="3086" w:type="dxa"/>
            <w:tcBorders>
              <w:top w:val="single" w:sz="4" w:space="0" w:color="auto"/>
              <w:left w:val="single" w:sz="2" w:space="0" w:color="AAAAAA"/>
              <w:bottom w:val="single" w:sz="4" w:space="0" w:color="auto"/>
              <w:right w:val="single" w:sz="2" w:space="0" w:color="AAAAAA"/>
            </w:tcBorders>
            <w:shd w:val="clear" w:color="auto" w:fill="1F4E79"/>
            <w:tcMar>
              <w:top w:w="100" w:type="dxa"/>
              <w:left w:w="130" w:type="dxa"/>
              <w:bottom w:w="100" w:type="dxa"/>
              <w:right w:w="130" w:type="dxa"/>
            </w:tcMar>
            <w:vAlign w:val="center"/>
          </w:tcPr>
          <w:p w14:paraId="7860386B" w14:textId="77777777" w:rsidR="00B5625C" w:rsidRPr="00A446E1" w:rsidRDefault="0075796B">
            <w:pPr>
              <w:jc w:val="center"/>
              <w:rPr>
                <w:rFonts w:ascii="Times New Roman" w:hAnsi="Times New Roman" w:cs="Times New Roman"/>
                <w:sz w:val="20"/>
                <w:szCs w:val="20"/>
              </w:rPr>
            </w:pPr>
            <w:r w:rsidRPr="00A446E1">
              <w:rPr>
                <w:rFonts w:ascii="Times New Roman" w:hAnsi="Times New Roman" w:cs="Times New Roman"/>
                <w:b/>
                <w:bCs/>
                <w:color w:val="FFFFFF"/>
                <w:sz w:val="20"/>
                <w:szCs w:val="20"/>
              </w:rPr>
              <w:t>Policy Instrument / Operational Action</w:t>
            </w:r>
          </w:p>
        </w:tc>
        <w:tc>
          <w:tcPr>
            <w:tcW w:w="1042" w:type="dxa"/>
            <w:tcBorders>
              <w:top w:val="single" w:sz="4" w:space="0" w:color="auto"/>
              <w:left w:val="single" w:sz="2" w:space="0" w:color="AAAAAA"/>
              <w:bottom w:val="single" w:sz="4" w:space="0" w:color="auto"/>
              <w:right w:val="single" w:sz="4" w:space="0" w:color="auto"/>
            </w:tcBorders>
            <w:shd w:val="clear" w:color="auto" w:fill="1F4E79"/>
            <w:tcMar>
              <w:top w:w="100" w:type="dxa"/>
              <w:left w:w="130" w:type="dxa"/>
              <w:bottom w:w="100" w:type="dxa"/>
              <w:right w:w="130" w:type="dxa"/>
            </w:tcMar>
            <w:vAlign w:val="center"/>
          </w:tcPr>
          <w:p w14:paraId="1E616A97" w14:textId="77777777" w:rsidR="00B5625C" w:rsidRPr="00A446E1" w:rsidRDefault="0075796B">
            <w:pPr>
              <w:jc w:val="center"/>
              <w:rPr>
                <w:rFonts w:ascii="Times New Roman" w:hAnsi="Times New Roman" w:cs="Times New Roman"/>
                <w:sz w:val="20"/>
                <w:szCs w:val="20"/>
              </w:rPr>
            </w:pPr>
            <w:r w:rsidRPr="00A446E1">
              <w:rPr>
                <w:rFonts w:ascii="Times New Roman" w:hAnsi="Times New Roman" w:cs="Times New Roman"/>
                <w:b/>
                <w:bCs/>
                <w:color w:val="FFFFFF"/>
                <w:sz w:val="20"/>
                <w:szCs w:val="20"/>
              </w:rPr>
              <w:t>Time Horizon</w:t>
            </w:r>
          </w:p>
        </w:tc>
      </w:tr>
      <w:tr w:rsidR="00A446E1" w:rsidRPr="00A446E1" w14:paraId="2C524A82" w14:textId="77777777" w:rsidTr="001407F2">
        <w:trPr>
          <w:trHeight w:val="133"/>
        </w:trPr>
        <w:tc>
          <w:tcPr>
            <w:tcW w:w="9997" w:type="dxa"/>
            <w:gridSpan w:val="5"/>
            <w:tcBorders>
              <w:top w:val="single" w:sz="4" w:space="0" w:color="auto"/>
              <w:left w:val="single" w:sz="4" w:space="0" w:color="auto"/>
              <w:bottom w:val="single" w:sz="4" w:space="0" w:color="auto"/>
              <w:right w:val="single" w:sz="4" w:space="0" w:color="auto"/>
            </w:tcBorders>
            <w:shd w:val="clear" w:color="auto" w:fill="E8F0FB"/>
            <w:tcMar>
              <w:top w:w="100" w:type="dxa"/>
              <w:left w:w="130" w:type="dxa"/>
              <w:bottom w:w="100" w:type="dxa"/>
              <w:right w:w="130" w:type="dxa"/>
            </w:tcMar>
          </w:tcPr>
          <w:p w14:paraId="752BCC87" w14:textId="2881FAB6" w:rsidR="00A446E1" w:rsidRPr="00A446E1" w:rsidRDefault="00A446E1">
            <w:pPr>
              <w:rPr>
                <w:rFonts w:ascii="Times New Roman" w:hAnsi="Times New Roman" w:cs="Times New Roman"/>
                <w:sz w:val="20"/>
                <w:szCs w:val="20"/>
              </w:rPr>
            </w:pPr>
            <w:r w:rsidRPr="00A446E1">
              <w:rPr>
                <w:rFonts w:ascii="Times New Roman" w:hAnsi="Times New Roman" w:cs="Times New Roman"/>
                <w:b/>
                <w:bCs/>
                <w:sz w:val="20"/>
                <w:szCs w:val="20"/>
              </w:rPr>
              <w:t>National &amp; Provincial Government</w:t>
            </w:r>
          </w:p>
        </w:tc>
      </w:tr>
      <w:tr w:rsidR="00B5625C" w:rsidRPr="00A446E1" w14:paraId="2C05697A" w14:textId="77777777" w:rsidTr="001407F2">
        <w:trPr>
          <w:trHeight w:val="1372"/>
        </w:trPr>
        <w:tc>
          <w:tcPr>
            <w:tcW w:w="1527" w:type="dxa"/>
            <w:tcBorders>
              <w:top w:val="single" w:sz="4" w:space="0" w:color="auto"/>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6C01339E"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National Treasury &amp;</w:t>
            </w:r>
          </w:p>
          <w:p w14:paraId="05261ECD"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DTIC</w:t>
            </w:r>
          </w:p>
        </w:tc>
        <w:tc>
          <w:tcPr>
            <w:tcW w:w="2248" w:type="dxa"/>
            <w:tcBorders>
              <w:top w:val="single" w:sz="4" w:space="0" w:color="auto"/>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22784F41"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Formalisation incentive corridor</w:t>
            </w:r>
          </w:p>
          <w:p w14:paraId="7C852D9A"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Reduce cost and complexity of business registration and tax compliance for micro-enterprises and informal traders to interrupt the informality–revenue–capacity negative feedback loop (R1).</w:t>
            </w:r>
          </w:p>
        </w:tc>
        <w:tc>
          <w:tcPr>
            <w:tcW w:w="2094" w:type="dxa"/>
            <w:tcBorders>
              <w:top w:val="single" w:sz="4" w:space="0" w:color="auto"/>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1C33679B"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Breaking Maladaptive Feedback Loop (R1)</w:t>
            </w:r>
          </w:p>
          <w:p w14:paraId="7B1A661E"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Negative emergence: informal sector growth suppresses tax revenue → weaker municipal capacity → further service deterioration.</w:t>
            </w:r>
          </w:p>
        </w:tc>
        <w:tc>
          <w:tcPr>
            <w:tcW w:w="3086" w:type="dxa"/>
            <w:tcBorders>
              <w:top w:val="single" w:sz="4" w:space="0" w:color="auto"/>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3ECC91AC"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Tiered tax compliance regime for firms below R500k turnover; automatic VAT exemption thresholds; single-window business registration portal integrated with SARS. Link formalisation incentives to spatial location in underserved zones.</w:t>
            </w:r>
          </w:p>
        </w:tc>
        <w:tc>
          <w:tcPr>
            <w:tcW w:w="1042" w:type="dxa"/>
            <w:tcBorders>
              <w:top w:val="single" w:sz="4" w:space="0" w:color="auto"/>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48FD483A"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Medium</w:t>
            </w:r>
          </w:p>
          <w:p w14:paraId="37C8C39F"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18–36 months</w:t>
            </w:r>
          </w:p>
        </w:tc>
      </w:tr>
      <w:tr w:rsidR="00B5625C" w:rsidRPr="00A446E1" w14:paraId="00C28017" w14:textId="77777777" w:rsidTr="001407F2">
        <w:trPr>
          <w:trHeight w:val="1379"/>
        </w:trPr>
        <w:tc>
          <w:tcPr>
            <w:tcW w:w="1527" w:type="dxa"/>
            <w:tcBorders>
              <w:top w:val="single" w:sz="1" w:space="0" w:color="C8D8E8"/>
              <w:left w:val="single" w:sz="4" w:space="0" w:color="auto"/>
              <w:bottom w:val="single" w:sz="4" w:space="0" w:color="auto"/>
              <w:right w:val="single" w:sz="1" w:space="0" w:color="C8D8E8"/>
            </w:tcBorders>
            <w:shd w:val="clear" w:color="auto" w:fill="F5F9FD"/>
            <w:tcMar>
              <w:top w:w="100" w:type="dxa"/>
              <w:left w:w="130" w:type="dxa"/>
              <w:bottom w:w="100" w:type="dxa"/>
              <w:right w:w="130" w:type="dxa"/>
            </w:tcMar>
          </w:tcPr>
          <w:p w14:paraId="66AC486E" w14:textId="3241C21D" w:rsidR="001407F2" w:rsidRPr="00A446E1" w:rsidRDefault="0075796B" w:rsidP="001407F2">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 xml:space="preserve">DSBD </w:t>
            </w:r>
          </w:p>
          <w:p w14:paraId="7A639F5D" w14:textId="742C4CBC" w:rsidR="00B5625C" w:rsidRPr="00A446E1" w:rsidRDefault="00B5625C">
            <w:pPr>
              <w:rPr>
                <w:rFonts w:ascii="Times New Roman" w:hAnsi="Times New Roman" w:cs="Times New Roman"/>
                <w:sz w:val="20"/>
                <w:szCs w:val="20"/>
              </w:rPr>
            </w:pPr>
          </w:p>
        </w:tc>
        <w:tc>
          <w:tcPr>
            <w:tcW w:w="2248" w:type="dxa"/>
            <w:tcBorders>
              <w:top w:val="single" w:sz="1" w:space="0" w:color="C8D8E8"/>
              <w:left w:val="single" w:sz="1" w:space="0" w:color="C8D8E8"/>
              <w:bottom w:val="single" w:sz="4" w:space="0" w:color="auto"/>
              <w:right w:val="single" w:sz="1" w:space="0" w:color="C8D8E8"/>
            </w:tcBorders>
            <w:shd w:val="clear" w:color="auto" w:fill="FFFFFF"/>
            <w:tcMar>
              <w:top w:w="100" w:type="dxa"/>
              <w:left w:w="130" w:type="dxa"/>
              <w:bottom w:w="100" w:type="dxa"/>
              <w:right w:w="130" w:type="dxa"/>
            </w:tcMar>
          </w:tcPr>
          <w:p w14:paraId="5AE5B935"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Structural entrepreneurship curriculum reform</w:t>
            </w:r>
          </w:p>
          <w:p w14:paraId="39FEFB00"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Replace survival-focused SMME training with opportunity-driven, market-oriented entrepreneurship education to interrupt dependency culture co-evolution (R2).</w:t>
            </w:r>
          </w:p>
        </w:tc>
        <w:tc>
          <w:tcPr>
            <w:tcW w:w="2094" w:type="dxa"/>
            <w:tcBorders>
              <w:top w:val="single" w:sz="1" w:space="0" w:color="C8D8E8"/>
              <w:left w:val="single" w:sz="1" w:space="0" w:color="C8D8E8"/>
              <w:bottom w:val="single" w:sz="4" w:space="0" w:color="auto"/>
              <w:right w:val="single" w:sz="1" w:space="0" w:color="C8D8E8"/>
            </w:tcBorders>
            <w:shd w:val="clear" w:color="auto" w:fill="F7F7F7"/>
            <w:tcMar>
              <w:top w:w="100" w:type="dxa"/>
              <w:left w:w="130" w:type="dxa"/>
              <w:bottom w:w="100" w:type="dxa"/>
              <w:right w:w="130" w:type="dxa"/>
            </w:tcMar>
          </w:tcPr>
          <w:p w14:paraId="05EFF330"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Disrupting Co-evolutionary Lock-in (R2)</w:t>
            </w:r>
          </w:p>
          <w:p w14:paraId="61513727"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Cultural norms and structural constraints co-evolve: BEE procurement dependency shapes cultural expectations → suppresses innovation → sustains structural constraint.</w:t>
            </w:r>
          </w:p>
        </w:tc>
        <w:tc>
          <w:tcPr>
            <w:tcW w:w="3086" w:type="dxa"/>
            <w:tcBorders>
              <w:top w:val="single" w:sz="1" w:space="0" w:color="C8D8E8"/>
              <w:left w:val="single" w:sz="1" w:space="0" w:color="C8D8E8"/>
              <w:bottom w:val="single" w:sz="4" w:space="0" w:color="auto"/>
              <w:right w:val="single" w:sz="1" w:space="0" w:color="C8D8E8"/>
            </w:tcBorders>
            <w:shd w:val="clear" w:color="auto" w:fill="FFFDF7"/>
            <w:tcMar>
              <w:top w:w="100" w:type="dxa"/>
              <w:left w:w="130" w:type="dxa"/>
              <w:bottom w:w="100" w:type="dxa"/>
              <w:right w:w="130" w:type="dxa"/>
            </w:tcMar>
          </w:tcPr>
          <w:p w14:paraId="03BDAE49"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Revise SEDA and SEFA programme mandates to prioritise market-oriented venture development over compliance training. Introduce entrepreneurship role-model programmes and case-study curricula drawing on informal sector resilience evidence (P7, P13). Partner with HEIs for curriculum co-design.</w:t>
            </w:r>
          </w:p>
        </w:tc>
        <w:tc>
          <w:tcPr>
            <w:tcW w:w="1042" w:type="dxa"/>
            <w:tcBorders>
              <w:top w:val="single" w:sz="1" w:space="0" w:color="C8D8E8"/>
              <w:left w:val="single" w:sz="1" w:space="0" w:color="C8D8E8"/>
              <w:bottom w:val="single" w:sz="4" w:space="0" w:color="auto"/>
              <w:right w:val="single" w:sz="4" w:space="0" w:color="auto"/>
            </w:tcBorders>
            <w:shd w:val="clear" w:color="auto" w:fill="F5F9FD"/>
            <w:tcMar>
              <w:top w:w="100" w:type="dxa"/>
              <w:left w:w="130" w:type="dxa"/>
              <w:bottom w:w="100" w:type="dxa"/>
              <w:right w:w="130" w:type="dxa"/>
            </w:tcMar>
          </w:tcPr>
          <w:p w14:paraId="1ED3D534"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Long</w:t>
            </w:r>
          </w:p>
          <w:p w14:paraId="3FA6E596"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3–5 years</w:t>
            </w:r>
          </w:p>
        </w:tc>
      </w:tr>
      <w:tr w:rsidR="00A446E1" w:rsidRPr="00A446E1" w14:paraId="1D3F81C3" w14:textId="77777777" w:rsidTr="001407F2">
        <w:trPr>
          <w:trHeight w:val="231"/>
        </w:trPr>
        <w:tc>
          <w:tcPr>
            <w:tcW w:w="9997" w:type="dxa"/>
            <w:gridSpan w:val="5"/>
            <w:tcBorders>
              <w:top w:val="single" w:sz="4" w:space="0" w:color="auto"/>
              <w:left w:val="single" w:sz="4" w:space="0" w:color="auto"/>
              <w:bottom w:val="single" w:sz="4" w:space="0" w:color="auto"/>
              <w:right w:val="single" w:sz="4" w:space="0" w:color="auto"/>
            </w:tcBorders>
            <w:shd w:val="clear" w:color="auto" w:fill="FEF3E2"/>
            <w:tcMar>
              <w:top w:w="100" w:type="dxa"/>
              <w:left w:w="130" w:type="dxa"/>
              <w:bottom w:w="100" w:type="dxa"/>
              <w:right w:w="130" w:type="dxa"/>
            </w:tcMar>
          </w:tcPr>
          <w:p w14:paraId="3C40CE84" w14:textId="32CEE158" w:rsidR="00A446E1" w:rsidRPr="00A446E1" w:rsidRDefault="00A446E1">
            <w:pPr>
              <w:rPr>
                <w:rFonts w:ascii="Times New Roman" w:hAnsi="Times New Roman" w:cs="Times New Roman"/>
                <w:sz w:val="20"/>
                <w:szCs w:val="20"/>
              </w:rPr>
            </w:pPr>
            <w:r w:rsidRPr="00A446E1">
              <w:rPr>
                <w:rFonts w:ascii="Times New Roman" w:hAnsi="Times New Roman" w:cs="Times New Roman"/>
                <w:b/>
                <w:bCs/>
                <w:sz w:val="20"/>
                <w:szCs w:val="20"/>
              </w:rPr>
              <w:t>Local Government (NMBM)</w:t>
            </w:r>
          </w:p>
        </w:tc>
      </w:tr>
      <w:tr w:rsidR="00B5625C" w:rsidRPr="00A446E1" w14:paraId="23F390A8" w14:textId="77777777" w:rsidTr="001407F2">
        <w:trPr>
          <w:trHeight w:val="1379"/>
        </w:trPr>
        <w:tc>
          <w:tcPr>
            <w:tcW w:w="1527" w:type="dxa"/>
            <w:tcBorders>
              <w:top w:val="single" w:sz="4" w:space="0" w:color="auto"/>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2861D2AF"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NMBM Executive Mayor &amp;</w:t>
            </w:r>
          </w:p>
          <w:p w14:paraId="4BDC49EE"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City Manager</w:t>
            </w:r>
          </w:p>
        </w:tc>
        <w:tc>
          <w:tcPr>
            <w:tcW w:w="2248" w:type="dxa"/>
            <w:tcBorders>
              <w:top w:val="single" w:sz="4" w:space="0" w:color="auto"/>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5D0D1ECE"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Governance accountability infrastructure</w:t>
            </w:r>
          </w:p>
          <w:p w14:paraId="5B639B8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Introduce binding performance metrics for senior municipal appointments to break the rent-seeking self-organisation pattern identified in the Business Environment joint display.</w:t>
            </w:r>
          </w:p>
        </w:tc>
        <w:tc>
          <w:tcPr>
            <w:tcW w:w="2094" w:type="dxa"/>
            <w:tcBorders>
              <w:top w:val="single" w:sz="4" w:space="0" w:color="auto"/>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175269F4"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Interrupting Negative Emergence (R1)</w:t>
            </w:r>
          </w:p>
          <w:p w14:paraId="4FB77C4C"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Rent-seeking coordination among institutional agents produces system-level trust collapse disproportionate to individual acts — nonlinear CAS outcome.</w:t>
            </w:r>
          </w:p>
        </w:tc>
        <w:tc>
          <w:tcPr>
            <w:tcW w:w="3086" w:type="dxa"/>
            <w:tcBorders>
              <w:top w:val="single" w:sz="4" w:space="0" w:color="auto"/>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4D285476" w14:textId="02279EC0"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Implement competency-based appointment criteria for all senior positions. Establish an independent performance review panel with civil society representation. Publish quarterly service delivery scorecards. Create an anonymous whistleblower mechanism linked to the Auditor-General.</w:t>
            </w:r>
          </w:p>
        </w:tc>
        <w:tc>
          <w:tcPr>
            <w:tcW w:w="1042" w:type="dxa"/>
            <w:tcBorders>
              <w:top w:val="single" w:sz="4" w:space="0" w:color="auto"/>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1F3D1F71"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Short</w:t>
            </w:r>
          </w:p>
          <w:p w14:paraId="06EBED19"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6–18 months</w:t>
            </w:r>
          </w:p>
        </w:tc>
      </w:tr>
      <w:tr w:rsidR="00B5625C" w:rsidRPr="00A446E1" w14:paraId="488BE9E8" w14:textId="77777777" w:rsidTr="001407F2">
        <w:trPr>
          <w:trHeight w:val="1856"/>
        </w:trPr>
        <w:tc>
          <w:tcPr>
            <w:tcW w:w="1527" w:type="dxa"/>
            <w:tcBorders>
              <w:top w:val="single" w:sz="1" w:space="0" w:color="C8D8E8"/>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520135D3"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NMBM Infrastructure &amp;</w:t>
            </w:r>
          </w:p>
          <w:p w14:paraId="137AD3B8"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Engineering Directorate</w:t>
            </w:r>
          </w:p>
        </w:tc>
        <w:tc>
          <w:tcPr>
            <w:tcW w:w="2248" w:type="dxa"/>
            <w:tcBorders>
              <w:top w:val="single" w:sz="1" w:space="0" w:color="C8D8E8"/>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6A18FB2E"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Infrastructure maintenance funding lock-in</w:t>
            </w:r>
          </w:p>
          <w:p w14:paraId="5B68FC89"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 xml:space="preserve">Enforce mandated 8% infrastructure maintenance allocation and establish a transparent underspending penalty </w:t>
            </w:r>
            <w:r w:rsidRPr="00A446E1">
              <w:rPr>
                <w:rFonts w:ascii="Times New Roman" w:hAnsi="Times New Roman" w:cs="Times New Roman"/>
                <w:color w:val="1C1C1C"/>
                <w:sz w:val="20"/>
                <w:szCs w:val="20"/>
              </w:rPr>
              <w:lastRenderedPageBreak/>
              <w:t>mechanism to interrupt the spatial lock-in path dependency identified in the City Planning joint display.</w:t>
            </w:r>
          </w:p>
        </w:tc>
        <w:tc>
          <w:tcPr>
            <w:tcW w:w="2094" w:type="dxa"/>
            <w:tcBorders>
              <w:top w:val="single" w:sz="1" w:space="0" w:color="C8D8E8"/>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65ACF20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lastRenderedPageBreak/>
              <w:t>Unfreezing Path Dependence (B1, R1)</w:t>
            </w:r>
          </w:p>
          <w:p w14:paraId="36CDE3B7"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Infrastructure underinvestment → business exit → reduced tax revenue → further underinvestment: self-reinforcing CAS lock-</w:t>
            </w:r>
            <w:r w:rsidRPr="00393EFB">
              <w:rPr>
                <w:rFonts w:ascii="Times New Roman" w:hAnsi="Times New Roman" w:cs="Times New Roman"/>
                <w:i/>
                <w:iCs/>
                <w:sz w:val="20"/>
                <w:szCs w:val="20"/>
              </w:rPr>
              <w:lastRenderedPageBreak/>
              <w:t>in. Bureaucratic delays (18–24 months rezoning) prevent adaptive spatial reconfiguration.</w:t>
            </w:r>
          </w:p>
        </w:tc>
        <w:tc>
          <w:tcPr>
            <w:tcW w:w="3086" w:type="dxa"/>
            <w:tcBorders>
              <w:top w:val="single" w:sz="1" w:space="0" w:color="C8D8E8"/>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13A5AFE9" w14:textId="61BDE73B"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lastRenderedPageBreak/>
              <w:t xml:space="preserve">Ring-fence infrastructure maintenance budget line from general operating expenditure. Introduce automatic rollover provisions to prevent year-end underspending. Establish a 90-day maximum rezoning turnaround with automatic approval for compliant applications. Publish the </w:t>
            </w:r>
            <w:r w:rsidRPr="00A446E1">
              <w:rPr>
                <w:rFonts w:ascii="Times New Roman" w:hAnsi="Times New Roman" w:cs="Times New Roman"/>
                <w:color w:val="1C1C1C"/>
                <w:sz w:val="20"/>
                <w:szCs w:val="20"/>
              </w:rPr>
              <w:lastRenderedPageBreak/>
              <w:t>infrastructure spending dashboard monthly.</w:t>
            </w:r>
          </w:p>
        </w:tc>
        <w:tc>
          <w:tcPr>
            <w:tcW w:w="1042" w:type="dxa"/>
            <w:tcBorders>
              <w:top w:val="single" w:sz="1" w:space="0" w:color="C8D8E8"/>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565A3B9C"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lastRenderedPageBreak/>
              <w:t>Short</w:t>
            </w:r>
          </w:p>
          <w:p w14:paraId="5EADB1D4"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6–12 months</w:t>
            </w:r>
          </w:p>
        </w:tc>
      </w:tr>
      <w:tr w:rsidR="00B5625C" w:rsidRPr="00A446E1" w14:paraId="6745B248" w14:textId="77777777" w:rsidTr="001407F2">
        <w:trPr>
          <w:trHeight w:val="366"/>
        </w:trPr>
        <w:tc>
          <w:tcPr>
            <w:tcW w:w="1527" w:type="dxa"/>
            <w:tcBorders>
              <w:top w:val="single" w:sz="1" w:space="0" w:color="C8D8E8"/>
              <w:left w:val="single" w:sz="4" w:space="0" w:color="auto"/>
              <w:bottom w:val="single" w:sz="4" w:space="0" w:color="auto"/>
              <w:right w:val="single" w:sz="1" w:space="0" w:color="C8D8E8"/>
            </w:tcBorders>
            <w:shd w:val="clear" w:color="auto" w:fill="F5F9FD"/>
            <w:tcMar>
              <w:top w:w="100" w:type="dxa"/>
              <w:left w:w="130" w:type="dxa"/>
              <w:bottom w:w="100" w:type="dxa"/>
              <w:right w:w="130" w:type="dxa"/>
            </w:tcMar>
          </w:tcPr>
          <w:p w14:paraId="3A994598"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NMBM Town Planning &amp;</w:t>
            </w:r>
          </w:p>
          <w:p w14:paraId="250FA9AB"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Economic Development</w:t>
            </w:r>
          </w:p>
        </w:tc>
        <w:tc>
          <w:tcPr>
            <w:tcW w:w="2248" w:type="dxa"/>
            <w:tcBorders>
              <w:top w:val="single" w:sz="1" w:space="0" w:color="C8D8E8"/>
              <w:left w:val="single" w:sz="1" w:space="0" w:color="C8D8E8"/>
              <w:bottom w:val="single" w:sz="4" w:space="0" w:color="auto"/>
              <w:right w:val="single" w:sz="1" w:space="0" w:color="C8D8E8"/>
            </w:tcBorders>
            <w:shd w:val="clear" w:color="auto" w:fill="FFFFFF"/>
            <w:tcMar>
              <w:top w:w="100" w:type="dxa"/>
              <w:left w:w="130" w:type="dxa"/>
              <w:bottom w:w="100" w:type="dxa"/>
              <w:right w:w="130" w:type="dxa"/>
            </w:tcMar>
          </w:tcPr>
          <w:p w14:paraId="64ECC99B"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Spatial integration corridor programme</w:t>
            </w:r>
          </w:p>
          <w:p w14:paraId="6AFF19E5"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Redesign land-use patterns to reduce apartheid-era spatial fragmentation and enable cross-boundary knowledge spillovers and agglomeration — directly addressing spatial path dependence.</w:t>
            </w:r>
          </w:p>
        </w:tc>
        <w:tc>
          <w:tcPr>
            <w:tcW w:w="2094" w:type="dxa"/>
            <w:tcBorders>
              <w:top w:val="single" w:sz="1" w:space="0" w:color="C8D8E8"/>
              <w:left w:val="single" w:sz="1" w:space="0" w:color="C8D8E8"/>
              <w:bottom w:val="single" w:sz="4" w:space="0" w:color="auto"/>
              <w:right w:val="single" w:sz="1" w:space="0" w:color="C8D8E8"/>
            </w:tcBorders>
            <w:shd w:val="clear" w:color="auto" w:fill="F7F7F7"/>
            <w:tcMar>
              <w:top w:w="100" w:type="dxa"/>
              <w:left w:w="130" w:type="dxa"/>
              <w:bottom w:w="100" w:type="dxa"/>
              <w:right w:w="130" w:type="dxa"/>
            </w:tcMar>
          </w:tcPr>
          <w:p w14:paraId="5791572F"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Reversing Path Dependence — Spatial Lock-In (R1)</w:t>
            </w:r>
          </w:p>
          <w:p w14:paraId="7DCA7C9D"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Apartheid spatial design has locked the ecosystem into geographic exclusion patterns that quantitative averages obscure: growth firms cluster near functional infrastructure; no-growth firms face fragmented access (t = −5.357, p &lt; 0.001).</w:t>
            </w:r>
          </w:p>
        </w:tc>
        <w:tc>
          <w:tcPr>
            <w:tcW w:w="3086" w:type="dxa"/>
            <w:tcBorders>
              <w:top w:val="single" w:sz="1" w:space="0" w:color="C8D8E8"/>
              <w:left w:val="single" w:sz="1" w:space="0" w:color="C8D8E8"/>
              <w:bottom w:val="single" w:sz="4" w:space="0" w:color="auto"/>
              <w:right w:val="single" w:sz="1" w:space="0" w:color="C8D8E8"/>
            </w:tcBorders>
            <w:shd w:val="clear" w:color="auto" w:fill="FFFDF7"/>
            <w:tcMar>
              <w:top w:w="100" w:type="dxa"/>
              <w:left w:w="130" w:type="dxa"/>
              <w:bottom w:w="100" w:type="dxa"/>
              <w:right w:w="130" w:type="dxa"/>
            </w:tcMar>
          </w:tcPr>
          <w:p w14:paraId="5C1B8B5E" w14:textId="75AC2B91"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Develop an integrated spatial economic corridor linking Gqeberha CBD, Kariega industrial zone, and township enterprise districts. Prioritise road, broadband, and utilities in underserved zones. Establish mixed-use enterprise zones with accelerated planning approval. Incentivise private investment in spatial integration through development charges relief.</w:t>
            </w:r>
          </w:p>
        </w:tc>
        <w:tc>
          <w:tcPr>
            <w:tcW w:w="1042" w:type="dxa"/>
            <w:tcBorders>
              <w:top w:val="single" w:sz="1" w:space="0" w:color="C8D8E8"/>
              <w:left w:val="single" w:sz="1" w:space="0" w:color="C8D8E8"/>
              <w:bottom w:val="single" w:sz="4" w:space="0" w:color="auto"/>
              <w:right w:val="single" w:sz="4" w:space="0" w:color="auto"/>
            </w:tcBorders>
            <w:shd w:val="clear" w:color="auto" w:fill="F5F9FD"/>
            <w:tcMar>
              <w:top w:w="100" w:type="dxa"/>
              <w:left w:w="130" w:type="dxa"/>
              <w:bottom w:w="100" w:type="dxa"/>
              <w:right w:w="130" w:type="dxa"/>
            </w:tcMar>
          </w:tcPr>
          <w:p w14:paraId="27BE8A90"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Long</w:t>
            </w:r>
          </w:p>
          <w:p w14:paraId="53D681FD"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3–7 years</w:t>
            </w:r>
          </w:p>
        </w:tc>
      </w:tr>
      <w:tr w:rsidR="00A446E1" w:rsidRPr="00A446E1" w14:paraId="5C3FAF6A" w14:textId="77777777" w:rsidTr="001407F2">
        <w:trPr>
          <w:trHeight w:val="111"/>
        </w:trPr>
        <w:tc>
          <w:tcPr>
            <w:tcW w:w="9997" w:type="dxa"/>
            <w:gridSpan w:val="5"/>
            <w:tcBorders>
              <w:top w:val="single" w:sz="4" w:space="0" w:color="auto"/>
              <w:left w:val="single" w:sz="4" w:space="0" w:color="auto"/>
              <w:bottom w:val="single" w:sz="4" w:space="0" w:color="auto"/>
              <w:right w:val="single" w:sz="4" w:space="0" w:color="auto"/>
            </w:tcBorders>
            <w:shd w:val="clear" w:color="auto" w:fill="E8F5E9"/>
            <w:tcMar>
              <w:top w:w="100" w:type="dxa"/>
              <w:left w:w="130" w:type="dxa"/>
              <w:bottom w:w="100" w:type="dxa"/>
              <w:right w:w="130" w:type="dxa"/>
            </w:tcMar>
          </w:tcPr>
          <w:p w14:paraId="391E58C1" w14:textId="0566D873" w:rsidR="00A446E1" w:rsidRPr="00A446E1" w:rsidRDefault="00A446E1">
            <w:pPr>
              <w:rPr>
                <w:rFonts w:ascii="Times New Roman" w:hAnsi="Times New Roman" w:cs="Times New Roman"/>
                <w:sz w:val="20"/>
                <w:szCs w:val="20"/>
              </w:rPr>
            </w:pPr>
            <w:r w:rsidRPr="00A446E1">
              <w:rPr>
                <w:rFonts w:ascii="Times New Roman" w:hAnsi="Times New Roman" w:cs="Times New Roman"/>
                <w:b/>
                <w:bCs/>
                <w:sz w:val="20"/>
                <w:szCs w:val="20"/>
              </w:rPr>
              <w:t>Support Institutions &amp; Intermediaries</w:t>
            </w:r>
          </w:p>
        </w:tc>
      </w:tr>
      <w:tr w:rsidR="00B5625C" w:rsidRPr="00A446E1" w14:paraId="7C739FA0" w14:textId="77777777" w:rsidTr="001407F2">
        <w:trPr>
          <w:trHeight w:val="111"/>
        </w:trPr>
        <w:tc>
          <w:tcPr>
            <w:tcW w:w="1527" w:type="dxa"/>
            <w:tcBorders>
              <w:top w:val="single" w:sz="4" w:space="0" w:color="auto"/>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12396468"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SEDA, NMBDA,</w:t>
            </w:r>
          </w:p>
          <w:p w14:paraId="3ECD96AA"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ECDC, Incubators</w:t>
            </w:r>
          </w:p>
        </w:tc>
        <w:tc>
          <w:tcPr>
            <w:tcW w:w="2248" w:type="dxa"/>
            <w:tcBorders>
              <w:top w:val="single" w:sz="4" w:space="0" w:color="auto"/>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7019CA0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Ecosystem-level impact measurement system</w:t>
            </w:r>
          </w:p>
          <w:p w14:paraId="28685951"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Establish a shared monitoring and evaluation framework to close the broken adaptive feedback loop between support activities and ecosystem outcomes (Table XI).</w:t>
            </w:r>
          </w:p>
        </w:tc>
        <w:tc>
          <w:tcPr>
            <w:tcW w:w="2094" w:type="dxa"/>
            <w:tcBorders>
              <w:top w:val="single" w:sz="4" w:space="0" w:color="auto"/>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46374C1F"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Closing Incomplete Self-Organisation Loop (R4)</w:t>
            </w:r>
          </w:p>
          <w:p w14:paraId="527016FB"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Support institutions self-organise effectively at activity level but cannot adaptively recalibrate strategies without feedback on outcomes — incomplete self-organisation (β = 0.111, non-significant t-test divergence).</w:t>
            </w:r>
          </w:p>
        </w:tc>
        <w:tc>
          <w:tcPr>
            <w:tcW w:w="3086" w:type="dxa"/>
            <w:tcBorders>
              <w:top w:val="single" w:sz="4" w:space="0" w:color="auto"/>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312E6D3B" w14:textId="6B6D5273"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Co-develop a standardised NMB Ecosystem Dashboard tracking: firm survival rates by support cohort; revenue growth vs. control group; employment creation; and formalisation rates. Align metrics with Stam and van de Ven (2021) ecosystem output framework. Publish annually. Link programme funding renewals to outcome evidence.</w:t>
            </w:r>
          </w:p>
        </w:tc>
        <w:tc>
          <w:tcPr>
            <w:tcW w:w="1042" w:type="dxa"/>
            <w:tcBorders>
              <w:top w:val="single" w:sz="4" w:space="0" w:color="auto"/>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5D21464D"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Short</w:t>
            </w:r>
          </w:p>
          <w:p w14:paraId="6092D7F4"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6–18 months</w:t>
            </w:r>
          </w:p>
        </w:tc>
      </w:tr>
      <w:tr w:rsidR="00B5625C" w:rsidRPr="00A446E1" w14:paraId="122DB53A" w14:textId="77777777" w:rsidTr="001407F2">
        <w:trPr>
          <w:trHeight w:val="111"/>
        </w:trPr>
        <w:tc>
          <w:tcPr>
            <w:tcW w:w="1527" w:type="dxa"/>
            <w:tcBorders>
              <w:top w:val="single" w:sz="1" w:space="0" w:color="C8D8E8"/>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7ABFC438"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SEDA, HEIs,</w:t>
            </w:r>
          </w:p>
          <w:p w14:paraId="29D7855E"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Cluster Organisations</w:t>
            </w:r>
          </w:p>
        </w:tc>
        <w:tc>
          <w:tcPr>
            <w:tcW w:w="2248" w:type="dxa"/>
            <w:tcBorders>
              <w:top w:val="single" w:sz="1" w:space="0" w:color="C8D8E8"/>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4C2425B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Information asymmetry reduction programme</w:t>
            </w:r>
          </w:p>
          <w:p w14:paraId="21C7AAA9" w14:textId="67399DCD"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 xml:space="preserve">Address highest </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Neutral</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 xml:space="preserve"> frequency in quantitative data (incubator access, business consultant access) by improving service visibility and agent connectivity — prerequisite for self-organisation.</w:t>
            </w:r>
          </w:p>
        </w:tc>
        <w:tc>
          <w:tcPr>
            <w:tcW w:w="2094" w:type="dxa"/>
            <w:tcBorders>
              <w:top w:val="single" w:sz="1" w:space="0" w:color="C8D8E8"/>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03EACC52"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Enabling Self-Organisation (R4)</w:t>
            </w:r>
          </w:p>
          <w:p w14:paraId="61AD1EBC"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 xml:space="preserve">Information asymmetries prevent effective agent connectivity: entrepreneurs cannot locate support; support institutions cannot identify target clients. Connectivity is a prerequisite for CAS </w:t>
            </w:r>
            <w:r w:rsidRPr="00393EFB">
              <w:rPr>
                <w:rFonts w:ascii="Times New Roman" w:hAnsi="Times New Roman" w:cs="Times New Roman"/>
                <w:i/>
                <w:iCs/>
                <w:sz w:val="20"/>
                <w:szCs w:val="20"/>
              </w:rPr>
              <w:lastRenderedPageBreak/>
              <w:t>self-organisation and cluster formation.</w:t>
            </w:r>
          </w:p>
        </w:tc>
        <w:tc>
          <w:tcPr>
            <w:tcW w:w="3086" w:type="dxa"/>
            <w:tcBorders>
              <w:top w:val="single" w:sz="1" w:space="0" w:color="C8D8E8"/>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4980EDEF" w14:textId="75E9E56F"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lastRenderedPageBreak/>
              <w:t xml:space="preserve">Develop a unified NMB Business Support Navigator (digital platform </w:t>
            </w:r>
            <w:r w:rsidR="00393EFB">
              <w:rPr>
                <w:rFonts w:ascii="Times New Roman" w:hAnsi="Times New Roman" w:cs="Times New Roman"/>
                <w:color w:val="1C1C1C"/>
                <w:sz w:val="20"/>
                <w:szCs w:val="20"/>
              </w:rPr>
              <w:t>and</w:t>
            </w:r>
            <w:r w:rsidRPr="00A446E1">
              <w:rPr>
                <w:rFonts w:ascii="Times New Roman" w:hAnsi="Times New Roman" w:cs="Times New Roman"/>
                <w:color w:val="1C1C1C"/>
                <w:sz w:val="20"/>
                <w:szCs w:val="20"/>
              </w:rPr>
              <w:t xml:space="preserve"> physical referral network) mapping all support services, eligibility criteria, and application pathways. Integrate with SARS registration portal. Deploy community liaison officers in township enterprise zones. Partner with NMB Maritime Cluster and Tourism Cluster as replication models.</w:t>
            </w:r>
          </w:p>
        </w:tc>
        <w:tc>
          <w:tcPr>
            <w:tcW w:w="1042" w:type="dxa"/>
            <w:tcBorders>
              <w:top w:val="single" w:sz="1" w:space="0" w:color="C8D8E8"/>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7234C948"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Short–Medium</w:t>
            </w:r>
          </w:p>
          <w:p w14:paraId="6E1AB8BA"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12–24 months</w:t>
            </w:r>
          </w:p>
        </w:tc>
      </w:tr>
      <w:tr w:rsidR="00B5625C" w:rsidRPr="00A446E1" w14:paraId="4D6E9750" w14:textId="77777777" w:rsidTr="001407F2">
        <w:trPr>
          <w:trHeight w:val="111"/>
        </w:trPr>
        <w:tc>
          <w:tcPr>
            <w:tcW w:w="1527" w:type="dxa"/>
            <w:tcBorders>
              <w:top w:val="single" w:sz="1" w:space="0" w:color="C8D8E8"/>
              <w:left w:val="single" w:sz="4" w:space="0" w:color="auto"/>
              <w:bottom w:val="single" w:sz="4" w:space="0" w:color="auto"/>
              <w:right w:val="single" w:sz="1" w:space="0" w:color="C8D8E8"/>
            </w:tcBorders>
            <w:shd w:val="clear" w:color="auto" w:fill="F5F9FD"/>
            <w:tcMar>
              <w:top w:w="100" w:type="dxa"/>
              <w:left w:w="130" w:type="dxa"/>
              <w:bottom w:w="100" w:type="dxa"/>
              <w:right w:w="130" w:type="dxa"/>
            </w:tcMar>
          </w:tcPr>
          <w:p w14:paraId="7E8E3D12" w14:textId="5518FA6A" w:rsidR="00B5625C" w:rsidRPr="00A446E1" w:rsidRDefault="0075796B">
            <w:pPr>
              <w:spacing w:after="60"/>
              <w:rPr>
                <w:rFonts w:ascii="Times New Roman" w:hAnsi="Times New Roman" w:cs="Times New Roman"/>
                <w:sz w:val="20"/>
                <w:szCs w:val="20"/>
              </w:rPr>
            </w:pPr>
            <w:proofErr w:type="spellStart"/>
            <w:proofErr w:type="gramStart"/>
            <w:r w:rsidRPr="00A446E1">
              <w:rPr>
                <w:rFonts w:ascii="Times New Roman" w:hAnsi="Times New Roman" w:cs="Times New Roman"/>
                <w:b/>
                <w:bCs/>
                <w:color w:val="1C1C1C"/>
                <w:sz w:val="20"/>
                <w:szCs w:val="20"/>
              </w:rPr>
              <w:t>HEIs,MBDA</w:t>
            </w:r>
            <w:proofErr w:type="spellEnd"/>
            <w:proofErr w:type="gramEnd"/>
            <w:r w:rsidRPr="00A446E1">
              <w:rPr>
                <w:rFonts w:ascii="Times New Roman" w:hAnsi="Times New Roman" w:cs="Times New Roman"/>
                <w:b/>
                <w:bCs/>
                <w:color w:val="1C1C1C"/>
                <w:sz w:val="20"/>
                <w:szCs w:val="20"/>
              </w:rPr>
              <w:t>,</w:t>
            </w:r>
          </w:p>
          <w:p w14:paraId="31C9D4ED"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Professional Associations</w:t>
            </w:r>
          </w:p>
        </w:tc>
        <w:tc>
          <w:tcPr>
            <w:tcW w:w="2248" w:type="dxa"/>
            <w:tcBorders>
              <w:top w:val="single" w:sz="1" w:space="0" w:color="C8D8E8"/>
              <w:left w:val="single" w:sz="1" w:space="0" w:color="C8D8E8"/>
              <w:bottom w:val="single" w:sz="4" w:space="0" w:color="auto"/>
              <w:right w:val="single" w:sz="1" w:space="0" w:color="C8D8E8"/>
            </w:tcBorders>
            <w:shd w:val="clear" w:color="auto" w:fill="FFFFFF"/>
            <w:tcMar>
              <w:top w:w="100" w:type="dxa"/>
              <w:left w:w="130" w:type="dxa"/>
              <w:bottom w:w="100" w:type="dxa"/>
              <w:right w:w="130" w:type="dxa"/>
            </w:tcMar>
          </w:tcPr>
          <w:p w14:paraId="26FA457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Informal sector formalisation bridge programme</w:t>
            </w:r>
          </w:p>
          <w:p w14:paraId="6A47B700" w14:textId="0DEC3E4B"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 xml:space="preserve">Leverage the informal adaptation self-organisation dynamic (R3) — </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side-hustle</w:t>
            </w:r>
            <w:r w:rsidR="00393EFB">
              <w:rPr>
                <w:rFonts w:ascii="Times New Roman" w:hAnsi="Times New Roman" w:cs="Times New Roman"/>
                <w:color w:val="1C1C1C"/>
                <w:sz w:val="20"/>
                <w:szCs w:val="20"/>
              </w:rPr>
              <w:t xml:space="preserve">” </w:t>
            </w:r>
            <w:r w:rsidRPr="00A446E1">
              <w:rPr>
                <w:rFonts w:ascii="Times New Roman" w:hAnsi="Times New Roman" w:cs="Times New Roman"/>
                <w:color w:val="1C1C1C"/>
                <w:sz w:val="20"/>
                <w:szCs w:val="20"/>
              </w:rPr>
              <w:t>formation, informal networks — as a foundation for supported formalisation rather than treating informality as a failure state.</w:t>
            </w:r>
          </w:p>
        </w:tc>
        <w:tc>
          <w:tcPr>
            <w:tcW w:w="2094" w:type="dxa"/>
            <w:tcBorders>
              <w:top w:val="single" w:sz="1" w:space="0" w:color="C8D8E8"/>
              <w:left w:val="single" w:sz="1" w:space="0" w:color="C8D8E8"/>
              <w:bottom w:val="single" w:sz="4" w:space="0" w:color="auto"/>
              <w:right w:val="single" w:sz="1" w:space="0" w:color="C8D8E8"/>
            </w:tcBorders>
            <w:shd w:val="clear" w:color="auto" w:fill="F7F7F7"/>
            <w:tcMar>
              <w:top w:w="100" w:type="dxa"/>
              <w:left w:w="130" w:type="dxa"/>
              <w:bottom w:w="100" w:type="dxa"/>
              <w:right w:w="130" w:type="dxa"/>
            </w:tcMar>
          </w:tcPr>
          <w:p w14:paraId="5C4473DC"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Leveraging Constraint-Dependent Emergence (R3)</w:t>
            </w:r>
          </w:p>
          <w:p w14:paraId="491D983C"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Informal sector growth is a CAS adaptive response to institutional constraint: agents self-organise outside formal channels. This adaptive capacity is real and measurable — it should be channelled rather than suppressed.</w:t>
            </w:r>
          </w:p>
        </w:tc>
        <w:tc>
          <w:tcPr>
            <w:tcW w:w="3086" w:type="dxa"/>
            <w:tcBorders>
              <w:top w:val="single" w:sz="1" w:space="0" w:color="C8D8E8"/>
              <w:left w:val="single" w:sz="1" w:space="0" w:color="C8D8E8"/>
              <w:bottom w:val="single" w:sz="4" w:space="0" w:color="auto"/>
              <w:right w:val="single" w:sz="1" w:space="0" w:color="C8D8E8"/>
            </w:tcBorders>
            <w:shd w:val="clear" w:color="auto" w:fill="FFFDF7"/>
            <w:tcMar>
              <w:top w:w="100" w:type="dxa"/>
              <w:left w:w="130" w:type="dxa"/>
              <w:bottom w:w="100" w:type="dxa"/>
              <w:right w:w="130" w:type="dxa"/>
            </w:tcMar>
          </w:tcPr>
          <w:p w14:paraId="0F66236C" w14:textId="0D5434A9"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 xml:space="preserve">Create a structured </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bridge to formality</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 xml:space="preserve"> pathway: informal traders → registered micro-enterprise → SMME. Provide compliance support, tax guidance, and market access as bundled incentives for formalisation steps. Recognise informal sector experience in HEI credit recognition frameworks. Partner with township stokvels and informal trader associations as entry points.</w:t>
            </w:r>
          </w:p>
        </w:tc>
        <w:tc>
          <w:tcPr>
            <w:tcW w:w="1042" w:type="dxa"/>
            <w:tcBorders>
              <w:top w:val="single" w:sz="1" w:space="0" w:color="C8D8E8"/>
              <w:left w:val="single" w:sz="1" w:space="0" w:color="C8D8E8"/>
              <w:bottom w:val="single" w:sz="4" w:space="0" w:color="auto"/>
              <w:right w:val="single" w:sz="4" w:space="0" w:color="auto"/>
            </w:tcBorders>
            <w:shd w:val="clear" w:color="auto" w:fill="F5F9FD"/>
            <w:tcMar>
              <w:top w:w="100" w:type="dxa"/>
              <w:left w:w="130" w:type="dxa"/>
              <w:bottom w:w="100" w:type="dxa"/>
              <w:right w:w="130" w:type="dxa"/>
            </w:tcMar>
          </w:tcPr>
          <w:p w14:paraId="5C698FBE"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Medium</w:t>
            </w:r>
          </w:p>
          <w:p w14:paraId="58BC5DFD"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18–36 months</w:t>
            </w:r>
          </w:p>
        </w:tc>
      </w:tr>
      <w:tr w:rsidR="00A446E1" w:rsidRPr="00A446E1" w14:paraId="78289CD9" w14:textId="77777777" w:rsidTr="001407F2">
        <w:trPr>
          <w:trHeight w:val="111"/>
        </w:trPr>
        <w:tc>
          <w:tcPr>
            <w:tcW w:w="9997" w:type="dxa"/>
            <w:gridSpan w:val="5"/>
            <w:tcBorders>
              <w:top w:val="single" w:sz="4" w:space="0" w:color="auto"/>
              <w:left w:val="single" w:sz="4" w:space="0" w:color="auto"/>
              <w:bottom w:val="single" w:sz="4" w:space="0" w:color="auto"/>
              <w:right w:val="single" w:sz="4" w:space="0" w:color="auto"/>
            </w:tcBorders>
            <w:shd w:val="clear" w:color="auto" w:fill="F3E8FB"/>
            <w:tcMar>
              <w:top w:w="100" w:type="dxa"/>
              <w:left w:w="130" w:type="dxa"/>
              <w:bottom w:w="100" w:type="dxa"/>
              <w:right w:w="130" w:type="dxa"/>
            </w:tcMar>
          </w:tcPr>
          <w:p w14:paraId="06E41C91" w14:textId="57FAEF17" w:rsidR="00A446E1" w:rsidRPr="00A446E1" w:rsidRDefault="00A446E1">
            <w:pPr>
              <w:rPr>
                <w:rFonts w:ascii="Times New Roman" w:hAnsi="Times New Roman" w:cs="Times New Roman"/>
                <w:sz w:val="20"/>
                <w:szCs w:val="20"/>
              </w:rPr>
            </w:pPr>
            <w:r w:rsidRPr="00A446E1">
              <w:rPr>
                <w:rFonts w:ascii="Times New Roman" w:hAnsi="Times New Roman" w:cs="Times New Roman"/>
                <w:b/>
                <w:bCs/>
                <w:sz w:val="20"/>
                <w:szCs w:val="20"/>
              </w:rPr>
              <w:t>Private Sector &amp; Business Associations</w:t>
            </w:r>
          </w:p>
        </w:tc>
      </w:tr>
      <w:tr w:rsidR="00B5625C" w:rsidRPr="00A446E1" w14:paraId="41E159F6" w14:textId="77777777" w:rsidTr="001407F2">
        <w:trPr>
          <w:trHeight w:val="1169"/>
        </w:trPr>
        <w:tc>
          <w:tcPr>
            <w:tcW w:w="1527" w:type="dxa"/>
            <w:tcBorders>
              <w:top w:val="single" w:sz="4" w:space="0" w:color="auto"/>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4916172F"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BUSA, NMB Chamber</w:t>
            </w:r>
          </w:p>
          <w:p w14:paraId="6F8444B5"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of Commerce, Anchor Firms</w:t>
            </w:r>
          </w:p>
        </w:tc>
        <w:tc>
          <w:tcPr>
            <w:tcW w:w="2248" w:type="dxa"/>
            <w:tcBorders>
              <w:top w:val="single" w:sz="4" w:space="0" w:color="auto"/>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404CBD6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Corporate–SMME backward linkage programme</w:t>
            </w:r>
          </w:p>
          <w:p w14:paraId="5B0AF6C0"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Large anchor firms diversify supply chains toward NMB-based SMMEs to reduce procurement dependency on state contracts and generate market-driven entrepreneurial motivation — disrupting the cultural co-evolution loop (R2).</w:t>
            </w:r>
          </w:p>
        </w:tc>
        <w:tc>
          <w:tcPr>
            <w:tcW w:w="2094" w:type="dxa"/>
            <w:tcBorders>
              <w:top w:val="single" w:sz="4" w:space="0" w:color="auto"/>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4EA917E3"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Disrupting Cultural Co-evolution (R2)</w:t>
            </w:r>
          </w:p>
          <w:p w14:paraId="48064E22"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BEE state procurement dependency reinforces entitlement culture and suppresses market-oriented entrepreneurship. Private sector demand provides an alternative coordination mechanism that bypasses the state dependency feedback loop.</w:t>
            </w:r>
          </w:p>
        </w:tc>
        <w:tc>
          <w:tcPr>
            <w:tcW w:w="3086" w:type="dxa"/>
            <w:tcBorders>
              <w:top w:val="single" w:sz="4" w:space="0" w:color="auto"/>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34F0530E"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Establish a NMB Supplier Development Compact: anchor firms (manufacturing, logistics, retail) commit 15% of procurement spend to certified local SMMEs over 3 years, with technical assistance provided for compliance and quality standards. Modelled on the DTI Supplier Development Programme. Publish annual scorecards against compact commitments.</w:t>
            </w:r>
          </w:p>
        </w:tc>
        <w:tc>
          <w:tcPr>
            <w:tcW w:w="1042" w:type="dxa"/>
            <w:tcBorders>
              <w:top w:val="single" w:sz="4" w:space="0" w:color="auto"/>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02AF1EB9"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Medium</w:t>
            </w:r>
          </w:p>
          <w:p w14:paraId="133A627F"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24–36 months</w:t>
            </w:r>
          </w:p>
        </w:tc>
      </w:tr>
      <w:tr w:rsidR="00B5625C" w:rsidRPr="00A446E1" w14:paraId="5255A1AE" w14:textId="77777777" w:rsidTr="001407F2">
        <w:trPr>
          <w:trHeight w:val="111"/>
        </w:trPr>
        <w:tc>
          <w:tcPr>
            <w:tcW w:w="1527" w:type="dxa"/>
            <w:tcBorders>
              <w:top w:val="single" w:sz="1" w:space="0" w:color="C8D8E8"/>
              <w:left w:val="single" w:sz="4" w:space="0" w:color="auto"/>
              <w:bottom w:val="single" w:sz="4" w:space="0" w:color="auto"/>
              <w:right w:val="single" w:sz="1" w:space="0" w:color="C8D8E8"/>
            </w:tcBorders>
            <w:shd w:val="clear" w:color="auto" w:fill="F5F9FD"/>
            <w:tcMar>
              <w:top w:w="100" w:type="dxa"/>
              <w:left w:w="130" w:type="dxa"/>
              <w:bottom w:w="100" w:type="dxa"/>
              <w:right w:w="130" w:type="dxa"/>
            </w:tcMar>
          </w:tcPr>
          <w:p w14:paraId="7D450935"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Property Developers,</w:t>
            </w:r>
          </w:p>
          <w:p w14:paraId="5C7F2419"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Investment Promotion Agency</w:t>
            </w:r>
          </w:p>
        </w:tc>
        <w:tc>
          <w:tcPr>
            <w:tcW w:w="2248" w:type="dxa"/>
            <w:tcBorders>
              <w:top w:val="single" w:sz="1" w:space="0" w:color="C8D8E8"/>
              <w:left w:val="single" w:sz="1" w:space="0" w:color="C8D8E8"/>
              <w:bottom w:val="single" w:sz="4" w:space="0" w:color="auto"/>
              <w:right w:val="single" w:sz="1" w:space="0" w:color="C8D8E8"/>
            </w:tcBorders>
            <w:shd w:val="clear" w:color="auto" w:fill="FFFFFF"/>
            <w:tcMar>
              <w:top w:w="100" w:type="dxa"/>
              <w:left w:w="130" w:type="dxa"/>
              <w:bottom w:w="100" w:type="dxa"/>
              <w:right w:w="130" w:type="dxa"/>
            </w:tcMar>
          </w:tcPr>
          <w:p w14:paraId="1498B803"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Enterprise zone co-investment in spatial integration</w:t>
            </w:r>
          </w:p>
          <w:p w14:paraId="41D81844"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Private co-investment in spatial integration corridors to accelerate the reconfiguration of rigid system boundaries identified as the principal structural constraint (City Planning, M = 2.74, largest t-test effect).</w:t>
            </w:r>
          </w:p>
        </w:tc>
        <w:tc>
          <w:tcPr>
            <w:tcW w:w="2094" w:type="dxa"/>
            <w:tcBorders>
              <w:top w:val="single" w:sz="1" w:space="0" w:color="C8D8E8"/>
              <w:left w:val="single" w:sz="1" w:space="0" w:color="C8D8E8"/>
              <w:bottom w:val="single" w:sz="4" w:space="0" w:color="auto"/>
              <w:right w:val="single" w:sz="1" w:space="0" w:color="C8D8E8"/>
            </w:tcBorders>
            <w:shd w:val="clear" w:color="auto" w:fill="F7F7F7"/>
            <w:tcMar>
              <w:top w:w="100" w:type="dxa"/>
              <w:left w:w="130" w:type="dxa"/>
              <w:bottom w:w="100" w:type="dxa"/>
              <w:right w:w="130" w:type="dxa"/>
            </w:tcMar>
          </w:tcPr>
          <w:p w14:paraId="1A27C5FE"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Reconfiguring System Boundaries (R1, Path Dependence)</w:t>
            </w:r>
          </w:p>
          <w:p w14:paraId="02E35A39" w14:textId="77777777" w:rsidR="00B5625C" w:rsidRPr="00A446E1"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Rigid system boundaries (spatial fragmentation) prevent resource flows and cross-boundary interactions essential for emergence. Private investment can move faster than public planning cycles.</w:t>
            </w:r>
          </w:p>
        </w:tc>
        <w:tc>
          <w:tcPr>
            <w:tcW w:w="3086" w:type="dxa"/>
            <w:tcBorders>
              <w:top w:val="single" w:sz="1" w:space="0" w:color="C8D8E8"/>
              <w:left w:val="single" w:sz="1" w:space="0" w:color="C8D8E8"/>
              <w:bottom w:val="single" w:sz="4" w:space="0" w:color="auto"/>
              <w:right w:val="single" w:sz="1" w:space="0" w:color="C8D8E8"/>
            </w:tcBorders>
            <w:shd w:val="clear" w:color="auto" w:fill="FFFDF7"/>
            <w:tcMar>
              <w:top w:w="100" w:type="dxa"/>
              <w:left w:w="130" w:type="dxa"/>
              <w:bottom w:w="100" w:type="dxa"/>
              <w:right w:w="130" w:type="dxa"/>
            </w:tcMar>
          </w:tcPr>
          <w:p w14:paraId="6708F1FB"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Negotiate Special Economic Zone or Enterprise Zone designations in underserved spatial corridors with DTIC. Offer development charges relief, accelerated environmental approvals, and long-term lease security in exchange for spatial integration commitments. Create mixed-use enterprise parks in Kariega, Motherwell, and Walmer township corridor.</w:t>
            </w:r>
          </w:p>
        </w:tc>
        <w:tc>
          <w:tcPr>
            <w:tcW w:w="1042" w:type="dxa"/>
            <w:tcBorders>
              <w:top w:val="single" w:sz="1" w:space="0" w:color="C8D8E8"/>
              <w:left w:val="single" w:sz="1" w:space="0" w:color="C8D8E8"/>
              <w:bottom w:val="single" w:sz="4" w:space="0" w:color="auto"/>
              <w:right w:val="single" w:sz="4" w:space="0" w:color="auto"/>
            </w:tcBorders>
            <w:shd w:val="clear" w:color="auto" w:fill="F5F9FD"/>
            <w:tcMar>
              <w:top w:w="100" w:type="dxa"/>
              <w:left w:w="130" w:type="dxa"/>
              <w:bottom w:w="100" w:type="dxa"/>
              <w:right w:w="130" w:type="dxa"/>
            </w:tcMar>
          </w:tcPr>
          <w:p w14:paraId="5D3809A5"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Long</w:t>
            </w:r>
          </w:p>
          <w:p w14:paraId="49D6D928"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3–7 years</w:t>
            </w:r>
          </w:p>
        </w:tc>
      </w:tr>
      <w:tr w:rsidR="00A446E1" w:rsidRPr="00A446E1" w14:paraId="18C40E6E" w14:textId="77777777" w:rsidTr="001407F2">
        <w:trPr>
          <w:trHeight w:val="111"/>
        </w:trPr>
        <w:tc>
          <w:tcPr>
            <w:tcW w:w="9997" w:type="dxa"/>
            <w:gridSpan w:val="5"/>
            <w:tcBorders>
              <w:top w:val="single" w:sz="4" w:space="0" w:color="auto"/>
              <w:left w:val="single" w:sz="4" w:space="0" w:color="auto"/>
              <w:bottom w:val="single" w:sz="4" w:space="0" w:color="auto"/>
              <w:right w:val="single" w:sz="4" w:space="0" w:color="auto"/>
            </w:tcBorders>
            <w:shd w:val="clear" w:color="auto" w:fill="FFFBEA"/>
            <w:tcMar>
              <w:top w:w="100" w:type="dxa"/>
              <w:left w:w="130" w:type="dxa"/>
              <w:bottom w:w="100" w:type="dxa"/>
              <w:right w:w="130" w:type="dxa"/>
            </w:tcMar>
          </w:tcPr>
          <w:p w14:paraId="5940748C" w14:textId="1474F711" w:rsidR="00A446E1" w:rsidRPr="00A446E1" w:rsidRDefault="00A446E1">
            <w:pPr>
              <w:rPr>
                <w:rFonts w:ascii="Times New Roman" w:hAnsi="Times New Roman" w:cs="Times New Roman"/>
                <w:sz w:val="20"/>
                <w:szCs w:val="20"/>
              </w:rPr>
            </w:pPr>
            <w:r w:rsidRPr="00A446E1">
              <w:rPr>
                <w:rFonts w:ascii="Times New Roman" w:hAnsi="Times New Roman" w:cs="Times New Roman"/>
                <w:b/>
                <w:bCs/>
                <w:sz w:val="20"/>
                <w:szCs w:val="20"/>
              </w:rPr>
              <w:lastRenderedPageBreak/>
              <w:t>Civil Society &amp; Community Actors</w:t>
            </w:r>
          </w:p>
        </w:tc>
      </w:tr>
      <w:tr w:rsidR="00B5625C" w:rsidRPr="00A446E1" w14:paraId="7183EBBC" w14:textId="77777777" w:rsidTr="001407F2">
        <w:trPr>
          <w:trHeight w:val="111"/>
        </w:trPr>
        <w:tc>
          <w:tcPr>
            <w:tcW w:w="1527" w:type="dxa"/>
            <w:tcBorders>
              <w:top w:val="single" w:sz="4" w:space="0" w:color="auto"/>
              <w:left w:val="single" w:sz="4" w:space="0" w:color="auto"/>
              <w:bottom w:val="single" w:sz="1" w:space="0" w:color="C8D8E8"/>
              <w:right w:val="single" w:sz="1" w:space="0" w:color="C8D8E8"/>
            </w:tcBorders>
            <w:shd w:val="clear" w:color="auto" w:fill="F5F9FD"/>
            <w:tcMar>
              <w:top w:w="100" w:type="dxa"/>
              <w:left w:w="130" w:type="dxa"/>
              <w:bottom w:w="100" w:type="dxa"/>
              <w:right w:w="130" w:type="dxa"/>
            </w:tcMar>
          </w:tcPr>
          <w:p w14:paraId="346A5732"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Community Organisations,</w:t>
            </w:r>
          </w:p>
          <w:p w14:paraId="6E9FECB5"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Stokvels, Faith Networks</w:t>
            </w:r>
          </w:p>
        </w:tc>
        <w:tc>
          <w:tcPr>
            <w:tcW w:w="2248" w:type="dxa"/>
            <w:tcBorders>
              <w:top w:val="single" w:sz="4" w:space="0" w:color="auto"/>
              <w:left w:val="single" w:sz="1" w:space="0" w:color="C8D8E8"/>
              <w:bottom w:val="single" w:sz="1" w:space="0" w:color="C8D8E8"/>
              <w:right w:val="single" w:sz="1" w:space="0" w:color="C8D8E8"/>
            </w:tcBorders>
            <w:shd w:val="clear" w:color="auto" w:fill="FFFFFF"/>
            <w:tcMar>
              <w:top w:w="100" w:type="dxa"/>
              <w:left w:w="130" w:type="dxa"/>
              <w:bottom w:w="100" w:type="dxa"/>
              <w:right w:w="130" w:type="dxa"/>
            </w:tcMar>
          </w:tcPr>
          <w:p w14:paraId="0848C9E7"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Cultural legitimacy rebuilding — entrepreneurship celebration programme</w:t>
            </w:r>
          </w:p>
          <w:p w14:paraId="6B7656FE" w14:textId="2F0A5EF0"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 xml:space="preserve">Address the qualitative finding that NMB lacks a </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culture of celebration and role models</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 xml:space="preserve"> (P13) by activating existing community networks as carriers of entrepreneurial legitimacy — working with the cultural norms feedback loop rather than against it.</w:t>
            </w:r>
          </w:p>
        </w:tc>
        <w:tc>
          <w:tcPr>
            <w:tcW w:w="2094" w:type="dxa"/>
            <w:tcBorders>
              <w:top w:val="single" w:sz="4" w:space="0" w:color="auto"/>
              <w:left w:val="single" w:sz="1" w:space="0" w:color="C8D8E8"/>
              <w:bottom w:val="single" w:sz="1" w:space="0" w:color="C8D8E8"/>
              <w:right w:val="single" w:sz="1" w:space="0" w:color="C8D8E8"/>
            </w:tcBorders>
            <w:shd w:val="clear" w:color="auto" w:fill="F7F7F7"/>
            <w:tcMar>
              <w:top w:w="100" w:type="dxa"/>
              <w:left w:w="130" w:type="dxa"/>
              <w:bottom w:w="100" w:type="dxa"/>
              <w:right w:w="130" w:type="dxa"/>
            </w:tcMar>
          </w:tcPr>
          <w:p w14:paraId="35F43154" w14:textId="77777777" w:rsidR="00B5625C" w:rsidRPr="00393EFB" w:rsidRDefault="0075796B">
            <w:pPr>
              <w:spacing w:after="60"/>
              <w:rPr>
                <w:rFonts w:ascii="Times New Roman" w:hAnsi="Times New Roman" w:cs="Times New Roman"/>
                <w:sz w:val="20"/>
                <w:szCs w:val="20"/>
              </w:rPr>
            </w:pPr>
            <w:r w:rsidRPr="00393EFB">
              <w:rPr>
                <w:rFonts w:ascii="Times New Roman" w:hAnsi="Times New Roman" w:cs="Times New Roman"/>
                <w:b/>
                <w:bCs/>
                <w:sz w:val="20"/>
                <w:szCs w:val="20"/>
              </w:rPr>
              <w:t>Enabling Cultural Co-evolution (R2 — reorientation)</w:t>
            </w:r>
          </w:p>
          <w:p w14:paraId="74154272" w14:textId="77777777" w:rsidR="00B5625C" w:rsidRPr="00393EFB"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Cultural norms co-evolve with structural conditions. Community-level legitimacy signals can shift the co-evolutionary trajectory from dependency-reinforcing to opportunity-reinforcing norms, changing the direction of the R2 feedback loop.</w:t>
            </w:r>
          </w:p>
        </w:tc>
        <w:tc>
          <w:tcPr>
            <w:tcW w:w="3086" w:type="dxa"/>
            <w:tcBorders>
              <w:top w:val="single" w:sz="4" w:space="0" w:color="auto"/>
              <w:left w:val="single" w:sz="1" w:space="0" w:color="C8D8E8"/>
              <w:bottom w:val="single" w:sz="1" w:space="0" w:color="C8D8E8"/>
              <w:right w:val="single" w:sz="1" w:space="0" w:color="C8D8E8"/>
            </w:tcBorders>
            <w:shd w:val="clear" w:color="auto" w:fill="FFFDF7"/>
            <w:tcMar>
              <w:top w:w="100" w:type="dxa"/>
              <w:left w:w="130" w:type="dxa"/>
              <w:bottom w:w="100" w:type="dxa"/>
              <w:right w:w="130" w:type="dxa"/>
            </w:tcMar>
          </w:tcPr>
          <w:p w14:paraId="6EA314EF" w14:textId="5F4E71C1"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 xml:space="preserve">Launch an NMB Entrepreneurship Recognition Programme through community radio, faith networks, and school programmes. Celebrate informal sector success stories alongside formal SMME growth. Partner with stokvels as peer-learning networks and seed-funding mechanisms. Integrate cultural resilience evidence (P7 </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side-hustle</w:t>
            </w:r>
            <w:r w:rsidR="00393EFB">
              <w:rPr>
                <w:rFonts w:ascii="Times New Roman" w:hAnsi="Times New Roman" w:cs="Times New Roman"/>
                <w:color w:val="1C1C1C"/>
                <w:sz w:val="20"/>
                <w:szCs w:val="20"/>
              </w:rPr>
              <w:t>”</w:t>
            </w:r>
            <w:r w:rsidRPr="00A446E1">
              <w:rPr>
                <w:rFonts w:ascii="Times New Roman" w:hAnsi="Times New Roman" w:cs="Times New Roman"/>
                <w:color w:val="1C1C1C"/>
                <w:sz w:val="20"/>
                <w:szCs w:val="20"/>
              </w:rPr>
              <w:t xml:space="preserve"> findings) into programme design as a strength-based rather than deficit-based narrative.</w:t>
            </w:r>
          </w:p>
        </w:tc>
        <w:tc>
          <w:tcPr>
            <w:tcW w:w="1042" w:type="dxa"/>
            <w:tcBorders>
              <w:top w:val="single" w:sz="4" w:space="0" w:color="auto"/>
              <w:left w:val="single" w:sz="1" w:space="0" w:color="C8D8E8"/>
              <w:bottom w:val="single" w:sz="1" w:space="0" w:color="C8D8E8"/>
              <w:right w:val="single" w:sz="4" w:space="0" w:color="auto"/>
            </w:tcBorders>
            <w:shd w:val="clear" w:color="auto" w:fill="F5F9FD"/>
            <w:tcMar>
              <w:top w:w="100" w:type="dxa"/>
              <w:left w:w="130" w:type="dxa"/>
              <w:bottom w:w="100" w:type="dxa"/>
              <w:right w:w="130" w:type="dxa"/>
            </w:tcMar>
          </w:tcPr>
          <w:p w14:paraId="0167090B"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Short–Medium</w:t>
            </w:r>
          </w:p>
          <w:p w14:paraId="68D293FB"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12–36 months</w:t>
            </w:r>
          </w:p>
        </w:tc>
      </w:tr>
      <w:tr w:rsidR="00B5625C" w:rsidRPr="00A446E1" w14:paraId="1FF91AD6" w14:textId="77777777" w:rsidTr="001407F2">
        <w:trPr>
          <w:trHeight w:val="2012"/>
        </w:trPr>
        <w:tc>
          <w:tcPr>
            <w:tcW w:w="1527" w:type="dxa"/>
            <w:tcBorders>
              <w:top w:val="single" w:sz="1" w:space="0" w:color="C8D8E8"/>
              <w:left w:val="single" w:sz="4" w:space="0" w:color="auto"/>
              <w:bottom w:val="single" w:sz="4" w:space="0" w:color="auto"/>
              <w:right w:val="single" w:sz="1" w:space="0" w:color="C8D8E8"/>
            </w:tcBorders>
            <w:shd w:val="clear" w:color="auto" w:fill="F5F9FD"/>
            <w:tcMar>
              <w:top w:w="100" w:type="dxa"/>
              <w:left w:w="130" w:type="dxa"/>
              <w:bottom w:w="100" w:type="dxa"/>
              <w:right w:w="130" w:type="dxa"/>
            </w:tcMar>
          </w:tcPr>
          <w:p w14:paraId="6CF771A6"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Ratepayer Associations,</w:t>
            </w:r>
          </w:p>
          <w:p w14:paraId="6BCFCBF0"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b/>
                <w:bCs/>
                <w:color w:val="1C1C1C"/>
                <w:sz w:val="20"/>
                <w:szCs w:val="20"/>
              </w:rPr>
              <w:t>Ward Committees, NGOs</w:t>
            </w:r>
          </w:p>
        </w:tc>
        <w:tc>
          <w:tcPr>
            <w:tcW w:w="2248" w:type="dxa"/>
            <w:tcBorders>
              <w:top w:val="single" w:sz="1" w:space="0" w:color="C8D8E8"/>
              <w:left w:val="single" w:sz="1" w:space="0" w:color="C8D8E8"/>
              <w:bottom w:val="single" w:sz="4" w:space="0" w:color="auto"/>
              <w:right w:val="single" w:sz="1" w:space="0" w:color="C8D8E8"/>
            </w:tcBorders>
            <w:shd w:val="clear" w:color="auto" w:fill="FFFFFF"/>
            <w:tcMar>
              <w:top w:w="100" w:type="dxa"/>
              <w:left w:w="130" w:type="dxa"/>
              <w:bottom w:w="100" w:type="dxa"/>
              <w:right w:w="130" w:type="dxa"/>
            </w:tcMar>
          </w:tcPr>
          <w:p w14:paraId="1DCF9FEA"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Governance accountability pressure network</w:t>
            </w:r>
          </w:p>
          <w:p w14:paraId="413692DF"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Activate the currently weak Governance Balance loop (B2) by strengthening civil society capacity to hold municipal leadership accountable — the balancing loop that the CLD identifies as self-limiting but presently insufficient.</w:t>
            </w:r>
          </w:p>
        </w:tc>
        <w:tc>
          <w:tcPr>
            <w:tcW w:w="2094" w:type="dxa"/>
            <w:tcBorders>
              <w:top w:val="single" w:sz="1" w:space="0" w:color="C8D8E8"/>
              <w:left w:val="single" w:sz="1" w:space="0" w:color="C8D8E8"/>
              <w:bottom w:val="single" w:sz="4" w:space="0" w:color="auto"/>
              <w:right w:val="single" w:sz="1" w:space="0" w:color="C8D8E8"/>
            </w:tcBorders>
            <w:shd w:val="clear" w:color="auto" w:fill="F7F7F7"/>
            <w:tcMar>
              <w:top w:w="100" w:type="dxa"/>
              <w:left w:w="130" w:type="dxa"/>
              <w:bottom w:w="100" w:type="dxa"/>
              <w:right w:w="130" w:type="dxa"/>
            </w:tcMar>
          </w:tcPr>
          <w:p w14:paraId="65AD5E0F" w14:textId="77777777" w:rsidR="00B5625C" w:rsidRPr="00393EFB" w:rsidRDefault="0075796B">
            <w:pPr>
              <w:spacing w:after="60"/>
              <w:rPr>
                <w:rFonts w:ascii="Times New Roman" w:hAnsi="Times New Roman" w:cs="Times New Roman"/>
                <w:sz w:val="20"/>
                <w:szCs w:val="20"/>
              </w:rPr>
            </w:pPr>
            <w:r w:rsidRPr="00393EFB">
              <w:rPr>
                <w:rFonts w:ascii="Times New Roman" w:hAnsi="Times New Roman" w:cs="Times New Roman"/>
                <w:b/>
                <w:bCs/>
                <w:sz w:val="20"/>
                <w:szCs w:val="20"/>
              </w:rPr>
              <w:t>Activating Balancing Loop B2 — Governance Balance</w:t>
            </w:r>
          </w:p>
          <w:p w14:paraId="46FE589D" w14:textId="77777777" w:rsidR="00B5625C" w:rsidRPr="00393EFB" w:rsidRDefault="0075796B">
            <w:pPr>
              <w:spacing w:after="60"/>
              <w:rPr>
                <w:rFonts w:ascii="Times New Roman" w:hAnsi="Times New Roman" w:cs="Times New Roman"/>
                <w:sz w:val="20"/>
                <w:szCs w:val="20"/>
              </w:rPr>
            </w:pPr>
            <w:r w:rsidRPr="00393EFB">
              <w:rPr>
                <w:rFonts w:ascii="Times New Roman" w:hAnsi="Times New Roman" w:cs="Times New Roman"/>
                <w:i/>
                <w:iCs/>
                <w:sz w:val="20"/>
                <w:szCs w:val="20"/>
              </w:rPr>
              <w:t>B2 (Civic Pressure → Reform Signal → Governance Improvement) exists as a theoretical self-correcting mechanism but is currently too weak to counteract the R1 reinforcing loop. Strengthening civil society capacity amplifies the balancing force.</w:t>
            </w:r>
          </w:p>
        </w:tc>
        <w:tc>
          <w:tcPr>
            <w:tcW w:w="3086" w:type="dxa"/>
            <w:tcBorders>
              <w:top w:val="single" w:sz="1" w:space="0" w:color="C8D8E8"/>
              <w:left w:val="single" w:sz="1" w:space="0" w:color="C8D8E8"/>
              <w:bottom w:val="single" w:sz="4" w:space="0" w:color="auto"/>
              <w:right w:val="single" w:sz="1" w:space="0" w:color="C8D8E8"/>
            </w:tcBorders>
            <w:shd w:val="clear" w:color="auto" w:fill="FFFDF7"/>
            <w:tcMar>
              <w:top w:w="100" w:type="dxa"/>
              <w:left w:w="130" w:type="dxa"/>
              <w:bottom w:w="100" w:type="dxa"/>
              <w:right w:w="130" w:type="dxa"/>
            </w:tcMar>
          </w:tcPr>
          <w:p w14:paraId="269A5FD8" w14:textId="13ADB3ED"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color w:val="1C1C1C"/>
                <w:sz w:val="20"/>
                <w:szCs w:val="20"/>
              </w:rPr>
              <w:t>Establish a NMB Civic Oversight Coalition linking ratepayer associations, NGOs, and professional bodies to monitor performance quarterly. Submit shadow service delivery reports to Auditor-General. Engage media to maintain public pressure on accountability metrics. Support ward committee capacity-building to translate community grievances into structured policy inputs.</w:t>
            </w:r>
          </w:p>
        </w:tc>
        <w:tc>
          <w:tcPr>
            <w:tcW w:w="1042" w:type="dxa"/>
            <w:tcBorders>
              <w:top w:val="single" w:sz="1" w:space="0" w:color="C8D8E8"/>
              <w:left w:val="single" w:sz="1" w:space="0" w:color="C8D8E8"/>
              <w:bottom w:val="single" w:sz="4" w:space="0" w:color="auto"/>
              <w:right w:val="single" w:sz="4" w:space="0" w:color="auto"/>
            </w:tcBorders>
            <w:shd w:val="clear" w:color="auto" w:fill="F5F9FD"/>
            <w:tcMar>
              <w:top w:w="100" w:type="dxa"/>
              <w:left w:w="130" w:type="dxa"/>
              <w:bottom w:w="100" w:type="dxa"/>
              <w:right w:w="130" w:type="dxa"/>
            </w:tcMar>
          </w:tcPr>
          <w:p w14:paraId="0B5BAF06" w14:textId="77777777" w:rsidR="00B5625C" w:rsidRPr="00A446E1" w:rsidRDefault="0075796B">
            <w:pPr>
              <w:spacing w:after="60"/>
              <w:rPr>
                <w:rFonts w:ascii="Times New Roman" w:hAnsi="Times New Roman" w:cs="Times New Roman"/>
                <w:sz w:val="20"/>
                <w:szCs w:val="20"/>
              </w:rPr>
            </w:pPr>
            <w:r w:rsidRPr="00A446E1">
              <w:rPr>
                <w:rFonts w:ascii="Times New Roman" w:hAnsi="Times New Roman" w:cs="Times New Roman"/>
                <w:b/>
                <w:bCs/>
                <w:color w:val="1C1C1C"/>
                <w:sz w:val="20"/>
                <w:szCs w:val="20"/>
              </w:rPr>
              <w:t>Short</w:t>
            </w:r>
          </w:p>
          <w:p w14:paraId="57562C94" w14:textId="77777777" w:rsidR="00B5625C" w:rsidRPr="00A446E1" w:rsidRDefault="0075796B">
            <w:pPr>
              <w:rPr>
                <w:rFonts w:ascii="Times New Roman" w:hAnsi="Times New Roman" w:cs="Times New Roman"/>
                <w:sz w:val="20"/>
                <w:szCs w:val="20"/>
              </w:rPr>
            </w:pPr>
            <w:r w:rsidRPr="00A446E1">
              <w:rPr>
                <w:rFonts w:ascii="Times New Roman" w:hAnsi="Times New Roman" w:cs="Times New Roman"/>
                <w:color w:val="1C1C1C"/>
                <w:sz w:val="20"/>
                <w:szCs w:val="20"/>
              </w:rPr>
              <w:t>6–18 months</w:t>
            </w:r>
          </w:p>
        </w:tc>
      </w:tr>
    </w:tbl>
    <w:p w14:paraId="32873AE4" w14:textId="77777777" w:rsidR="00B5625C" w:rsidRDefault="00B5625C">
      <w:pPr>
        <w:spacing w:before="160" w:after="60"/>
      </w:pPr>
    </w:p>
    <w:p w14:paraId="08EB0AAF" w14:textId="0B1DABA9" w:rsidR="00B5625C" w:rsidRDefault="0075796B">
      <w:r>
        <w:rPr>
          <w:b/>
          <w:bCs/>
          <w:i/>
          <w:iCs/>
          <w:color w:val="555555"/>
          <w:sz w:val="17"/>
          <w:szCs w:val="17"/>
        </w:rPr>
        <w:t xml:space="preserve">Notes. </w:t>
      </w:r>
      <w:r>
        <w:rPr>
          <w:i/>
          <w:iCs/>
          <w:color w:val="555555"/>
          <w:sz w:val="17"/>
          <w:szCs w:val="17"/>
        </w:rPr>
        <w:t xml:space="preserve">CAS loop labels refer to Figure 1 (Causal Loop Diagram) in the main manuscript: R1 = Governance Decay Loop; R2 = Cultural Dependency Loop; R3 = Informal Adaptation Loop; R4 = Support Self-Organisation Loop; B1 = Tax–Capacity Balance Loop; B2 = Governance Balance Loop. </w:t>
      </w:r>
      <w:r>
        <w:rPr>
          <w:b/>
          <w:bCs/>
          <w:i/>
          <w:iCs/>
          <w:color w:val="555555"/>
          <w:sz w:val="17"/>
          <w:szCs w:val="17"/>
        </w:rPr>
        <w:t xml:space="preserve">Time horizons: </w:t>
      </w:r>
      <w:r>
        <w:rPr>
          <w:i/>
          <w:iCs/>
          <w:color w:val="555555"/>
          <w:sz w:val="17"/>
          <w:szCs w:val="17"/>
        </w:rPr>
        <w:t xml:space="preserve">Short = 0–18 months; Medium = 18–36 months; Long = 36+ months. </w:t>
      </w:r>
      <w:r>
        <w:rPr>
          <w:b/>
          <w:bCs/>
          <w:i/>
          <w:iCs/>
          <w:color w:val="555555"/>
          <w:sz w:val="17"/>
          <w:szCs w:val="17"/>
        </w:rPr>
        <w:t xml:space="preserve">Abbreviations: </w:t>
      </w:r>
      <w:r>
        <w:rPr>
          <w:i/>
          <w:iCs/>
          <w:color w:val="555555"/>
          <w:sz w:val="17"/>
          <w:szCs w:val="17"/>
        </w:rPr>
        <w:t>NMBM = Nelson Mandela Bay Municipality; DTIC = Department of Trade, Industry and Competition; DSBD = Department of Small Business Development; SEDA = Small Enterprise Development Agency; SEFA = Small Enterprise Finance Agency;</w:t>
      </w:r>
      <w:r w:rsidR="001407F2">
        <w:rPr>
          <w:i/>
          <w:iCs/>
          <w:color w:val="555555"/>
          <w:sz w:val="17"/>
          <w:szCs w:val="17"/>
        </w:rPr>
        <w:t xml:space="preserve"> </w:t>
      </w:r>
      <w:r>
        <w:rPr>
          <w:i/>
          <w:iCs/>
          <w:color w:val="555555"/>
          <w:sz w:val="17"/>
          <w:szCs w:val="17"/>
        </w:rPr>
        <w:t>MBDA = Mandela Bay Development Agency; ECDC = Eastern Cape Development Corporation; BUSA = Business Unity South Africa; BEE = Black Economic Empowerment; HEI = Higher Education Institution; DTI = Department of Trade and Industry.</w:t>
      </w:r>
    </w:p>
    <w:sectPr w:rsidR="00B5625C">
      <w:footerReference w:type="default" r:id="rId8"/>
      <w:pgSz w:w="12240" w:h="15840" w:orient="landscape"/>
      <w:pgMar w:top="840" w:right="840" w:bottom="840" w:left="8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5D0B" w14:textId="77777777" w:rsidR="001614CA" w:rsidRDefault="001614CA">
      <w:r>
        <w:separator/>
      </w:r>
    </w:p>
  </w:endnote>
  <w:endnote w:type="continuationSeparator" w:id="0">
    <w:p w14:paraId="056751C5" w14:textId="77777777" w:rsidR="001614CA" w:rsidRDefault="0016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26DC" w14:textId="77777777" w:rsidR="00B5625C" w:rsidRDefault="0075796B">
    <w:pPr>
      <w:jc w:val="center"/>
    </w:pPr>
    <w:r>
      <w:rPr>
        <w:i/>
        <w:iCs/>
        <w:color w:val="555555"/>
        <w:sz w:val="16"/>
        <w:szCs w:val="16"/>
      </w:rPr>
      <w:t>Online Supplementary File — Complex Adaptive Dynamics in a Resource-Constrained Entrepreneurial Ecosystem: A Mixed-Methods Study of Nelson Mandela Bay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A52C" w14:textId="77777777" w:rsidR="001614CA" w:rsidRDefault="001614CA">
      <w:r>
        <w:separator/>
      </w:r>
    </w:p>
  </w:footnote>
  <w:footnote w:type="continuationSeparator" w:id="0">
    <w:p w14:paraId="1453F8BD" w14:textId="77777777" w:rsidR="001614CA" w:rsidRDefault="0016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138D"/>
    <w:multiLevelType w:val="hybridMultilevel"/>
    <w:tmpl w:val="94DC4B14"/>
    <w:lvl w:ilvl="0" w:tplc="A2F65C40">
      <w:start w:val="1"/>
      <w:numFmt w:val="bullet"/>
      <w:lvlText w:val="●"/>
      <w:lvlJc w:val="left"/>
      <w:pPr>
        <w:ind w:left="720" w:hanging="360"/>
      </w:pPr>
    </w:lvl>
    <w:lvl w:ilvl="1" w:tplc="58C8505A">
      <w:start w:val="1"/>
      <w:numFmt w:val="bullet"/>
      <w:lvlText w:val="○"/>
      <w:lvlJc w:val="left"/>
      <w:pPr>
        <w:ind w:left="1440" w:hanging="360"/>
      </w:pPr>
    </w:lvl>
    <w:lvl w:ilvl="2" w:tplc="05C4ABE6">
      <w:start w:val="1"/>
      <w:numFmt w:val="bullet"/>
      <w:lvlText w:val="■"/>
      <w:lvlJc w:val="left"/>
      <w:pPr>
        <w:ind w:left="2160" w:hanging="360"/>
      </w:pPr>
    </w:lvl>
    <w:lvl w:ilvl="3" w:tplc="3B28DA28">
      <w:start w:val="1"/>
      <w:numFmt w:val="bullet"/>
      <w:lvlText w:val="●"/>
      <w:lvlJc w:val="left"/>
      <w:pPr>
        <w:ind w:left="2880" w:hanging="360"/>
      </w:pPr>
    </w:lvl>
    <w:lvl w:ilvl="4" w:tplc="CFFCAAF6">
      <w:start w:val="1"/>
      <w:numFmt w:val="bullet"/>
      <w:lvlText w:val="○"/>
      <w:lvlJc w:val="left"/>
      <w:pPr>
        <w:ind w:left="3600" w:hanging="360"/>
      </w:pPr>
    </w:lvl>
    <w:lvl w:ilvl="5" w:tplc="2040A9D2">
      <w:start w:val="1"/>
      <w:numFmt w:val="bullet"/>
      <w:lvlText w:val="■"/>
      <w:lvlJc w:val="left"/>
      <w:pPr>
        <w:ind w:left="4320" w:hanging="360"/>
      </w:pPr>
    </w:lvl>
    <w:lvl w:ilvl="6" w:tplc="7ED09A2A">
      <w:start w:val="1"/>
      <w:numFmt w:val="bullet"/>
      <w:lvlText w:val="●"/>
      <w:lvlJc w:val="left"/>
      <w:pPr>
        <w:ind w:left="5040" w:hanging="360"/>
      </w:pPr>
    </w:lvl>
    <w:lvl w:ilvl="7" w:tplc="AB160E2C">
      <w:start w:val="1"/>
      <w:numFmt w:val="bullet"/>
      <w:lvlText w:val="●"/>
      <w:lvlJc w:val="left"/>
      <w:pPr>
        <w:ind w:left="5760" w:hanging="360"/>
      </w:pPr>
    </w:lvl>
    <w:lvl w:ilvl="8" w:tplc="0B2CEAC4">
      <w:start w:val="1"/>
      <w:numFmt w:val="bullet"/>
      <w:lvlText w:val="●"/>
      <w:lvlJc w:val="left"/>
      <w:pPr>
        <w:ind w:left="6480" w:hanging="360"/>
      </w:pPr>
    </w:lvl>
  </w:abstractNum>
  <w:num w:numId="1" w16cid:durableId="1730416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5C"/>
    <w:rsid w:val="000C5214"/>
    <w:rsid w:val="00121311"/>
    <w:rsid w:val="001407F2"/>
    <w:rsid w:val="001614CA"/>
    <w:rsid w:val="002A7B60"/>
    <w:rsid w:val="002E7711"/>
    <w:rsid w:val="00393EFB"/>
    <w:rsid w:val="00607D0F"/>
    <w:rsid w:val="0075796B"/>
    <w:rsid w:val="00A446E1"/>
    <w:rsid w:val="00A52121"/>
    <w:rsid w:val="00A76490"/>
    <w:rsid w:val="00B5625C"/>
    <w:rsid w:val="00D94B0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C44A"/>
  <w15:docId w15:val="{EC7B3123-D46C-46FC-A172-85B72CD2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3EFB"/>
    <w:pPr>
      <w:tabs>
        <w:tab w:val="center" w:pos="4513"/>
        <w:tab w:val="right" w:pos="9026"/>
      </w:tabs>
    </w:pPr>
  </w:style>
  <w:style w:type="character" w:customStyle="1" w:styleId="HeaderChar">
    <w:name w:val="Header Char"/>
    <w:basedOn w:val="DefaultParagraphFont"/>
    <w:link w:val="Header"/>
    <w:uiPriority w:val="99"/>
    <w:rsid w:val="00393EFB"/>
  </w:style>
  <w:style w:type="paragraph" w:styleId="Footer">
    <w:name w:val="footer"/>
    <w:basedOn w:val="Normal"/>
    <w:link w:val="FooterChar"/>
    <w:uiPriority w:val="99"/>
    <w:unhideWhenUsed/>
    <w:rsid w:val="00393EFB"/>
    <w:pPr>
      <w:tabs>
        <w:tab w:val="center" w:pos="4513"/>
        <w:tab w:val="right" w:pos="9026"/>
      </w:tabs>
    </w:pPr>
  </w:style>
  <w:style w:type="character" w:customStyle="1" w:styleId="FooterChar">
    <w:name w:val="Footer Char"/>
    <w:basedOn w:val="DefaultParagraphFont"/>
    <w:link w:val="Footer"/>
    <w:uiPriority w:val="99"/>
    <w:rsid w:val="0039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B92B7-F821-4EE4-90E7-2E1DA2E3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4</cp:revision>
  <cp:lastPrinted>2026-04-07T09:03:00Z</cp:lastPrinted>
  <dcterms:created xsi:type="dcterms:W3CDTF">2026-04-07T09:35:00Z</dcterms:created>
  <dcterms:modified xsi:type="dcterms:W3CDTF">2026-06-13T17:54:00Z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456e364a-5e88-43d8-bdd2-e4bbd369a9de</vt:lpwstr>
  </property>
</Properties>
</file>