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33F3F" w14:textId="77777777" w:rsidR="00BA7B5D" w:rsidRDefault="00BA7B5D">
      <w:pPr>
        <w:jc w:val="both"/>
        <w:rPr>
          <w:rFonts w:ascii="Times New Roman" w:eastAsia="Times New Roman" w:hAnsi="Times New Roman" w:cs="Times New Roman"/>
        </w:rPr>
      </w:pPr>
    </w:p>
    <w:p w14:paraId="7ECE1A2A" w14:textId="77777777" w:rsidR="00BA7B5D" w:rsidRDefault="00C51570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Appendix A. Description of the variables </w:t>
      </w:r>
    </w:p>
    <w:p w14:paraId="43CECBFF" w14:textId="77777777" w:rsidR="00BA7B5D" w:rsidRDefault="00C51570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variable of cash holdings, CH, is measured as </w:t>
      </w:r>
    </w:p>
    <w:p w14:paraId="6F74D086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CH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CSTI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K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ab/>
        <w:t>A1</w:t>
      </w:r>
    </w:p>
    <w:p w14:paraId="6F708B2E" w14:textId="77777777" w:rsidR="00BA7B5D" w:rsidRDefault="00C51570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CSTI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represents the cash and short-term investments of the firm (field 02001</w:t>
      </w:r>
      <w:r>
        <w:rPr>
          <w:rFonts w:ascii="Times New Roman" w:eastAsia="Times New Roman" w:hAnsi="Times New Roman" w:cs="Times New Roman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</w:rPr>
        <w:t xml:space="preserve">),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K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replacement value of total assets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</w:rPr>
        <w:t xml:space="preserve"> and is calculated as </w:t>
      </w:r>
    </w:p>
    <w:p w14:paraId="4B985022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K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+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TA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-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A2</w:t>
      </w:r>
    </w:p>
    <w:p w14:paraId="2D46FBE6" w14:textId="77777777" w:rsidR="00BA7B5D" w:rsidRDefault="00C51570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replacement value of tangible fixed assets,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TA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book value of total assets (field 02999);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book value of tangible fixed assets and is measured with the property plant and equipment net variable (field 02501). To measure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>, we follow the proposal of Perfect and Wiles (1994):</w:t>
      </w:r>
    </w:p>
    <w:p w14:paraId="173A6E57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r>
              <w:rPr>
                <w:rFonts w:ascii="Cambria Math" w:eastAsia="Cambria Math" w:hAnsi="Cambria Math" w:cs="Cambria Math"/>
              </w:rPr>
              <m:t>it-1</m:t>
            </m:r>
          </m:sub>
        </m:sSub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</w:rPr>
            </m:ctrlPr>
          </m:dPr>
          <m:e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 xml:space="preserve">1+ 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∅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sub>
                </m:sSub>
              </m:num>
              <m:den>
                <m:r>
                  <w:rPr>
                    <w:rFonts w:ascii="Cambria Math" w:eastAsia="Cambria Math" w:hAnsi="Cambria Math" w:cs="Cambria Math"/>
                  </w:rPr>
                  <m:t xml:space="preserve">1+ 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δ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it</m:t>
                    </m:r>
                  </m:sub>
                </m:sSub>
              </m:den>
            </m:f>
          </m:e>
        </m:d>
        <m:r>
          <w:rPr>
            <w:rFonts w:ascii="Cambria Math" w:eastAsia="Cambria Math" w:hAnsi="Cambria Math" w:cs="Cambria Math"/>
          </w:rPr>
          <m:t>+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ab/>
        <w:t>A3</w:t>
      </w:r>
    </w:p>
    <w:p w14:paraId="37A7B388" w14:textId="77777777" w:rsidR="00BA7B5D" w:rsidRDefault="00C51570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</w:t>
      </w:r>
      <m:oMath>
        <m:r>
          <w:rPr>
            <w:rFonts w:ascii="Cambria Math" w:eastAsia="Cambria Math" w:hAnsi="Cambria Math" w:cs="Cambria Math"/>
          </w:rPr>
          <m:t>t&gt;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t</m:t>
            </m:r>
          </m:e>
          <m:sub>
            <m:r>
              <w:rPr>
                <w:rFonts w:ascii="Cambria Math" w:eastAsia="Cambria Math" w:hAnsi="Cambria Math" w:cs="Cambria Math"/>
              </w:rPr>
              <m:t>0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RF</m:t>
            </m:r>
          </m:e>
          <m:sub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it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0</m:t>
                </m:r>
              </m:sub>
            </m:sSub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BF</m:t>
            </m:r>
          </m:e>
          <m:sub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it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0</m:t>
                </m:r>
              </m:sub>
            </m:sSub>
          </m:sub>
        </m:sSub>
        <m:r>
          <w:rPr>
            <w:rFonts w:ascii="Cambria Math" w:eastAsia="Cambria Math" w:hAnsi="Cambria Math" w:cs="Cambria Math"/>
          </w:rPr>
          <m:t xml:space="preserve">, </m:t>
        </m:r>
      </m:oMath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t</m:t>
            </m:r>
          </m:e>
          <m:sub>
            <m:r>
              <w:rPr>
                <w:rFonts w:ascii="Cambria Math" w:eastAsia="Cambria Math" w:hAnsi="Cambria Math" w:cs="Cambria Math"/>
              </w:rPr>
              <m:t>0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first year in the sample, in our case, 2000.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represents the investment of the firm; the specific measure is presented later. The remaining variables in the previous formula are calculated as </w:t>
      </w:r>
    </w:p>
    <w:p w14:paraId="379F3D87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∅</m:t>
            </m:r>
          </m:e>
          <m:sub>
            <m:r>
              <w:rPr>
                <w:rFonts w:ascii="Cambria Math" w:eastAsia="Cambria Math" w:hAnsi="Cambria Math" w:cs="Cambria Math"/>
              </w:rPr>
              <m:t>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GCGP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t</m:t>
                </m:r>
              </m:sub>
            </m:sSub>
            <m:r>
              <w:rPr>
                <w:rFonts w:ascii="Cambria Math" w:eastAsia="Cambria Math" w:hAnsi="Cambria Math" w:cs="Cambria Math"/>
              </w:rPr>
              <m:t>-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GCGP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t-1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GCGP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t-1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ab/>
        <w:t>A4</w:t>
      </w:r>
    </w:p>
    <w:p w14:paraId="730824B4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eastAsia="Cambria Math" w:hAnsi="Cambria Math" w:cs="Cambria Math"/>
              </w:rPr>
              <m:t>i,t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BF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ab/>
        <w:t>A5</w:t>
      </w:r>
    </w:p>
    <w:p w14:paraId="1A75043B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r>
          <w:rPr>
            <w:rFonts w:ascii="Cambria Math" w:eastAsia="Cambria Math" w:hAnsi="Cambria Math" w:cs="Cambria Math"/>
          </w:rPr>
          <m:t xml:space="preserve">GCGP </m:t>
        </m:r>
      </m:oMath>
      <w:r>
        <w:rPr>
          <w:rFonts w:ascii="Times New Roman" w:eastAsia="Times New Roman" w:hAnsi="Times New Roman" w:cs="Times New Roman"/>
        </w:rPr>
        <w:t xml:space="preserve">is the Producer Price Index extracted from EUROSTAT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book value of depreciation field 01148.</w:t>
      </w:r>
    </w:p>
    <w:p w14:paraId="1630020F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We measure the net working capital variable as </w:t>
      </w:r>
    </w:p>
    <w:p w14:paraId="4ACBBCE2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NWC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WC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>-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CSTI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K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ab/>
        <w:t>A6</w:t>
      </w:r>
    </w:p>
    <w:p w14:paraId="051A163A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WC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is the working capital (field 03151). </w:t>
      </w:r>
    </w:p>
    <w:p w14:paraId="54D366AB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measure SIZE as </w:t>
      </w:r>
    </w:p>
    <w:p w14:paraId="4D167F6B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SIZE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=ln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TA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e>
        </m:d>
      </m:oMath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ab/>
        <w:t>A7</w:t>
      </w:r>
    </w:p>
    <w:p w14:paraId="732308C8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Tobin’s Q is measured as in Miguel and </w:t>
      </w:r>
      <w:proofErr w:type="spellStart"/>
      <w:r>
        <w:rPr>
          <w:rFonts w:ascii="Times New Roman" w:eastAsia="Times New Roman" w:hAnsi="Times New Roman" w:cs="Times New Roman"/>
        </w:rPr>
        <w:t>Pindado</w:t>
      </w:r>
      <w:proofErr w:type="spellEnd"/>
      <w:r>
        <w:rPr>
          <w:rFonts w:ascii="Times New Roman" w:eastAsia="Times New Roman" w:hAnsi="Times New Roman" w:cs="Times New Roman"/>
        </w:rPr>
        <w:t xml:space="preserve"> (2001)</w:t>
      </w:r>
    </w:p>
    <w:p w14:paraId="2214C37D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Q</m:t>
            </m:r>
          </m:e>
          <m:sub>
            <m:r>
              <w:rPr>
                <w:rFonts w:ascii="Cambria Math" w:eastAsia="Cambria Math" w:hAnsi="Cambria Math" w:cs="Cambria Math"/>
              </w:rPr>
              <m:t>i,t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MVE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>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MVD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K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A8</w:t>
      </w:r>
    </w:p>
    <w:p w14:paraId="119C5C5E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MVE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market value of equity (field 08001),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market value of debt and is measured as </w:t>
      </w:r>
    </w:p>
    <w:p w14:paraId="36904057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+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BVSTD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ab/>
        <w:t>A9</w:t>
      </w:r>
    </w:p>
    <w:p w14:paraId="57011A4D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BVSTD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book value of short-term debt and is the short-term debt and current portion of long-term debt (field 03051);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market value of long-term debt and is measured as</w:t>
      </w:r>
    </w:p>
    <w:p w14:paraId="605AEDDD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MVLTD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d>
          <m:dPr>
            <m:begChr m:val="["/>
            <m:endChr m:val="]"/>
            <m:ctrlPr>
              <w:rPr>
                <w:rFonts w:ascii="Cambria Math" w:eastAsia="Cambria Math" w:hAnsi="Cambria Math" w:cs="Cambria Math"/>
              </w:rPr>
            </m:ctrlPr>
          </m:dPr>
          <m:e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 xml:space="preserve">1+ 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it</m:t>
                    </m:r>
                  </m:sub>
                </m:sSub>
              </m:num>
              <m:den>
                <m:r>
                  <w:rPr>
                    <w:rFonts w:ascii="Cambria Math" w:eastAsia="Cambria Math" w:hAnsi="Cambria Math" w:cs="Cambria Math"/>
                  </w:rPr>
                  <m:t xml:space="preserve">1+ 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BVLTD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ab/>
        <w:t>A10</w:t>
      </w:r>
    </w:p>
    <w:p w14:paraId="1B6414B9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BVLTD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book value of long-term debt;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</m:t>
            </m:r>
          </m:e>
          <m:sub>
            <m:r>
              <w:rPr>
                <w:rFonts w:ascii="Cambria Math" w:eastAsia="Cambria Math" w:hAnsi="Cambria Math" w:cs="Cambria Math"/>
              </w:rPr>
              <m:t>l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interest rate of the long-term debt reported in the OECD’s </w:t>
      </w:r>
      <w:r>
        <w:rPr>
          <w:rFonts w:ascii="Times New Roman" w:eastAsia="Times New Roman" w:hAnsi="Times New Roman" w:cs="Times New Roman"/>
          <w:i/>
        </w:rPr>
        <w:t>Main Economic Indicators</w:t>
      </w:r>
      <w:r>
        <w:rPr>
          <w:rFonts w:ascii="Times New Roman" w:eastAsia="Times New Roman" w:hAnsi="Times New Roman" w:cs="Times New Roman"/>
        </w:rPr>
        <w:t xml:space="preserve">;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l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average cost of long-term debt, defined as</w:t>
      </w:r>
    </w:p>
    <w:p w14:paraId="697BC416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l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IPLTD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BVLTD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A11</w:t>
      </w:r>
    </w:p>
    <w:p w14:paraId="4C1E79C0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IPLTD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interest payable on the long-term debt, which is obtained by distributing the interest payable between the short - and long - term debt depending on their market interest rates. This calculation is made by the following equation:</w:t>
      </w:r>
    </w:p>
    <w:p w14:paraId="48319AF5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IPLTD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BVLTD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BVSTD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>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BVLTD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IP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A12</w:t>
      </w:r>
    </w:p>
    <w:p w14:paraId="32128B89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IP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interest payable (field 03062),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</m:t>
            </m:r>
          </m:e>
          <m:sub>
            <m:r>
              <w:rPr>
                <w:rFonts w:ascii="Cambria Math" w:eastAsia="Cambria Math" w:hAnsi="Cambria Math" w:cs="Cambria Math"/>
              </w:rPr>
              <m:t>s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interest rate of the short-term debt as reported in the OECD’s </w:t>
      </w:r>
      <w:r>
        <w:rPr>
          <w:rFonts w:ascii="Times New Roman" w:eastAsia="Times New Roman" w:hAnsi="Times New Roman" w:cs="Times New Roman"/>
          <w:i/>
        </w:rPr>
        <w:t>Main Economic Indicators</w:t>
      </w:r>
      <w:r>
        <w:rPr>
          <w:rFonts w:ascii="Times New Roman" w:eastAsia="Times New Roman" w:hAnsi="Times New Roman" w:cs="Times New Roman"/>
        </w:rPr>
        <w:t>.</w:t>
      </w:r>
    </w:p>
    <w:p w14:paraId="0C7FDB24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Cash flow is measured as </w:t>
      </w:r>
    </w:p>
    <w:p w14:paraId="2006BBC9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CF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NI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 xml:space="preserve">+ 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K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A13</w:t>
      </w:r>
    </w:p>
    <w:p w14:paraId="3D5EE157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NI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represents the net income after preferred dividends of a firm (field 01706).</w:t>
      </w:r>
    </w:p>
    <w:p w14:paraId="7BF79FD7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cash flow volatility variable is calculated as </w:t>
      </w:r>
    </w:p>
    <w:p w14:paraId="65BC081E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CFVOL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FCFVOL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-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ICFVOL</m:t>
            </m:r>
          </m:e>
          <m:sub>
            <m:r>
              <w:rPr>
                <w:rFonts w:ascii="Cambria Math" w:eastAsia="Cambria Math" w:hAnsi="Cambria Math" w:cs="Cambria Math"/>
              </w:rPr>
              <m:t>t</m:t>
            </m:r>
          </m:sub>
        </m:sSub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A14</w:t>
      </w:r>
    </w:p>
    <w:p w14:paraId="79906141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FCFVOL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variance of the cash flow variable for the previous years from a database starting in 1990, and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ICFVOL</m:t>
            </m:r>
          </m:e>
          <m:sub>
            <m:r>
              <w:rPr>
                <w:rFonts w:ascii="Cambria Math" w:eastAsia="Cambria Math" w:hAnsi="Cambria Math" w:cs="Cambria Math"/>
              </w:rPr>
              <m:t>t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is the industry’s cash flow variance</w:t>
      </w:r>
      <w:r>
        <w:rPr>
          <w:rFonts w:ascii="Times New Roman" w:eastAsia="Times New Roman" w:hAnsi="Times New Roman" w:cs="Times New Roman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</w:rPr>
        <w:t xml:space="preserve"> in year 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</w:rPr>
        <w:t>.</w:t>
      </w:r>
    </w:p>
    <w:p w14:paraId="32EFEC35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investment variable is calculated as</w:t>
      </w:r>
    </w:p>
    <w:p w14:paraId="39456ED1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I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CAPEX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K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ab/>
        <w:t>A15</w:t>
      </w:r>
    </w:p>
    <w:p w14:paraId="37B91F4B" w14:textId="77777777" w:rsidR="00BA7B5D" w:rsidRDefault="00C51570">
      <w:pPr>
        <w:tabs>
          <w:tab w:val="center" w:pos="4680"/>
          <w:tab w:val="right" w:pos="9360"/>
        </w:tabs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CAPEX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</m:oMath>
      <w:r>
        <w:rPr>
          <w:rFonts w:ascii="Times New Roman" w:eastAsia="Times New Roman" w:hAnsi="Times New Roman" w:cs="Times New Roman"/>
        </w:rPr>
        <w:t>is the capital expenditures of the firm (field 04601).</w:t>
      </w:r>
    </w:p>
    <w:p w14:paraId="53F25224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short-term debt variable is measured as</w:t>
      </w:r>
    </w:p>
    <w:p w14:paraId="12461D60" w14:textId="77777777" w:rsidR="00BA7B5D" w:rsidRDefault="00C51570">
      <w:pPr>
        <w:tabs>
          <w:tab w:val="center" w:pos="4680"/>
          <w:tab w:val="right" w:pos="9360"/>
        </w:tabs>
        <w:spacing w:line="48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STD</m:t>
            </m:r>
          </m:e>
          <m:sub>
            <m:r>
              <w:rPr>
                <w:rFonts w:ascii="Cambria Math" w:eastAsia="Cambria Math" w:hAnsi="Cambria Math" w:cs="Cambria Math"/>
              </w:rPr>
              <m:t>it</m:t>
            </m:r>
          </m:sub>
        </m:sSub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BVSTD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BVSTD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>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MVLTD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  <m:r>
              <w:rPr>
                <w:rFonts w:ascii="Cambria Math" w:eastAsia="Cambria Math" w:hAnsi="Cambria Math" w:cs="Cambria Math"/>
              </w:rPr>
              <m:t>+</m:t>
            </m:r>
            <m:sSub>
              <m:sSubPr>
                <m:ctrlPr>
                  <w:rPr>
                    <w:rFonts w:ascii="Cambria Math" w:eastAsia="Cambria Math" w:hAnsi="Cambria Math" w:cs="Cambria Math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MVE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it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ab/>
        <w:t>A16</w:t>
      </w:r>
    </w:p>
    <w:sectPr w:rsidR="00BA7B5D">
      <w:headerReference w:type="default" r:id="rId8"/>
      <w:footerReference w:type="even" r:id="rId9"/>
      <w:footerReference w:type="default" r:id="rId10"/>
      <w:pgSz w:w="12240" w:h="15840"/>
      <w:pgMar w:top="1440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8001" w14:textId="77777777" w:rsidR="00D62FB7" w:rsidRDefault="00D62FB7">
      <w:r>
        <w:separator/>
      </w:r>
    </w:p>
  </w:endnote>
  <w:endnote w:type="continuationSeparator" w:id="0">
    <w:p w14:paraId="52E36337" w14:textId="77777777" w:rsidR="00D62FB7" w:rsidRDefault="00D6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313E" w14:textId="77777777" w:rsidR="00C51570" w:rsidRDefault="00C515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09980C31" w14:textId="77777777" w:rsidR="00C51570" w:rsidRDefault="00C515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rFonts w:ascii="Calibri" w:eastAsia="Calibri" w:hAnsi="Calibri" w:cs="Calibri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ACA0" w14:textId="63B96780" w:rsidR="00C51570" w:rsidRDefault="00C515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CA593A">
      <w:rPr>
        <w:rFonts w:ascii="Calibri" w:eastAsia="Calibri" w:hAnsi="Calibri" w:cs="Calibri"/>
        <w:noProof/>
        <w:color w:val="000000"/>
        <w:sz w:val="20"/>
        <w:szCs w:val="20"/>
      </w:rPr>
      <w:t>41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115B2CE7" w14:textId="77777777" w:rsidR="00C51570" w:rsidRDefault="00C515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4B12D" w14:textId="77777777" w:rsidR="00D62FB7" w:rsidRDefault="00D62FB7">
      <w:r>
        <w:separator/>
      </w:r>
    </w:p>
  </w:footnote>
  <w:footnote w:type="continuationSeparator" w:id="0">
    <w:p w14:paraId="1D575641" w14:textId="77777777" w:rsidR="00D62FB7" w:rsidRDefault="00D62FB7">
      <w:r>
        <w:continuationSeparator/>
      </w:r>
    </w:p>
  </w:footnote>
  <w:footnote w:id="1">
    <w:p w14:paraId="4C93AD06" w14:textId="77777777" w:rsidR="00C51570" w:rsidRDefault="00C5157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Field represents the coding of the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Worldscope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database for each variable used.</w:t>
      </w:r>
    </w:p>
  </w:footnote>
  <w:footnote w:id="2">
    <w:p w14:paraId="5861A05C" w14:textId="77777777" w:rsidR="00C51570" w:rsidRDefault="00C5157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Because we need the replacement value of total assets to construct the Tobin’s Q variable, we scale all the variables in our estimations with this variable.</w:t>
      </w:r>
    </w:p>
  </w:footnote>
  <w:footnote w:id="3">
    <w:p w14:paraId="3451D9D1" w14:textId="77777777" w:rsidR="00C51570" w:rsidRDefault="00C5157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We use the variance instead of the standard deviation to obtain positive values of the variable because our interest is to measure only the volatility level.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3D25E" w14:textId="77777777" w:rsidR="00C51570" w:rsidRDefault="00C515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75DDC"/>
    <w:multiLevelType w:val="multilevel"/>
    <w:tmpl w:val="296C8CA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 w16cid:durableId="64824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5D"/>
    <w:rsid w:val="000168F9"/>
    <w:rsid w:val="00032D93"/>
    <w:rsid w:val="00073822"/>
    <w:rsid w:val="0009191D"/>
    <w:rsid w:val="000933D8"/>
    <w:rsid w:val="000A2E35"/>
    <w:rsid w:val="000B78F8"/>
    <w:rsid w:val="00106384"/>
    <w:rsid w:val="00120D14"/>
    <w:rsid w:val="0013209F"/>
    <w:rsid w:val="00151980"/>
    <w:rsid w:val="00161A75"/>
    <w:rsid w:val="001E68EA"/>
    <w:rsid w:val="001F57AD"/>
    <w:rsid w:val="00266530"/>
    <w:rsid w:val="002966E4"/>
    <w:rsid w:val="002A3FE0"/>
    <w:rsid w:val="002D1852"/>
    <w:rsid w:val="002E3575"/>
    <w:rsid w:val="00301563"/>
    <w:rsid w:val="00393BB3"/>
    <w:rsid w:val="00395C3D"/>
    <w:rsid w:val="00404149"/>
    <w:rsid w:val="004229A6"/>
    <w:rsid w:val="00440C53"/>
    <w:rsid w:val="00466913"/>
    <w:rsid w:val="004672A6"/>
    <w:rsid w:val="004865B0"/>
    <w:rsid w:val="00500EAD"/>
    <w:rsid w:val="00514799"/>
    <w:rsid w:val="005372BF"/>
    <w:rsid w:val="005416CB"/>
    <w:rsid w:val="005807A0"/>
    <w:rsid w:val="00590350"/>
    <w:rsid w:val="0059199B"/>
    <w:rsid w:val="005C2CC1"/>
    <w:rsid w:val="005C4D1C"/>
    <w:rsid w:val="005C764B"/>
    <w:rsid w:val="006116D7"/>
    <w:rsid w:val="00670CC6"/>
    <w:rsid w:val="006828B9"/>
    <w:rsid w:val="00692276"/>
    <w:rsid w:val="0069290D"/>
    <w:rsid w:val="006D0D00"/>
    <w:rsid w:val="007269D8"/>
    <w:rsid w:val="0076144C"/>
    <w:rsid w:val="007637E9"/>
    <w:rsid w:val="007A083F"/>
    <w:rsid w:val="007C277B"/>
    <w:rsid w:val="007C41D4"/>
    <w:rsid w:val="00816473"/>
    <w:rsid w:val="0083613C"/>
    <w:rsid w:val="00836647"/>
    <w:rsid w:val="0084022A"/>
    <w:rsid w:val="008708FA"/>
    <w:rsid w:val="00882031"/>
    <w:rsid w:val="00884AF9"/>
    <w:rsid w:val="008942FB"/>
    <w:rsid w:val="008A5964"/>
    <w:rsid w:val="008C3B9C"/>
    <w:rsid w:val="009149DE"/>
    <w:rsid w:val="009176D7"/>
    <w:rsid w:val="00975FB2"/>
    <w:rsid w:val="009954DC"/>
    <w:rsid w:val="00997061"/>
    <w:rsid w:val="009B0E2A"/>
    <w:rsid w:val="009B5AD4"/>
    <w:rsid w:val="00A36FB8"/>
    <w:rsid w:val="00AE11B9"/>
    <w:rsid w:val="00B048C0"/>
    <w:rsid w:val="00B669A3"/>
    <w:rsid w:val="00BA7B5D"/>
    <w:rsid w:val="00BC3673"/>
    <w:rsid w:val="00BE208C"/>
    <w:rsid w:val="00BE7FB6"/>
    <w:rsid w:val="00C22351"/>
    <w:rsid w:val="00C2262A"/>
    <w:rsid w:val="00C51570"/>
    <w:rsid w:val="00C918B3"/>
    <w:rsid w:val="00CA593A"/>
    <w:rsid w:val="00CB456B"/>
    <w:rsid w:val="00D345ED"/>
    <w:rsid w:val="00D34D7B"/>
    <w:rsid w:val="00D46F20"/>
    <w:rsid w:val="00D62FB7"/>
    <w:rsid w:val="00D63876"/>
    <w:rsid w:val="00D67CBD"/>
    <w:rsid w:val="00D80F3C"/>
    <w:rsid w:val="00D85C43"/>
    <w:rsid w:val="00DF3700"/>
    <w:rsid w:val="00E433A9"/>
    <w:rsid w:val="00E468D4"/>
    <w:rsid w:val="00ED2DE2"/>
    <w:rsid w:val="00F10754"/>
    <w:rsid w:val="00F46EC9"/>
    <w:rsid w:val="00F711D9"/>
    <w:rsid w:val="00F71278"/>
    <w:rsid w:val="00F90ED5"/>
    <w:rsid w:val="00FA3574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5B0F1"/>
  <w15:docId w15:val="{E50FDFAF-3F6F-E444-BFE6-6AA3DCB5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6C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semiHidden/>
    <w:unhideWhenUsed/>
    <w:rsid w:val="000F0553"/>
    <w:pPr>
      <w:tabs>
        <w:tab w:val="center" w:pos="4680"/>
        <w:tab w:val="right" w:pos="9360"/>
      </w:tabs>
    </w:pPr>
    <w:rPr>
      <w:rFonts w:ascii="Calibri" w:eastAsia="Calibri" w:hAnsi="Calibri"/>
      <w:sz w:val="20"/>
      <w:szCs w:val="20"/>
      <w:lang w:val="es-BO" w:eastAsia="x-none"/>
    </w:rPr>
  </w:style>
  <w:style w:type="character" w:customStyle="1" w:styleId="HeaderChar">
    <w:name w:val="Header Char"/>
    <w:link w:val="Header"/>
    <w:uiPriority w:val="99"/>
    <w:semiHidden/>
    <w:rsid w:val="000F0553"/>
    <w:rPr>
      <w:rFonts w:ascii="Calibri" w:eastAsia="Calibri" w:hAnsi="Calibri"/>
      <w:lang w:val="es-BO" w:eastAsia="x-none"/>
    </w:rPr>
  </w:style>
  <w:style w:type="paragraph" w:styleId="Footer">
    <w:name w:val="footer"/>
    <w:basedOn w:val="Normal"/>
    <w:link w:val="FooterChar"/>
    <w:uiPriority w:val="99"/>
    <w:unhideWhenUsed/>
    <w:rsid w:val="000F0553"/>
    <w:pPr>
      <w:tabs>
        <w:tab w:val="center" w:pos="4680"/>
        <w:tab w:val="right" w:pos="9360"/>
      </w:tabs>
    </w:pPr>
    <w:rPr>
      <w:rFonts w:ascii="Calibri" w:eastAsia="Calibri" w:hAnsi="Calibri"/>
      <w:sz w:val="20"/>
      <w:szCs w:val="20"/>
      <w:lang w:val="es-BO" w:eastAsia="x-none"/>
    </w:rPr>
  </w:style>
  <w:style w:type="character" w:customStyle="1" w:styleId="FooterChar">
    <w:name w:val="Footer Char"/>
    <w:link w:val="Footer"/>
    <w:uiPriority w:val="99"/>
    <w:rsid w:val="000F0553"/>
    <w:rPr>
      <w:rFonts w:ascii="Calibri" w:eastAsia="Calibri" w:hAnsi="Calibri"/>
      <w:lang w:val="es-BO" w:eastAsia="x-none"/>
    </w:rPr>
  </w:style>
  <w:style w:type="character" w:styleId="Hyperlink">
    <w:name w:val="Hyperlink"/>
    <w:uiPriority w:val="99"/>
    <w:unhideWhenUsed/>
    <w:rsid w:val="000F05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0553"/>
    <w:pPr>
      <w:spacing w:after="120"/>
      <w:ind w:left="720"/>
      <w:contextualSpacing/>
    </w:pPr>
    <w:rPr>
      <w:rFonts w:ascii="Calibri" w:eastAsia="Calibri" w:hAnsi="Calibri"/>
      <w:sz w:val="22"/>
      <w:szCs w:val="22"/>
      <w:lang w:val="es-BO"/>
    </w:rPr>
  </w:style>
  <w:style w:type="paragraph" w:styleId="FootnoteText">
    <w:name w:val="footnote text"/>
    <w:basedOn w:val="Normal"/>
    <w:link w:val="FootnoteTextChar"/>
    <w:uiPriority w:val="99"/>
    <w:unhideWhenUsed/>
    <w:rsid w:val="000F0553"/>
    <w:rPr>
      <w:rFonts w:ascii="Calibri" w:eastAsia="Calibri" w:hAnsi="Calibri"/>
      <w:sz w:val="20"/>
      <w:szCs w:val="20"/>
      <w:lang w:val="es-BO" w:eastAsia="x-none"/>
    </w:rPr>
  </w:style>
  <w:style w:type="character" w:customStyle="1" w:styleId="FootnoteTextChar">
    <w:name w:val="Footnote Text Char"/>
    <w:link w:val="FootnoteText"/>
    <w:uiPriority w:val="99"/>
    <w:rsid w:val="000F0553"/>
    <w:rPr>
      <w:rFonts w:ascii="Calibri" w:eastAsia="Calibri" w:hAnsi="Calibri"/>
      <w:lang w:val="es-BO" w:eastAsia="x-none"/>
    </w:rPr>
  </w:style>
  <w:style w:type="character" w:styleId="FootnoteReference">
    <w:name w:val="footnote reference"/>
    <w:uiPriority w:val="99"/>
    <w:unhideWhenUsed/>
    <w:rsid w:val="000F055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53"/>
    <w:rPr>
      <w:rFonts w:ascii="Tahoma" w:eastAsia="Calibri" w:hAnsi="Tahoma"/>
      <w:sz w:val="16"/>
      <w:szCs w:val="16"/>
      <w:lang w:val="es-BO" w:eastAsia="x-none"/>
    </w:rPr>
  </w:style>
  <w:style w:type="character" w:customStyle="1" w:styleId="BalloonTextChar">
    <w:name w:val="Balloon Text Char"/>
    <w:link w:val="BalloonText"/>
    <w:uiPriority w:val="99"/>
    <w:semiHidden/>
    <w:rsid w:val="000F0553"/>
    <w:rPr>
      <w:rFonts w:ascii="Tahoma" w:eastAsia="Calibri" w:hAnsi="Tahoma"/>
      <w:sz w:val="16"/>
      <w:szCs w:val="16"/>
      <w:lang w:val="es-BO" w:eastAsia="x-none"/>
    </w:rPr>
  </w:style>
  <w:style w:type="character" w:styleId="CommentReference">
    <w:name w:val="annotation reference"/>
    <w:uiPriority w:val="99"/>
    <w:semiHidden/>
    <w:unhideWhenUsed/>
    <w:rsid w:val="000F0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53"/>
    <w:pPr>
      <w:spacing w:after="120"/>
    </w:pPr>
    <w:rPr>
      <w:rFonts w:ascii="Calibri" w:eastAsia="Calibri" w:hAnsi="Calibri"/>
      <w:sz w:val="20"/>
      <w:szCs w:val="20"/>
      <w:lang w:val="es-BO" w:eastAsia="x-none"/>
    </w:rPr>
  </w:style>
  <w:style w:type="character" w:customStyle="1" w:styleId="CommentTextChar">
    <w:name w:val="Comment Text Char"/>
    <w:link w:val="CommentText"/>
    <w:uiPriority w:val="99"/>
    <w:semiHidden/>
    <w:rsid w:val="000F0553"/>
    <w:rPr>
      <w:rFonts w:ascii="Calibri" w:eastAsia="Calibri" w:hAnsi="Calibri"/>
      <w:lang w:val="es-BO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5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F0553"/>
    <w:rPr>
      <w:rFonts w:ascii="Calibri" w:eastAsia="Calibri" w:hAnsi="Calibri"/>
      <w:b/>
      <w:bCs/>
      <w:lang w:val="es-BO" w:eastAsia="x-none"/>
    </w:rPr>
  </w:style>
  <w:style w:type="character" w:styleId="PlaceholderText">
    <w:name w:val="Placeholder Text"/>
    <w:uiPriority w:val="99"/>
    <w:semiHidden/>
    <w:rsid w:val="000F0553"/>
    <w:rPr>
      <w:color w:val="808080"/>
    </w:rPr>
  </w:style>
  <w:style w:type="character" w:customStyle="1" w:styleId="apple-converted-space">
    <w:name w:val="apple-converted-space"/>
    <w:rsid w:val="000F0553"/>
  </w:style>
  <w:style w:type="paragraph" w:styleId="Revision">
    <w:name w:val="Revision"/>
    <w:hidden/>
    <w:uiPriority w:val="99"/>
    <w:semiHidden/>
    <w:rsid w:val="000F0553"/>
    <w:rPr>
      <w:rFonts w:ascii="Calibri" w:eastAsia="Calibri" w:hAnsi="Calibri"/>
      <w:sz w:val="22"/>
      <w:szCs w:val="22"/>
      <w:lang w:val="es-BO"/>
    </w:rPr>
  </w:style>
  <w:style w:type="paragraph" w:customStyle="1" w:styleId="Default">
    <w:name w:val="Default"/>
    <w:rsid w:val="000F0553"/>
    <w:pPr>
      <w:autoSpaceDE w:val="0"/>
      <w:autoSpaceDN w:val="0"/>
      <w:adjustRightInd w:val="0"/>
    </w:pPr>
    <w:rPr>
      <w:rFonts w:ascii="Times New Roman" w:eastAsia="Calibri" w:hAnsi="Times New Roman"/>
      <w:color w:val="000000"/>
      <w:lang w:val="es-ES"/>
    </w:rPr>
  </w:style>
  <w:style w:type="paragraph" w:styleId="NormalWeb">
    <w:name w:val="Normal (Web)"/>
    <w:basedOn w:val="Normal"/>
    <w:uiPriority w:val="99"/>
    <w:unhideWhenUsed/>
    <w:rsid w:val="000F0553"/>
    <w:pPr>
      <w:spacing w:before="100" w:beforeAutospacing="1" w:after="100" w:afterAutospacing="1"/>
    </w:pPr>
    <w:rPr>
      <w:rFonts w:ascii="Times New Roman" w:eastAsia="Times New Roman" w:hAnsi="Times New Roman"/>
      <w:lang w:val="es-ES" w:eastAsia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F0553"/>
    <w:pPr>
      <w:spacing w:after="120"/>
    </w:pPr>
    <w:rPr>
      <w:rFonts w:ascii="Calibri" w:eastAsia="Calibri" w:hAnsi="Calibri"/>
      <w:sz w:val="20"/>
      <w:szCs w:val="20"/>
      <w:lang w:val="es-BO"/>
    </w:rPr>
  </w:style>
  <w:style w:type="character" w:customStyle="1" w:styleId="EndnoteTextChar">
    <w:name w:val="Endnote Text Char"/>
    <w:link w:val="EndnoteText"/>
    <w:uiPriority w:val="99"/>
    <w:semiHidden/>
    <w:rsid w:val="000F0553"/>
    <w:rPr>
      <w:rFonts w:ascii="Calibri" w:eastAsia="Calibri" w:hAnsi="Calibri"/>
      <w:lang w:val="es-BO"/>
    </w:rPr>
  </w:style>
  <w:style w:type="character" w:styleId="EndnoteReference">
    <w:name w:val="endnote reference"/>
    <w:uiPriority w:val="99"/>
    <w:semiHidden/>
    <w:unhideWhenUsed/>
    <w:rsid w:val="000F0553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0F0553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3800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3800"/>
    <w:rPr>
      <w:rFonts w:ascii="Lucida Grande" w:hAnsi="Lucida Grande" w:cs="Lucida Grande"/>
      <w:sz w:val="24"/>
      <w:szCs w:val="24"/>
    </w:rPr>
  </w:style>
  <w:style w:type="table" w:styleId="TableGrid">
    <w:name w:val="Table Grid"/>
    <w:basedOn w:val="TableNormal"/>
    <w:uiPriority w:val="59"/>
    <w:rsid w:val="00AA71B1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6719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KuQ5Psx9N2rpZxF18DQNo3OFA==">CgMxLjA4AHIhMWNHV2RDNWk3Rzl5SmNBTFp0TkFPUEdWRzl3T2lINkhY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serhat</dc:creator>
  <cp:lastModifiedBy>Serhat Yaman</cp:lastModifiedBy>
  <cp:revision>3</cp:revision>
  <dcterms:created xsi:type="dcterms:W3CDTF">2025-11-07T19:43:00Z</dcterms:created>
  <dcterms:modified xsi:type="dcterms:W3CDTF">2025-11-07T19:44:00Z</dcterms:modified>
</cp:coreProperties>
</file>