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45" w:rsidRDefault="00B92545" w:rsidP="00B92545">
      <w:pPr>
        <w:spacing w:after="0" w:line="240" w:lineRule="auto"/>
        <w:ind w:left="720" w:hanging="720"/>
        <w:rPr>
          <w:rFonts w:asciiTheme="majorBidi" w:hAnsiTheme="majorBidi"/>
          <w:b/>
          <w:bCs/>
          <w:sz w:val="24"/>
          <w:lang w:val="en-GB"/>
        </w:rPr>
      </w:pPr>
      <w:r>
        <w:rPr>
          <w:rFonts w:asciiTheme="majorBidi" w:hAnsiTheme="majorBidi"/>
          <w:b/>
          <w:bCs/>
          <w:sz w:val="24"/>
          <w:lang w:val="en-GB"/>
        </w:rPr>
        <w:t xml:space="preserve">Appendix </w:t>
      </w:r>
    </w:p>
    <w:p w:rsidR="00B92545" w:rsidRDefault="00B92545" w:rsidP="00B92545">
      <w:pPr>
        <w:spacing w:after="0" w:line="240" w:lineRule="auto"/>
        <w:ind w:left="720" w:hanging="720"/>
        <w:rPr>
          <w:rFonts w:asciiTheme="majorBidi" w:hAnsiTheme="majorBidi"/>
          <w:sz w:val="24"/>
          <w:lang w:val="en-GB"/>
        </w:r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</w:rPr>
      </w:pPr>
      <w:bookmarkStart w:id="0" w:name="_Hlk222130543"/>
      <w:r>
        <w:rPr>
          <w:rFonts w:asciiTheme="majorBidi" w:hAnsiTheme="majorBidi" w:cstheme="majorBidi"/>
          <w:b/>
          <w:bCs/>
        </w:rPr>
        <w:t>Table A1</w:t>
      </w:r>
      <w:r>
        <w:rPr>
          <w:rFonts w:asciiTheme="majorBidi" w:hAnsiTheme="majorBidi" w:cstheme="majorBidi"/>
        </w:rPr>
        <w:t>. Descriptive statistics of processed variables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800"/>
        <w:gridCol w:w="990"/>
        <w:gridCol w:w="900"/>
        <w:gridCol w:w="900"/>
        <w:gridCol w:w="1080"/>
        <w:gridCol w:w="1170"/>
        <w:gridCol w:w="1170"/>
      </w:tblGrid>
      <w:tr w:rsidR="00B92545" w:rsidTr="00594CA6"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bookmarkStart w:id="1" w:name="_Hlk174564503"/>
            <w:bookmarkEnd w:id="0"/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Skew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Kurt.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Jarque-Bera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Unit Root Test</w:t>
            </w:r>
          </w:p>
        </w:tc>
      </w:tr>
      <w:tr w:rsidR="00B92545" w:rsidTr="00594CA6"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bookmarkStart w:id="2" w:name="_Hlk215078015"/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rCOP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Oil prices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0.012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2.468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-0.626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13.621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159.893*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-20.419*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NGP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Gas prices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1.322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-0.881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14.502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231.205*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-19.067*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CP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Coal prices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3.106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-0.503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16.025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182.302*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-22.103*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UP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Uranium prices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0.008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1.630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-0.622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13.169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160.442*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-20.798*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rDPO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Oil production demand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2.046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1.949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0.469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6.278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315.044*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−9.669*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DPG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Gas production demand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1.908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2.004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0.505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7.112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402.757*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−11.041*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DPC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Coal production demand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2.234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3.102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0.612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7.653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338.012*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−10.113*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DPU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Uranium production demand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1.423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2.225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0.438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6.709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423.103*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−13.209*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rSPO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Oil production supply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−0.706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5.845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143.223*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−10.418*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SPG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Gas production supply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2.007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0.323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8.434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445.073*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−11.903*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SPC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Coal production supply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2.515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0.410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7.212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371.148*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−12.417*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rS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PU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Uranium production supply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0.029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1.042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−0.661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5.053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268.311*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−11.223*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Unemployment rate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−0.025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0.122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0.387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1.066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337.105*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-13.768*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Industrial production 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2.355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2.386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-0.762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3.848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256.823*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-5.319*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Consumer price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2.626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2.609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-0.855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8.604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198.024*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-6.415*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PPI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Producer price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2.958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2.901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0.677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8.065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179.331*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-6.611*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RPCE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Real personal consumption expenditure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2.362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2.171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0.384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4.104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1655.506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-8.237*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HS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Housing starts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49.103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-4.186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3.573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17.349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171.298*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-7.602*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Money supply base local currency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6.188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4.573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2.855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17.662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263.904*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-4.965*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CFNAI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Chicago Fed national activity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0.019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-2.565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10.023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144.713*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-3.779*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Macroeconomic uncertainty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0.010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0.917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213.145*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-7.140*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Financial market uncertainty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0.161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2.243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0.396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244.753*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-6.927*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EPUI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Economic policy uncertainty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114.08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103.7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284.14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1.267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227.432*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-4.244*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MCSI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Michigan consumer sentiment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-0.304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17.268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0.021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166.773*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-8.416*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GRI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Geopolitical risk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0.233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-0.925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19.655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1.087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274.406*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-7.221*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NYSE Arca oil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36.174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13.624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3.258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12.456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243.181*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-10.207*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XNG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NYSE Arca natural gas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22.805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9.617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2.917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11.163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229.275*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-12.004*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DJUSCL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DJ coal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21.115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10.342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3.174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10.117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218.232*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-11.713*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GXUI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Global X Uranium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32.327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11.417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3.118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12.006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274.714*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-12.330*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="Aptos" w:eastAsia="Aptos" w:hAnsi="Aptos" w:cs="Arial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Oil return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0.883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1.071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-0.470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0.848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22.734*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-9.617*</w:t>
            </w:r>
          </w:p>
        </w:tc>
      </w:tr>
      <w:tr w:rsidR="00B92545" w:rsidTr="00594CA6">
        <w:tc>
          <w:tcPr>
            <w:tcW w:w="1350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="Aptos" w:eastAsia="Aptos" w:hAnsi="Aptos" w:cs="Arial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rNGI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Gas return index</w:t>
            </w:r>
          </w:p>
        </w:tc>
        <w:tc>
          <w:tcPr>
            <w:tcW w:w="99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0.723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1.181</w:t>
            </w:r>
          </w:p>
        </w:tc>
        <w:tc>
          <w:tcPr>
            <w:tcW w:w="90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-0.394</w:t>
            </w:r>
          </w:p>
        </w:tc>
        <w:tc>
          <w:tcPr>
            <w:tcW w:w="108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0.714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18.331*</w:t>
            </w:r>
          </w:p>
        </w:tc>
        <w:tc>
          <w:tcPr>
            <w:tcW w:w="1170" w:type="dxa"/>
            <w:shd w:val="clear" w:color="auto" w:fill="auto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-8.718*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="Aptos" w:eastAsia="Aptos" w:hAnsi="Aptos" w:cs="Arial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rCI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Coal return index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0.522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0.987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-0.277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0.665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18.407*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-10.113*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Uranium return index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0.405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0.774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-0.268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0.519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16.561*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-9.612*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CORV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Crude oil realised volatility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0.031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0.027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6.592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66.805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266.248*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-7.427*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NGRV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Natural gas realised volatility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0.022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0.102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6.592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43.151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213.441*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-5.332*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Coal realised volatility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0.097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6.592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39.291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224.357*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-7.488*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Uranium realised volatility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0.037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0.066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6.592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40.551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236.804*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-6.612*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SMV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Stock market variance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0.268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0.152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8.762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86.698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249.766*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-10.019*</w:t>
            </w:r>
          </w:p>
        </w:tc>
      </w:tr>
      <w:tr w:rsidR="00B92545" w:rsidTr="00594CA6">
        <w:tc>
          <w:tcPr>
            <w:tcW w:w="135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TS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Term spread</w:t>
            </w:r>
          </w:p>
        </w:tc>
        <w:tc>
          <w:tcPr>
            <w:tcW w:w="99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-0.056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-0.179</w:t>
            </w:r>
          </w:p>
        </w:tc>
        <w:tc>
          <w:tcPr>
            <w:tcW w:w="90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0.553</w:t>
            </w:r>
          </w:p>
        </w:tc>
        <w:tc>
          <w:tcPr>
            <w:tcW w:w="108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0.948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196.531*</w:t>
            </w:r>
          </w:p>
        </w:tc>
        <w:tc>
          <w:tcPr>
            <w:tcW w:w="1170" w:type="dxa"/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-9.554*</w:t>
            </w:r>
          </w:p>
        </w:tc>
      </w:tr>
      <w:tr w:rsidR="00B92545" w:rsidTr="00594CA6">
        <w:tc>
          <w:tcPr>
            <w:tcW w:w="135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DYS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Default-yield spread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-0.029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-0.524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0.435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137.208*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-6.804*</w:t>
            </w:r>
          </w:p>
        </w:tc>
      </w:tr>
    </w:tbl>
    <w:bookmarkEnd w:id="1"/>
    <w:bookmarkEnd w:id="2"/>
    <w:p w:rsidR="00B92545" w:rsidRDefault="00B92545" w:rsidP="00B92545">
      <w:pPr>
        <w:spacing w:line="259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Note(s)</w:t>
      </w:r>
      <w:r>
        <w:rPr>
          <w:rFonts w:asciiTheme="majorBidi" w:hAnsiTheme="majorBidi" w:cstheme="majorBidi"/>
          <w:sz w:val="20"/>
          <w:szCs w:val="20"/>
        </w:rPr>
        <w:t>: * Indicates rejection of the presence of a unit root at the 1% significance level</w:t>
      </w:r>
    </w:p>
    <w:p w:rsidR="00B92545" w:rsidRDefault="00B92545" w:rsidP="00B9254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Source(s)</w:t>
      </w:r>
      <w:r>
        <w:rPr>
          <w:rFonts w:asciiTheme="majorBidi" w:hAnsiTheme="majorBidi" w:cstheme="majorBidi"/>
          <w:sz w:val="20"/>
          <w:szCs w:val="20"/>
        </w:rPr>
        <w:t>: Authors’ own elaboration.</w:t>
      </w: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  <w:sectPr w:rsidR="00B92545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2545" w:rsidRDefault="00B92545" w:rsidP="00B92545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lastRenderedPageBreak/>
        <w:t>T</w:t>
      </w:r>
      <w:r>
        <w:rPr>
          <w:rFonts w:asciiTheme="majorBidi" w:hAnsiTheme="majorBidi" w:cstheme="majorBidi"/>
          <w:b/>
          <w:bCs/>
        </w:rPr>
        <w:t>able A2</w:t>
      </w:r>
      <w:r>
        <w:rPr>
          <w:rFonts w:asciiTheme="majorBidi" w:hAnsiTheme="majorBidi" w:cstheme="majorBidi"/>
        </w:rPr>
        <w:t>. Spearman correlation between variables</w:t>
      </w:r>
    </w:p>
    <w:tbl>
      <w:tblPr>
        <w:tblpPr w:leftFromText="180" w:rightFromText="180" w:horzAnchor="page" w:tblpXSpec="center" w:tblpY="628"/>
        <w:tblW w:w="14805" w:type="dxa"/>
        <w:tblLook w:val="04A0" w:firstRow="1" w:lastRow="0" w:firstColumn="1" w:lastColumn="0" w:noHBand="0" w:noVBand="1"/>
      </w:tblPr>
      <w:tblGrid>
        <w:gridCol w:w="583"/>
        <w:gridCol w:w="395"/>
        <w:gridCol w:w="411"/>
        <w:gridCol w:w="428"/>
        <w:gridCol w:w="391"/>
        <w:gridCol w:w="391"/>
        <w:gridCol w:w="391"/>
        <w:gridCol w:w="467"/>
        <w:gridCol w:w="540"/>
        <w:gridCol w:w="630"/>
        <w:gridCol w:w="517"/>
        <w:gridCol w:w="630"/>
        <w:gridCol w:w="450"/>
        <w:gridCol w:w="450"/>
        <w:gridCol w:w="461"/>
        <w:gridCol w:w="391"/>
        <w:gridCol w:w="450"/>
        <w:gridCol w:w="630"/>
        <w:gridCol w:w="583"/>
        <w:gridCol w:w="527"/>
        <w:gridCol w:w="450"/>
        <w:gridCol w:w="450"/>
        <w:gridCol w:w="450"/>
        <w:gridCol w:w="540"/>
        <w:gridCol w:w="494"/>
        <w:gridCol w:w="500"/>
        <w:gridCol w:w="536"/>
        <w:gridCol w:w="428"/>
        <w:gridCol w:w="433"/>
        <w:gridCol w:w="391"/>
        <w:gridCol w:w="417"/>
      </w:tblGrid>
      <w:tr w:rsidR="00B92545" w:rsidTr="00594CA6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SPC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DPC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URV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IPI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CPI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PPI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RPCE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HS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MI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CFNAI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MUI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FUI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EPUI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MCSI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GRI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XOI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XNG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DJUSCL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ETFI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OI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NGI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UI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CORV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NGRV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CRV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URV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SMV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TS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DYS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SPC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-0.16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DPC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URV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IPI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CPI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PPI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RPCE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HS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-0.22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CFNAI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MUI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FUI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EPUI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MCSI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GRI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0.12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XOI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XNG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DJUSCL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-0.23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ETFI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-0.19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OI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-0.22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NGI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-0.13</w:t>
            </w:r>
          </w:p>
        </w:tc>
      </w:tr>
      <w:tr w:rsidR="00B92545" w:rsidTr="00594CA6">
        <w:trPr>
          <w:trHeight w:val="2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CI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0.01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545" w:rsidRDefault="00B92545" w:rsidP="00594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0"/>
                <w:szCs w:val="10"/>
                <w14:ligatures w14:val="none"/>
              </w:rPr>
              <w:t>-0.06</w:t>
            </w:r>
          </w:p>
        </w:tc>
      </w:tr>
    </w:tbl>
    <w:p w:rsidR="00B92545" w:rsidRDefault="00B92545" w:rsidP="00B92545">
      <w:pPr>
        <w:spacing w:after="0" w:line="240" w:lineRule="auto"/>
        <w:ind w:left="720" w:hanging="720"/>
        <w:rPr>
          <w:rFonts w:asciiTheme="majorBidi" w:hAnsiTheme="majorBidi"/>
          <w:sz w:val="24"/>
          <w:lang w:val="en-GB"/>
        </w:rPr>
      </w:pPr>
    </w:p>
    <w:p w:rsidR="00B92545" w:rsidRDefault="00B92545" w:rsidP="00B92545">
      <w:pPr>
        <w:spacing w:line="259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Source(s)</w:t>
      </w:r>
      <w:r>
        <w:rPr>
          <w:rFonts w:asciiTheme="majorBidi" w:hAnsiTheme="majorBidi" w:cstheme="majorBidi"/>
          <w:sz w:val="20"/>
          <w:szCs w:val="20"/>
        </w:rPr>
        <w:t>: Authors’ own elaboration.</w:t>
      </w:r>
    </w:p>
    <w:p w:rsidR="00B92545" w:rsidRDefault="00B92545" w:rsidP="00B92545">
      <w:pPr>
        <w:rPr>
          <w:rFonts w:asciiTheme="majorBidi" w:hAnsiTheme="majorBidi" w:cstheme="majorBidi"/>
          <w:sz w:val="20"/>
          <w:szCs w:val="20"/>
        </w:rPr>
        <w:sectPr w:rsidR="00B9254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5"/>
        <w:gridCol w:w="1255"/>
        <w:gridCol w:w="2610"/>
      </w:tblGrid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ind w:left="720" w:hanging="720"/>
              <w:rPr>
                <w:rFonts w:asciiTheme="majorBidi" w:hAnsiTheme="majorBidi" w:cstheme="majorBidi"/>
              </w:rPr>
            </w:pPr>
            <w:bookmarkStart w:id="3" w:name="_Hlk170674302"/>
            <w:r>
              <w:rPr>
                <w:rFonts w:asciiTheme="majorBidi" w:hAnsiTheme="majorBidi" w:cstheme="majorBidi"/>
                <w:b/>
                <w:bCs/>
              </w:rPr>
              <w:lastRenderedPageBreak/>
              <w:t>Table A3</w:t>
            </w:r>
            <w:r>
              <w:rPr>
                <w:rFonts w:asciiTheme="majorBidi" w:hAnsiTheme="majorBidi" w:cstheme="majorBidi"/>
              </w:rPr>
              <w:t>. Out-of-sample prediction results for WTI crude oil price volatility</w:t>
            </w:r>
          </w:p>
        </w:tc>
      </w:tr>
      <w:tr w:rsidR="00B92545" w:rsidTr="00594CA6">
        <w:trPr>
          <w:jc w:val="center"/>
        </w:trPr>
        <w:tc>
          <w:tcPr>
            <w:tcW w:w="27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GARCH Model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1.321(-)*</w:t>
            </w:r>
          </w:p>
        </w:tc>
      </w:tr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Univariate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b/>
                <w:bCs/>
              </w:rPr>
              <w:t>GARCH Model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rDPO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1.141(-)*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1.141(-)*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rSPO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1.092(-)**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XNG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1.086(-)*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1.053(-)**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DJUSCL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1.116(-)*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1.112(-)***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ETFI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1.077(-)*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1.450(-)*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1.047(-)*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PPI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1.067(-)*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rNGI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1.213(-)*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RPCE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1.110(-)**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rCI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1.109(-)**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HS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1.069(-)*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1.211(-)*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1.085(-)**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CORV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1.139(-)**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CFNAI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1.201(-)*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NGRV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1.200(-)**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1.092(-)*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1.194(-)***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1.104(-)*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1.305(-)**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EPUI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1.022(-)*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SMV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1.334(-)*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MCSI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1.030(-)*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TS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1.290(-)**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GRI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1.044(-)*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DYS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1.144(-)**</w:t>
            </w:r>
          </w:p>
        </w:tc>
      </w:tr>
    </w:tbl>
    <w:p w:rsidR="00B92545" w:rsidRDefault="00B92545" w:rsidP="00B92545">
      <w:pPr>
        <w:spacing w:after="0" w:line="240" w:lineRule="auto"/>
        <w:ind w:left="144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Note(s)</w:t>
      </w:r>
      <w:r>
        <w:rPr>
          <w:rFonts w:asciiTheme="majorBidi" w:hAnsiTheme="majorBidi" w:cstheme="majorBidi"/>
          <w:sz w:val="18"/>
          <w:szCs w:val="18"/>
        </w:rPr>
        <w:t>: *, **, and *** indicate significance at the 1%, 5% and 10% levels, respectively.</w:t>
      </w:r>
      <w:r>
        <w:rPr>
          <w:sz w:val="20"/>
          <w:szCs w:val="20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A negative sign (-) suggests that this model performs worse than the one selected in this study</w:t>
      </w:r>
    </w:p>
    <w:p w:rsidR="00B92545" w:rsidRDefault="00B92545" w:rsidP="00B92545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Source(s)</w:t>
      </w:r>
      <w:r>
        <w:rPr>
          <w:rFonts w:asciiTheme="majorBidi" w:hAnsiTheme="majorBidi" w:cstheme="majorBidi"/>
          <w:sz w:val="18"/>
          <w:szCs w:val="18"/>
        </w:rPr>
        <w:t>:  Authors’ own elaboration</w:t>
      </w:r>
    </w:p>
    <w:bookmarkEnd w:id="3"/>
    <w:p w:rsidR="00B92545" w:rsidRDefault="00B92545" w:rsidP="00B92545">
      <w:pPr>
        <w:spacing w:line="259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5"/>
        <w:gridCol w:w="1255"/>
        <w:gridCol w:w="2610"/>
      </w:tblGrid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Table A4</w:t>
            </w:r>
            <w:r>
              <w:rPr>
                <w:rFonts w:asciiTheme="majorBidi" w:hAnsiTheme="majorBidi" w:cstheme="majorBidi"/>
              </w:rPr>
              <w:t>. Out-of-sample prediction results for natural gas price volatility</w:t>
            </w:r>
          </w:p>
        </w:tc>
      </w:tr>
      <w:tr w:rsidR="00B92545" w:rsidTr="00594CA6">
        <w:trPr>
          <w:jc w:val="center"/>
        </w:trPr>
        <w:tc>
          <w:tcPr>
            <w:tcW w:w="27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GARCH Model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1.121(-)*</w:t>
            </w:r>
          </w:p>
        </w:tc>
      </w:tr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Univariate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b/>
                <w:bCs/>
              </w:rPr>
              <w:t>GARCH Model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rDNG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1.084(-)**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1.001(-)**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rSNG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1.103(-)*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XNG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1.170(-)*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1.007(-)**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DJUSCL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1.224(-)*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ETFI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1.105(-)**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1.136(-)*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1.051(-)*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PPI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1.117(-)**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rNGI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1.405(-)*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RPCE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1.110(-)*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rCI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1.308(-)**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HS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1.441(-)*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1.001(-)**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1.509(-)*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CORV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CFNAI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1.067(-)**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NGRV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1.119(-)**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1.116(-)**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1.305(-)*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1.009(-)**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EPUI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1.118(-)*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SMV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1.051(-)**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MCSI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1.151(-)*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TS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1.044(-)**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GRI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1.002(-)*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DYS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1.003(-)**</w:t>
            </w:r>
          </w:p>
        </w:tc>
      </w:tr>
    </w:tbl>
    <w:p w:rsidR="00B92545" w:rsidRDefault="00B92545" w:rsidP="00B92545">
      <w:pPr>
        <w:spacing w:after="0" w:line="240" w:lineRule="auto"/>
        <w:ind w:left="144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Note(s)</w:t>
      </w:r>
      <w:r>
        <w:rPr>
          <w:rFonts w:asciiTheme="majorBidi" w:hAnsiTheme="majorBidi" w:cstheme="majorBidi"/>
          <w:sz w:val="18"/>
          <w:szCs w:val="18"/>
        </w:rPr>
        <w:t>: * and ** indicate significance at the 1% and 5% levels, respectively.</w:t>
      </w:r>
      <w:r>
        <w:rPr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A negative sign (-) suggests that this model performs worse than the one selected in this study </w:t>
      </w:r>
    </w:p>
    <w:p w:rsidR="00B92545" w:rsidRDefault="00B92545" w:rsidP="00B92545">
      <w:pPr>
        <w:spacing w:after="0" w:line="240" w:lineRule="auto"/>
        <w:ind w:left="144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Source(s)</w:t>
      </w:r>
      <w:r>
        <w:rPr>
          <w:rFonts w:asciiTheme="majorBidi" w:hAnsiTheme="majorBidi" w:cstheme="majorBidi"/>
          <w:sz w:val="18"/>
          <w:szCs w:val="18"/>
        </w:rPr>
        <w:t>:  Authors’ own elaboration.</w:t>
      </w:r>
    </w:p>
    <w:p w:rsidR="00B92545" w:rsidRDefault="00B92545" w:rsidP="00B92545">
      <w:pPr>
        <w:spacing w:line="259" w:lineRule="auto"/>
        <w:rPr>
          <w:rFonts w:asciiTheme="majorBidi" w:hAnsiTheme="majorBidi" w:cstheme="majorBidi"/>
          <w:sz w:val="24"/>
          <w:szCs w:val="24"/>
        </w:rPr>
      </w:pPr>
    </w:p>
    <w:p w:rsidR="00B92545" w:rsidRDefault="00B92545" w:rsidP="00B92545">
      <w:pPr>
        <w:spacing w:line="259" w:lineRule="auto"/>
        <w:rPr>
          <w:rFonts w:asciiTheme="majorBidi" w:hAnsiTheme="majorBidi" w:cstheme="majorBidi"/>
          <w:sz w:val="24"/>
          <w:szCs w:val="24"/>
        </w:rPr>
      </w:pPr>
    </w:p>
    <w:p w:rsidR="00B92545" w:rsidRDefault="00B92545" w:rsidP="00B92545">
      <w:pPr>
        <w:spacing w:line="259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5"/>
        <w:gridCol w:w="1255"/>
        <w:gridCol w:w="2610"/>
      </w:tblGrid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Table A5</w:t>
            </w:r>
            <w:r>
              <w:rPr>
                <w:rFonts w:asciiTheme="majorBidi" w:hAnsiTheme="majorBidi" w:cstheme="majorBidi"/>
              </w:rPr>
              <w:t>. Out-of-sample prediction results for coal price volatility</w:t>
            </w:r>
          </w:p>
        </w:tc>
      </w:tr>
      <w:tr w:rsidR="00B92545" w:rsidTr="00594CA6">
        <w:trPr>
          <w:jc w:val="center"/>
        </w:trPr>
        <w:tc>
          <w:tcPr>
            <w:tcW w:w="27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GARCH Model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1.004(-)*</w:t>
            </w:r>
          </w:p>
        </w:tc>
      </w:tr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Univariate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b/>
                <w:bCs/>
              </w:rPr>
              <w:t>GARCH Model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rDC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1.011(-)**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rSC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1.212(-)*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XNG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1.019(-)*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1.247(-)**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DJUSCL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1.112(-)*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1.109(-)*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ETFI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1.003(-)**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1.006(-)*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1.114(-)*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PPI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1.200(-)**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rNGI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1.005(-)**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RPCE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1.315(-)*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rCI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1.002(-)*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HS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1.117(-)*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1.253(-)*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1.226(-)*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CORV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1.228(-)**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CFNAI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1.614(-)**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NGRV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1.0195(-)**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1.005(-)**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1.007(-)***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1.311(-)**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EPUI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1.333(-)*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SMV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1.226(-)*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MCSI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1.110(-)*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TS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1.108(-)*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GRI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1.219(-)*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DYS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1.096(-)***</w:t>
            </w:r>
          </w:p>
        </w:tc>
      </w:tr>
    </w:tbl>
    <w:p w:rsidR="00B92545" w:rsidRDefault="00B92545" w:rsidP="00B92545">
      <w:pPr>
        <w:spacing w:after="0" w:line="240" w:lineRule="auto"/>
        <w:ind w:left="1440"/>
        <w:rPr>
          <w:rFonts w:asciiTheme="majorBidi" w:hAnsiTheme="majorBidi"/>
          <w:sz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Note(s)</w:t>
      </w:r>
      <w:r>
        <w:rPr>
          <w:rFonts w:asciiTheme="majorBidi" w:hAnsiTheme="majorBidi" w:cstheme="majorBidi"/>
          <w:sz w:val="18"/>
          <w:szCs w:val="18"/>
        </w:rPr>
        <w:t>: *, **, and *** indicate significance at the 1%, 5%, and 10% levels, respectively.</w:t>
      </w:r>
      <w:r>
        <w:rPr>
          <w:sz w:val="20"/>
          <w:szCs w:val="20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A negative sign (-) suggests that this model performs worse than the one selected in this study</w:t>
      </w:r>
    </w:p>
    <w:p w:rsidR="00B92545" w:rsidRDefault="00B92545" w:rsidP="00B92545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Source(s)</w:t>
      </w:r>
      <w:r>
        <w:rPr>
          <w:rFonts w:asciiTheme="majorBidi" w:hAnsiTheme="majorBidi" w:cstheme="majorBidi"/>
          <w:sz w:val="18"/>
          <w:szCs w:val="18"/>
        </w:rPr>
        <w:t>:  Authors’ own elaboration</w:t>
      </w:r>
    </w:p>
    <w:p w:rsidR="00B92545" w:rsidRDefault="00B92545" w:rsidP="00B92545">
      <w:pPr>
        <w:spacing w:line="259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5"/>
        <w:gridCol w:w="1255"/>
        <w:gridCol w:w="2610"/>
      </w:tblGrid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Table A6</w:t>
            </w:r>
            <w:r>
              <w:rPr>
                <w:rFonts w:asciiTheme="majorBidi" w:hAnsiTheme="majorBidi" w:cstheme="majorBidi"/>
              </w:rPr>
              <w:t>. Out-of-sample prediction results for uranium price volatility</w:t>
            </w:r>
          </w:p>
        </w:tc>
      </w:tr>
      <w:tr w:rsidR="00B92545" w:rsidTr="00594CA6">
        <w:trPr>
          <w:jc w:val="center"/>
        </w:trPr>
        <w:tc>
          <w:tcPr>
            <w:tcW w:w="27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GARCH Model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1.105(-)*</w:t>
            </w:r>
          </w:p>
        </w:tc>
      </w:tr>
      <w:tr w:rsidR="00B92545" w:rsidTr="00594CA6">
        <w:trPr>
          <w:jc w:val="center"/>
        </w:trPr>
        <w:tc>
          <w:tcPr>
            <w:tcW w:w="6835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Univariate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eastAsia="Aptos" w:hAnsi="Times New Roman" w:cs="Times New Roman"/>
                <w:b/>
                <w:bCs/>
              </w:rPr>
              <w:t>GARCH Model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rDU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1.055(-)**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rSU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1.002(-)*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XNG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1.114(-)*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1.017(-)**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DJUSCL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1.207(-)*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1.222(-)*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ETFI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1.164(-)**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1.113(-)*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rOI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1.022(-)*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PPI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1.121(-)**</w:t>
            </w:r>
          </w:p>
        </w:tc>
        <w:tc>
          <w:tcPr>
            <w:tcW w:w="125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rNGI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1.055(-)***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RPCE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1.006(-)*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rCI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1.272(-)**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HS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1.103(-)*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1.006(-)*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M1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1.006(-)*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CORV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1.023(-)*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CFNAI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1.024(-)**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NGRV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1.108(-)*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1.114(-)**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CRV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1.316(-)*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FUI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1.182(-)**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URV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1.207(-)*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EPUI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1.107(-)*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SMV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1.142(-)*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MCSI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1.203(-)*</w:t>
            </w:r>
          </w:p>
        </w:tc>
        <w:tc>
          <w:tcPr>
            <w:tcW w:w="1255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TS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1.209(-)***</w:t>
            </w:r>
          </w:p>
        </w:tc>
      </w:tr>
      <w:tr w:rsidR="00B92545" w:rsidTr="00594CA6">
        <w:trPr>
          <w:jc w:val="center"/>
        </w:trPr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GRI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1.114(-)*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DYS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B92545" w:rsidRDefault="00B92545" w:rsidP="00594CA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1.154(-)***</w:t>
            </w:r>
          </w:p>
        </w:tc>
      </w:tr>
    </w:tbl>
    <w:p w:rsidR="00B92545" w:rsidRDefault="00B92545" w:rsidP="00B92545">
      <w:pPr>
        <w:spacing w:after="0" w:line="240" w:lineRule="auto"/>
        <w:ind w:left="1440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Note(s)</w:t>
      </w:r>
      <w:r>
        <w:rPr>
          <w:rFonts w:asciiTheme="majorBidi" w:hAnsiTheme="majorBidi" w:cstheme="majorBidi"/>
          <w:sz w:val="18"/>
          <w:szCs w:val="18"/>
        </w:rPr>
        <w:t>: *, **, and *** indicate significance at the 1%, 5%, and 10% levels, respectively.</w:t>
      </w:r>
      <w:r>
        <w:rPr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A negative sign (-) suggests that this model performs worse than the one selected in this study</w:t>
      </w:r>
    </w:p>
    <w:p w:rsidR="00B92545" w:rsidRDefault="00B92545" w:rsidP="00B92545">
      <w:pPr>
        <w:tabs>
          <w:tab w:val="left" w:pos="1366"/>
        </w:tabs>
        <w:rPr>
          <w:rFonts w:asciiTheme="majorBidi" w:hAnsiTheme="majorBidi"/>
          <w:sz w:val="24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ab/>
        <w:t>Source(s)</w:t>
      </w:r>
      <w:r>
        <w:rPr>
          <w:rFonts w:asciiTheme="majorBidi" w:hAnsiTheme="majorBidi" w:cstheme="majorBidi"/>
          <w:sz w:val="18"/>
          <w:szCs w:val="18"/>
        </w:rPr>
        <w:t>:  Authors’ own elaboration</w:t>
      </w:r>
      <w:r>
        <w:rPr>
          <w:rFonts w:asciiTheme="majorBidi" w:hAnsiTheme="majorBidi"/>
          <w:sz w:val="24"/>
        </w:rPr>
        <w:tab/>
      </w:r>
      <w:r>
        <w:rPr>
          <w:rFonts w:asciiTheme="majorBidi" w:hAnsiTheme="majorBidi"/>
          <w:sz w:val="24"/>
        </w:rPr>
        <w:tab/>
      </w:r>
    </w:p>
    <w:p w:rsidR="00887579" w:rsidRDefault="00B92545">
      <w:bookmarkStart w:id="4" w:name="_GoBack"/>
      <w:bookmarkEnd w:id="4"/>
    </w:p>
    <w:sectPr w:rsidR="00887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475778"/>
      <w:docPartObj>
        <w:docPartGallery w:val="AutoText"/>
      </w:docPartObj>
    </w:sdtPr>
    <w:sdtEndPr/>
    <w:sdtContent>
      <w:p w:rsidR="00251717" w:rsidRDefault="00B925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51717" w:rsidRDefault="00B9254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45"/>
    <w:rsid w:val="00382900"/>
    <w:rsid w:val="00B92545"/>
    <w:rsid w:val="00D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006AC-50CE-482D-B9D1-0A98500C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4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9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545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545"/>
    <w:rPr>
      <w:b/>
      <w:bCs/>
      <w:kern w:val="2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B9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545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rsid w:val="00B9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92545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925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B92545"/>
    <w:pPr>
      <w:spacing w:after="0" w:line="240" w:lineRule="auto"/>
    </w:pPr>
    <w:rPr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qFormat/>
    <w:rsid w:val="00B92545"/>
  </w:style>
  <w:style w:type="character" w:styleId="PlaceholderText">
    <w:name w:val="Placeholder Text"/>
    <w:basedOn w:val="DefaultParagraphFont"/>
    <w:uiPriority w:val="99"/>
    <w:semiHidden/>
    <w:rsid w:val="00B9254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545"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sid w:val="00B92545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B92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4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Cittrarul T.</dc:creator>
  <cp:keywords/>
  <dc:description/>
  <cp:lastModifiedBy>Cittrarul T.</cp:lastModifiedBy>
  <cp:revision>1</cp:revision>
  <dcterms:created xsi:type="dcterms:W3CDTF">2026-04-17T03:23:00Z</dcterms:created>
  <dcterms:modified xsi:type="dcterms:W3CDTF">2026-04-17T03:25:00Z</dcterms:modified>
</cp:coreProperties>
</file>