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spacing w:before="0" w:after="0"/>
        <w:ind w:hanging="0" w:start="0"/>
        <w:rPr>
          <w:rFonts w:cs="Times New Roman"/>
          <w:sz w:val="24"/>
          <w:szCs w:val="22"/>
        </w:rPr>
      </w:pPr>
      <w:r>
        <w:rPr>
          <w:rFonts w:cs="Times New Roman"/>
          <w:sz w:val="24"/>
          <w:szCs w:val="22"/>
        </w:rPr>
        <w:t>A</w:t>
      </w:r>
      <w:r>
        <w:rPr>
          <w:rFonts w:cs="Times New Roman"/>
          <w:sz w:val="24"/>
          <w:szCs w:val="22"/>
        </w:rPr>
        <w:t>ppendix A</w:t>
      </w:r>
    </w:p>
    <w:p>
      <w:pPr>
        <w:pStyle w:val="Heading2"/>
        <w:numPr>
          <w:ilvl w:val="0"/>
          <w:numId w:val="0"/>
        </w:numPr>
        <w:ind w:hanging="0" w:start="0"/>
        <w:rPr>
          <w:u w:val="single"/>
        </w:rPr>
      </w:pPr>
      <w:r>
        <w:rPr>
          <w:u w:val="single"/>
        </w:rPr>
        <w:t xml:space="preserve">The Pairwise Comparisons Questionnaire Form </w:t>
      </w:r>
    </w:p>
    <w:p>
      <w:pPr>
        <w:pStyle w:val="Normal"/>
        <w:jc w:val="both"/>
        <w:rPr>
          <w:sz w:val="22"/>
          <w:szCs w:val="22"/>
          <w:shd w:fill="FFFFFF" w:val="clear"/>
        </w:rPr>
      </w:pPr>
      <w:r>
        <w:rPr>
          <w:sz w:val="22"/>
          <w:szCs w:val="22"/>
          <w:shd w:fill="FFFFFF" w:val="clear"/>
        </w:rPr>
        <w:t xml:space="preserve">The survey form provided below is utilized to assess the priorities of the technologies and the </w:t>
      </w:r>
      <w:r>
        <w:rPr>
          <w:sz w:val="22"/>
        </w:rPr>
        <w:t>factors</w:t>
      </w:r>
      <w:r>
        <w:rPr>
          <w:sz w:val="22"/>
          <w:szCs w:val="22"/>
          <w:shd w:fill="FFFFFF" w:val="clear"/>
        </w:rPr>
        <w:t xml:space="preserve"> that are anticipated to play a crucial role in understanding "the impact of digital technologies on supply chain resilience. "You are requested to review fourteen factors in six groups: </w:t>
      </w:r>
    </w:p>
    <w:p>
      <w:pPr>
        <w:pStyle w:val="ListParagraph"/>
        <w:numPr>
          <w:ilvl w:val="0"/>
          <w:numId w:val="2"/>
        </w:numPr>
        <w:spacing w:lineRule="auto" w:line="360" w:before="0" w:after="120"/>
        <w:contextualSpacing/>
        <w:jc w:val="both"/>
        <w:rPr>
          <w:rFonts w:ascii="Times New Roman" w:hAnsi="Times New Roman" w:cs="Times New Roman"/>
          <w:shd w:fill="FFFFFF" w:val="clear"/>
          <w:lang w:val="en-GB"/>
        </w:rPr>
      </w:pPr>
      <w:r>
        <w:rPr>
          <w:rFonts w:cs="Times New Roman" w:ascii="Times New Roman" w:hAnsi="Times New Roman"/>
          <w:shd w:fill="FFFFFF" w:val="clear"/>
          <w:lang w:val="en-GB"/>
        </w:rPr>
        <w:t>Emerging digital technologies (Blockchain Technology and IoT)</w:t>
      </w:r>
    </w:p>
    <w:p>
      <w:pPr>
        <w:pStyle w:val="ListParagraph"/>
        <w:numPr>
          <w:ilvl w:val="0"/>
          <w:numId w:val="2"/>
        </w:numPr>
        <w:spacing w:lineRule="auto" w:line="360" w:before="0" w:after="120"/>
        <w:contextualSpacing/>
        <w:jc w:val="both"/>
        <w:rPr>
          <w:rFonts w:ascii="Times New Roman" w:hAnsi="Times New Roman" w:cs="Times New Roman"/>
          <w:shd w:fill="FFFFFF" w:val="clear"/>
          <w:lang w:val="en-GB"/>
        </w:rPr>
      </w:pPr>
      <w:r>
        <w:rPr>
          <w:rFonts w:cs="Times New Roman" w:ascii="Times New Roman" w:hAnsi="Times New Roman"/>
          <w:shd w:fill="FFFFFF" w:val="clear"/>
          <w:lang w:val="en-GB"/>
        </w:rPr>
        <w:t>Emerging analytical technologies (Big Data Analytics, Cloud Computing, and AI)</w:t>
      </w:r>
    </w:p>
    <w:p>
      <w:pPr>
        <w:pStyle w:val="ListParagraph"/>
        <w:numPr>
          <w:ilvl w:val="0"/>
          <w:numId w:val="2"/>
        </w:numPr>
        <w:spacing w:lineRule="auto" w:line="360" w:before="0" w:after="120"/>
        <w:contextualSpacing/>
        <w:jc w:val="both"/>
        <w:rPr>
          <w:rFonts w:ascii="Times New Roman" w:hAnsi="Times New Roman" w:cs="Times New Roman"/>
          <w:shd w:fill="FFFFFF" w:val="clear"/>
          <w:lang w:val="en-GB"/>
        </w:rPr>
      </w:pPr>
      <w:r>
        <w:rPr>
          <w:rFonts w:cs="Times New Roman" w:ascii="Times New Roman" w:hAnsi="Times New Roman"/>
          <w:shd w:fill="FFFFFF" w:val="clear"/>
          <w:lang w:val="en-GB"/>
        </w:rPr>
        <w:t xml:space="preserve">Established digital technologies (Industrial Robotics and ERP) </w:t>
      </w:r>
    </w:p>
    <w:p>
      <w:pPr>
        <w:pStyle w:val="ListParagraph"/>
        <w:numPr>
          <w:ilvl w:val="0"/>
          <w:numId w:val="2"/>
        </w:numPr>
        <w:spacing w:lineRule="auto" w:line="360" w:before="0" w:after="120"/>
        <w:contextualSpacing/>
        <w:jc w:val="both"/>
        <w:rPr>
          <w:rFonts w:ascii="Times New Roman" w:hAnsi="Times New Roman" w:cs="Times New Roman"/>
          <w:shd w:fill="FFFFFF" w:val="clear"/>
          <w:lang w:val="en-GB"/>
        </w:rPr>
      </w:pPr>
      <w:r>
        <w:rPr>
          <w:rFonts w:cs="Times New Roman" w:ascii="Times New Roman" w:hAnsi="Times New Roman"/>
          <w:shd w:fill="FFFFFF" w:val="clear"/>
          <w:lang w:val="en-GB"/>
        </w:rPr>
        <w:t>Foundational resilience factors (Security, Redundancy, and Scalability)</w:t>
      </w:r>
    </w:p>
    <w:p>
      <w:pPr>
        <w:pStyle w:val="ListParagraph"/>
        <w:numPr>
          <w:ilvl w:val="0"/>
          <w:numId w:val="2"/>
        </w:numPr>
        <w:spacing w:lineRule="auto" w:line="360" w:before="0" w:after="120"/>
        <w:contextualSpacing/>
        <w:jc w:val="both"/>
        <w:rPr>
          <w:rFonts w:ascii="Times New Roman" w:hAnsi="Times New Roman" w:cs="Times New Roman"/>
          <w:shd w:fill="FFFFFF" w:val="clear"/>
          <w:lang w:val="en-GB"/>
        </w:rPr>
      </w:pPr>
      <w:r>
        <w:rPr>
          <w:rFonts w:cs="Times New Roman" w:ascii="Times New Roman" w:hAnsi="Times New Roman"/>
          <w:shd w:fill="FFFFFF" w:val="clear"/>
          <w:lang w:val="en-GB"/>
        </w:rPr>
        <w:t>Operational resilience factors (Visibility, Collaboration, and Velocity)</w:t>
      </w:r>
    </w:p>
    <w:p>
      <w:pPr>
        <w:pStyle w:val="ListParagraph"/>
        <w:numPr>
          <w:ilvl w:val="0"/>
          <w:numId w:val="2"/>
        </w:numPr>
        <w:spacing w:lineRule="auto" w:line="360" w:before="0" w:after="120"/>
        <w:ind w:hanging="357" w:start="357"/>
        <w:contextualSpacing/>
        <w:jc w:val="both"/>
        <w:rPr>
          <w:rFonts w:ascii="Times New Roman" w:hAnsi="Times New Roman" w:cs="Times New Roman"/>
          <w:shd w:fill="FFFFFF" w:val="clear"/>
          <w:lang w:val="en-GB"/>
        </w:rPr>
      </w:pPr>
      <w:r>
        <w:rPr>
          <w:rFonts w:cs="Times New Roman" w:ascii="Times New Roman" w:hAnsi="Times New Roman"/>
          <w:shd w:fill="FFFFFF" w:val="clear"/>
          <w:lang w:val="en-GB"/>
        </w:rPr>
        <w:t>Adaptive resilience factors (Agility and Flexibility)</w:t>
      </w:r>
    </w:p>
    <w:p>
      <w:pPr>
        <w:pStyle w:val="Normal"/>
        <w:jc w:val="both"/>
        <w:rPr>
          <w:sz w:val="22"/>
          <w:szCs w:val="22"/>
          <w:shd w:fill="FFFFFF" w:val="clear"/>
        </w:rPr>
      </w:pPr>
      <w:r>
        <w:rPr>
          <w:sz w:val="22"/>
          <w:szCs w:val="22"/>
          <w:shd w:fill="FFFFFF" w:val="clear"/>
        </w:rPr>
        <w:t>Twenty-two pairwise comparison questions take less than 15 minutes to complete. The survey is for academic purposes and does not impose legal responsibility on the participants. Your responses will be kept strictly confidential and never associated with your name. They will not be shared with third parties. Your participation in this survey questionnaire is voluntary. You may choose not to participate. If you decide to participate in this research survey, you may withdraw at any time. We would appreciate it if you could contribute to our research with your invaluable experiences.</w:t>
      </w:r>
    </w:p>
    <w:p>
      <w:pPr>
        <w:pStyle w:val="Normal"/>
        <w:jc w:val="both"/>
        <w:rPr>
          <w:sz w:val="22"/>
          <w:szCs w:val="22"/>
          <w:shd w:fill="FFFFFF" w:val="clear"/>
        </w:rPr>
      </w:pPr>
      <w:r>
        <w:rPr>
          <w:sz w:val="22"/>
          <w:szCs w:val="22"/>
          <w:shd w:fill="FFFFFF" w:val="clear"/>
        </w:rPr>
        <w:t>Thank you very much for your time and cooperation.</w:t>
      </w:r>
    </w:p>
    <w:p>
      <w:pPr>
        <w:pStyle w:val="Normal"/>
        <w:jc w:val="both"/>
        <w:rPr>
          <w:sz w:val="22"/>
          <w:szCs w:val="22"/>
          <w:shd w:fill="FFFFFF" w:val="clear"/>
        </w:rPr>
      </w:pPr>
      <w:r>
        <w:rPr>
          <w:sz w:val="22"/>
          <w:szCs w:val="22"/>
          <w:shd w:fill="FFFFFF" w:val="clear"/>
        </w:rPr>
        <w:t>Regards,</w:t>
      </w:r>
    </w:p>
    <w:p>
      <w:pPr>
        <w:pStyle w:val="Normal"/>
        <w:rPr>
          <w:sz w:val="22"/>
          <w:szCs w:val="22"/>
        </w:rPr>
      </w:pPr>
      <w:r>
        <w:rPr>
          <w:sz w:val="22"/>
          <w:szCs w:val="22"/>
          <w:shd w:fill="FFFFFF" w:val="clear"/>
        </w:rPr>
        <w:t>AUTHOR NAMES BLINDED FOR PEER REVIEW</w:t>
      </w:r>
    </w:p>
    <w:p>
      <w:pPr>
        <w:pStyle w:val="Normal"/>
        <w:rPr>
          <w:b/>
          <w:sz w:val="22"/>
          <w:szCs w:val="22"/>
          <w:shd w:fill="FFFFFF" w:val="clear"/>
        </w:rPr>
      </w:pPr>
      <w:r>
        <w:rPr>
          <w:b/>
          <w:sz w:val="22"/>
          <w:szCs w:val="22"/>
          <w:shd w:fill="FFFFFF" w:val="clear"/>
        </w:rPr>
        <w:t>Definition of Technologies and Factors:</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Blockchain Technology</w:t>
      </w:r>
      <w:r>
        <w:rPr>
          <w:rFonts w:cs="Times New Roman" w:ascii="Times New Roman" w:hAnsi="Times New Roman"/>
          <w:lang w:val="en-GB" w:eastAsia="tr-TR"/>
        </w:rPr>
        <w:t>: Distributed and decentralized digital ledger technology allows data to be recorded, shared, and maintained in a secure and transparent manner.</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IoT</w:t>
      </w:r>
      <w:r>
        <w:rPr>
          <w:rFonts w:cs="Times New Roman" w:ascii="Times New Roman" w:hAnsi="Times New Roman"/>
          <w:lang w:val="en-GB" w:eastAsia="tr-TR"/>
        </w:rPr>
        <w:t>: Interconnection of physical objects or "things" to the internet and to each other</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Big Data Analytics</w:t>
      </w:r>
      <w:r>
        <w:rPr>
          <w:rFonts w:cs="Times New Roman" w:ascii="Times New Roman" w:hAnsi="Times New Roman"/>
          <w:lang w:val="en-GB" w:eastAsia="tr-TR"/>
        </w:rPr>
        <w:t>: Analysing large and complex datasets to uncover valuable insights</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Cloud Computing</w:t>
      </w:r>
      <w:r>
        <w:rPr>
          <w:rFonts w:cs="Times New Roman" w:ascii="Times New Roman" w:hAnsi="Times New Roman"/>
          <w:lang w:val="en-GB" w:eastAsia="tr-TR"/>
        </w:rPr>
        <w:t>: The utilization of remote servers and internet-based infrastructure to store, manage, and process data, enabling real-time access</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AI</w:t>
      </w:r>
      <w:r>
        <w:rPr>
          <w:rFonts w:cs="Times New Roman" w:ascii="Times New Roman" w:hAnsi="Times New Roman"/>
          <w:lang w:val="en-GB" w:eastAsia="tr-TR"/>
        </w:rPr>
        <w:t>: Simulation of human intelligence in machines that are programmed to think and act like humans.</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Industrial Robotics</w:t>
      </w:r>
      <w:r>
        <w:rPr>
          <w:rFonts w:cs="Times New Roman" w:ascii="Times New Roman" w:hAnsi="Times New Roman"/>
          <w:lang w:val="en-GB" w:eastAsia="tr-TR"/>
        </w:rPr>
        <w:t>: IR can take advantage of AI, BDA, and CC to become more intelligent, resulting in a complete transformation of production.</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ERP</w:t>
      </w:r>
      <w:r>
        <w:rPr>
          <w:rFonts w:cs="Times New Roman" w:ascii="Times New Roman" w:hAnsi="Times New Roman"/>
          <w:lang w:val="en-GB" w:eastAsia="tr-TR"/>
        </w:rPr>
        <w:t>: A software system that integrates various business processes and functions across an organization into a single, unified platform.</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Visibility</w:t>
      </w:r>
      <w:r>
        <w:rPr>
          <w:rFonts w:cs="Times New Roman" w:ascii="Times New Roman" w:hAnsi="Times New Roman"/>
          <w:lang w:val="en-GB" w:eastAsia="tr-TR"/>
        </w:rPr>
        <w:t>: The ability to see the supply chain from one end to another.</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Security</w:t>
      </w:r>
      <w:r>
        <w:rPr>
          <w:rFonts w:cs="Times New Roman" w:ascii="Times New Roman" w:hAnsi="Times New Roman"/>
          <w:lang w:val="en-GB" w:eastAsia="tr-TR"/>
        </w:rPr>
        <w:t>: Physical security, information security or freight security</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Collaboration</w:t>
      </w:r>
      <w:r>
        <w:rPr>
          <w:rFonts w:cs="Times New Roman" w:ascii="Times New Roman" w:hAnsi="Times New Roman"/>
          <w:lang w:val="en-GB" w:eastAsia="tr-TR"/>
        </w:rPr>
        <w:t>: The ability to plan and execute supply chain operations jointly with other firms. Mutual trust and willingness to share information are needed.</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Agility</w:t>
      </w:r>
      <w:r>
        <w:rPr>
          <w:rFonts w:cs="Times New Roman" w:ascii="Times New Roman" w:hAnsi="Times New Roman"/>
          <w:lang w:val="en-GB" w:eastAsia="tr-TR"/>
        </w:rPr>
        <w:t>: The ability of a SC to quickly and effectively respond and adapt to changing conditions, demands, and disruptions.</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Flexibility</w:t>
      </w:r>
      <w:r>
        <w:rPr>
          <w:rFonts w:cs="Times New Roman" w:ascii="Times New Roman" w:hAnsi="Times New Roman"/>
          <w:lang w:val="en-GB" w:eastAsia="tr-TR"/>
        </w:rPr>
        <w:t>: The capacity of the supply chain to adjust to changes occurring at resource and shop floor level, at plant level, at a firm level, and at a network level.</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Scalability</w:t>
      </w:r>
      <w:r>
        <w:rPr>
          <w:rFonts w:cs="Times New Roman" w:ascii="Times New Roman" w:hAnsi="Times New Roman"/>
          <w:lang w:val="en-GB" w:eastAsia="tr-TR"/>
        </w:rPr>
        <w:t>: Scalability refers to the ability of a system, network, application, or organization to handle and accommodate increased/decreased demands, workloads, or growth</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Redundancy</w:t>
      </w:r>
      <w:r>
        <w:rPr>
          <w:rFonts w:cs="Times New Roman" w:ascii="Times New Roman" w:hAnsi="Times New Roman"/>
          <w:lang w:val="en-GB" w:eastAsia="tr-TR"/>
        </w:rPr>
        <w:t>: The maintenance of extra capacity or capability in case of supply deficiencies.</w:t>
      </w:r>
    </w:p>
    <w:p>
      <w:pPr>
        <w:pStyle w:val="ListParagraph"/>
        <w:numPr>
          <w:ilvl w:val="0"/>
          <w:numId w:val="3"/>
        </w:numPr>
        <w:tabs>
          <w:tab w:val="clear" w:pos="720"/>
          <w:tab w:val="left" w:pos="2266" w:leader="none"/>
        </w:tabs>
        <w:spacing w:lineRule="auto" w:line="360" w:before="0" w:after="0"/>
        <w:ind w:hanging="357" w:start="357"/>
        <w:contextualSpacing/>
        <w:rPr>
          <w:rFonts w:ascii="Times New Roman" w:hAnsi="Times New Roman" w:cs="Times New Roman"/>
          <w:lang w:val="en-GB" w:eastAsia="tr-TR"/>
        </w:rPr>
      </w:pPr>
      <w:r>
        <w:rPr>
          <w:rFonts w:cs="Times New Roman" w:ascii="Times New Roman" w:hAnsi="Times New Roman"/>
          <w:b/>
          <w:lang w:val="en-GB" w:eastAsia="tr-TR"/>
        </w:rPr>
        <w:t>Velocity</w:t>
      </w:r>
      <w:r>
        <w:rPr>
          <w:rFonts w:cs="Times New Roman" w:ascii="Times New Roman" w:hAnsi="Times New Roman"/>
          <w:lang w:val="en-GB" w:eastAsia="tr-TR"/>
        </w:rPr>
        <w:t xml:space="preserve">: The speed at which goods or services move through the supply chain </w:t>
      </w:r>
    </w:p>
    <w:p>
      <w:pPr>
        <w:pStyle w:val="Normal"/>
        <w:tabs>
          <w:tab w:val="clear" w:pos="720"/>
          <w:tab w:val="left" w:pos="2266" w:leader="none"/>
        </w:tabs>
        <w:spacing w:before="120" w:after="0"/>
        <w:rPr>
          <w:lang w:eastAsia="tr-TR"/>
        </w:rPr>
      </w:pPr>
      <w:r>
        <w:rPr>
          <w:lang w:eastAsia="tr-TR"/>
        </w:rPr>
        <w:t>We use a 1-9 scale to indicate our preference for the factors provided above in a pair-wise fashion. This means that each factor will be compared to the rest using the 1-9 scale, with the following definitions for each number in Table A.1.</w:t>
      </w:r>
    </w:p>
    <w:p>
      <w:pPr>
        <w:pStyle w:val="Caption"/>
        <w:keepNext w:val="true"/>
        <w:spacing w:before="0" w:after="0"/>
        <w:rPr/>
      </w:pPr>
      <w:bookmarkStart w:id="0" w:name="_Ref181344983"/>
      <w:r>
        <w:rPr/>
        <w:t>Table</w:t>
      </w:r>
      <w:bookmarkEnd w:id="0"/>
      <w:r>
        <w:rPr/>
        <w:t xml:space="preserve"> A.1. Pairwise Comparison Scale and Definition of Each Number</w:t>
      </w:r>
    </w:p>
    <w:tbl>
      <w:tblPr>
        <w:tblStyle w:val="PlainTable31"/>
        <w:tblW w:w="829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843"/>
        <w:gridCol w:w="6453"/>
      </w:tblGrid>
      <w:tr>
        <w:trPr>
          <w:cnfStyle w:val="100000000000" w:firstRow="1" w:lastRow="0" w:firstColumn="0" w:lastColumn="0" w:oddVBand="0" w:evenVBand="0" w:oddHBand="0" w:evenHBand="0" w:firstRowFirstColumn="0" w:firstRowLastColumn="0" w:lastRowFirstColumn="0" w:lastRowLastColumn="0"/>
        </w:trPr>
        <w:tc>
          <w:tcPr>
            <w:tcW w:w="1843" w:type="dxa"/>
            <w:cnfStyle w:val="001000000100" w:firstRow="0" w:lastRow="0" w:firstColumn="1" w:lastColumn="0" w:oddVBand="0" w:evenVBand="0" w:oddHBand="0" w:evenHBand="0" w:firstRowFirstColumn="1" w:firstRowLastColumn="0" w:lastRowFirstColumn="0" w:lastRowLastColumn="0"/>
            <w:tcBorders>
              <w:bottom w:val="single" w:sz="4" w:space="0" w:color="7F7F7F"/>
            </w:tcBorders>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Score</w:t>
            </w:r>
          </w:p>
        </w:tc>
        <w:tc>
          <w:tcPr>
            <w:tcW w:w="6453" w:type="dxa"/>
            <w:tcBorders>
              <w:bottom w:val="single" w:sz="4" w:space="0" w:color="7F7F7F"/>
            </w:tcBorders>
          </w:tcPr>
          <w:p>
            <w:pPr>
              <w:pStyle w:val="NoSpacing"/>
              <w:widowControl/>
              <w:spacing w:before="0" w:after="0"/>
              <w:jc w:val="start"/>
              <w:cnfStyle w:val="100000000000" w:firstRow="1" w:lastRow="0" w:firstColumn="0" w:lastColumn="0" w:oddVBand="0" w:evenVBand="0" w:oddHBand="0" w:evenHBand="0" w:firstRowFirstColumn="0" w:firstRowLastColumn="0" w:lastRowFirstColumn="0" w:lastRowLastColumn="0"/>
              <w:rPr>
                <w:rFonts w:eastAsia="" w:cs=""/>
                <w:b/>
                <w:bCs/>
                <w:caps/>
                <w:kern w:val="0"/>
                <w:sz w:val="24"/>
                <w:szCs w:val="24"/>
                <w:lang w:val="en-GB" w:eastAsia="en-US" w:bidi="ar-SA"/>
              </w:rPr>
            </w:pPr>
            <w:r>
              <w:rPr>
                <w:rFonts w:eastAsia="" w:cs=""/>
                <w:b/>
                <w:bCs/>
                <w:caps/>
                <w:kern w:val="0"/>
                <w:sz w:val="24"/>
                <w:szCs w:val="24"/>
                <w:lang w:val="en-GB" w:eastAsia="en-US" w:bidi="ar-SA"/>
              </w:rPr>
              <w:t>Definition of PAIRWISE COMPARISON SCALE</w:t>
            </w:r>
          </w:p>
        </w:tc>
      </w:tr>
      <w:tr>
        <w:trPr>
          <w:cnfStyle w:val="000000100000" w:firstRow="0" w:lastRow="0" w:firstColumn="0" w:lastColumn="0" w:oddVBand="0" w:evenVBand="0" w:oddHBand="1" w:evenHBand="0" w:firstRowFirstColumn="0" w:firstRowLastColumn="0" w:lastRowFirstColumn="0" w:lastRowLastColumn="0"/>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shd w:color="auto" w:fill="F2F2F2" w:themeFill="background1" w:themeFillShade="f2" w:val="clear"/>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1</w:t>
            </w:r>
          </w:p>
        </w:tc>
        <w:tc>
          <w:tcPr>
            <w:tcW w:w="6453" w:type="dxa"/>
            <w:tcBorders/>
            <w:shd w:color="auto" w:fill="F2F2F2" w:themeFill="background1" w:themeFillShade="f2" w:val="clear"/>
          </w:tcPr>
          <w:p>
            <w:pPr>
              <w:pStyle w:val="NoSpacing"/>
              <w:widowControl/>
              <w:spacing w:before="0" w:after="0"/>
              <w:jc w:val="start"/>
              <w:cnfStyle w:val="000000100000" w:firstRow="0" w:lastRow="0" w:firstColumn="0" w:lastColumn="0" w:oddVBand="0" w:evenVBand="0" w:oddHBand="1"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Equally effective</w:t>
            </w:r>
          </w:p>
        </w:tc>
      </w:tr>
      <w:tr>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2</w:t>
            </w:r>
          </w:p>
        </w:tc>
        <w:tc>
          <w:tcPr>
            <w:tcW w:w="6453" w:type="dxa"/>
            <w:tcBorders/>
          </w:tcPr>
          <w:p>
            <w:pPr>
              <w:pStyle w:val="NoSpacing"/>
              <w:widowControl/>
              <w:spacing w:before="0" w:after="0"/>
              <w:jc w:val="start"/>
              <w:cnfStyle w:val="000000000000" w:firstRow="0" w:lastRow="0" w:firstColumn="0" w:lastColumn="0" w:oddVBand="0" w:evenVBand="0" w:oddHBand="0"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Equally to moderately more effective</w:t>
            </w:r>
          </w:p>
        </w:tc>
      </w:tr>
      <w:tr>
        <w:trPr>
          <w:cnfStyle w:val="000000100000" w:firstRow="0" w:lastRow="0" w:firstColumn="0" w:lastColumn="0" w:oddVBand="0" w:evenVBand="0" w:oddHBand="1" w:evenHBand="0" w:firstRowFirstColumn="0" w:firstRowLastColumn="0" w:lastRowFirstColumn="0" w:lastRowLastColumn="0"/>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shd w:color="auto" w:fill="F2F2F2" w:themeFill="background1" w:themeFillShade="f2" w:val="clear"/>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3</w:t>
            </w:r>
          </w:p>
        </w:tc>
        <w:tc>
          <w:tcPr>
            <w:tcW w:w="6453" w:type="dxa"/>
            <w:tcBorders/>
            <w:shd w:color="auto" w:fill="F2F2F2" w:themeFill="background1" w:themeFillShade="f2" w:val="clear"/>
          </w:tcPr>
          <w:p>
            <w:pPr>
              <w:pStyle w:val="NoSpacing"/>
              <w:widowControl/>
              <w:spacing w:before="0" w:after="0"/>
              <w:jc w:val="start"/>
              <w:cnfStyle w:val="000000100000" w:firstRow="0" w:lastRow="0" w:firstColumn="0" w:lastColumn="0" w:oddVBand="0" w:evenVBand="0" w:oddHBand="1"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Moderately more effective</w:t>
            </w:r>
          </w:p>
        </w:tc>
      </w:tr>
      <w:tr>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4</w:t>
            </w:r>
          </w:p>
        </w:tc>
        <w:tc>
          <w:tcPr>
            <w:tcW w:w="6453" w:type="dxa"/>
            <w:tcBorders/>
          </w:tcPr>
          <w:p>
            <w:pPr>
              <w:pStyle w:val="NoSpacing"/>
              <w:widowControl/>
              <w:spacing w:before="0" w:after="0"/>
              <w:jc w:val="start"/>
              <w:cnfStyle w:val="000000000000" w:firstRow="0" w:lastRow="0" w:firstColumn="0" w:lastColumn="0" w:oddVBand="0" w:evenVBand="0" w:oddHBand="0"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Moderately to strongly more effective</w:t>
            </w:r>
          </w:p>
        </w:tc>
      </w:tr>
      <w:tr>
        <w:trPr>
          <w:cnfStyle w:val="000000100000" w:firstRow="0" w:lastRow="0" w:firstColumn="0" w:lastColumn="0" w:oddVBand="0" w:evenVBand="0" w:oddHBand="1" w:evenHBand="0" w:firstRowFirstColumn="0" w:firstRowLastColumn="0" w:lastRowFirstColumn="0" w:lastRowLastColumn="0"/>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shd w:color="auto" w:fill="F2F2F2" w:themeFill="background1" w:themeFillShade="f2" w:val="clear"/>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5</w:t>
            </w:r>
          </w:p>
        </w:tc>
        <w:tc>
          <w:tcPr>
            <w:tcW w:w="6453" w:type="dxa"/>
            <w:tcBorders/>
            <w:shd w:color="auto" w:fill="F2F2F2" w:themeFill="background1" w:themeFillShade="f2" w:val="clear"/>
          </w:tcPr>
          <w:p>
            <w:pPr>
              <w:pStyle w:val="NoSpacing"/>
              <w:widowControl/>
              <w:spacing w:before="0" w:after="0"/>
              <w:jc w:val="start"/>
              <w:cnfStyle w:val="000000100000" w:firstRow="0" w:lastRow="0" w:firstColumn="0" w:lastColumn="0" w:oddVBand="0" w:evenVBand="0" w:oddHBand="1"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Strongly more effective</w:t>
            </w:r>
          </w:p>
        </w:tc>
      </w:tr>
      <w:tr>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6</w:t>
            </w:r>
          </w:p>
        </w:tc>
        <w:tc>
          <w:tcPr>
            <w:tcW w:w="6453" w:type="dxa"/>
            <w:tcBorders/>
          </w:tcPr>
          <w:p>
            <w:pPr>
              <w:pStyle w:val="NoSpacing"/>
              <w:widowControl/>
              <w:spacing w:before="0" w:after="0"/>
              <w:jc w:val="start"/>
              <w:cnfStyle w:val="000000000000" w:firstRow="0" w:lastRow="0" w:firstColumn="0" w:lastColumn="0" w:oddVBand="0" w:evenVBand="0" w:oddHBand="0"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Strongly to very strongly more effective</w:t>
            </w:r>
          </w:p>
        </w:tc>
      </w:tr>
      <w:tr>
        <w:trPr>
          <w:cnfStyle w:val="000000100000" w:firstRow="0" w:lastRow="0" w:firstColumn="0" w:lastColumn="0" w:oddVBand="0" w:evenVBand="0" w:oddHBand="1" w:evenHBand="0" w:firstRowFirstColumn="0" w:firstRowLastColumn="0" w:lastRowFirstColumn="0" w:lastRowLastColumn="0"/>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shd w:color="auto" w:fill="F2F2F2" w:themeFill="background1" w:themeFillShade="f2" w:val="clear"/>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7</w:t>
            </w:r>
          </w:p>
        </w:tc>
        <w:tc>
          <w:tcPr>
            <w:tcW w:w="6453" w:type="dxa"/>
            <w:tcBorders/>
            <w:shd w:color="auto" w:fill="F2F2F2" w:themeFill="background1" w:themeFillShade="f2" w:val="clear"/>
          </w:tcPr>
          <w:p>
            <w:pPr>
              <w:pStyle w:val="NoSpacing"/>
              <w:widowControl/>
              <w:spacing w:before="0" w:after="0"/>
              <w:jc w:val="start"/>
              <w:cnfStyle w:val="000000100000" w:firstRow="0" w:lastRow="0" w:firstColumn="0" w:lastColumn="0" w:oddVBand="0" w:evenVBand="0" w:oddHBand="1"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Very strongly more effective</w:t>
            </w:r>
          </w:p>
        </w:tc>
      </w:tr>
      <w:tr>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8</w:t>
            </w:r>
          </w:p>
        </w:tc>
        <w:tc>
          <w:tcPr>
            <w:tcW w:w="6453" w:type="dxa"/>
            <w:tcBorders/>
          </w:tcPr>
          <w:p>
            <w:pPr>
              <w:pStyle w:val="NoSpacing"/>
              <w:widowControl/>
              <w:spacing w:before="0" w:after="0"/>
              <w:jc w:val="start"/>
              <w:cnfStyle w:val="000000000000" w:firstRow="0" w:lastRow="0" w:firstColumn="0" w:lastColumn="0" w:oddVBand="0" w:evenVBand="0" w:oddHBand="0"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Very strongly to extremely more effective</w:t>
            </w:r>
          </w:p>
        </w:tc>
      </w:tr>
      <w:tr>
        <w:trPr>
          <w:cnfStyle w:val="000000100000" w:firstRow="0" w:lastRow="0" w:firstColumn="0" w:lastColumn="0" w:oddVBand="0" w:evenVBand="0" w:oddHBand="1" w:evenHBand="0" w:firstRowFirstColumn="0" w:firstRowLastColumn="0" w:lastRowFirstColumn="0" w:lastRowLastColumn="0"/>
        </w:trPr>
        <w:tc>
          <w:tcPr>
            <w:tcW w:w="1843" w:type="dxa"/>
            <w:cnfStyle w:val="001000000000" w:firstRow="0" w:lastRow="0" w:firstColumn="1" w:lastColumn="0" w:oddVBand="0" w:evenVBand="0" w:oddHBand="0" w:evenHBand="0" w:firstRowFirstColumn="0" w:firstRowLastColumn="0" w:lastRowFirstColumn="0" w:lastRowLastColumn="0"/>
            <w:tcBorders>
              <w:end w:val="single" w:sz="4" w:space="0" w:color="7F7F7F"/>
            </w:tcBorders>
            <w:shd w:color="auto" w:fill="F2F2F2" w:themeFill="background1" w:themeFillShade="f2" w:val="clear"/>
          </w:tcPr>
          <w:p>
            <w:pPr>
              <w:pStyle w:val="NoSpacing"/>
              <w:widowControl/>
              <w:spacing w:before="0" w:after="0"/>
              <w:jc w:val="center"/>
              <w:rPr>
                <w:rFonts w:eastAsia="" w:cs=""/>
                <w:b/>
                <w:bCs/>
                <w:caps/>
                <w:kern w:val="0"/>
                <w:sz w:val="24"/>
                <w:szCs w:val="24"/>
                <w:lang w:val="en-GB" w:eastAsia="en-US" w:bidi="ar-SA"/>
              </w:rPr>
            </w:pPr>
            <w:r>
              <w:rPr>
                <w:rFonts w:eastAsia="" w:cs=""/>
                <w:b/>
                <w:bCs/>
                <w:caps/>
                <w:kern w:val="0"/>
                <w:sz w:val="24"/>
                <w:szCs w:val="24"/>
                <w:lang w:val="en-GB" w:eastAsia="en-US" w:bidi="ar-SA"/>
              </w:rPr>
              <w:t>9</w:t>
            </w:r>
          </w:p>
        </w:tc>
        <w:tc>
          <w:tcPr>
            <w:tcW w:w="6453" w:type="dxa"/>
            <w:tcBorders/>
            <w:shd w:color="auto" w:fill="F2F2F2" w:themeFill="background1" w:themeFillShade="f2" w:val="clear"/>
          </w:tcPr>
          <w:p>
            <w:pPr>
              <w:pStyle w:val="NoSpacing"/>
              <w:widowControl/>
              <w:spacing w:before="0" w:after="0"/>
              <w:jc w:val="start"/>
              <w:cnfStyle w:val="000000100000" w:firstRow="0" w:lastRow="0" w:firstColumn="0" w:lastColumn="0" w:oddVBand="0" w:evenVBand="0" w:oddHBand="1" w:evenHBand="0" w:firstRowFirstColumn="0" w:firstRowLastColumn="0" w:lastRowFirstColumn="0" w:lastRowLastColumn="0"/>
              <w:rPr>
                <w:rFonts w:eastAsia="" w:cs=""/>
                <w:kern w:val="0"/>
                <w:sz w:val="24"/>
                <w:szCs w:val="24"/>
                <w:lang w:val="en-GB" w:eastAsia="en-US" w:bidi="ar-SA"/>
              </w:rPr>
            </w:pPr>
            <w:r>
              <w:rPr>
                <w:rFonts w:eastAsia="" w:cs=""/>
                <w:kern w:val="0"/>
                <w:sz w:val="24"/>
                <w:szCs w:val="24"/>
                <w:lang w:val="en-GB" w:eastAsia="en-US" w:bidi="ar-SA"/>
              </w:rPr>
              <w:t>Extremely more effective</w:t>
            </w:r>
          </w:p>
        </w:tc>
      </w:tr>
    </w:tbl>
    <w:p>
      <w:pPr>
        <w:pStyle w:val="Normal"/>
        <w:spacing w:before="120" w:after="0"/>
        <w:rPr>
          <w:b/>
          <w:sz w:val="22"/>
          <w:szCs w:val="22"/>
          <w:shd w:fill="FFFFFF" w:val="clear"/>
        </w:rPr>
      </w:pPr>
      <w:r>
        <w:rPr>
          <w:b/>
          <w:sz w:val="22"/>
          <w:szCs w:val="22"/>
          <w:shd w:fill="FFFFFF" w:val="clear"/>
        </w:rPr>
        <w:t>Evaluation examples</w:t>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one affects "IoT"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Cloud Computing</w:t>
            </w:r>
          </w:p>
        </w:tc>
      </w:tr>
    </w:tbl>
    <w:p>
      <w:pPr>
        <w:pStyle w:val="BodyText2"/>
        <w:spacing w:before="240" w:after="0"/>
        <w:jc w:val="both"/>
        <w:rPr>
          <w:b/>
          <w:bCs/>
          <w:i w:val="false"/>
          <w:iCs w:val="false"/>
          <w:sz w:val="22"/>
          <w:szCs w:val="22"/>
          <w:lang w:val="en-GB"/>
        </w:rPr>
      </w:pPr>
      <w:r>
        <w:rPr>
          <w:b/>
          <w:bCs/>
          <w:i w:val="false"/>
          <w:iCs w:val="false"/>
          <w:sz w:val="22"/>
          <w:szCs w:val="22"/>
          <w:lang w:val="en-GB"/>
        </w:rPr>
        <w:t>Evaluation case 1</w:t>
      </w:r>
    </w:p>
    <w:p>
      <w:pPr>
        <w:pStyle w:val="BodyText2"/>
        <w:jc w:val="both"/>
        <w:rPr>
          <w:i w:val="false"/>
          <w:iCs w:val="false"/>
          <w:sz w:val="22"/>
          <w:szCs w:val="22"/>
          <w:lang w:val="en-GB"/>
        </w:rPr>
      </w:pPr>
      <w:r>
        <w:rPr>
          <w:i w:val="false"/>
          <w:iCs w:val="false"/>
          <w:sz w:val="22"/>
          <w:szCs w:val="22"/>
          <w:lang w:val="en-GB"/>
        </w:rPr>
        <w:t>Please sign "</w:t>
      </w:r>
      <w:r>
        <w:rPr>
          <w:b/>
          <w:i w:val="false"/>
          <w:iCs w:val="false"/>
          <w:sz w:val="22"/>
          <w:szCs w:val="22"/>
          <w:lang w:val="en-GB"/>
        </w:rPr>
        <w:t>1</w:t>
      </w:r>
      <w:r>
        <w:rPr>
          <w:i w:val="false"/>
          <w:iCs w:val="false"/>
          <w:sz w:val="22"/>
          <w:szCs w:val="22"/>
          <w:lang w:val="en-GB"/>
        </w:rPr>
        <w:t>" if you think "Big Data Analytics" and "Cloud Computing" have an equal effect on "IoT".</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567" w:hRule="exac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shd w:color="auto" w:fill="000000" w:themeFill="text1" w:val="clear"/>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Cloud Computing</w:t>
            </w:r>
          </w:p>
        </w:tc>
      </w:tr>
    </w:tbl>
    <w:p>
      <w:pPr>
        <w:pStyle w:val="BodyText2"/>
        <w:spacing w:before="240" w:after="0"/>
        <w:jc w:val="both"/>
        <w:rPr>
          <w:b/>
          <w:bCs/>
          <w:i w:val="false"/>
          <w:iCs w:val="false"/>
          <w:sz w:val="22"/>
          <w:szCs w:val="22"/>
          <w:lang w:val="en-GB"/>
        </w:rPr>
      </w:pPr>
      <w:r>
        <w:rPr>
          <w:b/>
          <w:bCs/>
          <w:i w:val="false"/>
          <w:iCs w:val="false"/>
          <w:sz w:val="22"/>
          <w:szCs w:val="22"/>
          <w:lang w:val="en-GB"/>
        </w:rPr>
        <w:t>Evaluation case 2</w:t>
      </w:r>
    </w:p>
    <w:p>
      <w:pPr>
        <w:pStyle w:val="BodyText2"/>
        <w:jc w:val="both"/>
        <w:rPr>
          <w:i w:val="false"/>
          <w:iCs w:val="false"/>
          <w:sz w:val="22"/>
          <w:szCs w:val="22"/>
          <w:lang w:val="en-GB"/>
        </w:rPr>
      </w:pPr>
      <w:r>
        <w:rPr>
          <w:i w:val="false"/>
          <w:iCs w:val="false"/>
          <w:sz w:val="22"/>
          <w:szCs w:val="22"/>
          <w:lang w:val="en-GB"/>
        </w:rPr>
        <w:t>Please sign the left-hand side "</w:t>
      </w:r>
      <w:r>
        <w:rPr>
          <w:b/>
          <w:i w:val="false"/>
          <w:iCs w:val="false"/>
          <w:sz w:val="22"/>
          <w:szCs w:val="22"/>
          <w:lang w:val="en-GB"/>
        </w:rPr>
        <w:t>7</w:t>
      </w:r>
      <w:r>
        <w:rPr>
          <w:i w:val="false"/>
          <w:iCs w:val="false"/>
          <w:sz w:val="22"/>
          <w:szCs w:val="22"/>
          <w:lang w:val="en-GB"/>
        </w:rPr>
        <w:t>" if you think the left-hand side "Big Data Analytics" has a very strongly more effect on the "IoT" than the right-hand side "Cloud Computing" has.</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567" w:hRule="exac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shd w:color="auto" w:fill="000000" w:val="clear"/>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Cloud Computing</w:t>
            </w:r>
          </w:p>
        </w:tc>
      </w:tr>
    </w:tbl>
    <w:p>
      <w:pPr>
        <w:pStyle w:val="BodyText2"/>
        <w:spacing w:before="240" w:after="0"/>
        <w:jc w:val="both"/>
        <w:rPr>
          <w:b/>
          <w:bCs/>
          <w:i w:val="false"/>
          <w:iCs w:val="false"/>
          <w:sz w:val="22"/>
          <w:szCs w:val="22"/>
          <w:lang w:val="en-GB"/>
        </w:rPr>
      </w:pPr>
      <w:r>
        <w:rPr>
          <w:b/>
          <w:bCs/>
          <w:i w:val="false"/>
          <w:iCs w:val="false"/>
          <w:sz w:val="22"/>
          <w:szCs w:val="22"/>
          <w:lang w:val="en-GB"/>
        </w:rPr>
        <w:t>Evaluation case 3</w:t>
      </w:r>
    </w:p>
    <w:p>
      <w:pPr>
        <w:pStyle w:val="BodyText2"/>
        <w:jc w:val="both"/>
        <w:rPr>
          <w:i w:val="false"/>
          <w:iCs w:val="false"/>
          <w:sz w:val="22"/>
          <w:szCs w:val="22"/>
          <w:lang w:val="en-GB"/>
        </w:rPr>
      </w:pPr>
      <w:r>
        <w:rPr>
          <w:i w:val="false"/>
          <w:iCs w:val="false"/>
          <w:sz w:val="22"/>
          <w:szCs w:val="22"/>
          <w:lang w:val="en-GB"/>
        </w:rPr>
        <w:t>Please sign the right-hand side "</w:t>
      </w:r>
      <w:r>
        <w:rPr>
          <w:b/>
          <w:i w:val="false"/>
          <w:iCs w:val="false"/>
          <w:sz w:val="22"/>
          <w:szCs w:val="22"/>
          <w:lang w:val="en-GB"/>
        </w:rPr>
        <w:t>4</w:t>
      </w:r>
      <w:r>
        <w:rPr>
          <w:i w:val="false"/>
          <w:iCs w:val="false"/>
          <w:sz w:val="22"/>
          <w:szCs w:val="22"/>
          <w:lang w:val="en-GB"/>
        </w:rPr>
        <w:t>" if you think "Cloud Computing" has somewhat between moderately and strongly more effect on the "IoT" than the "Big Data Analytics" on the left-hand side has.</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567" w:hRule="exac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tcBorders>
            <w:vAlign w:val="center"/>
          </w:tcPr>
          <w:p>
            <w:pPr>
              <w:pStyle w:val="Normal"/>
              <w:jc w:val="center"/>
              <w:rPr>
                <w:sz w:val="22"/>
                <w:szCs w:val="22"/>
              </w:rPr>
            </w:pPr>
            <w:r>
              <w:rPr>
                <w:sz w:val="22"/>
                <w:szCs w:val="22"/>
              </w:rPr>
              <w:t>3</w:t>
            </w:r>
          </w:p>
        </w:tc>
        <w:tc>
          <w:tcPr>
            <w:tcW w:w="177" w:type="dxa"/>
            <w:tcBorders/>
            <w:shd w:color="auto" w:fill="000000" w:val="clear"/>
            <w:vAlign w:val="center"/>
          </w:tcPr>
          <w:p>
            <w:pPr>
              <w:pStyle w:val="Normal"/>
              <w:jc w:val="center"/>
              <w:rPr>
                <w:sz w:val="22"/>
                <w:szCs w:val="22"/>
              </w:rPr>
            </w:pPr>
            <w:r>
              <w:rPr>
                <w:sz w:val="22"/>
                <w:szCs w:val="22"/>
              </w:rPr>
              <w:t>4</w:t>
            </w:r>
          </w:p>
        </w:tc>
        <w:tc>
          <w:tcPr>
            <w:tcW w:w="178" w:type="dxa"/>
            <w:tcBorders>
              <w:top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Cloud Computing</w:t>
            </w:r>
          </w:p>
        </w:tc>
      </w:tr>
    </w:tbl>
    <w:p>
      <w:pPr>
        <w:pStyle w:val="Normal"/>
        <w:ind w:hanging="284" w:start="284"/>
        <w:jc w:val="both"/>
        <w:rPr>
          <w:sz w:val="22"/>
          <w:szCs w:val="22"/>
        </w:rPr>
      </w:pPr>
      <w:r>
        <w:rPr>
          <w:sz w:val="22"/>
          <w:szCs w:val="22"/>
        </w:rPr>
      </w:r>
    </w:p>
    <w:p>
      <w:pPr>
        <w:pStyle w:val="Normal"/>
        <w:jc w:val="both"/>
        <w:rPr>
          <w:b/>
          <w:sz w:val="22"/>
          <w:szCs w:val="22"/>
        </w:rPr>
      </w:pPr>
      <w:r>
        <w:rPr>
          <w:b/>
          <w:sz w:val="22"/>
          <w:szCs w:val="22"/>
        </w:rPr>
        <w:t>Now it is your turn to answer the following questions</w:t>
      </w:r>
    </w:p>
    <w:p>
      <w:pPr>
        <w:pStyle w:val="Normal"/>
        <w:jc w:val="both"/>
        <w:rPr>
          <w:sz w:val="22"/>
          <w:szCs w:val="22"/>
        </w:rPr>
      </w:pPr>
      <w:r>
        <w:rPr>
          <w:sz w:val="22"/>
          <w:szCs w:val="22"/>
        </w:rPr>
        <w:t>Of the supply chain resilience factors, which affects "Blockchain Technology"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Security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Redundancy</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one affects "IoT"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Cloud Computing</w:t>
            </w:r>
          </w:p>
        </w:tc>
      </w:tr>
    </w:tbl>
    <w:p>
      <w:pPr>
        <w:pStyle w:val="Normal"/>
        <w:jc w:val="both"/>
        <w:rPr>
          <w:sz w:val="22"/>
          <w:szCs w:val="22"/>
        </w:rPr>
      </w:pPr>
      <w:r>
        <w:rPr>
          <w:sz w:val="22"/>
          <w:szCs w:val="22"/>
        </w:rPr>
      </w:r>
    </w:p>
    <w:p>
      <w:pPr>
        <w:pStyle w:val="Normal"/>
        <w:jc w:val="both"/>
        <w:rPr>
          <w:sz w:val="22"/>
          <w:szCs w:val="22"/>
        </w:rPr>
      </w:pPr>
      <w:r>
        <w:rPr>
          <w:sz w:val="22"/>
          <w:szCs w:val="22"/>
        </w:rPr>
        <w:t>Of the supply chain resilience factors, which one affects "IoT"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Visibility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Velocity</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one affects "Big Data Analytics"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lang w:eastAsia="tr-TR"/>
              </w:rPr>
              <w:t>Cloud Computing</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lang w:eastAsia="tr-TR"/>
              </w:rPr>
            </w:pPr>
            <w:r>
              <w:rPr>
                <w:sz w:val="22"/>
                <w:szCs w:val="22"/>
                <w:lang w:eastAsia="tr-TR"/>
              </w:rPr>
              <w:t>AI</w:t>
            </w:r>
          </w:p>
        </w:tc>
      </w:tr>
    </w:tbl>
    <w:p>
      <w:pPr>
        <w:pStyle w:val="Normal"/>
        <w:jc w:val="both"/>
        <w:rPr>
          <w:sz w:val="22"/>
          <w:szCs w:val="22"/>
        </w:rPr>
      </w:pPr>
      <w:r>
        <w:rPr>
          <w:sz w:val="22"/>
          <w:szCs w:val="22"/>
        </w:rPr>
      </w:r>
    </w:p>
    <w:p>
      <w:pPr>
        <w:pStyle w:val="Normal"/>
        <w:jc w:val="both"/>
        <w:rPr>
          <w:sz w:val="22"/>
          <w:szCs w:val="22"/>
        </w:rPr>
      </w:pPr>
      <w:r>
        <w:rPr>
          <w:sz w:val="22"/>
          <w:szCs w:val="22"/>
        </w:rPr>
        <w:t>Of the supply chain resilience factors, which one affects "Cloud Computing"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Collaboration</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Velocity</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one affects "AI"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Cloud Computing</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affects "Industrial Robotics"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Big Data Analytics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AI</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digital </w:t>
      </w:r>
      <w:r>
        <w:rPr>
          <w:shd w:fill="FFFFFF" w:val="clear"/>
        </w:rPr>
        <w:t>technologies</w:t>
      </w:r>
      <w:r>
        <w:rPr>
          <w:sz w:val="22"/>
          <w:szCs w:val="22"/>
        </w:rPr>
        <w:t>, which one affects "Security"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Blockchain Technology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IoT</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digital </w:t>
      </w:r>
      <w:r>
        <w:rPr>
          <w:shd w:fill="FFFFFF" w:val="clear"/>
        </w:rPr>
        <w:t>technologies</w:t>
      </w:r>
      <w:r>
        <w:rPr>
          <w:sz w:val="22"/>
          <w:szCs w:val="22"/>
        </w:rPr>
        <w:t>, which one affects "Visibility"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Blockchain Technology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IoT</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digital </w:t>
      </w:r>
      <w:r>
        <w:rPr>
          <w:shd w:fill="FFFFFF" w:val="clear"/>
        </w:rPr>
        <w:t>technologies</w:t>
      </w:r>
      <w:r>
        <w:rPr>
          <w:sz w:val="22"/>
          <w:szCs w:val="22"/>
        </w:rPr>
        <w:t>, which one affects "Collaboration"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Blockchain Technology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IoT</w:t>
            </w:r>
          </w:p>
        </w:tc>
      </w:tr>
    </w:tbl>
    <w:p>
      <w:pPr>
        <w:pStyle w:val="Normal"/>
        <w:jc w:val="both"/>
        <w:rPr>
          <w:sz w:val="22"/>
          <w:szCs w:val="22"/>
        </w:rPr>
      </w:pPr>
      <w:r>
        <w:rPr>
          <w:sz w:val="22"/>
          <w:szCs w:val="22"/>
        </w:rPr>
      </w:r>
    </w:p>
    <w:p>
      <w:pPr>
        <w:pStyle w:val="Normal"/>
        <w:jc w:val="both"/>
        <w:rPr>
          <w:sz w:val="22"/>
          <w:szCs w:val="22"/>
        </w:rPr>
      </w:pPr>
      <w:r>
        <w:rPr>
          <w:sz w:val="22"/>
          <w:szCs w:val="22"/>
        </w:rPr>
        <w:t>Of the supply chain resilience factors, which affects "Collaboration"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Visibility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Velocity</w:t>
            </w:r>
          </w:p>
        </w:tc>
      </w:tr>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lang w:eastAsia="tr-TR"/>
              </w:rPr>
            </w:pPr>
            <w:r>
              <w:rPr>
                <w:sz w:val="22"/>
                <w:szCs w:val="22"/>
                <w:lang w:eastAsia="tr-TR"/>
              </w:rPr>
              <w:t>Agility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Flexibility</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one affects "Agility"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Cloud Computing</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AI</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established digital </w:t>
      </w:r>
      <w:r>
        <w:rPr>
          <w:shd w:fill="FFFFFF" w:val="clear"/>
        </w:rPr>
        <w:t>technologies</w:t>
      </w:r>
      <w:r>
        <w:rPr>
          <w:sz w:val="22"/>
          <w:szCs w:val="22"/>
        </w:rPr>
        <w:t>, which one affects "Agility"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Industrial Robotics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ERP</w:t>
            </w:r>
          </w:p>
        </w:tc>
      </w:tr>
    </w:tbl>
    <w:p>
      <w:pPr>
        <w:pStyle w:val="Normal"/>
        <w:jc w:val="both"/>
        <w:rPr>
          <w:sz w:val="22"/>
          <w:szCs w:val="22"/>
        </w:rPr>
      </w:pPr>
      <w:r>
        <w:rPr>
          <w:sz w:val="22"/>
          <w:szCs w:val="22"/>
        </w:rPr>
      </w:r>
    </w:p>
    <w:p>
      <w:pPr>
        <w:pStyle w:val="Normal"/>
        <w:jc w:val="both"/>
        <w:rPr>
          <w:sz w:val="22"/>
          <w:szCs w:val="22"/>
        </w:rPr>
      </w:pPr>
      <w:r>
        <w:rPr>
          <w:sz w:val="22"/>
          <w:szCs w:val="22"/>
        </w:rPr>
        <w:t>Of the supply chain resilience factors, which one affects "Agility"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Visibility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Collaboration</w:t>
            </w:r>
          </w:p>
        </w:tc>
      </w:tr>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Collaboration</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Velocity</w:t>
            </w:r>
          </w:p>
        </w:tc>
      </w:tr>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Velocity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Visibility</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digital </w:t>
      </w:r>
      <w:r>
        <w:rPr>
          <w:shd w:fill="FFFFFF" w:val="clear"/>
        </w:rPr>
        <w:t>technologies</w:t>
      </w:r>
      <w:r>
        <w:rPr>
          <w:sz w:val="22"/>
          <w:szCs w:val="22"/>
        </w:rPr>
        <w:t>, which one affects "Flexibility"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Blockchain Technology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IoT</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emerging analytical </w:t>
      </w:r>
      <w:r>
        <w:rPr>
          <w:shd w:fill="FFFFFF" w:val="clear"/>
        </w:rPr>
        <w:t>technologies</w:t>
      </w:r>
      <w:r>
        <w:rPr>
          <w:sz w:val="22"/>
          <w:szCs w:val="22"/>
        </w:rPr>
        <w:t>, which one affects "Flexibility"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Cloud computing</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AI</w:t>
            </w:r>
          </w:p>
        </w:tc>
      </w:tr>
    </w:tbl>
    <w:p>
      <w:pPr>
        <w:pStyle w:val="Normal"/>
        <w:jc w:val="both"/>
        <w:rPr>
          <w:sz w:val="22"/>
          <w:szCs w:val="22"/>
        </w:rPr>
      </w:pPr>
      <w:r>
        <w:rPr>
          <w:sz w:val="22"/>
          <w:szCs w:val="22"/>
        </w:rPr>
      </w:r>
    </w:p>
    <w:p>
      <w:pPr>
        <w:pStyle w:val="Normal"/>
        <w:jc w:val="both"/>
        <w:rPr>
          <w:sz w:val="22"/>
          <w:szCs w:val="22"/>
        </w:rPr>
      </w:pPr>
      <w:r>
        <w:rPr>
          <w:sz w:val="22"/>
          <w:szCs w:val="22"/>
        </w:rPr>
        <w:t xml:space="preserve">Of the established digital </w:t>
      </w:r>
      <w:r>
        <w:rPr>
          <w:shd w:fill="FFFFFF" w:val="clear"/>
        </w:rPr>
        <w:t>technologies</w:t>
      </w:r>
      <w:r>
        <w:rPr>
          <w:sz w:val="22"/>
          <w:szCs w:val="22"/>
        </w:rPr>
        <w:t>, which one affects "Flexibility"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Industrial Robotics</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ERP</w:t>
            </w:r>
          </w:p>
        </w:tc>
      </w:tr>
    </w:tbl>
    <w:p>
      <w:pPr>
        <w:pStyle w:val="Normal"/>
        <w:jc w:val="both"/>
        <w:rPr>
          <w:sz w:val="22"/>
          <w:szCs w:val="22"/>
        </w:rPr>
      </w:pPr>
      <w:r>
        <w:rPr>
          <w:sz w:val="22"/>
          <w:szCs w:val="22"/>
        </w:rPr>
      </w:r>
    </w:p>
    <w:p>
      <w:pPr>
        <w:pStyle w:val="Normal"/>
        <w:jc w:val="both"/>
        <w:rPr>
          <w:sz w:val="22"/>
          <w:szCs w:val="22"/>
        </w:rPr>
      </w:pPr>
      <w:r>
        <w:rPr>
          <w:sz w:val="22"/>
          <w:szCs w:val="22"/>
        </w:rPr>
        <w:t>Of the supply chain resilience factors, which one affects "Flexibility" more and how much more?</w:t>
      </w:r>
    </w:p>
    <w:tbl>
      <w:tblPr>
        <w:tblW w:w="8306" w:type="dxa"/>
        <w:jc w:val="center"/>
        <w:tblInd w:w="0" w:type="dxa"/>
        <w:tblLayout w:type="fixed"/>
        <w:tblCellMar>
          <w:top w:w="15" w:type="dxa"/>
          <w:start w:w="15" w:type="dxa"/>
          <w:bottom w:w="0" w:type="dxa"/>
          <w:end w:w="15" w:type="dxa"/>
        </w:tblCellMar>
        <w:tblLook w:firstRow="0" w:noVBand="0" w:lastRow="0" w:firstColumn="0" w:lastColumn="0" w:noHBand="0" w:val="0000"/>
      </w:tblPr>
      <w:tblGrid>
        <w:gridCol w:w="2639"/>
        <w:gridCol w:w="179"/>
        <w:gridCol w:w="177"/>
        <w:gridCol w:w="178"/>
        <w:gridCol w:w="179"/>
        <w:gridCol w:w="178"/>
        <w:gridCol w:w="177"/>
        <w:gridCol w:w="179"/>
        <w:gridCol w:w="178"/>
        <w:gridCol w:w="177"/>
        <w:gridCol w:w="178"/>
        <w:gridCol w:w="179"/>
        <w:gridCol w:w="177"/>
        <w:gridCol w:w="178"/>
        <w:gridCol w:w="179"/>
        <w:gridCol w:w="178"/>
        <w:gridCol w:w="177"/>
        <w:gridCol w:w="179"/>
        <w:gridCol w:w="2640"/>
      </w:tblGrid>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 xml:space="preserve">Redundancy </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lang w:eastAsia="tr-TR"/>
              </w:rPr>
              <w:t>Scalability</w:t>
            </w:r>
          </w:p>
        </w:tc>
      </w:tr>
      <w:tr>
        <w:trPr>
          <w:trHeight w:val="397" w:hRule="atLeast"/>
        </w:trPr>
        <w:tc>
          <w:tcPr>
            <w:tcW w:w="2639" w:type="dxa"/>
            <w:tcBorders>
              <w:top w:val="single" w:sz="4" w:space="0" w:color="000000"/>
              <w:start w:val="single" w:sz="4" w:space="0" w:color="000000"/>
              <w:bottom w:val="single" w:sz="4" w:space="0" w:color="000000"/>
              <w:end w:val="single" w:sz="4" w:space="0" w:color="000000"/>
            </w:tcBorders>
            <w:vAlign w:val="center"/>
          </w:tcPr>
          <w:p>
            <w:pPr>
              <w:pStyle w:val="Normal"/>
              <w:ind w:start="144"/>
              <w:rPr>
                <w:sz w:val="22"/>
                <w:szCs w:val="22"/>
              </w:rPr>
            </w:pPr>
            <w:r>
              <w:rPr>
                <w:sz w:val="22"/>
                <w:szCs w:val="22"/>
              </w:rPr>
              <w:t>Visibility</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1</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2</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3</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4</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5</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6</w:t>
            </w:r>
          </w:p>
        </w:tc>
        <w:tc>
          <w:tcPr>
            <w:tcW w:w="1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7</w:t>
            </w:r>
          </w:p>
        </w:tc>
        <w:tc>
          <w:tcPr>
            <w:tcW w:w="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8</w:t>
            </w:r>
          </w:p>
        </w:tc>
        <w:tc>
          <w:tcPr>
            <w:tcW w:w="17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 w:val="22"/>
                <w:szCs w:val="22"/>
              </w:rPr>
            </w:pPr>
            <w:r>
              <w:rPr>
                <w:sz w:val="22"/>
                <w:szCs w:val="22"/>
              </w:rPr>
              <w:t>9</w:t>
            </w:r>
          </w:p>
        </w:tc>
        <w:tc>
          <w:tcPr>
            <w:tcW w:w="2640" w:type="dxa"/>
            <w:tcBorders>
              <w:top w:val="single" w:sz="4" w:space="0" w:color="000000"/>
              <w:start w:val="single" w:sz="4" w:space="0" w:color="000000"/>
              <w:bottom w:val="single" w:sz="4" w:space="0" w:color="000000"/>
              <w:end w:val="single" w:sz="4" w:space="0" w:color="000000"/>
            </w:tcBorders>
            <w:vAlign w:val="center"/>
          </w:tcPr>
          <w:p>
            <w:pPr>
              <w:pStyle w:val="Normal"/>
              <w:ind w:end="142"/>
              <w:jc w:val="end"/>
              <w:rPr>
                <w:sz w:val="22"/>
                <w:szCs w:val="22"/>
              </w:rPr>
            </w:pPr>
            <w:r>
              <w:rPr>
                <w:sz w:val="22"/>
                <w:szCs w:val="22"/>
              </w:rPr>
              <w:t>Collaboration</w:t>
            </w:r>
          </w:p>
        </w:tc>
      </w:tr>
    </w:tbl>
    <w:p>
      <w:pPr>
        <w:pStyle w:val="Normal"/>
        <w:spacing w:before="0" w:after="0"/>
        <w:jc w:val="both"/>
        <w:rPr>
          <w:sz w:val="22"/>
          <w:szCs w:val="22"/>
        </w:rPr>
        <w:sectPr>
          <w:footerReference w:type="even" r:id="rId2"/>
          <w:footerReference w:type="default" r:id="rId3"/>
          <w:footerReference w:type="first" r:id="rId4"/>
          <w:type w:val="nextPage"/>
          <w:pgSz w:w="11906" w:h="16838"/>
          <w:pgMar w:left="1304" w:right="1304" w:gutter="0" w:header="0" w:top="1361" w:footer="709" w:bottom="1361"/>
          <w:pgNumType w:fmt="decimal"/>
          <w:formProt w:val="false"/>
          <w:textDirection w:val="lrTb"/>
          <w:docGrid w:type="default" w:linePitch="360" w:charSpace="0"/>
        </w:sectPr>
      </w:pPr>
      <w:r>
        <w:rPr>
          <w:sz w:val="22"/>
          <w:szCs w:val="22"/>
        </w:rPr>
      </w:r>
    </w:p>
    <w:p>
      <w:pPr>
        <w:pStyle w:val="Heading1"/>
        <w:numPr>
          <w:ilvl w:val="0"/>
          <w:numId w:val="0"/>
        </w:numPr>
        <w:spacing w:before="0" w:after="0"/>
        <w:ind w:hanging="0" w:start="0"/>
        <w:rPr/>
      </w:pPr>
      <w:r>
        <w:rPr>
          <w:rFonts w:cs="Times New Roman"/>
          <w:sz w:val="24"/>
          <w:szCs w:val="22"/>
        </w:rPr>
        <w:t>Appendix B</w:t>
      </w:r>
    </w:p>
    <w:p>
      <w:pPr>
        <w:pStyle w:val="Normal"/>
        <w:keepNext w:val="true"/>
        <w:spacing w:before="0" w:after="60"/>
        <w:rPr/>
      </w:pPr>
      <w:r>
        <w:rPr>
          <w:b/>
          <w:u w:val="single"/>
        </w:rPr>
        <w:t>Unweighted Supermatrix (2025)</w:t>
      </w:r>
    </w:p>
    <w:tbl>
      <w:tblPr>
        <w:tblW w:w="15255" w:type="dxa"/>
        <w:jc w:val="center"/>
        <w:tblInd w:w="0" w:type="dxa"/>
        <w:tblLayout w:type="fixed"/>
        <w:tblCellMar>
          <w:top w:w="10" w:type="dxa"/>
          <w:start w:w="14" w:type="dxa"/>
          <w:bottom w:w="10" w:type="dxa"/>
          <w:end w:w="14" w:type="dxa"/>
        </w:tblCellMar>
        <w:tblLook w:firstRow="1" w:noVBand="1" w:lastRow="0" w:firstColumn="1" w:lastColumn="0" w:noHBand="0" w:val="04a0"/>
      </w:tblPr>
      <w:tblGrid>
        <w:gridCol w:w="2520"/>
        <w:gridCol w:w="848"/>
        <w:gridCol w:w="850"/>
        <w:gridCol w:w="849"/>
        <w:gridCol w:w="848"/>
        <w:gridCol w:w="850"/>
        <w:gridCol w:w="848"/>
        <w:gridCol w:w="850"/>
        <w:gridCol w:w="848"/>
        <w:gridCol w:w="850"/>
        <w:gridCol w:w="848"/>
        <w:gridCol w:w="850"/>
        <w:gridCol w:w="848"/>
        <w:gridCol w:w="850"/>
        <w:gridCol w:w="848"/>
        <w:gridCol w:w="850"/>
      </w:tblGrid>
      <w:tr>
        <w:trPr>
          <w:tblHeader w:val="true"/>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Element</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A.2.</w:t>
            </w:r>
          </w:p>
        </w:tc>
        <w:tc>
          <w:tcPr>
            <w:tcW w:w="849"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D.3.</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A.1. Blockchain Tech.</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0.6754</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0.3705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0.7632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0.4071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A.2. IoT</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0.3246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0.6295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0.2368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0.5929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B.1. Big Data Analytics</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0.5652</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0.7920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0.1753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B.2. Cloud Computing</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0.4348</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0.4430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0.2080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0.3599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0.3660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B.3. AI</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0.5570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0.8247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0.6401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0.6340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C.1. Industrial Robotics</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0.2451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0.2786</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C.2. ERP</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0.7549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0.7214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D.1. Security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0.7464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D.2. Redundancy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0.2368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D.3. Scalability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0.7632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E.1. Visibility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0.7974</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0.8107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0.2899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0.3495</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E.2. Collaboration</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0.4872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0.3788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0.6505</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E.3. Velocity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0.2026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0.5128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0.1893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0.3314</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F.1. Agility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0.7357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F.2. Flexibility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0.2643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bl>
    <w:p>
      <w:pPr>
        <w:pStyle w:val="Normal"/>
        <w:keepNext w:val="true"/>
        <w:spacing w:before="0" w:after="60"/>
        <w:rPr/>
      </w:pPr>
      <w:r>
        <w:br w:type="page"/>
      </w:r>
      <w:r>
        <w:rPr>
          <w:b/>
          <w:u w:val="single"/>
        </w:rPr>
        <w:t>Weighted Supermatrix (2025)</w:t>
      </w:r>
    </w:p>
    <w:tbl>
      <w:tblPr>
        <w:tblW w:w="15255" w:type="dxa"/>
        <w:jc w:val="center"/>
        <w:tblInd w:w="0" w:type="dxa"/>
        <w:tblLayout w:type="fixed"/>
        <w:tblCellMar>
          <w:top w:w="10" w:type="dxa"/>
          <w:start w:w="14" w:type="dxa"/>
          <w:bottom w:w="10" w:type="dxa"/>
          <w:end w:w="14" w:type="dxa"/>
        </w:tblCellMar>
        <w:tblLook w:firstRow="1" w:noVBand="1" w:lastRow="0" w:firstColumn="1" w:lastColumn="0" w:noHBand="0" w:val="04a0"/>
      </w:tblPr>
      <w:tblGrid>
        <w:gridCol w:w="2520"/>
        <w:gridCol w:w="848"/>
        <w:gridCol w:w="850"/>
        <w:gridCol w:w="849"/>
        <w:gridCol w:w="848"/>
        <w:gridCol w:w="850"/>
        <w:gridCol w:w="848"/>
        <w:gridCol w:w="850"/>
        <w:gridCol w:w="848"/>
        <w:gridCol w:w="850"/>
        <w:gridCol w:w="848"/>
        <w:gridCol w:w="850"/>
        <w:gridCol w:w="848"/>
        <w:gridCol w:w="850"/>
        <w:gridCol w:w="848"/>
        <w:gridCol w:w="850"/>
      </w:tblGrid>
      <w:tr>
        <w:trPr>
          <w:tblHeader w:val="true"/>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Element</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A.2.</w:t>
            </w:r>
          </w:p>
        </w:tc>
        <w:tc>
          <w:tcPr>
            <w:tcW w:w="849"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D.3.</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A.1. Blockchain Tech.</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0.1689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0.1235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0.1272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0.0678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A.2. IoT</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0.0811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0.2098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0.0395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0.0988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B.1. Big Data Analytics</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0.2826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0.2640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0.0351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B.2. Cloud Computing</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0.2174</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0.1477</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0.0693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0.0600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0.0610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B.3. AI</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0.1857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0.1649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0.1057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C.1. Industrial Robotics</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0.0409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0.0464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C.2. ERP</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0.1258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0.1202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D.1. Security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0.3732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D.2. Redundancy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0.1268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0.0395</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D.3. Scalability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0.5000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0.1272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E.1. Visibility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0.3987</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0.1351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0.0583</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E.2. Collaboration</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0.1218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0.0631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0.1084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E.3. Velocity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0.1013</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0.0316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0.0552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F.1. Agility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0.5000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0.1226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F.2. Flexibility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0.0441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bl>
    <w:p>
      <w:pPr>
        <w:pStyle w:val="Normal"/>
        <w:keepNext w:val="true"/>
        <w:spacing w:before="0" w:after="60"/>
        <w:rPr/>
      </w:pPr>
      <w:r>
        <w:br w:type="page"/>
      </w:r>
      <w:r>
        <w:rPr>
          <w:b/>
          <w:u w:val="single"/>
        </w:rPr>
        <w:t>Limit Matrix (2025)</w:t>
      </w:r>
    </w:p>
    <w:tbl>
      <w:tblPr>
        <w:tblW w:w="15255" w:type="dxa"/>
        <w:jc w:val="center"/>
        <w:tblInd w:w="0" w:type="dxa"/>
        <w:tblLayout w:type="fixed"/>
        <w:tblCellMar>
          <w:top w:w="10" w:type="dxa"/>
          <w:start w:w="14" w:type="dxa"/>
          <w:bottom w:w="10" w:type="dxa"/>
          <w:end w:w="14" w:type="dxa"/>
        </w:tblCellMar>
        <w:tblLook w:firstRow="1" w:noVBand="1" w:lastRow="0" w:firstColumn="1" w:lastColumn="0" w:noHBand="0" w:val="04a0"/>
      </w:tblPr>
      <w:tblGrid>
        <w:gridCol w:w="2520"/>
        <w:gridCol w:w="848"/>
        <w:gridCol w:w="850"/>
        <w:gridCol w:w="849"/>
        <w:gridCol w:w="848"/>
        <w:gridCol w:w="850"/>
        <w:gridCol w:w="848"/>
        <w:gridCol w:w="850"/>
        <w:gridCol w:w="848"/>
        <w:gridCol w:w="850"/>
        <w:gridCol w:w="848"/>
        <w:gridCol w:w="850"/>
        <w:gridCol w:w="848"/>
        <w:gridCol w:w="850"/>
        <w:gridCol w:w="848"/>
        <w:gridCol w:w="850"/>
      </w:tblGrid>
      <w:tr>
        <w:trPr>
          <w:tblHeader w:val="true"/>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Element</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A.2.</w:t>
            </w:r>
          </w:p>
        </w:tc>
        <w:tc>
          <w:tcPr>
            <w:tcW w:w="849"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D.3.</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A.1. Blockchain Tech.</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0.0366</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A.2. IoT</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0.1069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B.1. Big Data Analytics</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0.0599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B.2. Cloud Computing</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0.0754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B.3. AI</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0.0336</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C.1. Industrial Robotics</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0.0554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C.2. ERP</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D.1. Security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0.0325</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D.2. Redundancy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0.0432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D.3. Scalability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E.1. Visibility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0.0963</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E.2. Collaboration</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0.1282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E.3. Velocity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0.0896</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F.1. Agility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0.0824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F.2. Flexibility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0.0426</w:t>
            </w:r>
          </w:p>
        </w:tc>
      </w:tr>
    </w:tbl>
    <w:p>
      <w:pPr>
        <w:pStyle w:val="Normal"/>
        <w:keepNext w:val="true"/>
        <w:spacing w:before="0" w:after="60"/>
        <w:rPr/>
      </w:pPr>
      <w:r>
        <w:br w:type="page"/>
      </w:r>
      <w:r>
        <w:rPr>
          <w:b/>
          <w:u w:val="single"/>
        </w:rPr>
        <w:t>Unweighted Supermatrix (2023)</w:t>
      </w:r>
    </w:p>
    <w:tbl>
      <w:tblPr>
        <w:tblW w:w="15255" w:type="dxa"/>
        <w:jc w:val="center"/>
        <w:tblInd w:w="0" w:type="dxa"/>
        <w:tblLayout w:type="fixed"/>
        <w:tblCellMar>
          <w:top w:w="10" w:type="dxa"/>
          <w:start w:w="14" w:type="dxa"/>
          <w:bottom w:w="10" w:type="dxa"/>
          <w:end w:w="14" w:type="dxa"/>
        </w:tblCellMar>
        <w:tblLook w:firstRow="1" w:noVBand="1" w:lastRow="0" w:firstColumn="1" w:lastColumn="0" w:noHBand="0" w:val="04a0"/>
      </w:tblPr>
      <w:tblGrid>
        <w:gridCol w:w="2520"/>
        <w:gridCol w:w="848"/>
        <w:gridCol w:w="850"/>
        <w:gridCol w:w="849"/>
        <w:gridCol w:w="848"/>
        <w:gridCol w:w="850"/>
        <w:gridCol w:w="848"/>
        <w:gridCol w:w="850"/>
        <w:gridCol w:w="848"/>
        <w:gridCol w:w="850"/>
        <w:gridCol w:w="848"/>
        <w:gridCol w:w="850"/>
        <w:gridCol w:w="848"/>
        <w:gridCol w:w="850"/>
        <w:gridCol w:w="848"/>
        <w:gridCol w:w="850"/>
      </w:tblGrid>
      <w:tr>
        <w:trPr>
          <w:tblHeader w:val="true"/>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Element</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A.2.</w:t>
            </w:r>
          </w:p>
        </w:tc>
        <w:tc>
          <w:tcPr>
            <w:tcW w:w="849"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D.3.</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A.1. Blockchain Tech.</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0.5432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0.2451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0.4112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0.4007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A.2. IoT</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0.4568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0.7549</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0.5888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0.5993</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B.1. Big Data Analytics</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0.4820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0.7920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0.4633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B.2. Cloud Computing</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0.5180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0.4681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0.2080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0.6631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0.6340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B.3. AI</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0.5319</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0.5367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0.3369</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0.3660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C.1. Industrial Robotics</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0.1772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0.2034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C.2. ERP</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0.8228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0.7966</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D.1. Security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0.7452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D.2. Redundancy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0.2548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0.2069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D.3. Scalability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0.7931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E.1. Visibility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0.7948</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0.8554</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0.3748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0.4181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E.2. Collaboration</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0.5992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0.4727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0.5819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E.3. Velocity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0.2052</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0.4008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0.1446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0.1525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F.1. Agility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0.3807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F.2. Flexibility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0.6193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bl>
    <w:p>
      <w:pPr>
        <w:pStyle w:val="Normal"/>
        <w:keepNext w:val="true"/>
        <w:spacing w:before="0" w:after="60"/>
        <w:rPr/>
      </w:pPr>
      <w:r>
        <w:br w:type="page"/>
      </w:r>
      <w:r>
        <w:rPr>
          <w:b/>
          <w:u w:val="single"/>
        </w:rPr>
        <w:t>Weighted Supermatrix (2023)</w:t>
      </w:r>
    </w:p>
    <w:tbl>
      <w:tblPr>
        <w:tblW w:w="15255" w:type="dxa"/>
        <w:jc w:val="center"/>
        <w:tblInd w:w="0" w:type="dxa"/>
        <w:tblLayout w:type="fixed"/>
        <w:tblCellMar>
          <w:top w:w="10" w:type="dxa"/>
          <w:start w:w="14" w:type="dxa"/>
          <w:bottom w:w="10" w:type="dxa"/>
          <w:end w:w="14" w:type="dxa"/>
        </w:tblCellMar>
        <w:tblLook w:firstRow="1" w:noVBand="1" w:lastRow="0" w:firstColumn="1" w:lastColumn="0" w:noHBand="0" w:val="04a0"/>
      </w:tblPr>
      <w:tblGrid>
        <w:gridCol w:w="2520"/>
        <w:gridCol w:w="848"/>
        <w:gridCol w:w="850"/>
        <w:gridCol w:w="849"/>
        <w:gridCol w:w="848"/>
        <w:gridCol w:w="850"/>
        <w:gridCol w:w="848"/>
        <w:gridCol w:w="850"/>
        <w:gridCol w:w="848"/>
        <w:gridCol w:w="850"/>
        <w:gridCol w:w="848"/>
        <w:gridCol w:w="850"/>
        <w:gridCol w:w="848"/>
        <w:gridCol w:w="850"/>
        <w:gridCol w:w="848"/>
        <w:gridCol w:w="850"/>
      </w:tblGrid>
      <w:tr>
        <w:trPr>
          <w:tblHeader w:val="true"/>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Element</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A.2.</w:t>
            </w:r>
          </w:p>
        </w:tc>
        <w:tc>
          <w:tcPr>
            <w:tcW w:w="849"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D.3.</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A.1. Blockchain Tech.</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0.1358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0.0817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0.0685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0.0668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A.2. IoT</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0.1142</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0.2516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0.0981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0.0999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B.1. Big Data Analytics</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0.2410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0.2640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0.0927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B.2. Cloud Computing</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0.2590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0.1560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0.0693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0.1105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0.1057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B.3. AI</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0.1773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0.1073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0.0562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0.0610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C.1. Industrial Robotics</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0.0295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0.0339</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C.2. ERP</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0.1371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0.1328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D.1. Security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0.3726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D.2. Redundancy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0.1274</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0.0345</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D.3. Scalability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0.5000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0.1322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E.1. Visibility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0.3974</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0.1426</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0.0697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E.2. Collaboration</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0.0970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E.3. Velocity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0.5000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0.1026</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0.1002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0.0241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0.0254</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F.1. Agility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0.5000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0.0635</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0.3333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0.1667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F.2. Flexibility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0.2000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0.2500</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0.1032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0.1667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w:t>
            </w:r>
          </w:p>
        </w:tc>
      </w:tr>
    </w:tbl>
    <w:p>
      <w:pPr>
        <w:pStyle w:val="Normal"/>
        <w:keepNext w:val="true"/>
        <w:spacing w:before="0" w:after="60"/>
        <w:rPr/>
      </w:pPr>
      <w:r>
        <w:br w:type="page"/>
      </w:r>
      <w:r>
        <w:rPr>
          <w:b/>
          <w:u w:val="single"/>
        </w:rPr>
        <w:t>Limit Matrix (2023)</w:t>
      </w:r>
    </w:p>
    <w:tbl>
      <w:tblPr>
        <w:tblW w:w="15255" w:type="dxa"/>
        <w:jc w:val="center"/>
        <w:tblInd w:w="0" w:type="dxa"/>
        <w:tblLayout w:type="fixed"/>
        <w:tblCellMar>
          <w:top w:w="10" w:type="dxa"/>
          <w:start w:w="14" w:type="dxa"/>
          <w:bottom w:w="10" w:type="dxa"/>
          <w:end w:w="14" w:type="dxa"/>
        </w:tblCellMar>
        <w:tblLook w:firstRow="1" w:noVBand="1" w:lastRow="0" w:firstColumn="1" w:lastColumn="0" w:noHBand="0" w:val="04a0"/>
      </w:tblPr>
      <w:tblGrid>
        <w:gridCol w:w="2520"/>
        <w:gridCol w:w="848"/>
        <w:gridCol w:w="850"/>
        <w:gridCol w:w="849"/>
        <w:gridCol w:w="848"/>
        <w:gridCol w:w="850"/>
        <w:gridCol w:w="848"/>
        <w:gridCol w:w="850"/>
        <w:gridCol w:w="848"/>
        <w:gridCol w:w="850"/>
        <w:gridCol w:w="848"/>
        <w:gridCol w:w="850"/>
        <w:gridCol w:w="848"/>
        <w:gridCol w:w="850"/>
        <w:gridCol w:w="848"/>
        <w:gridCol w:w="850"/>
      </w:tblGrid>
      <w:tr>
        <w:trPr>
          <w:tblHeader w:val="true"/>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Element</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A.2.</w:t>
            </w:r>
          </w:p>
        </w:tc>
        <w:tc>
          <w:tcPr>
            <w:tcW w:w="849"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B.3.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C.2.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D.2.</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D.3.</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E.1.</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E.2</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E.3.</w:t>
            </w:r>
          </w:p>
        </w:tc>
        <w:tc>
          <w:tcPr>
            <w:tcW w:w="848"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F.1.</w:t>
            </w:r>
          </w:p>
        </w:tc>
        <w:tc>
          <w:tcPr>
            <w:tcW w:w="850" w:type="dxa"/>
            <w:tcBorders>
              <w:top w:val="single" w:sz="4" w:space="0" w:color="000000"/>
              <w:start w:val="single" w:sz="4" w:space="0" w:color="000000"/>
              <w:bottom w:val="single" w:sz="4" w:space="0" w:color="000000"/>
              <w:end w:val="single" w:sz="4" w:space="0" w:color="000000"/>
            </w:tcBorders>
            <w:shd w:color="auto" w:fill="D9D9D9" w:val="clear"/>
            <w:vAlign w:val="center"/>
          </w:tcPr>
          <w:p>
            <w:pPr>
              <w:pStyle w:val="Normal"/>
              <w:spacing w:lineRule="auto" w:line="240"/>
              <w:jc w:val="center"/>
              <w:rPr/>
            </w:pPr>
            <w:r>
              <w:rPr>
                <w:b/>
              </w:rPr>
              <w:t>F.2.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A.1. Blockchain Tech.</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0.0253</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A.2. IoT</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0.1204</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B.1. Big Data Analytics</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0.0625</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B.2. Cloud Computing</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0.0906</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B.3. AI</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0.0233</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C.1. Industrial Robotics</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0.0498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C.2. ERP</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0.0728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D.1. Security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0.0321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D.2. Redundancy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0.0387</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D.3. Scalability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0.0488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E.1. Visibility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0.1012</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E.2. Collaboration</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0.1383</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E.3. Velocity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0.0778</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F.1. Agility</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9"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48"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c>
          <w:tcPr>
            <w:tcW w:w="850" w:type="dxa"/>
            <w:tcBorders>
              <w:top w:val="single" w:sz="4" w:space="0" w:color="000000"/>
              <w:start w:val="single" w:sz="4" w:space="0" w:color="000000"/>
              <w:bottom w:val="single" w:sz="4" w:space="0" w:color="000000"/>
              <w:end w:val="single" w:sz="4" w:space="0" w:color="000000"/>
            </w:tcBorders>
            <w:shd w:color="auto" w:fill="FAFAFA" w:val="clear"/>
            <w:tcMar>
              <w:top w:w="8" w:type="dxa"/>
              <w:start w:w="12" w:type="dxa"/>
              <w:bottom w:w="8" w:type="dxa"/>
              <w:end w:w="12" w:type="dxa"/>
            </w:tcMar>
            <w:vAlign w:val="center"/>
          </w:tcPr>
          <w:p>
            <w:pPr>
              <w:pStyle w:val="Normal"/>
              <w:spacing w:lineRule="auto" w:line="240"/>
              <w:jc w:val="center"/>
              <w:rPr/>
            </w:pPr>
            <w:r>
              <w:rPr/>
              <w:t>0.0701</w:t>
            </w:r>
          </w:p>
        </w:tc>
      </w:tr>
      <w:tr>
        <w:trPr>
          <w:trHeight w:val="418" w:hRule="atLeast"/>
          <w:cantSplit w:val="true"/>
        </w:trPr>
        <w:tc>
          <w:tcPr>
            <w:tcW w:w="2520" w:type="dxa"/>
            <w:tcBorders>
              <w:top w:val="single" w:sz="4" w:space="0" w:color="000000"/>
              <w:start w:val="single" w:sz="4" w:space="0" w:color="000000"/>
              <w:bottom w:val="single" w:sz="4" w:space="0" w:color="000000"/>
              <w:end w:val="single" w:sz="4" w:space="0" w:color="000000"/>
            </w:tcBorders>
            <w:shd w:color="auto" w:fill="F2F2F2" w:val="clear"/>
            <w:tcMar>
              <w:top w:w="8" w:type="dxa"/>
              <w:start w:w="12" w:type="dxa"/>
              <w:bottom w:w="8" w:type="dxa"/>
              <w:end w:w="12" w:type="dxa"/>
            </w:tcMar>
            <w:vAlign w:val="center"/>
          </w:tcPr>
          <w:p>
            <w:pPr>
              <w:pStyle w:val="Normal"/>
              <w:spacing w:lineRule="auto" w:line="240"/>
              <w:rPr/>
            </w:pPr>
            <w:r>
              <w:rPr>
                <w:b/>
              </w:rPr>
              <w:t>F.2. Flexibility</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9"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48"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p>
        </w:tc>
        <w:tc>
          <w:tcPr>
            <w:tcW w:w="850" w:type="dxa"/>
            <w:tcBorders>
              <w:top w:val="single" w:sz="4" w:space="0" w:color="000000"/>
              <w:start w:val="single" w:sz="4" w:space="0" w:color="000000"/>
              <w:bottom w:val="single" w:sz="4" w:space="0" w:color="000000"/>
              <w:end w:val="single" w:sz="4" w:space="0" w:color="000000"/>
            </w:tcBorders>
            <w:tcMar>
              <w:top w:w="8" w:type="dxa"/>
              <w:start w:w="12" w:type="dxa"/>
              <w:bottom w:w="8" w:type="dxa"/>
              <w:end w:w="12" w:type="dxa"/>
            </w:tcMar>
            <w:vAlign w:val="center"/>
          </w:tcPr>
          <w:p>
            <w:pPr>
              <w:pStyle w:val="Normal"/>
              <w:spacing w:lineRule="auto" w:line="240"/>
              <w:jc w:val="center"/>
              <w:rPr/>
            </w:pPr>
            <w:r>
              <w:rPr/>
              <w:t>0.0481</w:t>
            </w:r>
            <w:bookmarkStart w:id="1" w:name="_GoBack"/>
            <w:bookmarkEnd w:id="1"/>
          </w:p>
        </w:tc>
      </w:tr>
    </w:tbl>
    <w:p>
      <w:pPr>
        <w:pStyle w:val="Normal"/>
        <w:rPr>
          <w:lang w:val="tr-TR"/>
        </w:rPr>
      </w:pPr>
      <w:r>
        <w:rPr>
          <w:lang w:val="tr-TR"/>
        </w:rPr>
      </w:r>
    </w:p>
    <w:p>
      <w:pPr>
        <w:pStyle w:val="Heading2"/>
        <w:numPr>
          <w:ilvl w:val="0"/>
          <w:numId w:val="0"/>
        </w:numPr>
        <w:ind w:hanging="0" w:start="0"/>
        <w:rPr>
          <w:u w:val="single"/>
        </w:rPr>
      </w:pPr>
      <w:r>
        <w:rPr>
          <w:u w:val="single"/>
        </w:rPr>
      </w:r>
    </w:p>
    <w:sectPr>
      <w:footerReference w:type="default" r:id="rId5"/>
      <w:footerReference w:type="first" r:id="rId6"/>
      <w:type w:val="nextPage"/>
      <w:pgSz w:orient="landscape" w:w="16838" w:h="11906"/>
      <w:pgMar w:left="1361" w:right="1361" w:gutter="0" w:header="0" w:top="1304" w:footer="709" w:bottom="130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Segoe UI">
    <w:charset w:val="00" w:characterSet="windows-1252"/>
    <w:family w:val="swiss"/>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25273125"/>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25273125"/>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25273125"/>
      <w:docPartObj>
        <w:docPartGallery w:val="Page Numbers (Bottom of Page)"/>
        <w:docPartUnique w:val="true"/>
      </w:docPartObj>
    </w:sdtPr>
    <w:sdtContent>
      <w:p>
        <w:pPr>
          <w:pStyle w:val="Footer"/>
          <w:jc w:val="end"/>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Heading1"/>
      <w:lvlText w:val="%1"/>
      <w:lvlJc w:val="start"/>
      <w:pPr>
        <w:tabs>
          <w:tab w:val="num" w:pos="0"/>
        </w:tabs>
        <w:ind w:start="432" w:hanging="432"/>
      </w:pPr>
      <w:rPr/>
    </w:lvl>
    <w:lvl w:ilvl="1">
      <w:start w:val="1"/>
      <w:numFmt w:val="decimal"/>
      <w:pStyle w:val="Heading2"/>
      <w:lvlText w:val="%1.%2"/>
      <w:lvlJc w:val="start"/>
      <w:pPr>
        <w:tabs>
          <w:tab w:val="num" w:pos="0"/>
        </w:tabs>
        <w:ind w:start="576" w:hanging="576"/>
      </w:pPr>
      <w:rPr>
        <w:color w:val="auto"/>
        <w:sz w:val="24"/>
      </w:rPr>
    </w:lvl>
    <w:lvl w:ilvl="2">
      <w:start w:val="1"/>
      <w:numFmt w:val="decimal"/>
      <w:pStyle w:val="Heading3"/>
      <w:lvlText w:val="%1.%2.%3"/>
      <w:lvlJc w:val="start"/>
      <w:pPr>
        <w:tabs>
          <w:tab w:val="num" w:pos="0"/>
        </w:tabs>
        <w:ind w:start="720" w:hanging="720"/>
      </w:pPr>
      <w:rPr/>
    </w:lvl>
    <w:lvl w:ilvl="3">
      <w:start w:val="1"/>
      <w:numFmt w:val="decimal"/>
      <w:pStyle w:val="Heading4"/>
      <w:lvlText w:val="%1.%2.%3.%4"/>
      <w:lvlJc w:val="start"/>
      <w:pPr>
        <w:tabs>
          <w:tab w:val="num" w:pos="0"/>
        </w:tabs>
        <w:ind w:start="864" w:hanging="864"/>
      </w:pPr>
      <w:rPr/>
    </w:lvl>
    <w:lvl w:ilvl="4">
      <w:start w:val="1"/>
      <w:numFmt w:val="decimal"/>
      <w:pStyle w:val="Heading5"/>
      <w:lvlText w:val="%1.%2.%3.%4.%5"/>
      <w:lvlJc w:val="start"/>
      <w:pPr>
        <w:tabs>
          <w:tab w:val="num" w:pos="0"/>
        </w:tabs>
        <w:ind w:start="1008" w:hanging="1008"/>
      </w:pPr>
      <w:rPr/>
    </w:lvl>
    <w:lvl w:ilvl="5">
      <w:start w:val="1"/>
      <w:numFmt w:val="decimal"/>
      <w:pStyle w:val="Heading6"/>
      <w:lvlText w:val="%1.%2.%3.%4.%5.%6"/>
      <w:lvlJc w:val="start"/>
      <w:pPr>
        <w:tabs>
          <w:tab w:val="num" w:pos="0"/>
        </w:tabs>
        <w:ind w:start="1152" w:hanging="1152"/>
      </w:pPr>
      <w:rPr/>
    </w:lvl>
    <w:lvl w:ilvl="6">
      <w:start w:val="1"/>
      <w:numFmt w:val="decimal"/>
      <w:pStyle w:val="Heading7"/>
      <w:lvlText w:val="%1.%2.%3.%4.%5.%6.%7"/>
      <w:lvlJc w:val="start"/>
      <w:pPr>
        <w:tabs>
          <w:tab w:val="num" w:pos="0"/>
        </w:tabs>
        <w:ind w:start="1296" w:hanging="1296"/>
      </w:pPr>
      <w:rPr/>
    </w:lvl>
    <w:lvl w:ilvl="7">
      <w:start w:val="1"/>
      <w:numFmt w:val="decimal"/>
      <w:pStyle w:val="Heading8"/>
      <w:lvlText w:val="%1.%2.%3.%4.%5.%6.%7.%8"/>
      <w:lvlJc w:val="start"/>
      <w:pPr>
        <w:tabs>
          <w:tab w:val="num" w:pos="0"/>
        </w:tabs>
        <w:ind w:start="1440" w:hanging="1440"/>
      </w:pPr>
      <w:rPr/>
    </w:lvl>
    <w:lvl w:ilvl="8">
      <w:start w:val="1"/>
      <w:numFmt w:val="decimal"/>
      <w:pStyle w:val="Heading9"/>
      <w:lvlText w:val="%1.%2.%3.%4.%5.%6.%7.%8.%9"/>
      <w:lvlJc w:val="start"/>
      <w:pPr>
        <w:tabs>
          <w:tab w:val="num" w:pos="0"/>
        </w:tabs>
        <w:ind w:start="1584" w:hanging="1584"/>
      </w:pPr>
      <w:rPr/>
    </w:lvl>
  </w:abstractNum>
  <w:abstractNum w:abstractNumId="2">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3">
    <w:lvl w:ilvl="0">
      <w:start w:val="1"/>
      <w:numFmt w:val="bullet"/>
      <w:lvlText w:val=""/>
      <w:lvlJc w:val="start"/>
      <w:pPr>
        <w:tabs>
          <w:tab w:val="num" w:pos="0"/>
        </w:tabs>
        <w:ind w:start="360" w:hanging="360"/>
      </w:pPr>
      <w:rPr>
        <w:rFonts w:ascii="Symbol" w:hAnsi="Symbol" w:cs="Symbol" w:hint="default"/>
        <w:sz w:val="28"/>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zAwNLO0sLQ0NLQAMpV0lIJTi4sz8/NACkyMagFnJ3ysLQAAAA=="/>
  </w:docVars>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30db4"/>
    <w:pPr>
      <w:widowControl/>
      <w:bidi w:val="0"/>
      <w:spacing w:lineRule="auto" w:line="360" w:before="0" w:after="0"/>
      <w:jc w:val="start"/>
    </w:pPr>
    <w:rPr>
      <w:rFonts w:ascii="Times New Roman" w:hAnsi="Times New Roman" w:eastAsia="Times New Roman" w:cs="Times New Roman"/>
      <w:color w:val="auto"/>
      <w:kern w:val="0"/>
      <w:sz w:val="24"/>
      <w:szCs w:val="24"/>
      <w:lang w:eastAsia="en-GB" w:val="en-GB" w:bidi="ar-SA"/>
    </w:rPr>
  </w:style>
  <w:style w:type="paragraph" w:styleId="Heading1">
    <w:name w:val="heading 1"/>
    <w:basedOn w:val="Normal"/>
    <w:next w:val="Normal"/>
    <w:link w:val="Heading1Char"/>
    <w:uiPriority w:val="9"/>
    <w:qFormat/>
    <w:rsid w:val="00e46042"/>
    <w:pPr>
      <w:keepNext w:val="true"/>
      <w:keepLines/>
      <w:numPr>
        <w:ilvl w:val="0"/>
        <w:numId w:val="1"/>
      </w:numPr>
      <w:spacing w:before="480" w:after="0"/>
      <w:outlineLvl w:val="0"/>
    </w:pPr>
    <w:rPr>
      <w:rFonts w:eastAsia="" w:cs="" w:cstheme="majorBidi" w:eastAsiaTheme="majorEastAsia"/>
      <w:b/>
      <w:bCs/>
      <w:sz w:val="22"/>
      <w:szCs w:val="32"/>
      <w:lang w:eastAsia="en-US"/>
    </w:rPr>
  </w:style>
  <w:style w:type="paragraph" w:styleId="Heading2">
    <w:name w:val="heading 2"/>
    <w:basedOn w:val="Normal"/>
    <w:next w:val="Normal"/>
    <w:link w:val="Heading2Char"/>
    <w:uiPriority w:val="9"/>
    <w:unhideWhenUsed/>
    <w:qFormat/>
    <w:rsid w:val="00e46042"/>
    <w:pPr>
      <w:keepNext w:val="true"/>
      <w:keepLines/>
      <w:numPr>
        <w:ilvl w:val="1"/>
        <w:numId w:val="1"/>
      </w:numPr>
      <w:spacing w:before="200" w:after="0"/>
      <w:outlineLvl w:val="1"/>
    </w:pPr>
    <w:rPr>
      <w:rFonts w:eastAsia="" w:cs="" w:cstheme="majorBidi" w:eastAsiaTheme="majorEastAsia"/>
      <w:b/>
      <w:bCs/>
      <w:sz w:val="22"/>
      <w:szCs w:val="26"/>
      <w:lang w:eastAsia="en-US"/>
    </w:rPr>
  </w:style>
  <w:style w:type="paragraph" w:styleId="Heading3">
    <w:name w:val="heading 3"/>
    <w:basedOn w:val="Normal"/>
    <w:next w:val="Normal"/>
    <w:link w:val="Heading3Char"/>
    <w:uiPriority w:val="9"/>
    <w:unhideWhenUsed/>
    <w:qFormat/>
    <w:rsid w:val="002a3b76"/>
    <w:pPr>
      <w:keepNext w:val="true"/>
      <w:keepLines/>
      <w:numPr>
        <w:ilvl w:val="2"/>
        <w:numId w:val="1"/>
      </w:numPr>
      <w:spacing w:before="40" w:after="0"/>
      <w:outlineLvl w:val="2"/>
    </w:pPr>
    <w:rPr>
      <w:rFonts w:eastAsia="" w:cs="" w:cstheme="majorBidi" w:eastAsiaTheme="majorEastAsia"/>
      <w:b/>
      <w:sz w:val="22"/>
      <w:lang w:eastAsia="en-US"/>
    </w:rPr>
  </w:style>
  <w:style w:type="paragraph" w:styleId="Heading4">
    <w:name w:val="heading 4"/>
    <w:basedOn w:val="Normal"/>
    <w:next w:val="Normal"/>
    <w:link w:val="Heading4Char"/>
    <w:uiPriority w:val="9"/>
    <w:unhideWhenUsed/>
    <w:qFormat/>
    <w:rsid w:val="00970e40"/>
    <w:pPr>
      <w:keepNext w:val="true"/>
      <w:keepLines/>
      <w:numPr>
        <w:ilvl w:val="3"/>
        <w:numId w:val="1"/>
      </w:numPr>
      <w:spacing w:before="40" w:after="0"/>
      <w:outlineLvl w:val="3"/>
    </w:pPr>
    <w:rPr>
      <w:rFonts w:eastAsia="" w:cs="" w:cstheme="majorBidi" w:eastAsiaTheme="majorEastAsia"/>
      <w:i/>
      <w:iCs/>
      <w:color w:themeColor="text1" w:val="000000"/>
      <w:sz w:val="22"/>
      <w:lang w:eastAsia="en-US"/>
    </w:rPr>
  </w:style>
  <w:style w:type="paragraph" w:styleId="Heading5">
    <w:name w:val="heading 5"/>
    <w:basedOn w:val="Normal"/>
    <w:next w:val="Normal"/>
    <w:link w:val="Heading5Char"/>
    <w:uiPriority w:val="9"/>
    <w:semiHidden/>
    <w:unhideWhenUsed/>
    <w:qFormat/>
    <w:rsid w:val="002a3b76"/>
    <w:pPr>
      <w:keepNext w:val="true"/>
      <w:keepLines/>
      <w:numPr>
        <w:ilvl w:val="4"/>
        <w:numId w:val="1"/>
      </w:numPr>
      <w:spacing w:before="40" w:after="0"/>
      <w:outlineLvl w:val="4"/>
    </w:pPr>
    <w:rPr>
      <w:rFonts w:ascii="Calibri" w:hAnsi="Calibri" w:eastAsia="" w:cs="" w:asciiTheme="majorHAnsi" w:cstheme="majorBidi" w:eastAsiaTheme="majorEastAsia" w:hAnsiTheme="majorHAnsi"/>
      <w:color w:themeColor="accent1" w:themeShade="bf" w:val="365F91"/>
      <w:sz w:val="22"/>
      <w:lang w:eastAsia="en-US"/>
    </w:rPr>
  </w:style>
  <w:style w:type="paragraph" w:styleId="Heading6">
    <w:name w:val="heading 6"/>
    <w:basedOn w:val="Normal"/>
    <w:next w:val="Normal"/>
    <w:link w:val="Heading6Char"/>
    <w:uiPriority w:val="9"/>
    <w:semiHidden/>
    <w:unhideWhenUsed/>
    <w:qFormat/>
    <w:rsid w:val="002a3b76"/>
    <w:pPr>
      <w:keepNext w:val="true"/>
      <w:keepLines/>
      <w:numPr>
        <w:ilvl w:val="5"/>
        <w:numId w:val="1"/>
      </w:numPr>
      <w:spacing w:before="40" w:after="0"/>
      <w:outlineLvl w:val="5"/>
    </w:pPr>
    <w:rPr>
      <w:rFonts w:ascii="Calibri" w:hAnsi="Calibri" w:eastAsia="" w:cs="" w:asciiTheme="majorHAnsi" w:cstheme="majorBidi" w:eastAsiaTheme="majorEastAsia" w:hAnsiTheme="majorHAnsi"/>
      <w:color w:themeColor="accent1" w:themeShade="7f" w:val="243F60"/>
      <w:sz w:val="22"/>
      <w:lang w:eastAsia="en-US"/>
    </w:rPr>
  </w:style>
  <w:style w:type="paragraph" w:styleId="Heading7">
    <w:name w:val="heading 7"/>
    <w:basedOn w:val="Normal"/>
    <w:next w:val="Normal"/>
    <w:link w:val="Heading7Char"/>
    <w:uiPriority w:val="9"/>
    <w:semiHidden/>
    <w:unhideWhenUsed/>
    <w:qFormat/>
    <w:rsid w:val="002a3b76"/>
    <w:pPr>
      <w:keepNext w:val="true"/>
      <w:keepLines/>
      <w:numPr>
        <w:ilvl w:val="6"/>
        <w:numId w:val="1"/>
      </w:numPr>
      <w:spacing w:before="40" w:after="0"/>
      <w:outlineLvl w:val="6"/>
    </w:pPr>
    <w:rPr>
      <w:rFonts w:ascii="Calibri" w:hAnsi="Calibri" w:eastAsia="" w:cs="" w:asciiTheme="majorHAnsi" w:cstheme="majorBidi" w:eastAsiaTheme="majorEastAsia" w:hAnsiTheme="majorHAnsi"/>
      <w:i/>
      <w:iCs/>
      <w:color w:themeColor="accent1" w:themeShade="7f" w:val="243F60"/>
      <w:sz w:val="22"/>
      <w:lang w:eastAsia="en-US"/>
    </w:rPr>
  </w:style>
  <w:style w:type="paragraph" w:styleId="Heading8">
    <w:name w:val="heading 8"/>
    <w:basedOn w:val="Normal"/>
    <w:next w:val="Normal"/>
    <w:link w:val="Heading8Char"/>
    <w:uiPriority w:val="9"/>
    <w:semiHidden/>
    <w:unhideWhenUsed/>
    <w:qFormat/>
    <w:rsid w:val="002a3b76"/>
    <w:pPr>
      <w:keepNext w:val="true"/>
      <w:keepLines/>
      <w:numPr>
        <w:ilvl w:val="7"/>
        <w:numId w:val="1"/>
      </w:numPr>
      <w:spacing w:before="40" w:after="0"/>
      <w:outlineLvl w:val="7"/>
    </w:pPr>
    <w:rPr>
      <w:rFonts w:ascii="Calibri" w:hAnsi="Calibri" w:eastAsia="" w:cs="" w:asciiTheme="majorHAnsi" w:cstheme="majorBidi" w:eastAsiaTheme="majorEastAsia" w:hAnsiTheme="majorHAnsi"/>
      <w:color w:themeColor="text1" w:themeTint="d8" w:val="272727"/>
      <w:sz w:val="21"/>
      <w:szCs w:val="21"/>
      <w:lang w:eastAsia="en-US"/>
    </w:rPr>
  </w:style>
  <w:style w:type="paragraph" w:styleId="Heading9">
    <w:name w:val="heading 9"/>
    <w:basedOn w:val="Normal"/>
    <w:next w:val="Normal"/>
    <w:link w:val="Heading9Char"/>
    <w:uiPriority w:val="9"/>
    <w:semiHidden/>
    <w:unhideWhenUsed/>
    <w:qFormat/>
    <w:rsid w:val="002a3b76"/>
    <w:pPr>
      <w:keepNext w:val="true"/>
      <w:keepLines/>
      <w:numPr>
        <w:ilvl w:val="8"/>
        <w:numId w:val="1"/>
      </w:numPr>
      <w:spacing w:before="40" w:after="0"/>
      <w:outlineLvl w:val="8"/>
    </w:pPr>
    <w:rPr>
      <w:rFonts w:ascii="Calibri" w:hAnsi="Calibri" w:eastAsia="" w:cs="" w:asciiTheme="majorHAnsi" w:cstheme="majorBidi" w:eastAsiaTheme="majorEastAsia" w:hAnsiTheme="majorHAnsi"/>
      <w:i/>
      <w:iCs/>
      <w:color w:themeColor="text1" w:themeTint="d8" w:val="272727"/>
      <w:sz w:val="21"/>
      <w:szCs w:val="21"/>
      <w:lang w:eastAsia="en-US"/>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e46042"/>
    <w:rPr>
      <w:rFonts w:ascii="Arial" w:hAnsi="Arial" w:eastAsia="" w:cs="" w:cstheme="majorBidi" w:eastAsiaTheme="majorEastAsia"/>
      <w:b/>
      <w:bCs/>
      <w:sz w:val="22"/>
      <w:szCs w:val="32"/>
    </w:rPr>
  </w:style>
  <w:style w:type="character" w:styleId="Heading2Char" w:customStyle="1">
    <w:name w:val="Heading 2 Char"/>
    <w:basedOn w:val="DefaultParagraphFont"/>
    <w:link w:val="Heading2"/>
    <w:uiPriority w:val="9"/>
    <w:qFormat/>
    <w:rsid w:val="00e46042"/>
    <w:rPr>
      <w:rFonts w:ascii="Arial" w:hAnsi="Arial" w:eastAsia="" w:cs="" w:cstheme="majorBidi" w:eastAsiaTheme="majorEastAsia"/>
      <w:b/>
      <w:bCs/>
      <w:sz w:val="22"/>
      <w:szCs w:val="26"/>
    </w:rPr>
  </w:style>
  <w:style w:type="character" w:styleId="TitleChar" w:customStyle="1">
    <w:name w:val="Title Char"/>
    <w:basedOn w:val="DefaultParagraphFont"/>
    <w:link w:val="Title"/>
    <w:uiPriority w:val="10"/>
    <w:qFormat/>
    <w:rsid w:val="008e0f91"/>
    <w:rPr>
      <w:rFonts w:ascii="Times New Roman" w:hAnsi="Times New Roman" w:eastAsia="" w:cs="" w:cstheme="majorBidi" w:eastAsiaTheme="majorEastAsia"/>
      <w:b/>
      <w:spacing w:val="5"/>
      <w:kern w:val="2"/>
      <w:szCs w:val="52"/>
    </w:rPr>
  </w:style>
  <w:style w:type="character" w:styleId="SubtitleChar" w:customStyle="1">
    <w:name w:val="Subtitle Char"/>
    <w:basedOn w:val="DefaultParagraphFont"/>
    <w:link w:val="Subtitle"/>
    <w:uiPriority w:val="11"/>
    <w:qFormat/>
    <w:rsid w:val="008e0f91"/>
    <w:rPr>
      <w:rFonts w:ascii="Times New Roman" w:hAnsi="Times New Roman" w:eastAsia="" w:cs="" w:cstheme="majorBidi" w:eastAsiaTheme="majorEastAsia"/>
      <w:i/>
      <w:iCs/>
      <w:spacing w:val="15"/>
      <w:sz w:val="22"/>
    </w:rPr>
  </w:style>
  <w:style w:type="character" w:styleId="FooterChar" w:customStyle="1">
    <w:name w:val="Footer Char"/>
    <w:basedOn w:val="DefaultParagraphFont"/>
    <w:link w:val="Footer"/>
    <w:uiPriority w:val="99"/>
    <w:qFormat/>
    <w:rsid w:val="008e0f91"/>
    <w:rPr>
      <w:rFonts w:ascii="Times New Roman" w:hAnsi="Times New Roman"/>
      <w:sz w:val="22"/>
    </w:rPr>
  </w:style>
  <w:style w:type="character" w:styleId="PageNumber">
    <w:name w:val="page number"/>
    <w:basedOn w:val="DefaultParagraphFont"/>
    <w:unhideWhenUsed/>
    <w:rsid w:val="008e0f91"/>
    <w:rPr/>
  </w:style>
  <w:style w:type="character" w:styleId="DocumentMapChar" w:customStyle="1">
    <w:name w:val="Document Map Char"/>
    <w:basedOn w:val="DefaultParagraphFont"/>
    <w:link w:val="DocumentMap"/>
    <w:uiPriority w:val="99"/>
    <w:semiHidden/>
    <w:qFormat/>
    <w:rsid w:val="002a3b76"/>
    <w:rPr>
      <w:rFonts w:ascii="Times New Roman" w:hAnsi="Times New Roman" w:cs="Times New Roman"/>
    </w:rPr>
  </w:style>
  <w:style w:type="character" w:styleId="Heading3Char" w:customStyle="1">
    <w:name w:val="Heading 3 Char"/>
    <w:basedOn w:val="DefaultParagraphFont"/>
    <w:link w:val="Heading3"/>
    <w:uiPriority w:val="9"/>
    <w:qFormat/>
    <w:rsid w:val="002a3b76"/>
    <w:rPr>
      <w:rFonts w:ascii="Times New Roman" w:hAnsi="Times New Roman" w:eastAsia="" w:cs="" w:cstheme="majorBidi" w:eastAsiaTheme="majorEastAsia"/>
      <w:b/>
      <w:sz w:val="22"/>
    </w:rPr>
  </w:style>
  <w:style w:type="character" w:styleId="Heading4Char" w:customStyle="1">
    <w:name w:val="Heading 4 Char"/>
    <w:basedOn w:val="DefaultParagraphFont"/>
    <w:link w:val="Heading4"/>
    <w:uiPriority w:val="9"/>
    <w:qFormat/>
    <w:rsid w:val="00970e40"/>
    <w:rPr>
      <w:rFonts w:ascii="Times New Roman" w:hAnsi="Times New Roman" w:eastAsia="" w:cs="" w:cstheme="majorBidi" w:eastAsiaTheme="majorEastAsia"/>
      <w:i/>
      <w:iCs/>
      <w:color w:themeColor="text1" w:val="000000"/>
      <w:sz w:val="22"/>
    </w:rPr>
  </w:style>
  <w:style w:type="character" w:styleId="Heading5Char" w:customStyle="1">
    <w:name w:val="Heading 5 Char"/>
    <w:basedOn w:val="DefaultParagraphFont"/>
    <w:link w:val="Heading5"/>
    <w:uiPriority w:val="9"/>
    <w:semiHidden/>
    <w:qFormat/>
    <w:rsid w:val="002a3b76"/>
    <w:rPr>
      <w:rFonts w:ascii="Calibri" w:hAnsi="Calibri" w:eastAsia="" w:cs="" w:asciiTheme="majorHAnsi" w:cstheme="majorBidi" w:eastAsiaTheme="majorEastAsia" w:hAnsiTheme="majorHAnsi"/>
      <w:color w:themeColor="accent1" w:themeShade="bf" w:val="365F91"/>
      <w:sz w:val="22"/>
    </w:rPr>
  </w:style>
  <w:style w:type="character" w:styleId="Heading6Char" w:customStyle="1">
    <w:name w:val="Heading 6 Char"/>
    <w:basedOn w:val="DefaultParagraphFont"/>
    <w:link w:val="Heading6"/>
    <w:uiPriority w:val="9"/>
    <w:semiHidden/>
    <w:qFormat/>
    <w:rsid w:val="002a3b76"/>
    <w:rPr>
      <w:rFonts w:ascii="Calibri" w:hAnsi="Calibri" w:eastAsia="" w:cs="" w:asciiTheme="majorHAnsi" w:cstheme="majorBidi" w:eastAsiaTheme="majorEastAsia" w:hAnsiTheme="majorHAnsi"/>
      <w:color w:themeColor="accent1" w:themeShade="7f" w:val="243F60"/>
      <w:sz w:val="22"/>
    </w:rPr>
  </w:style>
  <w:style w:type="character" w:styleId="Heading7Char" w:customStyle="1">
    <w:name w:val="Heading 7 Char"/>
    <w:basedOn w:val="DefaultParagraphFont"/>
    <w:link w:val="Heading7"/>
    <w:uiPriority w:val="9"/>
    <w:semiHidden/>
    <w:qFormat/>
    <w:rsid w:val="002a3b76"/>
    <w:rPr>
      <w:rFonts w:ascii="Calibri" w:hAnsi="Calibri" w:eastAsia="" w:cs="" w:asciiTheme="majorHAnsi" w:cstheme="majorBidi" w:eastAsiaTheme="majorEastAsia" w:hAnsiTheme="majorHAnsi"/>
      <w:i/>
      <w:iCs/>
      <w:color w:themeColor="accent1" w:themeShade="7f" w:val="243F60"/>
      <w:sz w:val="22"/>
    </w:rPr>
  </w:style>
  <w:style w:type="character" w:styleId="Heading8Char" w:customStyle="1">
    <w:name w:val="Heading 8 Char"/>
    <w:basedOn w:val="DefaultParagraphFont"/>
    <w:link w:val="Heading8"/>
    <w:uiPriority w:val="9"/>
    <w:semiHidden/>
    <w:qFormat/>
    <w:rsid w:val="002a3b76"/>
    <w:rPr>
      <w:rFonts w:ascii="Calibri" w:hAnsi="Calibri" w:eastAsia="" w:cs="" w:asciiTheme="majorHAnsi" w:cstheme="majorBidi" w:eastAsiaTheme="majorEastAsia" w:hAnsiTheme="majorHAnsi"/>
      <w:color w:themeColor="text1" w:themeTint="d8" w:val="272727"/>
      <w:sz w:val="21"/>
      <w:szCs w:val="21"/>
    </w:rPr>
  </w:style>
  <w:style w:type="character" w:styleId="Heading9Char" w:customStyle="1">
    <w:name w:val="Heading 9 Char"/>
    <w:basedOn w:val="DefaultParagraphFont"/>
    <w:link w:val="Heading9"/>
    <w:uiPriority w:val="9"/>
    <w:semiHidden/>
    <w:qFormat/>
    <w:rsid w:val="002a3b76"/>
    <w:rPr>
      <w:rFonts w:ascii="Calibri" w:hAnsi="Calibri" w:eastAsia="" w:cs="" w:asciiTheme="majorHAnsi" w:cstheme="majorBidi" w:eastAsiaTheme="majorEastAsia" w:hAnsiTheme="majorHAnsi"/>
      <w:i/>
      <w:iCs/>
      <w:color w:themeColor="text1" w:themeTint="d8" w:val="272727"/>
      <w:sz w:val="21"/>
      <w:szCs w:val="21"/>
    </w:rPr>
  </w:style>
  <w:style w:type="character" w:styleId="CommentReference">
    <w:name w:val="annotation reference"/>
    <w:basedOn w:val="DefaultParagraphFont"/>
    <w:unhideWhenUsed/>
    <w:qFormat/>
    <w:rsid w:val="00d27fca"/>
    <w:rPr>
      <w:sz w:val="16"/>
      <w:szCs w:val="16"/>
    </w:rPr>
  </w:style>
  <w:style w:type="character" w:styleId="CommentTextChar" w:customStyle="1">
    <w:name w:val="Comment Text Char"/>
    <w:basedOn w:val="DefaultParagraphFont"/>
    <w:link w:val="CommentText"/>
    <w:qFormat/>
    <w:rsid w:val="00d27fca"/>
    <w:rPr>
      <w:rFonts w:ascii="Times New Roman" w:hAnsi="Times New Roman"/>
      <w:sz w:val="20"/>
      <w:szCs w:val="20"/>
    </w:rPr>
  </w:style>
  <w:style w:type="character" w:styleId="CommentSubjectChar" w:customStyle="1">
    <w:name w:val="Comment Subject Char"/>
    <w:basedOn w:val="CommentTextChar"/>
    <w:link w:val="annotationsubject"/>
    <w:qFormat/>
    <w:rsid w:val="00d27fca"/>
    <w:rPr>
      <w:rFonts w:ascii="Times New Roman" w:hAnsi="Times New Roman"/>
      <w:b/>
      <w:bCs/>
      <w:sz w:val="20"/>
      <w:szCs w:val="20"/>
    </w:rPr>
  </w:style>
  <w:style w:type="character" w:styleId="BalloonTextChar" w:customStyle="1">
    <w:name w:val="Balloon Text Char"/>
    <w:basedOn w:val="DefaultParagraphFont"/>
    <w:link w:val="BalloonText"/>
    <w:qFormat/>
    <w:rsid w:val="009635de"/>
    <w:rPr>
      <w:rFonts w:ascii="Segoe UI" w:hAnsi="Segoe UI" w:eastAsia="Times New Roman" w:cs="Segoe UI"/>
      <w:sz w:val="18"/>
      <w:szCs w:val="18"/>
      <w:lang w:eastAsia="en-GB"/>
    </w:rPr>
  </w:style>
  <w:style w:type="character" w:styleId="Strong">
    <w:name w:val="Strong"/>
    <w:basedOn w:val="DefaultParagraphFont"/>
    <w:uiPriority w:val="22"/>
    <w:qFormat/>
    <w:rsid w:val="00b15b4c"/>
    <w:rPr>
      <w:b/>
      <w:bCs/>
    </w:rPr>
  </w:style>
  <w:style w:type="character" w:styleId="Hyperlink">
    <w:name w:val="Hyperlink"/>
    <w:basedOn w:val="DefaultParagraphFont"/>
    <w:unhideWhenUsed/>
    <w:rsid w:val="00c273ce"/>
    <w:rPr>
      <w:color w:themeColor="hyperlink" w:val="0000FF"/>
      <w:u w:val="single"/>
    </w:rPr>
  </w:style>
  <w:style w:type="character" w:styleId="UnresolvedMention1" w:customStyle="1">
    <w:name w:val="Unresolved Mention1"/>
    <w:basedOn w:val="DefaultParagraphFont"/>
    <w:uiPriority w:val="99"/>
    <w:semiHidden/>
    <w:unhideWhenUsed/>
    <w:qFormat/>
    <w:rsid w:val="003e6211"/>
    <w:rPr>
      <w:color w:val="605E5C"/>
      <w:shd w:fill="E1DFDD" w:val="clear"/>
    </w:rPr>
  </w:style>
  <w:style w:type="character" w:styleId="BodyText2Char" w:customStyle="1">
    <w:name w:val="Body Text 2 Char"/>
    <w:basedOn w:val="DefaultParagraphFont"/>
    <w:link w:val="BodyText2"/>
    <w:uiPriority w:val="99"/>
    <w:qFormat/>
    <w:rsid w:val="000646a7"/>
    <w:rPr>
      <w:rFonts w:ascii="Times New Roman" w:hAnsi="Times New Roman" w:eastAsia="Times New Roman" w:cs="Times New Roman"/>
      <w:i/>
      <w:iCs/>
      <w:lang w:val="tr-TR"/>
    </w:rPr>
  </w:style>
  <w:style w:type="character" w:styleId="BodyTextChar" w:customStyle="1">
    <w:name w:val="Body Text Char"/>
    <w:basedOn w:val="DefaultParagraphFont"/>
    <w:uiPriority w:val="99"/>
    <w:qFormat/>
    <w:rsid w:val="000646a7"/>
    <w:rPr>
      <w:rFonts w:ascii="Arial" w:hAnsi="Arial" w:eastAsia="Times New Roman" w:cs="Times New Roman"/>
      <w:szCs w:val="20"/>
      <w:lang w:val="en-US"/>
    </w:rPr>
  </w:style>
  <w:style w:type="character" w:styleId="HeaderChar" w:customStyle="1">
    <w:name w:val="Header Char"/>
    <w:basedOn w:val="DefaultParagraphFont"/>
    <w:link w:val="Header"/>
    <w:uiPriority w:val="99"/>
    <w:qFormat/>
    <w:rsid w:val="000646a7"/>
    <w:rPr>
      <w:rFonts w:ascii="Times New Roman" w:hAnsi="Times New Roman" w:eastAsia="Times New Roman" w:cs="Times New Roman"/>
      <w:sz w:val="20"/>
      <w:szCs w:val="20"/>
      <w:lang w:val="en-US"/>
    </w:rPr>
  </w:style>
  <w:style w:type="character" w:styleId="UnresolvedMention2" w:customStyle="1">
    <w:name w:val="Unresolved Mention2"/>
    <w:basedOn w:val="DefaultParagraphFont"/>
    <w:uiPriority w:val="99"/>
    <w:semiHidden/>
    <w:unhideWhenUsed/>
    <w:qFormat/>
    <w:rsid w:val="002c54c7"/>
    <w:rPr>
      <w:color w:val="605E5C"/>
      <w:shd w:fill="E1DFDD" w:val="clear"/>
    </w:rPr>
  </w:style>
  <w:style w:type="character" w:styleId="Emphasis">
    <w:name w:val="Emphasis"/>
    <w:basedOn w:val="DefaultParagraphFont"/>
    <w:uiPriority w:val="20"/>
    <w:qFormat/>
    <w:rsid w:val="00134da4"/>
    <w:rPr>
      <w:i/>
      <w:iCs/>
    </w:rPr>
  </w:style>
  <w:style w:type="character" w:styleId="UnresolvedMention3" w:customStyle="1">
    <w:name w:val="Unresolved Mention3"/>
    <w:basedOn w:val="DefaultParagraphFont"/>
    <w:uiPriority w:val="99"/>
    <w:semiHidden/>
    <w:unhideWhenUsed/>
    <w:qFormat/>
    <w:rsid w:val="00394e7f"/>
    <w:rPr>
      <w:color w:val="605E5C"/>
      <w:shd w:fill="E1DFDD" w:val="clear"/>
    </w:rPr>
  </w:style>
  <w:style w:type="character" w:styleId="UnresolvedMention4" w:customStyle="1">
    <w:name w:val="Unresolved Mention4"/>
    <w:basedOn w:val="DefaultParagraphFont"/>
    <w:uiPriority w:val="99"/>
    <w:semiHidden/>
    <w:unhideWhenUsed/>
    <w:qFormat/>
    <w:rsid w:val="00f55942"/>
    <w:rPr>
      <w:color w:val="605E5C"/>
      <w:shd w:fill="E1DFDD" w:val="clear"/>
    </w:rPr>
  </w:style>
  <w:style w:type="character" w:styleId="UnresolvedMention5" w:customStyle="1">
    <w:name w:val="Unresolved Mention5"/>
    <w:basedOn w:val="DefaultParagraphFont"/>
    <w:uiPriority w:val="99"/>
    <w:semiHidden/>
    <w:unhideWhenUsed/>
    <w:qFormat/>
    <w:rsid w:val="002f4812"/>
    <w:rPr>
      <w:color w:val="605E5C"/>
      <w:shd w:fill="E1DFDD" w:val="clear"/>
    </w:rPr>
  </w:style>
  <w:style w:type="character" w:styleId="UnresolvedMention6" w:customStyle="1">
    <w:name w:val="Unresolved Mention6"/>
    <w:basedOn w:val="DefaultParagraphFont"/>
    <w:uiPriority w:val="99"/>
    <w:semiHidden/>
    <w:unhideWhenUsed/>
    <w:qFormat/>
    <w:rsid w:val="006e7c5e"/>
    <w:rPr>
      <w:color w:val="605E5C"/>
      <w:shd w:fill="E1DFDD" w:val="clear"/>
    </w:rPr>
  </w:style>
  <w:style w:type="character" w:styleId="FollowedHyperlink">
    <w:name w:val="FollowedHyperlink"/>
    <w:basedOn w:val="DefaultParagraphFont"/>
    <w:uiPriority w:val="99"/>
    <w:semiHidden/>
    <w:unhideWhenUsed/>
    <w:rsid w:val="00ec1e1b"/>
    <w:rPr>
      <w:color w:themeColor="followedHyperlink" w:val="800080"/>
      <w:u w:val="single"/>
    </w:rPr>
  </w:style>
  <w:style w:type="character" w:styleId="UnresolvedMention7" w:customStyle="1">
    <w:name w:val="Unresolved Mention7"/>
    <w:basedOn w:val="DefaultParagraphFont"/>
    <w:uiPriority w:val="99"/>
    <w:semiHidden/>
    <w:unhideWhenUsed/>
    <w:qFormat/>
    <w:rsid w:val="00e0284c"/>
    <w:rPr>
      <w:color w:val="605E5C"/>
      <w:shd w:fill="E1DFDD" w:val="clear"/>
    </w:rPr>
  </w:style>
  <w:style w:type="character" w:styleId="citation-20" w:customStyle="1">
    <w:name w:val="citation-20"/>
    <w:basedOn w:val="DefaultParagraphFont"/>
    <w:qFormat/>
    <w:rsid w:val="00f422fc"/>
    <w:rPr/>
  </w:style>
  <w:style w:type="character" w:styleId="citation-19" w:customStyle="1">
    <w:name w:val="citation-19"/>
    <w:basedOn w:val="DefaultParagraphFont"/>
    <w:qFormat/>
    <w:rsid w:val="00f422fc"/>
    <w:rPr/>
  </w:style>
  <w:style w:type="character" w:styleId="citation-18" w:customStyle="1">
    <w:name w:val="citation-18"/>
    <w:basedOn w:val="DefaultParagraphFont"/>
    <w:qFormat/>
    <w:rsid w:val="00f422fc"/>
    <w:rPr/>
  </w:style>
  <w:style w:type="character" w:styleId="citation-17" w:customStyle="1">
    <w:name w:val="citation-17"/>
    <w:basedOn w:val="DefaultParagraphFont"/>
    <w:qFormat/>
    <w:rsid w:val="00f422fc"/>
    <w:rPr/>
  </w:style>
  <w:style w:type="character" w:styleId="citation-16" w:customStyle="1">
    <w:name w:val="citation-16"/>
    <w:basedOn w:val="DefaultParagraphFont"/>
    <w:qFormat/>
    <w:rsid w:val="00f422fc"/>
    <w:rPr/>
  </w:style>
  <w:style w:type="character" w:styleId="citation-15" w:customStyle="1">
    <w:name w:val="citation-15"/>
    <w:basedOn w:val="DefaultParagraphFont"/>
    <w:qFormat/>
    <w:rsid w:val="00f422fc"/>
    <w:rPr/>
  </w:style>
  <w:style w:type="character" w:styleId="citation-14" w:customStyle="1">
    <w:name w:val="citation-14"/>
    <w:basedOn w:val="DefaultParagraphFont"/>
    <w:qFormat/>
    <w:rsid w:val="00344685"/>
    <w:rPr/>
  </w:style>
  <w:style w:type="character" w:styleId="citation-13" w:customStyle="1">
    <w:name w:val="citation-13"/>
    <w:basedOn w:val="DefaultParagraphFont"/>
    <w:qFormat/>
    <w:rsid w:val="00344685"/>
    <w:rPr/>
  </w:style>
  <w:style w:type="character" w:styleId="citation-12" w:customStyle="1">
    <w:name w:val="citation-12"/>
    <w:basedOn w:val="DefaultParagraphFont"/>
    <w:qFormat/>
    <w:rsid w:val="00344685"/>
    <w:rPr/>
  </w:style>
  <w:style w:type="character" w:styleId="citation-11" w:customStyle="1">
    <w:name w:val="citation-11"/>
    <w:basedOn w:val="DefaultParagraphFont"/>
    <w:qFormat/>
    <w:rsid w:val="00344685"/>
    <w:rPr/>
  </w:style>
  <w:style w:type="character" w:styleId="UnresolvedMention8" w:customStyle="1">
    <w:name w:val="Unresolved Mention8"/>
    <w:basedOn w:val="DefaultParagraphFont"/>
    <w:uiPriority w:val="99"/>
    <w:semiHidden/>
    <w:unhideWhenUsed/>
    <w:qFormat/>
    <w:rsid w:val="00130c27"/>
    <w:rPr>
      <w:color w:val="605E5C"/>
      <w:shd w:fill="E1DFDD" w:val="clear"/>
    </w:rPr>
  </w:style>
  <w:style w:type="character" w:styleId="UnresolvedMention9" w:customStyle="1">
    <w:name w:val="Unresolved Mention9"/>
    <w:basedOn w:val="DefaultParagraphFont"/>
    <w:uiPriority w:val="99"/>
    <w:semiHidden/>
    <w:unhideWhenUsed/>
    <w:qFormat/>
    <w:rsid w:val="005c6417"/>
    <w:rPr>
      <w:color w:val="605E5C"/>
      <w:shd w:fill="E1DFDD" w:val="clear"/>
    </w:rPr>
  </w:style>
  <w:style w:type="character" w:styleId="anchor-text" w:customStyle="1">
    <w:name w:val="anchor-text"/>
    <w:basedOn w:val="DefaultParagraphFont"/>
    <w:qFormat/>
    <w:rsid w:val="002c0cd4"/>
    <w:rPr/>
  </w:style>
  <w:style w:type="character" w:styleId="BodyText3Char" w:customStyle="1">
    <w:name w:val="Body Text 3 Char"/>
    <w:basedOn w:val="DefaultParagraphFont"/>
    <w:link w:val="BodyText3"/>
    <w:uiPriority w:val="99"/>
    <w:qFormat/>
    <w:rsid w:val="001c4981"/>
    <w:rPr>
      <w:rFonts w:ascii="Times New Roman" w:hAnsi="Times New Roman" w:eastAsia="Times New Roman" w:cs="Times New Roman"/>
      <w:sz w:val="16"/>
      <w:szCs w:val="16"/>
      <w:lang w:val="en-US"/>
    </w:rPr>
  </w:style>
  <w:style w:type="character" w:styleId="MacroTextChar" w:customStyle="1">
    <w:name w:val="Macro Text Char"/>
    <w:basedOn w:val="DefaultParagraphFont"/>
    <w:link w:val="MacroText"/>
    <w:uiPriority w:val="99"/>
    <w:qFormat/>
    <w:rsid w:val="001c4981"/>
    <w:rPr>
      <w:rFonts w:ascii="Courier" w:hAnsi="Courier"/>
      <w:sz w:val="20"/>
      <w:szCs w:val="20"/>
      <w:lang w:val="en-US"/>
    </w:rPr>
  </w:style>
  <w:style w:type="character" w:styleId="QuoteChar" w:customStyle="1">
    <w:name w:val="Quote Char"/>
    <w:basedOn w:val="DefaultParagraphFont"/>
    <w:link w:val="Quote"/>
    <w:uiPriority w:val="29"/>
    <w:qFormat/>
    <w:rsid w:val="001c4981"/>
    <w:rPr>
      <w:rFonts w:ascii="Times New Roman" w:hAnsi="Times New Roman" w:eastAsia="Times New Roman" w:cs="Times New Roman"/>
      <w:i/>
      <w:iCs/>
      <w:color w:themeColor="text1" w:val="000000"/>
      <w:sz w:val="22"/>
      <w:szCs w:val="22"/>
      <w:lang w:val="en-US"/>
    </w:rPr>
  </w:style>
  <w:style w:type="character" w:styleId="IntenseQuoteChar" w:customStyle="1">
    <w:name w:val="Intense Quote Char"/>
    <w:basedOn w:val="DefaultParagraphFont"/>
    <w:link w:val="IntenseQuote"/>
    <w:uiPriority w:val="30"/>
    <w:qFormat/>
    <w:rsid w:val="001c4981"/>
    <w:rPr>
      <w:rFonts w:ascii="Times New Roman" w:hAnsi="Times New Roman" w:eastAsia="Times New Roman" w:cs="Times New Roman"/>
      <w:b/>
      <w:bCs/>
      <w:i/>
      <w:iCs/>
      <w:color w:themeColor="accent1" w:val="4F81BD"/>
      <w:sz w:val="22"/>
      <w:szCs w:val="22"/>
      <w:lang w:val="en-US"/>
    </w:rPr>
  </w:style>
  <w:style w:type="character" w:styleId="SubtleEmphasis">
    <w:name w:val="Subtle Emphasis"/>
    <w:basedOn w:val="DefaultParagraphFont"/>
    <w:uiPriority w:val="19"/>
    <w:qFormat/>
    <w:rsid w:val="001c4981"/>
    <w:rPr>
      <w:i/>
      <w:iCs/>
      <w:color w:themeColor="text1" w:themeTint="7f" w:val="808080"/>
    </w:rPr>
  </w:style>
  <w:style w:type="character" w:styleId="IntenseEmphasis">
    <w:name w:val="Intense Emphasis"/>
    <w:basedOn w:val="DefaultParagraphFont"/>
    <w:uiPriority w:val="21"/>
    <w:qFormat/>
    <w:rsid w:val="001c4981"/>
    <w:rPr>
      <w:b/>
      <w:bCs/>
      <w:i/>
      <w:iCs/>
      <w:color w:themeColor="accent1" w:val="4F81BD"/>
    </w:rPr>
  </w:style>
  <w:style w:type="character" w:styleId="SubtleReference">
    <w:name w:val="Subtle Reference"/>
    <w:basedOn w:val="DefaultParagraphFont"/>
    <w:uiPriority w:val="31"/>
    <w:qFormat/>
    <w:rsid w:val="001c4981"/>
    <w:rPr>
      <w:smallCaps/>
      <w:color w:themeColor="accent2" w:val="C0504D"/>
      <w:u w:val="single"/>
    </w:rPr>
  </w:style>
  <w:style w:type="character" w:styleId="IntenseReference">
    <w:name w:val="Intense Reference"/>
    <w:basedOn w:val="DefaultParagraphFont"/>
    <w:uiPriority w:val="32"/>
    <w:qFormat/>
    <w:rsid w:val="001c4981"/>
    <w:rPr>
      <w:b/>
      <w:bCs/>
      <w:smallCaps/>
      <w:color w:themeColor="accent2" w:val="C0504D"/>
      <w:spacing w:val="5"/>
      <w:u w:val="single"/>
    </w:rPr>
  </w:style>
  <w:style w:type="character" w:styleId="BookTitle">
    <w:name w:val="Book Title"/>
    <w:basedOn w:val="DefaultParagraphFont"/>
    <w:uiPriority w:val="33"/>
    <w:qFormat/>
    <w:rsid w:val="001c4981"/>
    <w:rPr>
      <w:b/>
      <w:bCs/>
      <w:smallCaps/>
      <w:spacing w:val="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rsid w:val="000646a7"/>
    <w:pPr>
      <w:jc w:val="center"/>
    </w:pPr>
    <w:rPr>
      <w:rFonts w:ascii="Arial" w:hAnsi="Arial"/>
      <w:szCs w:val="20"/>
      <w:lang w:val="en-US" w:eastAsia="en-US"/>
    </w:rPr>
  </w:style>
  <w:style w:type="paragraph" w:styleId="List">
    <w:name w:val="List"/>
    <w:basedOn w:val="Normal"/>
    <w:uiPriority w:val="99"/>
    <w:unhideWhenUsed/>
    <w:rsid w:val="001c4981"/>
    <w:pPr>
      <w:spacing w:lineRule="auto" w:line="276" w:before="0" w:after="200"/>
      <w:ind w:hanging="360" w:start="360"/>
      <w:contextualSpacing/>
    </w:pPr>
    <w:rPr>
      <w:sz w:val="22"/>
      <w:szCs w:val="22"/>
      <w:lang w:val="en-US" w:eastAsia="en-US"/>
    </w:rPr>
  </w:style>
  <w:style w:type="paragraph" w:styleId="Caption">
    <w:name w:val="caption"/>
    <w:basedOn w:val="Normal"/>
    <w:next w:val="Normal"/>
    <w:uiPriority w:val="35"/>
    <w:unhideWhenUsed/>
    <w:qFormat/>
    <w:rsid w:val="00ef2d8a"/>
    <w:pPr>
      <w:spacing w:before="0" w:after="200"/>
    </w:pPr>
    <w:rPr>
      <w:rFonts w:eastAsia="" w:cs="" w:cstheme="minorBidi" w:eastAsiaTheme="minorEastAsia"/>
      <w:b/>
      <w:iCs/>
      <w:sz w:val="22"/>
      <w:szCs w:val="18"/>
      <w:lang w:eastAsia="en-US"/>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8e0f91"/>
    <w:pPr>
      <w:spacing w:before="0" w:after="300"/>
      <w:contextualSpacing/>
      <w:jc w:val="center"/>
    </w:pPr>
    <w:rPr>
      <w:rFonts w:eastAsia="" w:cs="" w:cstheme="majorBidi" w:eastAsiaTheme="majorEastAsia"/>
      <w:b/>
      <w:spacing w:val="5"/>
      <w:kern w:val="2"/>
      <w:szCs w:val="52"/>
      <w:lang w:eastAsia="en-US"/>
    </w:rPr>
  </w:style>
  <w:style w:type="paragraph" w:styleId="Subtitle">
    <w:name w:val="Subtitle"/>
    <w:basedOn w:val="Normal"/>
    <w:next w:val="Normal"/>
    <w:link w:val="SubtitleChar"/>
    <w:uiPriority w:val="11"/>
    <w:qFormat/>
    <w:rsid w:val="008e0f91"/>
    <w:pPr>
      <w:spacing w:before="120" w:after="120"/>
      <w:jc w:val="center"/>
    </w:pPr>
    <w:rPr>
      <w:rFonts w:eastAsia="" w:cs="" w:cstheme="majorBidi" w:eastAsiaTheme="majorEastAsia"/>
      <w:i/>
      <w:iCs/>
      <w:spacing w:val="15"/>
      <w:sz w:val="22"/>
      <w:lang w:eastAsia="en-US"/>
    </w:rPr>
  </w:style>
  <w:style w:type="paragraph" w:styleId="HeaderandFooter">
    <w:name w:val="Header and Footer"/>
    <w:basedOn w:val="Normal"/>
    <w:qFormat/>
    <w:pPr/>
    <w:rPr/>
  </w:style>
  <w:style w:type="paragraph" w:styleId="Footer">
    <w:name w:val="footer"/>
    <w:basedOn w:val="Normal"/>
    <w:link w:val="FooterChar"/>
    <w:uiPriority w:val="99"/>
    <w:unhideWhenUsed/>
    <w:rsid w:val="008e0f91"/>
    <w:pPr>
      <w:tabs>
        <w:tab w:val="clear" w:pos="720"/>
        <w:tab w:val="center" w:pos="4320" w:leader="none"/>
        <w:tab w:val="right" w:pos="8640" w:leader="none"/>
      </w:tabs>
    </w:pPr>
    <w:rPr>
      <w:rFonts w:eastAsia="" w:cs="" w:cstheme="minorBidi" w:eastAsiaTheme="minorEastAsia"/>
      <w:sz w:val="22"/>
      <w:lang w:eastAsia="en-US"/>
    </w:rPr>
  </w:style>
  <w:style w:type="paragraph" w:styleId="DocumentMap">
    <w:name w:val="Document Map"/>
    <w:basedOn w:val="Normal"/>
    <w:link w:val="DocumentMapChar"/>
    <w:uiPriority w:val="99"/>
    <w:semiHidden/>
    <w:unhideWhenUsed/>
    <w:qFormat/>
    <w:rsid w:val="002a3b76"/>
    <w:pPr/>
    <w:rPr>
      <w:rFonts w:eastAsia="" w:eastAsiaTheme="minorEastAsia"/>
      <w:lang w:eastAsia="en-US"/>
    </w:rPr>
  </w:style>
  <w:style w:type="paragraph" w:styleId="NoSpacing">
    <w:name w:val="No Spacing"/>
    <w:uiPriority w:val="1"/>
    <w:qFormat/>
    <w:rsid w:val="007d57f4"/>
    <w:pPr>
      <w:widowControl/>
      <w:bidi w:val="0"/>
      <w:spacing w:before="0" w:after="0"/>
      <w:jc w:val="start"/>
    </w:pPr>
    <w:rPr>
      <w:rFonts w:ascii="Times New Roman" w:hAnsi="Times New Roman" w:eastAsia="" w:cs="" w:cstheme="minorBidi" w:eastAsiaTheme="minorEastAsia"/>
      <w:color w:val="auto"/>
      <w:kern w:val="0"/>
      <w:sz w:val="24"/>
      <w:szCs w:val="24"/>
      <w:lang w:val="en-GB" w:eastAsia="en-US" w:bidi="ar-SA"/>
    </w:rPr>
  </w:style>
  <w:style w:type="paragraph" w:styleId="CommentText">
    <w:name w:val="annotation text"/>
    <w:basedOn w:val="Normal"/>
    <w:link w:val="CommentTextChar"/>
    <w:unhideWhenUsed/>
    <w:rsid w:val="00d27fca"/>
    <w:pPr>
      <w:spacing w:before="120" w:after="120"/>
    </w:pPr>
    <w:rPr>
      <w:rFonts w:eastAsia="" w:cs="" w:cstheme="minorBidi" w:eastAsiaTheme="minorEastAsia"/>
      <w:sz w:val="20"/>
      <w:szCs w:val="20"/>
      <w:lang w:eastAsia="en-US"/>
    </w:rPr>
  </w:style>
  <w:style w:type="paragraph" w:styleId="annotationsubject">
    <w:name w:val="annotation subject"/>
    <w:basedOn w:val="CommentText"/>
    <w:next w:val="CommentText"/>
    <w:link w:val="CommentSubjectChar"/>
    <w:unhideWhenUsed/>
    <w:qFormat/>
    <w:rsid w:val="00d27fca"/>
    <w:pPr/>
    <w:rPr>
      <w:b/>
      <w:bCs/>
    </w:rPr>
  </w:style>
  <w:style w:type="paragraph" w:styleId="ListParagraph">
    <w:name w:val="List Paragraph"/>
    <w:basedOn w:val="Normal"/>
    <w:uiPriority w:val="34"/>
    <w:qFormat/>
    <w:rsid w:val="000f3016"/>
    <w:pPr>
      <w:spacing w:lineRule="auto" w:line="259" w:before="0" w:after="160"/>
      <w:ind w:start="720"/>
      <w:contextualSpacing/>
    </w:pPr>
    <w:rPr>
      <w:rFonts w:ascii="Cambria" w:hAnsi="Cambria" w:eastAsia="Cambria" w:cs="" w:asciiTheme="minorHAnsi" w:cstheme="minorBidi" w:eastAsiaTheme="minorHAnsi" w:hAnsiTheme="minorHAnsi"/>
      <w:sz w:val="22"/>
      <w:szCs w:val="22"/>
      <w:lang w:val="en-US" w:eastAsia="en-US"/>
    </w:rPr>
  </w:style>
  <w:style w:type="paragraph" w:styleId="NormalWeb">
    <w:name w:val="Normal (Web)"/>
    <w:basedOn w:val="Normal"/>
    <w:uiPriority w:val="99"/>
    <w:unhideWhenUsed/>
    <w:qFormat/>
    <w:rsid w:val="00aa29ad"/>
    <w:pPr>
      <w:spacing w:beforeAutospacing="1" w:afterAutospacing="1"/>
    </w:pPr>
    <w:rPr>
      <w:lang w:val="en-US" w:eastAsia="en-US"/>
    </w:rPr>
  </w:style>
  <w:style w:type="paragraph" w:styleId="BalloonText">
    <w:name w:val="Balloon Text"/>
    <w:basedOn w:val="Normal"/>
    <w:link w:val="BalloonTextChar"/>
    <w:unhideWhenUsed/>
    <w:qFormat/>
    <w:rsid w:val="009635de"/>
    <w:pPr/>
    <w:rPr>
      <w:rFonts w:ascii="Segoe UI" w:hAnsi="Segoe UI" w:cs="Segoe UI"/>
      <w:sz w:val="18"/>
      <w:szCs w:val="18"/>
    </w:rPr>
  </w:style>
  <w:style w:type="paragraph" w:styleId="first-token" w:customStyle="1">
    <w:name w:val="first-token"/>
    <w:basedOn w:val="Normal"/>
    <w:qFormat/>
    <w:rsid w:val="00706195"/>
    <w:pPr>
      <w:spacing w:beforeAutospacing="1" w:afterAutospacing="1"/>
    </w:pPr>
    <w:rPr>
      <w:lang w:val="tr-TR" w:eastAsia="tr-TR"/>
    </w:rPr>
  </w:style>
  <w:style w:type="paragraph" w:styleId="Revision">
    <w:name w:val="Revision"/>
    <w:uiPriority w:val="99"/>
    <w:semiHidden/>
    <w:qFormat/>
    <w:rsid w:val="00c147d6"/>
    <w:pPr>
      <w:widowControl/>
      <w:bidi w:val="0"/>
      <w:spacing w:before="0" w:after="0"/>
      <w:jc w:val="start"/>
    </w:pPr>
    <w:rPr>
      <w:rFonts w:ascii="Times New Roman" w:hAnsi="Times New Roman" w:eastAsia="Times New Roman" w:cs="Times New Roman"/>
      <w:color w:val="auto"/>
      <w:kern w:val="0"/>
      <w:sz w:val="24"/>
      <w:szCs w:val="24"/>
      <w:lang w:eastAsia="en-GB" w:val="en-GB" w:bidi="ar-SA"/>
    </w:rPr>
  </w:style>
  <w:style w:type="paragraph" w:styleId="TOC1">
    <w:name w:val="toc 1"/>
    <w:basedOn w:val="Normal"/>
    <w:next w:val="Normal"/>
    <w:autoRedefine/>
    <w:semiHidden/>
    <w:rsid w:val="000646a7"/>
    <w:pPr/>
    <w:rPr>
      <w:bCs/>
      <w:szCs w:val="20"/>
      <w:lang w:val="tr-TR" w:eastAsia="en-US"/>
    </w:rPr>
  </w:style>
  <w:style w:type="paragraph" w:styleId="BodyText2">
    <w:name w:val="Body Text 2"/>
    <w:basedOn w:val="Normal"/>
    <w:link w:val="BodyText2Char"/>
    <w:uiPriority w:val="99"/>
    <w:qFormat/>
    <w:rsid w:val="000646a7"/>
    <w:pPr/>
    <w:rPr>
      <w:i/>
      <w:iCs/>
      <w:lang w:val="tr-TR" w:eastAsia="en-US"/>
    </w:rPr>
  </w:style>
  <w:style w:type="paragraph" w:styleId="Header">
    <w:name w:val="header"/>
    <w:basedOn w:val="Normal"/>
    <w:link w:val="HeaderChar"/>
    <w:uiPriority w:val="99"/>
    <w:rsid w:val="000646a7"/>
    <w:pPr>
      <w:tabs>
        <w:tab w:val="clear" w:pos="720"/>
        <w:tab w:val="center" w:pos="4536" w:leader="none"/>
        <w:tab w:val="right" w:pos="9072" w:leader="none"/>
      </w:tabs>
    </w:pPr>
    <w:rPr>
      <w:sz w:val="20"/>
      <w:szCs w:val="20"/>
      <w:lang w:val="en-US" w:eastAsia="en-US"/>
    </w:rPr>
  </w:style>
  <w:style w:type="paragraph" w:styleId="Pict" w:customStyle="1">
    <w:name w:val="Pict"/>
    <w:basedOn w:val="Normal"/>
    <w:qFormat/>
    <w:rsid w:val="000646a7"/>
    <w:pPr>
      <w:spacing w:lineRule="atLeast" w:line="360" w:before="240" w:after="120"/>
      <w:jc w:val="center"/>
    </w:pPr>
    <w:rPr>
      <w:szCs w:val="20"/>
      <w:lang w:val="en-US" w:eastAsia="en-US"/>
    </w:rPr>
  </w:style>
  <w:style w:type="paragraph" w:styleId="References" w:customStyle="1">
    <w:name w:val="References"/>
    <w:basedOn w:val="Normal"/>
    <w:qFormat/>
    <w:rsid w:val="006e1914"/>
    <w:pPr>
      <w:spacing w:lineRule="auto" w:line="240" w:before="240" w:after="240"/>
    </w:pPr>
    <w:rPr>
      <w:rFonts w:eastAsia="Arial"/>
      <w:color w:val="222222"/>
    </w:rPr>
  </w:style>
  <w:style w:type="paragraph" w:styleId="BodyText3">
    <w:name w:val="Body Text 3"/>
    <w:basedOn w:val="Normal"/>
    <w:link w:val="BodyText3Char"/>
    <w:uiPriority w:val="99"/>
    <w:unhideWhenUsed/>
    <w:qFormat/>
    <w:rsid w:val="001c4981"/>
    <w:pPr>
      <w:spacing w:lineRule="auto" w:line="276" w:before="0" w:after="120"/>
    </w:pPr>
    <w:rPr>
      <w:sz w:val="16"/>
      <w:szCs w:val="16"/>
      <w:lang w:val="en-US" w:eastAsia="en-US"/>
    </w:rPr>
  </w:style>
  <w:style w:type="paragraph" w:styleId="List2">
    <w:name w:val="List 2"/>
    <w:basedOn w:val="Normal"/>
    <w:uiPriority w:val="99"/>
    <w:unhideWhenUsed/>
    <w:qFormat/>
    <w:rsid w:val="001c4981"/>
    <w:pPr>
      <w:spacing w:lineRule="auto" w:line="276" w:before="0" w:after="200"/>
      <w:ind w:hanging="360" w:start="720"/>
      <w:contextualSpacing/>
    </w:pPr>
    <w:rPr>
      <w:sz w:val="22"/>
      <w:szCs w:val="22"/>
      <w:lang w:val="en-US" w:eastAsia="en-US"/>
    </w:rPr>
  </w:style>
  <w:style w:type="paragraph" w:styleId="List3">
    <w:name w:val="List 3"/>
    <w:basedOn w:val="Normal"/>
    <w:uiPriority w:val="99"/>
    <w:unhideWhenUsed/>
    <w:qFormat/>
    <w:rsid w:val="001c4981"/>
    <w:pPr>
      <w:spacing w:lineRule="auto" w:line="276" w:before="0" w:after="200"/>
      <w:ind w:hanging="360" w:start="1080"/>
      <w:contextualSpacing/>
    </w:pPr>
    <w:rPr>
      <w:sz w:val="22"/>
      <w:szCs w:val="22"/>
      <w:lang w:val="en-US" w:eastAsia="en-US"/>
    </w:rPr>
  </w:style>
  <w:style w:type="paragraph" w:styleId="ListBullet">
    <w:name w:val="List Bullet"/>
    <w:basedOn w:val="Normal"/>
    <w:uiPriority w:val="99"/>
    <w:unhideWhenUsed/>
    <w:rsid w:val="001c4981"/>
    <w:pPr>
      <w:tabs>
        <w:tab w:val="clear" w:pos="720"/>
        <w:tab w:val="left" w:pos="360" w:leader="none"/>
      </w:tabs>
      <w:spacing w:lineRule="auto" w:line="276" w:before="0" w:after="200"/>
      <w:ind w:hanging="360" w:start="360"/>
      <w:contextualSpacing/>
    </w:pPr>
    <w:rPr>
      <w:sz w:val="22"/>
      <w:szCs w:val="22"/>
      <w:lang w:val="en-US" w:eastAsia="en-US"/>
    </w:rPr>
  </w:style>
  <w:style w:type="paragraph" w:styleId="ListBullet2">
    <w:name w:val="List Bullet 2"/>
    <w:basedOn w:val="Normal"/>
    <w:uiPriority w:val="99"/>
    <w:unhideWhenUsed/>
    <w:rsid w:val="001c4981"/>
    <w:pPr>
      <w:tabs>
        <w:tab w:val="left" w:pos="720" w:leader="none"/>
      </w:tabs>
      <w:spacing w:lineRule="auto" w:line="276" w:before="0" w:after="200"/>
      <w:ind w:hanging="360" w:start="720"/>
      <w:contextualSpacing/>
    </w:pPr>
    <w:rPr>
      <w:sz w:val="22"/>
      <w:szCs w:val="22"/>
      <w:lang w:val="en-US" w:eastAsia="en-US"/>
    </w:rPr>
  </w:style>
  <w:style w:type="paragraph" w:styleId="ListBullet3">
    <w:name w:val="List Bullet 3"/>
    <w:basedOn w:val="Normal"/>
    <w:uiPriority w:val="99"/>
    <w:unhideWhenUsed/>
    <w:rsid w:val="001c4981"/>
    <w:pPr>
      <w:tabs>
        <w:tab w:val="clear" w:pos="720"/>
        <w:tab w:val="left" w:pos="1080" w:leader="none"/>
      </w:tabs>
      <w:spacing w:lineRule="auto" w:line="276" w:before="0" w:after="200"/>
      <w:ind w:hanging="360" w:start="1080"/>
      <w:contextualSpacing/>
    </w:pPr>
    <w:rPr>
      <w:sz w:val="22"/>
      <w:szCs w:val="22"/>
      <w:lang w:val="en-US" w:eastAsia="en-US"/>
    </w:rPr>
  </w:style>
  <w:style w:type="paragraph" w:styleId="ListNumber">
    <w:name w:val="List Number"/>
    <w:basedOn w:val="Normal"/>
    <w:uiPriority w:val="99"/>
    <w:unhideWhenUsed/>
    <w:rsid w:val="001c4981"/>
    <w:pPr>
      <w:tabs>
        <w:tab w:val="clear" w:pos="720"/>
        <w:tab w:val="left" w:pos="360" w:leader="none"/>
      </w:tabs>
      <w:spacing w:lineRule="auto" w:line="276" w:before="0" w:after="200"/>
      <w:ind w:hanging="360" w:start="360"/>
      <w:contextualSpacing/>
    </w:pPr>
    <w:rPr>
      <w:sz w:val="22"/>
      <w:szCs w:val="22"/>
      <w:lang w:val="en-US" w:eastAsia="en-US"/>
    </w:rPr>
  </w:style>
  <w:style w:type="paragraph" w:styleId="ListNumber2">
    <w:name w:val="List Number 2"/>
    <w:basedOn w:val="Normal"/>
    <w:uiPriority w:val="99"/>
    <w:unhideWhenUsed/>
    <w:rsid w:val="001c4981"/>
    <w:pPr>
      <w:tabs>
        <w:tab w:val="left" w:pos="720" w:leader="none"/>
      </w:tabs>
      <w:spacing w:lineRule="auto" w:line="276" w:before="0" w:after="200"/>
      <w:ind w:hanging="360" w:start="720"/>
      <w:contextualSpacing/>
    </w:pPr>
    <w:rPr>
      <w:sz w:val="22"/>
      <w:szCs w:val="22"/>
      <w:lang w:val="en-US" w:eastAsia="en-US"/>
    </w:rPr>
  </w:style>
  <w:style w:type="paragraph" w:styleId="ListNumber3">
    <w:name w:val="List Number 3"/>
    <w:basedOn w:val="Normal"/>
    <w:uiPriority w:val="99"/>
    <w:unhideWhenUsed/>
    <w:rsid w:val="001c4981"/>
    <w:pPr>
      <w:tabs>
        <w:tab w:val="clear" w:pos="720"/>
        <w:tab w:val="left" w:pos="1080" w:leader="none"/>
      </w:tabs>
      <w:spacing w:lineRule="auto" w:line="276" w:before="0" w:after="200"/>
      <w:ind w:hanging="360" w:start="1080"/>
      <w:contextualSpacing/>
    </w:pPr>
    <w:rPr>
      <w:sz w:val="22"/>
      <w:szCs w:val="22"/>
      <w:lang w:val="en-US" w:eastAsia="en-US"/>
    </w:rPr>
  </w:style>
  <w:style w:type="paragraph" w:styleId="ListContinue">
    <w:name w:val="List Continue"/>
    <w:basedOn w:val="Normal"/>
    <w:uiPriority w:val="99"/>
    <w:unhideWhenUsed/>
    <w:rsid w:val="001c4981"/>
    <w:pPr>
      <w:spacing w:lineRule="auto" w:line="276" w:before="0" w:after="120"/>
      <w:ind w:start="360"/>
      <w:contextualSpacing/>
    </w:pPr>
    <w:rPr>
      <w:sz w:val="22"/>
      <w:szCs w:val="22"/>
      <w:lang w:val="en-US" w:eastAsia="en-US"/>
    </w:rPr>
  </w:style>
  <w:style w:type="paragraph" w:styleId="ListContinue2">
    <w:name w:val="List Continue 2"/>
    <w:basedOn w:val="Normal"/>
    <w:uiPriority w:val="99"/>
    <w:unhideWhenUsed/>
    <w:rsid w:val="001c4981"/>
    <w:pPr>
      <w:spacing w:lineRule="auto" w:line="276" w:before="0" w:after="120"/>
      <w:ind w:start="720"/>
      <w:contextualSpacing/>
    </w:pPr>
    <w:rPr>
      <w:sz w:val="22"/>
      <w:szCs w:val="22"/>
      <w:lang w:val="en-US" w:eastAsia="en-US"/>
    </w:rPr>
  </w:style>
  <w:style w:type="paragraph" w:styleId="ListContinue3">
    <w:name w:val="List Continue 3"/>
    <w:basedOn w:val="Normal"/>
    <w:uiPriority w:val="99"/>
    <w:unhideWhenUsed/>
    <w:rsid w:val="001c4981"/>
    <w:pPr>
      <w:spacing w:lineRule="auto" w:line="276" w:before="0" w:after="120"/>
      <w:ind w:start="1080"/>
      <w:contextualSpacing/>
    </w:pPr>
    <w:rPr>
      <w:sz w:val="22"/>
      <w:szCs w:val="22"/>
      <w:lang w:val="en-US" w:eastAsia="en-US"/>
    </w:rPr>
  </w:style>
  <w:style w:type="paragraph" w:styleId="MacroText">
    <w:name w:val="macro"/>
    <w:link w:val="MacroTextChar"/>
    <w:uiPriority w:val="99"/>
    <w:unhideWhenUsed/>
    <w:qFormat/>
    <w:rsid w:val="001c4981"/>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1c4981"/>
    <w:pPr>
      <w:spacing w:lineRule="auto" w:line="276" w:before="0" w:after="200"/>
    </w:pPr>
    <w:rPr>
      <w:i/>
      <w:iCs/>
      <w:color w:themeColor="text1" w:val="000000"/>
      <w:sz w:val="22"/>
      <w:szCs w:val="22"/>
      <w:lang w:val="en-US" w:eastAsia="en-US"/>
    </w:rPr>
  </w:style>
  <w:style w:type="paragraph" w:styleId="IntenseQuote">
    <w:name w:val="Intense Quote"/>
    <w:basedOn w:val="Normal"/>
    <w:next w:val="Normal"/>
    <w:link w:val="IntenseQuoteChar"/>
    <w:uiPriority w:val="30"/>
    <w:qFormat/>
    <w:rsid w:val="001c4981"/>
    <w:pPr>
      <w:pBdr>
        <w:bottom w:val="single" w:sz="4" w:space="4" w:color="4F81BD" w:themeColor="accent1"/>
      </w:pBdr>
      <w:spacing w:lineRule="auto" w:line="276" w:before="200" w:after="280"/>
      <w:ind w:start="936" w:end="936"/>
    </w:pPr>
    <w:rPr>
      <w:b/>
      <w:bCs/>
      <w:i/>
      <w:iCs/>
      <w:color w:themeColor="accent1" w:val="4F81BD"/>
      <w:sz w:val="22"/>
      <w:szCs w:val="22"/>
      <w:lang w:val="en-US" w:eastAsia="en-US"/>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1c4981"/>
    <w:pPr>
      <w:numPr>
        <w:ilvl w:val="0"/>
        <w:numId w:val="0"/>
      </w:numPr>
      <w:spacing w:lineRule="auto" w:line="276"/>
      <w:outlineLvl w:val="9"/>
    </w:pPr>
    <w:rPr>
      <w:rFonts w:ascii="Calibri" w:hAnsi="Calibri" w:asciiTheme="majorHAnsi" w:hAnsiTheme="majorHAnsi"/>
      <w:color w:themeColor="accent1" w:themeShade="bf" w:val="365F91"/>
      <w:sz w:val="28"/>
      <w:szCs w:val="28"/>
      <w:lang w:val="en-U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b13f2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PlainTable31">
    <w:name w:val="Plain Table 31"/>
    <w:basedOn w:val="TableNormal"/>
    <w:uiPriority w:val="43"/>
    <w:rsid w:val="007d57f4"/>
    <w:tblPr>
      <w:tblStyleRowBandSize w:val="1"/>
      <w:tblStyleColBandSize w:val="1"/>
    </w:tblPr>
    <w:tblStylePr w:type="firstRow">
      <w:rPr>
        <w:b/>
        <w:bCs/>
        <w:caps/>
      </w:rPr>
      <w:tblPr/>
      <w:tcPr>
        <w:tcBorders>
          <w:bottom w:val="single" w:color="7F7F7F" w:themeColor="text1"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ghtShading">
    <w:name w:val="Light Shading"/>
    <w:basedOn w:val="TableNormal"/>
    <w:uiPriority w:val="60"/>
    <w:rsid w:val="001c4981"/>
    <w:rPr>
      <w:color w:val="000000" w:themeColor="text1" w:themeShade="bf"/>
      <w:sz w:val="22"/>
      <w:szCs w:val="22"/>
      <w:lang w:val="en-US"/>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c4981"/>
    <w:rPr>
      <w:color w:val="365f91" w:themeColor="accent1" w:themeShade="bf"/>
      <w:sz w:val="22"/>
      <w:szCs w:val="22"/>
      <w:lang w:val="en-US"/>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1c4981"/>
    <w:rPr>
      <w:color w:val="943634" w:themeColor="accent2" w:themeShade="bf"/>
      <w:sz w:val="22"/>
      <w:szCs w:val="22"/>
      <w:lang w:val="en-US"/>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c4981"/>
    <w:rPr>
      <w:color w:val="76923c" w:themeColor="accent3" w:themeShade="bf"/>
      <w:sz w:val="22"/>
      <w:szCs w:val="22"/>
      <w:lang w:val="en-US"/>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1c4981"/>
    <w:rPr>
      <w:color w:val="5f497a" w:themeColor="accent4" w:themeShade="bf"/>
      <w:sz w:val="22"/>
      <w:szCs w:val="22"/>
      <w:lang w:val="en-US"/>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1c4981"/>
    <w:rPr>
      <w:color w:val="31849b" w:themeColor="accent5" w:themeShade="bf"/>
      <w:sz w:val="22"/>
      <w:szCs w:val="22"/>
      <w:lang w:val="en-US"/>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1c4981"/>
    <w:rPr>
      <w:color w:val="e36c0a" w:themeColor="accent6" w:themeShade="bf"/>
      <w:sz w:val="22"/>
      <w:szCs w:val="22"/>
      <w:lang w:val="en-US"/>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1c4981"/>
    <w:rPr>
      <w:sz w:val="22"/>
      <w:szCs w:val="22"/>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1c4981"/>
    <w:rPr>
      <w:sz w:val="22"/>
      <w:szCs w:val="22"/>
      <w:lang w:val="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1c4981"/>
    <w:rPr>
      <w:sz w:val="22"/>
      <w:szCs w:val="22"/>
      <w:lang w:val="en-US"/>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1c4981"/>
    <w:rPr>
      <w:sz w:val="22"/>
      <w:szCs w:val="22"/>
      <w:lang w:val="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1c4981"/>
    <w:rPr>
      <w:sz w:val="22"/>
      <w:szCs w:val="22"/>
      <w:lang w:val="en-US"/>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1c4981"/>
    <w:rPr>
      <w:sz w:val="22"/>
      <w:szCs w:val="22"/>
      <w:lang w:val="en-US"/>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1c4981"/>
    <w:rPr>
      <w:sz w:val="22"/>
      <w:szCs w:val="22"/>
      <w:lang w:val="en-US"/>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1c4981"/>
    <w:rPr>
      <w:sz w:val="22"/>
      <w:szCs w:val="22"/>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1c4981"/>
    <w:rPr>
      <w:sz w:val="22"/>
      <w:szCs w:val="22"/>
      <w:lang w:val="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1c4981"/>
    <w:rPr>
      <w:sz w:val="22"/>
      <w:szCs w:val="22"/>
      <w:lang w:val="en-US"/>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1c4981"/>
    <w:rPr>
      <w:sz w:val="22"/>
      <w:szCs w:val="22"/>
      <w:lang w:val="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1c4981"/>
    <w:rPr>
      <w:sz w:val="22"/>
      <w:szCs w:val="22"/>
      <w:lang w:val="en-US"/>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1c4981"/>
    <w:rPr>
      <w:sz w:val="22"/>
      <w:szCs w:val="22"/>
      <w:lang w:val="en-US"/>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1c4981"/>
    <w:rPr>
      <w:sz w:val="22"/>
      <w:szCs w:val="22"/>
      <w:lang w:val="en-US"/>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1c4981"/>
    <w:rPr>
      <w:sz w:val="22"/>
      <w:szCs w:val="22"/>
      <w:lang w:val="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c4981"/>
    <w:rPr>
      <w:sz w:val="22"/>
      <w:szCs w:val="22"/>
      <w:lang w:val="en-US"/>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c4981"/>
    <w:rPr>
      <w:sz w:val="22"/>
      <w:szCs w:val="22"/>
      <w:lang w:val="en-US"/>
    </w:r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c4981"/>
    <w:rPr>
      <w:sz w:val="22"/>
      <w:szCs w:val="22"/>
      <w:lang w:val="en-US"/>
    </w:r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c4981"/>
    <w:rPr>
      <w:sz w:val="22"/>
      <w:szCs w:val="22"/>
      <w:lang w:val="en-US"/>
    </w:r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c4981"/>
    <w:rPr>
      <w:sz w:val="22"/>
      <w:szCs w:val="22"/>
      <w:lang w:val="en-US"/>
    </w:r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c4981"/>
    <w:rPr>
      <w:sz w:val="22"/>
      <w:szCs w:val="22"/>
      <w:lang w:val="en-U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1c4981"/>
    <w:rPr>
      <w:sz w:val="22"/>
      <w:szCs w:val="22"/>
      <w:lang w:val="en-US"/>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1c4981"/>
    <w:rPr>
      <w:color w:val="000000" w:themeColor="text1"/>
      <w:sz w:val="22"/>
      <w:szCs w:val="22"/>
      <w:lang w:val="en-US"/>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1c4981"/>
    <w:rPr>
      <w:color w:val="000000" w:themeColor="text1"/>
      <w:sz w:val="22"/>
      <w:szCs w:val="22"/>
      <w:lang w:val="en-US"/>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1c4981"/>
    <w:rPr>
      <w:color w:val="000000" w:themeColor="text1"/>
      <w:sz w:val="22"/>
      <w:szCs w:val="22"/>
      <w:lang w:val="en-US"/>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1c4981"/>
    <w:rPr>
      <w:color w:val="000000" w:themeColor="text1"/>
      <w:sz w:val="22"/>
      <w:szCs w:val="22"/>
      <w:lang w:val="en-US"/>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1c4981"/>
    <w:rPr>
      <w:color w:val="000000" w:themeColor="text1"/>
      <w:sz w:val="22"/>
      <w:szCs w:val="22"/>
      <w:lang w:val="en-US"/>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1c4981"/>
    <w:rPr>
      <w:color w:val="000000" w:themeColor="text1"/>
      <w:sz w:val="22"/>
      <w:szCs w:val="22"/>
      <w:lang w:val="en-US"/>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1c4981"/>
    <w:rPr>
      <w:color w:val="000000" w:themeColor="text1"/>
      <w:sz w:val="22"/>
      <w:szCs w:val="22"/>
      <w:lang w:val="en-US"/>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1c4981"/>
    <w:rPr>
      <w:sz w:val="22"/>
      <w:szCs w:val="22"/>
      <w:lang w:val="en-US"/>
    </w:r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1c4981"/>
    <w:rPr>
      <w:sz w:val="22"/>
      <w:szCs w:val="22"/>
      <w:lang w:val="en-US"/>
    </w:r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1c4981"/>
    <w:rPr>
      <w:sz w:val="22"/>
      <w:szCs w:val="22"/>
      <w:lang w:val="en-US"/>
    </w:r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1c4981"/>
    <w:rPr>
      <w:sz w:val="22"/>
      <w:szCs w:val="22"/>
      <w:lang w:val="en-US"/>
    </w:r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1c4981"/>
    <w:rPr>
      <w:sz w:val="22"/>
      <w:szCs w:val="22"/>
      <w:lang w:val="en-US"/>
    </w:r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1c4981"/>
    <w:rPr>
      <w:sz w:val="22"/>
      <w:szCs w:val="22"/>
      <w:lang w:val="en-US"/>
    </w:r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1c4981"/>
    <w:rPr>
      <w:sz w:val="22"/>
      <w:szCs w:val="22"/>
      <w:lang w:val="en-US"/>
    </w:r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1c4981"/>
    <w:rPr>
      <w:rFonts w:asciiTheme="majorHAnsi" w:hAnsiTheme="majorHAnsi" w:eastAsiaTheme="majorEastAsia" w:cstheme="majorBidi"/>
      <w:color w:val="000000" w:themeColor="text1"/>
      <w:sz w:val="22"/>
      <w:szCs w:val="22"/>
      <w:lang w:val="en-US"/>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1c4981"/>
    <w:rPr>
      <w:sz w:val="22"/>
      <w:szCs w:val="22"/>
      <w:lang w:val="en-US"/>
    </w:r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1c4981"/>
    <w:rPr>
      <w:color w:val="ffffff" w:themeColor="background1"/>
      <w:sz w:val="22"/>
      <w:szCs w:val="22"/>
      <w:lang w:val="en-US"/>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1c4981"/>
    <w:rPr>
      <w:color w:val="ffffff" w:themeColor="background1"/>
      <w:sz w:val="22"/>
      <w:szCs w:val="22"/>
      <w:lang w:val="en-US"/>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1c4981"/>
    <w:rPr>
      <w:color w:val="ffffff" w:themeColor="background1"/>
      <w:sz w:val="22"/>
      <w:szCs w:val="22"/>
      <w:lang w:val="en-US"/>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1c4981"/>
    <w:rPr>
      <w:color w:val="ffffff" w:themeColor="background1"/>
      <w:sz w:val="22"/>
      <w:szCs w:val="22"/>
      <w:lang w:val="en-US"/>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1c4981"/>
    <w:rPr>
      <w:color w:val="ffffff" w:themeColor="background1"/>
      <w:sz w:val="22"/>
      <w:szCs w:val="22"/>
      <w:lang w:val="en-US"/>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1c4981"/>
    <w:rPr>
      <w:color w:val="ffffff" w:themeColor="background1"/>
      <w:sz w:val="22"/>
      <w:szCs w:val="22"/>
      <w:lang w:val="en-US"/>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1c4981"/>
    <w:rPr>
      <w:color w:val="ffffff" w:themeColor="background1"/>
      <w:sz w:val="22"/>
      <w:szCs w:val="22"/>
      <w:lang w:val="en-US"/>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1c4981"/>
    <w:rPr>
      <w:color w:val="000000" w:themeColor="text1"/>
      <w:sz w:val="22"/>
      <w:szCs w:val="22"/>
      <w:lang w:val="en-US"/>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1c4981"/>
    <w:rPr>
      <w:color w:val="000000" w:themeColor="text1"/>
      <w:sz w:val="22"/>
      <w:szCs w:val="22"/>
      <w:lang w:val="en-US"/>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1c4981"/>
    <w:rPr>
      <w:color w:val="000000" w:themeColor="text1"/>
      <w:sz w:val="22"/>
      <w:szCs w:val="22"/>
      <w:lang w:val="en-US"/>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1c4981"/>
    <w:rPr>
      <w:color w:val="000000" w:themeColor="text1"/>
      <w:sz w:val="22"/>
      <w:szCs w:val="22"/>
      <w:lang w:val="en-US"/>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1c4981"/>
    <w:rPr>
      <w:color w:val="000000" w:themeColor="text1"/>
      <w:sz w:val="22"/>
      <w:szCs w:val="22"/>
      <w:lang w:val="en-US"/>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1c4981"/>
    <w:rPr>
      <w:color w:val="000000" w:themeColor="text1"/>
      <w:sz w:val="22"/>
      <w:szCs w:val="22"/>
      <w:lang w:val="en-US"/>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1c4981"/>
    <w:rPr>
      <w:color w:val="000000" w:themeColor="text1"/>
      <w:sz w:val="22"/>
      <w:szCs w:val="22"/>
      <w:lang w:val="en-US"/>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1c4981"/>
    <w:rPr>
      <w:color w:val="000000" w:themeColor="text1"/>
      <w:sz w:val="22"/>
      <w:szCs w:val="22"/>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1c4981"/>
    <w:rPr>
      <w:color w:val="000000" w:themeColor="text1"/>
      <w:sz w:val="22"/>
      <w:szCs w:val="22"/>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1c4981"/>
    <w:rPr>
      <w:color w:val="000000" w:themeColor="text1"/>
      <w:sz w:val="22"/>
      <w:szCs w:val="22"/>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1c4981"/>
    <w:rPr>
      <w:color w:val="000000" w:themeColor="text1"/>
      <w:sz w:val="22"/>
      <w:szCs w:val="22"/>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c4981"/>
    <w:rPr>
      <w:color w:val="000000" w:themeColor="text1"/>
      <w:sz w:val="22"/>
      <w:szCs w:val="22"/>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1c4981"/>
    <w:rPr>
      <w:color w:val="000000" w:themeColor="text1"/>
      <w:sz w:val="22"/>
      <w:szCs w:val="22"/>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1c4981"/>
    <w:rPr>
      <w:color w:val="000000" w:themeColor="text1"/>
      <w:sz w:val="22"/>
      <w:szCs w:val="22"/>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1c4981"/>
    <w:rPr>
      <w:color w:val="000000" w:themeColor="text1"/>
      <w:sz w:val="22"/>
      <w:szCs w:val="22"/>
      <w:lang w:val="en-US"/>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CD312-44DD-4A30-A605-76E0DFD3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LibreOffice/25.8.5.2$Windows_X86_64 LibreOffice_project/9c8b85f387cc00a89945a79c9e6239f32e450ac2</Application>
  <AppVersion>15.0000</AppVersion>
  <Pages>10</Pages>
  <Words>3177</Words>
  <Characters>12960</Characters>
  <CharactersWithSpaces>14004</CharactersWithSpaces>
  <Paragraphs>2117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2026-07-28T14:52:00Z</dcterms:created>
  <dc:creator/>
  <dc:description/>
  <dc:language>en-IN</dc:language>
  <cp:lastModifiedBy/>
  <dcterms:modified xsi:type="dcterms:W3CDTF">2026-08-02T16:56:12Z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