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FE8E" w14:textId="4DBA166B" w:rsidR="00AB100D" w:rsidRPr="00522CE0" w:rsidRDefault="00AD7CB4" w:rsidP="00AB100D">
      <w:pPr>
        <w:spacing w:line="276" w:lineRule="auto"/>
        <w:jc w:val="center"/>
        <w:rPr>
          <w:rFonts w:ascii="Times New Roman" w:eastAsia="Times New Roman" w:hAnsi="Times New Roman" w:cs="Times New Roman"/>
          <w:b/>
          <w:bCs/>
          <w:sz w:val="28"/>
          <w:szCs w:val="28"/>
        </w:rPr>
      </w:pPr>
      <w:r w:rsidRPr="00522CE0">
        <w:rPr>
          <w:rFonts w:ascii="Times New Roman" w:eastAsia="Times New Roman" w:hAnsi="Times New Roman" w:cs="Times New Roman"/>
          <w:b/>
          <w:bCs/>
          <w:sz w:val="28"/>
          <w:szCs w:val="28"/>
        </w:rPr>
        <w:t xml:space="preserve">Online </w:t>
      </w:r>
      <w:r w:rsidR="00AB100D" w:rsidRPr="00522CE0">
        <w:rPr>
          <w:rFonts w:ascii="Times New Roman" w:eastAsia="Times New Roman" w:hAnsi="Times New Roman" w:cs="Times New Roman"/>
          <w:b/>
          <w:bCs/>
          <w:sz w:val="28"/>
          <w:szCs w:val="28"/>
        </w:rPr>
        <w:t>Appendix</w:t>
      </w:r>
    </w:p>
    <w:p w14:paraId="4A1E4C97" w14:textId="77777777" w:rsidR="00AB100D" w:rsidRPr="00522CE0" w:rsidRDefault="00AB100D" w:rsidP="00AB100D">
      <w:pPr>
        <w:spacing w:line="276" w:lineRule="auto"/>
        <w:jc w:val="center"/>
        <w:rPr>
          <w:rFonts w:ascii="Times New Roman" w:eastAsia="Times New Roman" w:hAnsi="Times New Roman" w:cs="Times New Roman"/>
          <w:b/>
          <w:bCs/>
          <w:sz w:val="28"/>
          <w:szCs w:val="28"/>
        </w:rPr>
      </w:pPr>
    </w:p>
    <w:p w14:paraId="1374DFE5" w14:textId="59EF0A49" w:rsidR="00AB100D" w:rsidRPr="00522CE0" w:rsidRDefault="00AB100D" w:rsidP="00AB100D">
      <w:pPr>
        <w:spacing w:line="276" w:lineRule="auto"/>
        <w:jc w:val="center"/>
        <w:rPr>
          <w:rFonts w:ascii="Times New Roman" w:eastAsia="Times New Roman" w:hAnsi="Times New Roman" w:cs="Times New Roman"/>
          <w:b/>
          <w:sz w:val="24"/>
          <w:szCs w:val="24"/>
        </w:rPr>
      </w:pPr>
      <w:r w:rsidRPr="00522CE0">
        <w:rPr>
          <w:rFonts w:ascii="Times New Roman" w:eastAsia="Times New Roman" w:hAnsi="Times New Roman" w:cs="Times New Roman"/>
          <w:b/>
          <w:sz w:val="24"/>
          <w:szCs w:val="24"/>
        </w:rPr>
        <w:t>Table A.1 – Discarded papers</w:t>
      </w:r>
    </w:p>
    <w:tbl>
      <w:tblPr>
        <w:tblStyle w:val="a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1560"/>
        <w:gridCol w:w="2551"/>
        <w:gridCol w:w="3254"/>
      </w:tblGrid>
      <w:tr w:rsidR="00522CE0" w:rsidRPr="00522CE0" w14:paraId="3A2F35E7" w14:textId="77777777" w:rsidTr="00694734">
        <w:tc>
          <w:tcPr>
            <w:tcW w:w="1129" w:type="dxa"/>
          </w:tcPr>
          <w:p w14:paraId="05BE1DA0" w14:textId="63CC1F94" w:rsidR="00AB100D" w:rsidRPr="00522CE0" w:rsidRDefault="00AB100D" w:rsidP="00694734">
            <w:pPr>
              <w:jc w:val="center"/>
              <w:rPr>
                <w:b/>
                <w:sz w:val="20"/>
                <w:szCs w:val="20"/>
              </w:rPr>
            </w:pPr>
            <w:r w:rsidRPr="00522CE0">
              <w:rPr>
                <w:b/>
                <w:sz w:val="20"/>
                <w:szCs w:val="20"/>
              </w:rPr>
              <w:t>N.</w:t>
            </w:r>
          </w:p>
        </w:tc>
        <w:tc>
          <w:tcPr>
            <w:tcW w:w="1134" w:type="dxa"/>
          </w:tcPr>
          <w:p w14:paraId="698336E6" w14:textId="09FAEC97" w:rsidR="00AB100D" w:rsidRPr="00522CE0" w:rsidRDefault="00AB100D" w:rsidP="00694734">
            <w:pPr>
              <w:jc w:val="center"/>
              <w:rPr>
                <w:b/>
                <w:sz w:val="20"/>
                <w:szCs w:val="20"/>
              </w:rPr>
            </w:pPr>
            <w:r w:rsidRPr="00522CE0">
              <w:rPr>
                <w:b/>
                <w:sz w:val="20"/>
                <w:szCs w:val="20"/>
              </w:rPr>
              <w:t>Authors</w:t>
            </w:r>
          </w:p>
        </w:tc>
        <w:tc>
          <w:tcPr>
            <w:tcW w:w="1560" w:type="dxa"/>
          </w:tcPr>
          <w:p w14:paraId="69DE0319" w14:textId="1A52294C" w:rsidR="00AB100D" w:rsidRPr="00522CE0" w:rsidRDefault="006615C3" w:rsidP="00694734">
            <w:pPr>
              <w:jc w:val="center"/>
              <w:rPr>
                <w:b/>
                <w:sz w:val="20"/>
                <w:szCs w:val="20"/>
              </w:rPr>
            </w:pPr>
            <w:r w:rsidRPr="00522CE0">
              <w:rPr>
                <w:b/>
                <w:sz w:val="20"/>
                <w:szCs w:val="20"/>
              </w:rPr>
              <w:t>Year</w:t>
            </w:r>
          </w:p>
        </w:tc>
        <w:tc>
          <w:tcPr>
            <w:tcW w:w="2551" w:type="dxa"/>
          </w:tcPr>
          <w:p w14:paraId="0529C55B" w14:textId="77777777" w:rsidR="00AB100D" w:rsidRPr="00522CE0" w:rsidRDefault="00AB100D" w:rsidP="00694734">
            <w:pPr>
              <w:jc w:val="center"/>
              <w:rPr>
                <w:b/>
                <w:sz w:val="20"/>
                <w:szCs w:val="20"/>
              </w:rPr>
            </w:pPr>
            <w:r w:rsidRPr="00522CE0">
              <w:rPr>
                <w:b/>
                <w:sz w:val="20"/>
                <w:szCs w:val="20"/>
              </w:rPr>
              <w:t>Title</w:t>
            </w:r>
          </w:p>
        </w:tc>
        <w:tc>
          <w:tcPr>
            <w:tcW w:w="3254" w:type="dxa"/>
          </w:tcPr>
          <w:p w14:paraId="2E84DD6C" w14:textId="77777777" w:rsidR="00AB100D" w:rsidRPr="00522CE0" w:rsidRDefault="00AB100D" w:rsidP="00694734">
            <w:pPr>
              <w:jc w:val="center"/>
              <w:rPr>
                <w:b/>
                <w:sz w:val="20"/>
                <w:szCs w:val="20"/>
              </w:rPr>
            </w:pPr>
            <w:r w:rsidRPr="00522CE0">
              <w:rPr>
                <w:b/>
                <w:sz w:val="20"/>
                <w:szCs w:val="20"/>
              </w:rPr>
              <w:t>Subject and reason for refusal</w:t>
            </w:r>
          </w:p>
        </w:tc>
      </w:tr>
      <w:tr w:rsidR="00522CE0" w:rsidRPr="00522CE0" w14:paraId="0F9FE1E2" w14:textId="77777777" w:rsidTr="00694734">
        <w:tc>
          <w:tcPr>
            <w:tcW w:w="1129" w:type="dxa"/>
          </w:tcPr>
          <w:p w14:paraId="4033A533" w14:textId="1125C752" w:rsidR="00AB100D" w:rsidRPr="00522CE0" w:rsidRDefault="00E5497B" w:rsidP="00694734">
            <w:pPr>
              <w:jc w:val="both"/>
              <w:rPr>
                <w:sz w:val="20"/>
                <w:szCs w:val="20"/>
              </w:rPr>
            </w:pPr>
            <w:r w:rsidRPr="00522CE0">
              <w:rPr>
                <w:sz w:val="20"/>
                <w:szCs w:val="20"/>
              </w:rPr>
              <w:t>7</w:t>
            </w:r>
          </w:p>
        </w:tc>
        <w:tc>
          <w:tcPr>
            <w:tcW w:w="1134" w:type="dxa"/>
          </w:tcPr>
          <w:p w14:paraId="18557DE8" w14:textId="77777777" w:rsidR="00AB100D" w:rsidRPr="00522CE0" w:rsidRDefault="00AB100D" w:rsidP="00694734">
            <w:pPr>
              <w:jc w:val="both"/>
              <w:rPr>
                <w:sz w:val="20"/>
                <w:szCs w:val="20"/>
              </w:rPr>
            </w:pPr>
            <w:r w:rsidRPr="00522CE0">
              <w:rPr>
                <w:sz w:val="20"/>
                <w:szCs w:val="20"/>
              </w:rPr>
              <w:t>Muñoz-Villegas et al.</w:t>
            </w:r>
          </w:p>
        </w:tc>
        <w:tc>
          <w:tcPr>
            <w:tcW w:w="1560" w:type="dxa"/>
          </w:tcPr>
          <w:p w14:paraId="22CBE1BC" w14:textId="77777777" w:rsidR="00AB100D" w:rsidRPr="00522CE0" w:rsidRDefault="00AB100D" w:rsidP="00694734">
            <w:pPr>
              <w:jc w:val="both"/>
              <w:rPr>
                <w:sz w:val="20"/>
                <w:szCs w:val="20"/>
              </w:rPr>
            </w:pPr>
            <w:r w:rsidRPr="00522CE0">
              <w:rPr>
                <w:sz w:val="20"/>
                <w:szCs w:val="20"/>
              </w:rPr>
              <w:t>2021</w:t>
            </w:r>
          </w:p>
        </w:tc>
        <w:tc>
          <w:tcPr>
            <w:tcW w:w="2551" w:type="dxa"/>
          </w:tcPr>
          <w:p w14:paraId="029FA279" w14:textId="77777777" w:rsidR="00AB100D" w:rsidRPr="00522CE0" w:rsidRDefault="00AB100D" w:rsidP="00694734">
            <w:pPr>
              <w:jc w:val="both"/>
              <w:rPr>
                <w:sz w:val="20"/>
                <w:szCs w:val="20"/>
              </w:rPr>
            </w:pPr>
            <w:r w:rsidRPr="00522CE0">
              <w:rPr>
                <w:sz w:val="20"/>
                <w:szCs w:val="20"/>
              </w:rPr>
              <w:t>Pharmacokinetics and Safety of an Intravitreal Humanized Anti-VEGF-A Monoclonal Antibody (PRO-169), a Biosimilar Candidate to Bevacizumab</w:t>
            </w:r>
          </w:p>
          <w:p w14:paraId="41289FC6" w14:textId="77777777" w:rsidR="00AB100D" w:rsidRPr="00522CE0" w:rsidRDefault="00AB100D" w:rsidP="00694734">
            <w:pPr>
              <w:jc w:val="both"/>
              <w:rPr>
                <w:sz w:val="20"/>
                <w:szCs w:val="20"/>
              </w:rPr>
            </w:pPr>
          </w:p>
        </w:tc>
        <w:tc>
          <w:tcPr>
            <w:tcW w:w="3254" w:type="dxa"/>
          </w:tcPr>
          <w:p w14:paraId="4E864207" w14:textId="77777777" w:rsidR="00AB100D" w:rsidRPr="00522CE0" w:rsidRDefault="00AB100D" w:rsidP="00694734">
            <w:pPr>
              <w:jc w:val="both"/>
              <w:rPr>
                <w:sz w:val="20"/>
                <w:szCs w:val="20"/>
              </w:rPr>
            </w:pPr>
            <w:r w:rsidRPr="00522CE0">
              <w:rPr>
                <w:sz w:val="20"/>
                <w:szCs w:val="20"/>
              </w:rPr>
              <w:t xml:space="preserve">Off topic: Not lung diseases but eye diseases. </w:t>
            </w:r>
          </w:p>
        </w:tc>
      </w:tr>
      <w:tr w:rsidR="00522CE0" w:rsidRPr="00522CE0" w14:paraId="6E3D8603" w14:textId="77777777" w:rsidTr="00694734">
        <w:tc>
          <w:tcPr>
            <w:tcW w:w="1129" w:type="dxa"/>
          </w:tcPr>
          <w:p w14:paraId="03A95EB1" w14:textId="715C60FD" w:rsidR="00AB100D" w:rsidRPr="00522CE0" w:rsidRDefault="00E5497B" w:rsidP="00694734">
            <w:pPr>
              <w:jc w:val="both"/>
              <w:rPr>
                <w:sz w:val="20"/>
                <w:szCs w:val="20"/>
              </w:rPr>
            </w:pPr>
            <w:r w:rsidRPr="00522CE0">
              <w:rPr>
                <w:sz w:val="20"/>
                <w:szCs w:val="20"/>
              </w:rPr>
              <w:t>9</w:t>
            </w:r>
          </w:p>
        </w:tc>
        <w:tc>
          <w:tcPr>
            <w:tcW w:w="1134" w:type="dxa"/>
          </w:tcPr>
          <w:p w14:paraId="13A259A3" w14:textId="74656959" w:rsidR="00AB100D" w:rsidRPr="00522CE0" w:rsidRDefault="00AB100D" w:rsidP="00694734">
            <w:pPr>
              <w:jc w:val="both"/>
              <w:rPr>
                <w:sz w:val="20"/>
                <w:szCs w:val="20"/>
              </w:rPr>
            </w:pPr>
            <w:r w:rsidRPr="00522CE0">
              <w:rPr>
                <w:sz w:val="20"/>
                <w:szCs w:val="20"/>
              </w:rPr>
              <w:t>Yamaguch &amp;</w:t>
            </w:r>
            <w:r w:rsidR="00A55272" w:rsidRPr="00522CE0">
              <w:rPr>
                <w:sz w:val="20"/>
                <w:szCs w:val="20"/>
              </w:rPr>
              <w:t xml:space="preserve"> </w:t>
            </w:r>
            <w:r w:rsidRPr="00522CE0">
              <w:rPr>
                <w:sz w:val="20"/>
                <w:szCs w:val="20"/>
              </w:rPr>
              <w:t xml:space="preserve">Narukawa  </w:t>
            </w:r>
          </w:p>
          <w:p w14:paraId="56557192" w14:textId="77777777" w:rsidR="00AB100D" w:rsidRPr="00522CE0" w:rsidRDefault="00AB100D" w:rsidP="00694734">
            <w:pPr>
              <w:jc w:val="both"/>
              <w:rPr>
                <w:sz w:val="20"/>
                <w:szCs w:val="20"/>
              </w:rPr>
            </w:pPr>
          </w:p>
        </w:tc>
        <w:tc>
          <w:tcPr>
            <w:tcW w:w="1560" w:type="dxa"/>
          </w:tcPr>
          <w:p w14:paraId="26F2C016" w14:textId="77777777" w:rsidR="00AB100D" w:rsidRPr="00522CE0" w:rsidRDefault="00AB100D" w:rsidP="00694734">
            <w:pPr>
              <w:jc w:val="both"/>
              <w:rPr>
                <w:sz w:val="20"/>
                <w:szCs w:val="20"/>
              </w:rPr>
            </w:pPr>
            <w:r w:rsidRPr="00522CE0">
              <w:rPr>
                <w:sz w:val="20"/>
                <w:szCs w:val="20"/>
              </w:rPr>
              <w:t>2022</w:t>
            </w:r>
          </w:p>
        </w:tc>
        <w:tc>
          <w:tcPr>
            <w:tcW w:w="2551" w:type="dxa"/>
          </w:tcPr>
          <w:p w14:paraId="49BFE1DC" w14:textId="764780C1" w:rsidR="00AB100D" w:rsidRPr="00522CE0" w:rsidRDefault="00AB100D" w:rsidP="00694734">
            <w:pPr>
              <w:jc w:val="both"/>
              <w:rPr>
                <w:sz w:val="20"/>
                <w:szCs w:val="20"/>
              </w:rPr>
            </w:pPr>
            <w:r w:rsidRPr="00522CE0">
              <w:rPr>
                <w:sz w:val="20"/>
                <w:szCs w:val="20"/>
              </w:rPr>
              <w:t>Combinations of Drug Candidate Properties Affecting Development Success and Discontinuation for 5 Diseases: Lymphoma, Non–Small Cell Lung Cancer,</w:t>
            </w:r>
            <w:r w:rsidR="00A55272" w:rsidRPr="00522CE0">
              <w:rPr>
                <w:sz w:val="20"/>
                <w:szCs w:val="20"/>
              </w:rPr>
              <w:t xml:space="preserve"> </w:t>
            </w:r>
            <w:r w:rsidRPr="00522CE0">
              <w:rPr>
                <w:sz w:val="20"/>
                <w:szCs w:val="20"/>
              </w:rPr>
              <w:t>Arthritis, Depression, and Alzheimer Disease</w:t>
            </w:r>
          </w:p>
        </w:tc>
        <w:tc>
          <w:tcPr>
            <w:tcW w:w="3254" w:type="dxa"/>
          </w:tcPr>
          <w:p w14:paraId="614894E7" w14:textId="77777777" w:rsidR="00AB100D" w:rsidRPr="00522CE0" w:rsidRDefault="00AB100D" w:rsidP="00694734">
            <w:pPr>
              <w:jc w:val="both"/>
              <w:rPr>
                <w:sz w:val="20"/>
                <w:szCs w:val="20"/>
              </w:rPr>
            </w:pPr>
            <w:r w:rsidRPr="00522CE0">
              <w:rPr>
                <w:sz w:val="20"/>
                <w:szCs w:val="20"/>
              </w:rPr>
              <w:t xml:space="preserve">Off topic: It shows the approval success rate of drug candidates for 5 diseases to understand the characteristics and reasons of discontinued candidates. </w:t>
            </w:r>
          </w:p>
          <w:p w14:paraId="388555E8" w14:textId="77777777" w:rsidR="00AB100D" w:rsidRPr="00522CE0" w:rsidRDefault="00AB100D" w:rsidP="00694734">
            <w:pPr>
              <w:jc w:val="both"/>
              <w:rPr>
                <w:sz w:val="20"/>
                <w:szCs w:val="20"/>
              </w:rPr>
            </w:pPr>
          </w:p>
        </w:tc>
      </w:tr>
      <w:tr w:rsidR="00522CE0" w:rsidRPr="00522CE0" w14:paraId="3D3ECBF8" w14:textId="77777777" w:rsidTr="00694734">
        <w:tc>
          <w:tcPr>
            <w:tcW w:w="1129" w:type="dxa"/>
          </w:tcPr>
          <w:p w14:paraId="494B0E09" w14:textId="0001BFB4" w:rsidR="00AB100D" w:rsidRPr="00522CE0" w:rsidRDefault="00E5497B" w:rsidP="00694734">
            <w:pPr>
              <w:jc w:val="both"/>
              <w:rPr>
                <w:sz w:val="20"/>
                <w:szCs w:val="20"/>
              </w:rPr>
            </w:pPr>
            <w:r w:rsidRPr="00522CE0">
              <w:rPr>
                <w:sz w:val="20"/>
                <w:szCs w:val="20"/>
              </w:rPr>
              <w:t>11</w:t>
            </w:r>
          </w:p>
        </w:tc>
        <w:tc>
          <w:tcPr>
            <w:tcW w:w="1134" w:type="dxa"/>
          </w:tcPr>
          <w:p w14:paraId="5F664D4E" w14:textId="77777777" w:rsidR="00AB100D" w:rsidRPr="00522CE0" w:rsidRDefault="00AB100D" w:rsidP="00694734">
            <w:pPr>
              <w:jc w:val="both"/>
              <w:rPr>
                <w:sz w:val="20"/>
                <w:szCs w:val="20"/>
              </w:rPr>
            </w:pPr>
            <w:r w:rsidRPr="00522CE0">
              <w:rPr>
                <w:sz w:val="20"/>
                <w:szCs w:val="20"/>
              </w:rPr>
              <w:t>Lee et al.</w:t>
            </w:r>
          </w:p>
          <w:p w14:paraId="72B08199" w14:textId="77777777" w:rsidR="00AB100D" w:rsidRPr="00522CE0" w:rsidRDefault="00AB100D" w:rsidP="00694734">
            <w:pPr>
              <w:jc w:val="both"/>
              <w:rPr>
                <w:sz w:val="20"/>
                <w:szCs w:val="20"/>
              </w:rPr>
            </w:pPr>
          </w:p>
        </w:tc>
        <w:tc>
          <w:tcPr>
            <w:tcW w:w="1560" w:type="dxa"/>
          </w:tcPr>
          <w:p w14:paraId="7868C9BB" w14:textId="77777777" w:rsidR="00AB100D" w:rsidRPr="00522CE0" w:rsidRDefault="00AB100D" w:rsidP="00694734">
            <w:pPr>
              <w:jc w:val="both"/>
              <w:rPr>
                <w:sz w:val="20"/>
                <w:szCs w:val="20"/>
              </w:rPr>
            </w:pPr>
            <w:r w:rsidRPr="00522CE0">
              <w:rPr>
                <w:sz w:val="20"/>
                <w:szCs w:val="20"/>
              </w:rPr>
              <w:t>2023</w:t>
            </w:r>
          </w:p>
        </w:tc>
        <w:tc>
          <w:tcPr>
            <w:tcW w:w="2551" w:type="dxa"/>
          </w:tcPr>
          <w:p w14:paraId="67101493" w14:textId="77777777" w:rsidR="00AB100D" w:rsidRPr="00522CE0" w:rsidRDefault="00AB100D" w:rsidP="00694734">
            <w:pPr>
              <w:jc w:val="both"/>
              <w:rPr>
                <w:sz w:val="20"/>
                <w:szCs w:val="20"/>
              </w:rPr>
            </w:pPr>
            <w:r w:rsidRPr="00522CE0">
              <w:rPr>
                <w:sz w:val="20"/>
                <w:szCs w:val="20"/>
              </w:rPr>
              <w:t xml:space="preserve">Individualised risk prediction model for exacerbations in patients with severe asthma: protocol for a multicentre realworld risk modelling study </w:t>
            </w:r>
          </w:p>
          <w:p w14:paraId="5E6E2072" w14:textId="77777777" w:rsidR="00AB100D" w:rsidRPr="00522CE0" w:rsidRDefault="00AB100D" w:rsidP="00694734">
            <w:pPr>
              <w:jc w:val="both"/>
              <w:rPr>
                <w:sz w:val="20"/>
                <w:szCs w:val="20"/>
              </w:rPr>
            </w:pPr>
          </w:p>
        </w:tc>
        <w:tc>
          <w:tcPr>
            <w:tcW w:w="3254" w:type="dxa"/>
          </w:tcPr>
          <w:p w14:paraId="41DFAEB9" w14:textId="77777777" w:rsidR="00AB100D" w:rsidRPr="00522CE0" w:rsidRDefault="00AB100D" w:rsidP="00694734">
            <w:pPr>
              <w:jc w:val="both"/>
              <w:rPr>
                <w:sz w:val="20"/>
                <w:szCs w:val="20"/>
              </w:rPr>
            </w:pPr>
            <w:r w:rsidRPr="00522CE0">
              <w:rPr>
                <w:sz w:val="20"/>
                <w:szCs w:val="20"/>
              </w:rPr>
              <w:t>Off topic: The study aims to develop and validate a new risk prediction model for severe exacerbations (severe worsening of the disease) in patients with severe asthma and to examine the potential clinical utility of this tool.</w:t>
            </w:r>
          </w:p>
        </w:tc>
      </w:tr>
      <w:tr w:rsidR="00522CE0" w:rsidRPr="00522CE0" w14:paraId="2184B765" w14:textId="77777777" w:rsidTr="00694734">
        <w:tc>
          <w:tcPr>
            <w:tcW w:w="1129" w:type="dxa"/>
          </w:tcPr>
          <w:p w14:paraId="2D23BDFD" w14:textId="5E23FE2F" w:rsidR="00AB100D" w:rsidRPr="00522CE0" w:rsidRDefault="00E5497B" w:rsidP="00694734">
            <w:pPr>
              <w:jc w:val="both"/>
              <w:rPr>
                <w:sz w:val="20"/>
                <w:szCs w:val="20"/>
              </w:rPr>
            </w:pPr>
            <w:r w:rsidRPr="00522CE0">
              <w:rPr>
                <w:sz w:val="20"/>
                <w:szCs w:val="20"/>
              </w:rPr>
              <w:t>12</w:t>
            </w:r>
          </w:p>
        </w:tc>
        <w:tc>
          <w:tcPr>
            <w:tcW w:w="1134" w:type="dxa"/>
          </w:tcPr>
          <w:p w14:paraId="4F3C6508" w14:textId="77777777" w:rsidR="00AB100D" w:rsidRPr="00522CE0" w:rsidRDefault="00AB100D" w:rsidP="00694734">
            <w:pPr>
              <w:jc w:val="both"/>
              <w:rPr>
                <w:sz w:val="20"/>
                <w:szCs w:val="20"/>
              </w:rPr>
            </w:pPr>
            <w:r w:rsidRPr="00522CE0">
              <w:rPr>
                <w:sz w:val="20"/>
                <w:szCs w:val="20"/>
              </w:rPr>
              <w:t>Stolz et al.</w:t>
            </w:r>
          </w:p>
          <w:p w14:paraId="5AFCC0BE" w14:textId="77777777" w:rsidR="00AB100D" w:rsidRPr="00522CE0" w:rsidRDefault="00AB100D" w:rsidP="00694734">
            <w:pPr>
              <w:jc w:val="both"/>
              <w:rPr>
                <w:sz w:val="20"/>
                <w:szCs w:val="20"/>
              </w:rPr>
            </w:pPr>
          </w:p>
        </w:tc>
        <w:tc>
          <w:tcPr>
            <w:tcW w:w="1560" w:type="dxa"/>
          </w:tcPr>
          <w:p w14:paraId="2D7B14E3" w14:textId="77777777" w:rsidR="00AB100D" w:rsidRPr="00522CE0" w:rsidRDefault="00AB100D" w:rsidP="00694734">
            <w:pPr>
              <w:jc w:val="both"/>
              <w:rPr>
                <w:sz w:val="20"/>
                <w:szCs w:val="20"/>
              </w:rPr>
            </w:pPr>
            <w:r w:rsidRPr="00522CE0">
              <w:rPr>
                <w:sz w:val="20"/>
                <w:szCs w:val="20"/>
              </w:rPr>
              <w:t>2023</w:t>
            </w:r>
          </w:p>
        </w:tc>
        <w:tc>
          <w:tcPr>
            <w:tcW w:w="2551" w:type="dxa"/>
          </w:tcPr>
          <w:p w14:paraId="65DD1677" w14:textId="77777777" w:rsidR="00AB100D" w:rsidRPr="00522CE0" w:rsidRDefault="00AB100D" w:rsidP="00694734">
            <w:pPr>
              <w:jc w:val="both"/>
              <w:rPr>
                <w:sz w:val="20"/>
                <w:szCs w:val="20"/>
              </w:rPr>
            </w:pPr>
            <w:r w:rsidRPr="00522CE0">
              <w:rPr>
                <w:sz w:val="20"/>
                <w:szCs w:val="20"/>
              </w:rPr>
              <w:t>Current and future developments in the pharmacology of asthma and COPD</w:t>
            </w:r>
          </w:p>
        </w:tc>
        <w:tc>
          <w:tcPr>
            <w:tcW w:w="3254" w:type="dxa"/>
          </w:tcPr>
          <w:p w14:paraId="6DB3B070" w14:textId="77777777" w:rsidR="00AB100D" w:rsidRPr="00522CE0" w:rsidRDefault="00AB100D" w:rsidP="00694734">
            <w:pPr>
              <w:jc w:val="both"/>
              <w:rPr>
                <w:sz w:val="20"/>
                <w:szCs w:val="20"/>
              </w:rPr>
            </w:pPr>
            <w:r w:rsidRPr="00522CE0">
              <w:rPr>
                <w:sz w:val="20"/>
                <w:szCs w:val="20"/>
              </w:rPr>
              <w:t xml:space="preserve">Off topic: Review current and future developments in the pharmacology of asthma and COPD. </w:t>
            </w:r>
          </w:p>
        </w:tc>
      </w:tr>
      <w:tr w:rsidR="00522CE0" w:rsidRPr="00522CE0" w14:paraId="261F807F" w14:textId="77777777" w:rsidTr="00694734">
        <w:tc>
          <w:tcPr>
            <w:tcW w:w="1129" w:type="dxa"/>
          </w:tcPr>
          <w:p w14:paraId="7B7C5728" w14:textId="25DB27D8" w:rsidR="00AB100D" w:rsidRPr="00522CE0" w:rsidRDefault="00E5497B" w:rsidP="00694734">
            <w:pPr>
              <w:jc w:val="both"/>
              <w:rPr>
                <w:sz w:val="20"/>
                <w:szCs w:val="20"/>
              </w:rPr>
            </w:pPr>
            <w:r w:rsidRPr="00522CE0">
              <w:rPr>
                <w:sz w:val="20"/>
                <w:szCs w:val="20"/>
              </w:rPr>
              <w:t>14</w:t>
            </w:r>
          </w:p>
        </w:tc>
        <w:tc>
          <w:tcPr>
            <w:tcW w:w="1134" w:type="dxa"/>
          </w:tcPr>
          <w:p w14:paraId="6C28A5F2" w14:textId="77777777" w:rsidR="00AB100D" w:rsidRPr="00522CE0" w:rsidRDefault="00AB100D" w:rsidP="00694734">
            <w:pPr>
              <w:jc w:val="both"/>
              <w:rPr>
                <w:sz w:val="20"/>
                <w:szCs w:val="20"/>
              </w:rPr>
            </w:pPr>
            <w:r w:rsidRPr="00522CE0">
              <w:rPr>
                <w:sz w:val="20"/>
                <w:szCs w:val="20"/>
              </w:rPr>
              <w:t>Carreras et al.</w:t>
            </w:r>
          </w:p>
        </w:tc>
        <w:tc>
          <w:tcPr>
            <w:tcW w:w="1560" w:type="dxa"/>
          </w:tcPr>
          <w:p w14:paraId="6E731E09" w14:textId="77777777" w:rsidR="00AB100D" w:rsidRPr="00522CE0" w:rsidRDefault="00AB100D" w:rsidP="00694734">
            <w:pPr>
              <w:jc w:val="both"/>
              <w:rPr>
                <w:sz w:val="20"/>
                <w:szCs w:val="20"/>
              </w:rPr>
            </w:pPr>
            <w:r w:rsidRPr="00522CE0">
              <w:rPr>
                <w:sz w:val="20"/>
                <w:szCs w:val="20"/>
              </w:rPr>
              <w:t xml:space="preserve"> 2023</w:t>
            </w:r>
          </w:p>
        </w:tc>
        <w:tc>
          <w:tcPr>
            <w:tcW w:w="2551" w:type="dxa"/>
          </w:tcPr>
          <w:p w14:paraId="5154397A" w14:textId="77777777" w:rsidR="00AB100D" w:rsidRPr="00522CE0" w:rsidRDefault="00AB100D" w:rsidP="00694734">
            <w:pPr>
              <w:jc w:val="both"/>
              <w:rPr>
                <w:sz w:val="20"/>
                <w:szCs w:val="20"/>
              </w:rPr>
            </w:pPr>
            <w:r w:rsidRPr="00522CE0">
              <w:rPr>
                <w:sz w:val="20"/>
                <w:szCs w:val="20"/>
              </w:rPr>
              <w:t>Use of Drugs in Clinical Practice and the Associated Cost of Cancer Treatment in Adult Patients with Solid Tumors: A 10-Year Retrospective Cohort Study</w:t>
            </w:r>
          </w:p>
        </w:tc>
        <w:tc>
          <w:tcPr>
            <w:tcW w:w="3254" w:type="dxa"/>
          </w:tcPr>
          <w:p w14:paraId="272DE10D" w14:textId="5F8C5CA6" w:rsidR="00AB100D" w:rsidRPr="00522CE0" w:rsidRDefault="00AB100D" w:rsidP="00694734">
            <w:pPr>
              <w:jc w:val="both"/>
              <w:rPr>
                <w:sz w:val="20"/>
                <w:szCs w:val="20"/>
              </w:rPr>
            </w:pPr>
            <w:r w:rsidRPr="00522CE0">
              <w:rPr>
                <w:sz w:val="20"/>
                <w:szCs w:val="20"/>
              </w:rPr>
              <w:t xml:space="preserve">Off topic: This study provides detailed information on oncology pharmaceutical spending for the treatment of solid tumours in the VHUH (Vall d'Hebron University Hospital), based on information on the real costs of hospital practice and for all antineoplastic therapies and types of </w:t>
            </w:r>
            <w:r w:rsidR="00A55272" w:rsidRPr="00522CE0">
              <w:rPr>
                <w:sz w:val="20"/>
                <w:szCs w:val="20"/>
              </w:rPr>
              <w:t>tumours</w:t>
            </w:r>
            <w:r w:rsidRPr="00522CE0">
              <w:rPr>
                <w:sz w:val="20"/>
                <w:szCs w:val="20"/>
              </w:rPr>
              <w:t xml:space="preserve"> solid. </w:t>
            </w:r>
          </w:p>
        </w:tc>
      </w:tr>
      <w:tr w:rsidR="00522CE0" w:rsidRPr="00522CE0" w14:paraId="0FADA49F" w14:textId="77777777" w:rsidTr="00694734">
        <w:tc>
          <w:tcPr>
            <w:tcW w:w="1129" w:type="dxa"/>
          </w:tcPr>
          <w:p w14:paraId="21915AA3" w14:textId="639457D8" w:rsidR="00AB100D" w:rsidRPr="00522CE0" w:rsidRDefault="00E5497B" w:rsidP="00694734">
            <w:pPr>
              <w:jc w:val="both"/>
              <w:rPr>
                <w:sz w:val="20"/>
                <w:szCs w:val="20"/>
              </w:rPr>
            </w:pPr>
            <w:r w:rsidRPr="00522CE0">
              <w:rPr>
                <w:sz w:val="20"/>
                <w:szCs w:val="20"/>
              </w:rPr>
              <w:t>19</w:t>
            </w:r>
          </w:p>
        </w:tc>
        <w:tc>
          <w:tcPr>
            <w:tcW w:w="1134" w:type="dxa"/>
          </w:tcPr>
          <w:p w14:paraId="604ED22A" w14:textId="77777777" w:rsidR="00AB100D" w:rsidRPr="00522CE0" w:rsidRDefault="00AB100D" w:rsidP="00694734">
            <w:pPr>
              <w:jc w:val="both"/>
              <w:rPr>
                <w:sz w:val="20"/>
                <w:szCs w:val="20"/>
              </w:rPr>
            </w:pPr>
            <w:r w:rsidRPr="00522CE0">
              <w:rPr>
                <w:sz w:val="20"/>
                <w:szCs w:val="20"/>
              </w:rPr>
              <w:t>Mazur et al.</w:t>
            </w:r>
          </w:p>
        </w:tc>
        <w:tc>
          <w:tcPr>
            <w:tcW w:w="1560" w:type="dxa"/>
          </w:tcPr>
          <w:p w14:paraId="4AE182E1" w14:textId="77777777" w:rsidR="00AB100D" w:rsidRPr="00522CE0" w:rsidRDefault="00AB100D" w:rsidP="00694734">
            <w:pPr>
              <w:jc w:val="both"/>
              <w:rPr>
                <w:sz w:val="20"/>
                <w:szCs w:val="20"/>
              </w:rPr>
            </w:pPr>
            <w:r w:rsidRPr="00522CE0">
              <w:rPr>
                <w:sz w:val="20"/>
                <w:szCs w:val="20"/>
              </w:rPr>
              <w:t>2023</w:t>
            </w:r>
          </w:p>
        </w:tc>
        <w:tc>
          <w:tcPr>
            <w:tcW w:w="2551" w:type="dxa"/>
          </w:tcPr>
          <w:p w14:paraId="4866C19D" w14:textId="77777777" w:rsidR="00AB100D" w:rsidRPr="00522CE0" w:rsidRDefault="00AB100D" w:rsidP="00694734">
            <w:pPr>
              <w:jc w:val="both"/>
              <w:rPr>
                <w:sz w:val="20"/>
                <w:szCs w:val="20"/>
              </w:rPr>
            </w:pPr>
            <w:r w:rsidRPr="00522CE0">
              <w:rPr>
                <w:sz w:val="20"/>
                <w:szCs w:val="20"/>
              </w:rPr>
              <w:t>Respiratory syncytial virus prevention within reach: the vaccine and monoclonal antibody landscape</w:t>
            </w:r>
          </w:p>
        </w:tc>
        <w:tc>
          <w:tcPr>
            <w:tcW w:w="3254" w:type="dxa"/>
          </w:tcPr>
          <w:p w14:paraId="291E6FA4" w14:textId="77777777" w:rsidR="00AB100D" w:rsidRPr="00522CE0" w:rsidRDefault="00AB100D" w:rsidP="00694734">
            <w:pPr>
              <w:jc w:val="both"/>
              <w:rPr>
                <w:sz w:val="20"/>
                <w:szCs w:val="20"/>
              </w:rPr>
            </w:pPr>
            <w:r w:rsidRPr="00522CE0">
              <w:rPr>
                <w:sz w:val="20"/>
                <w:szCs w:val="20"/>
              </w:rPr>
              <w:t xml:space="preserve">Off topic: This review provides an overview of respiratory syncytial virus vaccines and monoclonal antibodies in clinical development, highlighting different target populations, antigens, and study results, but no cost analysis is conducted. </w:t>
            </w:r>
          </w:p>
        </w:tc>
      </w:tr>
      <w:tr w:rsidR="00522CE0" w:rsidRPr="00522CE0" w14:paraId="525A60B7" w14:textId="77777777" w:rsidTr="00694734">
        <w:tc>
          <w:tcPr>
            <w:tcW w:w="1129" w:type="dxa"/>
          </w:tcPr>
          <w:p w14:paraId="13912A87" w14:textId="4CFAD328" w:rsidR="00AB100D" w:rsidRPr="00522CE0" w:rsidRDefault="00E5497B" w:rsidP="00694734">
            <w:pPr>
              <w:jc w:val="both"/>
              <w:rPr>
                <w:sz w:val="20"/>
                <w:szCs w:val="20"/>
              </w:rPr>
            </w:pPr>
            <w:r w:rsidRPr="00522CE0">
              <w:rPr>
                <w:sz w:val="20"/>
                <w:szCs w:val="20"/>
              </w:rPr>
              <w:t>21</w:t>
            </w:r>
          </w:p>
        </w:tc>
        <w:tc>
          <w:tcPr>
            <w:tcW w:w="1134" w:type="dxa"/>
          </w:tcPr>
          <w:p w14:paraId="43192A73" w14:textId="77777777" w:rsidR="00AB100D" w:rsidRPr="00522CE0" w:rsidRDefault="00AB100D" w:rsidP="00694734">
            <w:pPr>
              <w:jc w:val="both"/>
              <w:rPr>
                <w:sz w:val="20"/>
                <w:szCs w:val="20"/>
              </w:rPr>
            </w:pPr>
            <w:r w:rsidRPr="00522CE0">
              <w:rPr>
                <w:sz w:val="20"/>
                <w:szCs w:val="20"/>
              </w:rPr>
              <w:t>Quinn et al.</w:t>
            </w:r>
          </w:p>
        </w:tc>
        <w:tc>
          <w:tcPr>
            <w:tcW w:w="1560" w:type="dxa"/>
          </w:tcPr>
          <w:p w14:paraId="377E5A77" w14:textId="77777777" w:rsidR="00AB100D" w:rsidRPr="00522CE0" w:rsidRDefault="00AB100D" w:rsidP="00694734">
            <w:pPr>
              <w:jc w:val="both"/>
              <w:rPr>
                <w:sz w:val="20"/>
                <w:szCs w:val="20"/>
              </w:rPr>
            </w:pPr>
            <w:r w:rsidRPr="00522CE0">
              <w:rPr>
                <w:sz w:val="20"/>
                <w:szCs w:val="20"/>
              </w:rPr>
              <w:t>2020</w:t>
            </w:r>
          </w:p>
        </w:tc>
        <w:tc>
          <w:tcPr>
            <w:tcW w:w="2551" w:type="dxa"/>
          </w:tcPr>
          <w:p w14:paraId="05615529" w14:textId="77777777" w:rsidR="00AB100D" w:rsidRPr="00522CE0" w:rsidRDefault="00AB100D" w:rsidP="00694734">
            <w:pPr>
              <w:jc w:val="both"/>
              <w:rPr>
                <w:sz w:val="20"/>
                <w:szCs w:val="20"/>
              </w:rPr>
            </w:pPr>
            <w:r w:rsidRPr="00522CE0">
              <w:rPr>
                <w:sz w:val="20"/>
                <w:szCs w:val="20"/>
              </w:rPr>
              <w:t>Respiratory syncytial virus prophylaxis for prevention of recurrent childhood wheeze and asthma: a protocol for a systematic review</w:t>
            </w:r>
          </w:p>
        </w:tc>
        <w:tc>
          <w:tcPr>
            <w:tcW w:w="3254" w:type="dxa"/>
          </w:tcPr>
          <w:p w14:paraId="3CA64964" w14:textId="26CB2EB0" w:rsidR="00AB100D" w:rsidRPr="00522CE0" w:rsidRDefault="00AB100D" w:rsidP="00A55272">
            <w:pPr>
              <w:jc w:val="both"/>
              <w:rPr>
                <w:sz w:val="20"/>
                <w:szCs w:val="20"/>
              </w:rPr>
            </w:pPr>
            <w:r w:rsidRPr="00522CE0">
              <w:rPr>
                <w:sz w:val="20"/>
                <w:szCs w:val="20"/>
              </w:rPr>
              <w:t xml:space="preserve">Off topic: The study serves to determine whether the relationship between RSV and the development of asthma is causal, showing the effect (if any) of RSV prophylaxis on subsequent recurrent wheeze/asthma. </w:t>
            </w:r>
          </w:p>
        </w:tc>
      </w:tr>
      <w:tr w:rsidR="00522CE0" w:rsidRPr="00522CE0" w14:paraId="52F4579A" w14:textId="77777777" w:rsidTr="00694734">
        <w:tc>
          <w:tcPr>
            <w:tcW w:w="1129" w:type="dxa"/>
          </w:tcPr>
          <w:p w14:paraId="703D1FB9" w14:textId="4D838FA1" w:rsidR="00AB100D" w:rsidRPr="00522CE0" w:rsidRDefault="00E5497B" w:rsidP="00694734">
            <w:pPr>
              <w:jc w:val="both"/>
              <w:rPr>
                <w:sz w:val="20"/>
                <w:szCs w:val="20"/>
              </w:rPr>
            </w:pPr>
            <w:r w:rsidRPr="00522CE0">
              <w:rPr>
                <w:sz w:val="20"/>
                <w:szCs w:val="20"/>
              </w:rPr>
              <w:t>24</w:t>
            </w:r>
          </w:p>
        </w:tc>
        <w:tc>
          <w:tcPr>
            <w:tcW w:w="1134" w:type="dxa"/>
          </w:tcPr>
          <w:p w14:paraId="73F6F4D7" w14:textId="77777777" w:rsidR="00AB100D" w:rsidRPr="00522CE0" w:rsidRDefault="00AB100D" w:rsidP="00694734">
            <w:pPr>
              <w:jc w:val="both"/>
              <w:rPr>
                <w:sz w:val="20"/>
                <w:szCs w:val="20"/>
              </w:rPr>
            </w:pPr>
            <w:r w:rsidRPr="00522CE0">
              <w:rPr>
                <w:sz w:val="20"/>
                <w:szCs w:val="20"/>
              </w:rPr>
              <w:t>Horgan et al.</w:t>
            </w:r>
          </w:p>
        </w:tc>
        <w:tc>
          <w:tcPr>
            <w:tcW w:w="1560" w:type="dxa"/>
          </w:tcPr>
          <w:p w14:paraId="641BC707" w14:textId="77777777" w:rsidR="00AB100D" w:rsidRPr="00522CE0" w:rsidRDefault="00AB100D" w:rsidP="00694734">
            <w:pPr>
              <w:jc w:val="both"/>
              <w:rPr>
                <w:sz w:val="20"/>
                <w:szCs w:val="20"/>
              </w:rPr>
            </w:pPr>
            <w:r w:rsidRPr="00522CE0">
              <w:rPr>
                <w:sz w:val="20"/>
                <w:szCs w:val="20"/>
              </w:rPr>
              <w:t>2022</w:t>
            </w:r>
          </w:p>
        </w:tc>
        <w:tc>
          <w:tcPr>
            <w:tcW w:w="2551" w:type="dxa"/>
          </w:tcPr>
          <w:p w14:paraId="18AF392D" w14:textId="77777777" w:rsidR="00AB100D" w:rsidRPr="00522CE0" w:rsidRDefault="00AB100D" w:rsidP="00694734">
            <w:pPr>
              <w:jc w:val="both"/>
              <w:rPr>
                <w:sz w:val="20"/>
                <w:szCs w:val="20"/>
              </w:rPr>
            </w:pPr>
            <w:r w:rsidRPr="00522CE0">
              <w:rPr>
                <w:sz w:val="20"/>
                <w:szCs w:val="20"/>
              </w:rPr>
              <w:t xml:space="preserve">How Can the EU Beating Cancer Plan Help in Tackling Lung Cancer, Colorectal </w:t>
            </w:r>
            <w:r w:rsidRPr="00522CE0">
              <w:rPr>
                <w:sz w:val="20"/>
                <w:szCs w:val="20"/>
              </w:rPr>
              <w:lastRenderedPageBreak/>
              <w:t>Cancer, Breast Cancer, and Melanoma?</w:t>
            </w:r>
          </w:p>
        </w:tc>
        <w:tc>
          <w:tcPr>
            <w:tcW w:w="3254" w:type="dxa"/>
          </w:tcPr>
          <w:p w14:paraId="1D90B173" w14:textId="7AD48D63" w:rsidR="00AB100D" w:rsidRPr="00522CE0" w:rsidRDefault="00AB100D" w:rsidP="00694734">
            <w:pPr>
              <w:jc w:val="both"/>
              <w:rPr>
                <w:sz w:val="20"/>
                <w:szCs w:val="20"/>
              </w:rPr>
            </w:pPr>
            <w:r w:rsidRPr="00522CE0">
              <w:rPr>
                <w:sz w:val="20"/>
                <w:szCs w:val="20"/>
              </w:rPr>
              <w:lastRenderedPageBreak/>
              <w:t xml:space="preserve">This work describes the differences between national healthcare systems and different circumstances for four different types of cancers but no </w:t>
            </w:r>
            <w:r w:rsidRPr="00522CE0">
              <w:rPr>
                <w:sz w:val="20"/>
                <w:szCs w:val="20"/>
              </w:rPr>
              <w:lastRenderedPageBreak/>
              <w:t xml:space="preserve">analysis is carried out relating to the issue of cost-effectiveness. </w:t>
            </w:r>
          </w:p>
        </w:tc>
      </w:tr>
      <w:tr w:rsidR="00522CE0" w:rsidRPr="00522CE0" w14:paraId="0B6DAF68" w14:textId="77777777" w:rsidTr="00694734">
        <w:tc>
          <w:tcPr>
            <w:tcW w:w="1129" w:type="dxa"/>
          </w:tcPr>
          <w:p w14:paraId="02D18C16" w14:textId="4B29F51F" w:rsidR="00AB100D" w:rsidRPr="00522CE0" w:rsidRDefault="00E5497B" w:rsidP="00694734">
            <w:pPr>
              <w:jc w:val="both"/>
              <w:rPr>
                <w:sz w:val="20"/>
                <w:szCs w:val="20"/>
              </w:rPr>
            </w:pPr>
            <w:r w:rsidRPr="00522CE0">
              <w:rPr>
                <w:sz w:val="20"/>
                <w:szCs w:val="20"/>
              </w:rPr>
              <w:lastRenderedPageBreak/>
              <w:t>25</w:t>
            </w:r>
          </w:p>
        </w:tc>
        <w:tc>
          <w:tcPr>
            <w:tcW w:w="1134" w:type="dxa"/>
          </w:tcPr>
          <w:p w14:paraId="3BF7D300" w14:textId="77777777" w:rsidR="00AB100D" w:rsidRPr="00522CE0" w:rsidRDefault="00AB100D" w:rsidP="00694734">
            <w:pPr>
              <w:jc w:val="both"/>
              <w:rPr>
                <w:sz w:val="20"/>
                <w:szCs w:val="20"/>
              </w:rPr>
            </w:pPr>
            <w:r w:rsidRPr="00522CE0">
              <w:rPr>
                <w:sz w:val="20"/>
                <w:szCs w:val="20"/>
              </w:rPr>
              <w:t>Holgate et al.</w:t>
            </w:r>
          </w:p>
        </w:tc>
        <w:tc>
          <w:tcPr>
            <w:tcW w:w="1560" w:type="dxa"/>
          </w:tcPr>
          <w:p w14:paraId="2D668AE2" w14:textId="77777777" w:rsidR="00AB100D" w:rsidRPr="00522CE0" w:rsidRDefault="00AB100D" w:rsidP="00694734">
            <w:pPr>
              <w:jc w:val="both"/>
              <w:rPr>
                <w:sz w:val="20"/>
                <w:szCs w:val="20"/>
              </w:rPr>
            </w:pPr>
            <w:r w:rsidRPr="00522CE0">
              <w:rPr>
                <w:sz w:val="20"/>
                <w:szCs w:val="20"/>
              </w:rPr>
              <w:t>2019</w:t>
            </w:r>
          </w:p>
        </w:tc>
        <w:tc>
          <w:tcPr>
            <w:tcW w:w="2551" w:type="dxa"/>
          </w:tcPr>
          <w:p w14:paraId="51EACF73" w14:textId="77777777" w:rsidR="00AB100D" w:rsidRPr="00522CE0" w:rsidRDefault="00AB100D" w:rsidP="00694734">
            <w:pPr>
              <w:jc w:val="both"/>
              <w:rPr>
                <w:sz w:val="20"/>
                <w:szCs w:val="20"/>
              </w:rPr>
            </w:pPr>
            <w:r w:rsidRPr="00522CE0">
              <w:rPr>
                <w:sz w:val="20"/>
                <w:szCs w:val="20"/>
              </w:rPr>
              <w:t>The Future of Asthma Care Personalized Asthma Treatment</w:t>
            </w:r>
          </w:p>
        </w:tc>
        <w:tc>
          <w:tcPr>
            <w:tcW w:w="3254" w:type="dxa"/>
          </w:tcPr>
          <w:p w14:paraId="38255654" w14:textId="77777777" w:rsidR="00AB100D" w:rsidRPr="00522CE0" w:rsidRDefault="00AB100D" w:rsidP="00694734">
            <w:pPr>
              <w:jc w:val="both"/>
              <w:rPr>
                <w:sz w:val="20"/>
                <w:szCs w:val="20"/>
              </w:rPr>
            </w:pPr>
            <w:r w:rsidRPr="00522CE0">
              <w:rPr>
                <w:sz w:val="20"/>
                <w:szCs w:val="20"/>
              </w:rPr>
              <w:t>Off topic: It deals with the digital diagnosis of asthma for better prevention and understanding of the disease.</w:t>
            </w:r>
          </w:p>
        </w:tc>
      </w:tr>
      <w:tr w:rsidR="00522CE0" w:rsidRPr="00522CE0" w14:paraId="20D9C4D4" w14:textId="77777777" w:rsidTr="00694734">
        <w:tc>
          <w:tcPr>
            <w:tcW w:w="1129" w:type="dxa"/>
          </w:tcPr>
          <w:p w14:paraId="09EEE8EC" w14:textId="23AD73BD" w:rsidR="00AB100D" w:rsidRPr="00522CE0" w:rsidRDefault="00E5497B" w:rsidP="00694734">
            <w:pPr>
              <w:jc w:val="both"/>
              <w:rPr>
                <w:sz w:val="20"/>
                <w:szCs w:val="20"/>
              </w:rPr>
            </w:pPr>
            <w:r w:rsidRPr="00522CE0">
              <w:rPr>
                <w:sz w:val="20"/>
                <w:szCs w:val="20"/>
              </w:rPr>
              <w:t>27</w:t>
            </w:r>
          </w:p>
        </w:tc>
        <w:tc>
          <w:tcPr>
            <w:tcW w:w="1134" w:type="dxa"/>
          </w:tcPr>
          <w:p w14:paraId="2D6A6BCB" w14:textId="77777777" w:rsidR="00AB100D" w:rsidRPr="00522CE0" w:rsidRDefault="00AB100D" w:rsidP="00694734">
            <w:pPr>
              <w:jc w:val="both"/>
              <w:rPr>
                <w:sz w:val="20"/>
                <w:szCs w:val="20"/>
              </w:rPr>
            </w:pPr>
            <w:r w:rsidRPr="00522CE0">
              <w:rPr>
                <w:sz w:val="20"/>
                <w:szCs w:val="20"/>
              </w:rPr>
              <w:t xml:space="preserve">Koulouris et al. </w:t>
            </w:r>
          </w:p>
          <w:p w14:paraId="66B61E37" w14:textId="77777777" w:rsidR="00AB100D" w:rsidRPr="00522CE0" w:rsidRDefault="00AB100D" w:rsidP="00694734">
            <w:pPr>
              <w:jc w:val="both"/>
              <w:rPr>
                <w:sz w:val="20"/>
                <w:szCs w:val="20"/>
              </w:rPr>
            </w:pPr>
          </w:p>
        </w:tc>
        <w:tc>
          <w:tcPr>
            <w:tcW w:w="1560" w:type="dxa"/>
          </w:tcPr>
          <w:p w14:paraId="73B20B27" w14:textId="77777777" w:rsidR="00AB100D" w:rsidRPr="00522CE0" w:rsidRDefault="00AB100D" w:rsidP="00694734">
            <w:pPr>
              <w:jc w:val="both"/>
              <w:rPr>
                <w:sz w:val="20"/>
                <w:szCs w:val="20"/>
              </w:rPr>
            </w:pPr>
            <w:r w:rsidRPr="00522CE0">
              <w:rPr>
                <w:sz w:val="20"/>
                <w:szCs w:val="20"/>
              </w:rPr>
              <w:t>2022</w:t>
            </w:r>
          </w:p>
        </w:tc>
        <w:tc>
          <w:tcPr>
            <w:tcW w:w="2551" w:type="dxa"/>
          </w:tcPr>
          <w:p w14:paraId="1062DBF2" w14:textId="77777777" w:rsidR="00AB100D" w:rsidRPr="00522CE0" w:rsidRDefault="00AB100D" w:rsidP="00694734">
            <w:pPr>
              <w:jc w:val="both"/>
              <w:rPr>
                <w:sz w:val="20"/>
                <w:szCs w:val="20"/>
              </w:rPr>
            </w:pPr>
            <w:r w:rsidRPr="00522CE0">
              <w:rPr>
                <w:sz w:val="20"/>
                <w:szCs w:val="20"/>
              </w:rPr>
              <w:t xml:space="preserve">Resistance to TKIs in EGFR-Mutated Non-Small Cell Lung Cancer: From Mechanisms to New Therapeutic Strategies </w:t>
            </w:r>
          </w:p>
          <w:p w14:paraId="3B9C814C" w14:textId="77777777" w:rsidR="00AB100D" w:rsidRPr="00522CE0" w:rsidRDefault="00AB100D" w:rsidP="00694734">
            <w:pPr>
              <w:jc w:val="both"/>
              <w:rPr>
                <w:sz w:val="20"/>
                <w:szCs w:val="20"/>
              </w:rPr>
            </w:pPr>
          </w:p>
        </w:tc>
        <w:tc>
          <w:tcPr>
            <w:tcW w:w="3254" w:type="dxa"/>
          </w:tcPr>
          <w:p w14:paraId="7E1904CA" w14:textId="77777777" w:rsidR="00AB100D" w:rsidRPr="00522CE0" w:rsidRDefault="00AB100D" w:rsidP="00694734">
            <w:pPr>
              <w:jc w:val="both"/>
              <w:rPr>
                <w:sz w:val="20"/>
                <w:szCs w:val="20"/>
              </w:rPr>
            </w:pPr>
            <w:r w:rsidRPr="00522CE0">
              <w:rPr>
                <w:sz w:val="20"/>
                <w:szCs w:val="20"/>
              </w:rPr>
              <w:t xml:space="preserve">Off topic: This review aims to summarise existing knowledge on TKI resistance mechanisms in the context of EGFR mutant NSCLC and discuss its clinical and therapeutic implications. </w:t>
            </w:r>
          </w:p>
        </w:tc>
      </w:tr>
      <w:tr w:rsidR="00522CE0" w:rsidRPr="00522CE0" w14:paraId="5FE576FB" w14:textId="77777777" w:rsidTr="00694734">
        <w:tc>
          <w:tcPr>
            <w:tcW w:w="1129" w:type="dxa"/>
          </w:tcPr>
          <w:p w14:paraId="5D60ADD7" w14:textId="503DEC75" w:rsidR="00AB100D" w:rsidRPr="00522CE0" w:rsidRDefault="00E5497B" w:rsidP="00694734">
            <w:pPr>
              <w:jc w:val="both"/>
              <w:rPr>
                <w:sz w:val="20"/>
                <w:szCs w:val="20"/>
              </w:rPr>
            </w:pPr>
            <w:r w:rsidRPr="00522CE0">
              <w:rPr>
                <w:sz w:val="20"/>
                <w:szCs w:val="20"/>
              </w:rPr>
              <w:t>28</w:t>
            </w:r>
          </w:p>
        </w:tc>
        <w:tc>
          <w:tcPr>
            <w:tcW w:w="1134" w:type="dxa"/>
          </w:tcPr>
          <w:p w14:paraId="60F9ED1E" w14:textId="77777777" w:rsidR="00AB100D" w:rsidRPr="00522CE0" w:rsidRDefault="00AB100D" w:rsidP="00694734">
            <w:pPr>
              <w:jc w:val="both"/>
              <w:rPr>
                <w:sz w:val="20"/>
                <w:szCs w:val="20"/>
              </w:rPr>
            </w:pPr>
            <w:r w:rsidRPr="00522CE0">
              <w:rPr>
                <w:sz w:val="20"/>
                <w:szCs w:val="20"/>
              </w:rPr>
              <w:t xml:space="preserve">Convertino et al. </w:t>
            </w:r>
          </w:p>
          <w:p w14:paraId="6F0A73D5" w14:textId="77777777" w:rsidR="00AB100D" w:rsidRPr="00522CE0" w:rsidRDefault="00AB100D" w:rsidP="00694734">
            <w:pPr>
              <w:jc w:val="both"/>
              <w:rPr>
                <w:sz w:val="20"/>
                <w:szCs w:val="20"/>
              </w:rPr>
            </w:pPr>
          </w:p>
        </w:tc>
        <w:tc>
          <w:tcPr>
            <w:tcW w:w="1560" w:type="dxa"/>
          </w:tcPr>
          <w:p w14:paraId="7F0AADB5" w14:textId="77777777" w:rsidR="00AB100D" w:rsidRPr="00522CE0" w:rsidRDefault="00AB100D" w:rsidP="00694734">
            <w:pPr>
              <w:jc w:val="both"/>
              <w:rPr>
                <w:sz w:val="20"/>
                <w:szCs w:val="20"/>
              </w:rPr>
            </w:pPr>
            <w:r w:rsidRPr="00522CE0">
              <w:rPr>
                <w:sz w:val="20"/>
                <w:szCs w:val="20"/>
              </w:rPr>
              <w:t>2020</w:t>
            </w:r>
          </w:p>
        </w:tc>
        <w:tc>
          <w:tcPr>
            <w:tcW w:w="2551" w:type="dxa"/>
          </w:tcPr>
          <w:p w14:paraId="57B6F85B" w14:textId="77777777" w:rsidR="00AB100D" w:rsidRPr="00522CE0" w:rsidRDefault="00AB100D" w:rsidP="00694734">
            <w:pPr>
              <w:jc w:val="both"/>
              <w:rPr>
                <w:sz w:val="20"/>
                <w:szCs w:val="20"/>
              </w:rPr>
            </w:pPr>
            <w:r w:rsidRPr="00522CE0">
              <w:rPr>
                <w:sz w:val="20"/>
                <w:szCs w:val="20"/>
              </w:rPr>
              <w:t>Exploring pharmacological approaches for managing cytokine storm associated with pneumonia and acute respiratory distress syndrome in COVID-19 patients</w:t>
            </w:r>
          </w:p>
        </w:tc>
        <w:tc>
          <w:tcPr>
            <w:tcW w:w="3254" w:type="dxa"/>
          </w:tcPr>
          <w:p w14:paraId="2162A1CA" w14:textId="77777777" w:rsidR="00AB100D" w:rsidRPr="00522CE0" w:rsidRDefault="00AB100D" w:rsidP="00694734">
            <w:pPr>
              <w:jc w:val="both"/>
              <w:rPr>
                <w:sz w:val="20"/>
                <w:szCs w:val="20"/>
              </w:rPr>
            </w:pPr>
            <w:r w:rsidRPr="00522CE0">
              <w:rPr>
                <w:sz w:val="20"/>
                <w:szCs w:val="20"/>
              </w:rPr>
              <w:t xml:space="preserve">Off topic: It reports that several drugs that target cytokine pathways have the potential to provide benefits in COVID-19-related ARDS and pneumonia. Anti-IL-6, anti-TNF and anti-JAK drugs, currently available for the treatment of other immune-dependent inflammatory diseases, are expected to exert favourable effects in this context, based on their mechanism of action. In an emergency and without reliable therapeutic options, their benefit/risk profile will likely be favourable. Cost and safety will be a priority at a later stage of the epidemic, when more reliable data becomes available. </w:t>
            </w:r>
          </w:p>
        </w:tc>
      </w:tr>
      <w:tr w:rsidR="00522CE0" w:rsidRPr="00522CE0" w14:paraId="2296D652" w14:textId="77777777" w:rsidTr="00694734">
        <w:tc>
          <w:tcPr>
            <w:tcW w:w="1129" w:type="dxa"/>
          </w:tcPr>
          <w:p w14:paraId="011268A8" w14:textId="72A51353" w:rsidR="00AB100D" w:rsidRPr="00522CE0" w:rsidRDefault="00E5497B" w:rsidP="00694734">
            <w:pPr>
              <w:jc w:val="both"/>
              <w:rPr>
                <w:sz w:val="20"/>
                <w:szCs w:val="20"/>
              </w:rPr>
            </w:pPr>
            <w:r w:rsidRPr="00522CE0">
              <w:rPr>
                <w:sz w:val="20"/>
                <w:szCs w:val="20"/>
              </w:rPr>
              <w:t>29</w:t>
            </w:r>
          </w:p>
        </w:tc>
        <w:tc>
          <w:tcPr>
            <w:tcW w:w="1134" w:type="dxa"/>
          </w:tcPr>
          <w:p w14:paraId="3A45B6F8" w14:textId="77777777" w:rsidR="00AB100D" w:rsidRPr="00522CE0" w:rsidRDefault="00AB100D" w:rsidP="00694734">
            <w:pPr>
              <w:jc w:val="both"/>
              <w:rPr>
                <w:sz w:val="20"/>
                <w:szCs w:val="20"/>
              </w:rPr>
            </w:pPr>
            <w:r w:rsidRPr="00522CE0">
              <w:rPr>
                <w:sz w:val="20"/>
                <w:szCs w:val="20"/>
              </w:rPr>
              <w:t>Drake et al.</w:t>
            </w:r>
          </w:p>
        </w:tc>
        <w:tc>
          <w:tcPr>
            <w:tcW w:w="1560" w:type="dxa"/>
          </w:tcPr>
          <w:p w14:paraId="1F891BF1" w14:textId="77777777" w:rsidR="00AB100D" w:rsidRPr="00522CE0" w:rsidRDefault="00AB100D" w:rsidP="00694734">
            <w:pPr>
              <w:jc w:val="both"/>
              <w:rPr>
                <w:sz w:val="20"/>
                <w:szCs w:val="20"/>
              </w:rPr>
            </w:pPr>
            <w:r w:rsidRPr="00522CE0">
              <w:rPr>
                <w:sz w:val="20"/>
                <w:szCs w:val="20"/>
              </w:rPr>
              <w:t>2021</w:t>
            </w:r>
          </w:p>
        </w:tc>
        <w:tc>
          <w:tcPr>
            <w:tcW w:w="2551" w:type="dxa"/>
          </w:tcPr>
          <w:p w14:paraId="6A01B54E" w14:textId="1074F877" w:rsidR="00AB100D" w:rsidRPr="00522CE0" w:rsidRDefault="00AB100D" w:rsidP="00694734">
            <w:pPr>
              <w:jc w:val="both"/>
              <w:rPr>
                <w:sz w:val="20"/>
                <w:szCs w:val="20"/>
              </w:rPr>
            </w:pPr>
            <w:r w:rsidRPr="00522CE0">
              <w:rPr>
                <w:sz w:val="20"/>
                <w:szCs w:val="20"/>
              </w:rPr>
              <w:t>Phase II Investigation of the Efficacy</w:t>
            </w:r>
            <w:r w:rsidR="00A55272" w:rsidRPr="00522CE0">
              <w:rPr>
                <w:sz w:val="20"/>
                <w:szCs w:val="20"/>
              </w:rPr>
              <w:t xml:space="preserve"> </w:t>
            </w:r>
            <w:r w:rsidRPr="00522CE0">
              <w:rPr>
                <w:sz w:val="20"/>
                <w:szCs w:val="20"/>
              </w:rPr>
              <w:t>of Antimycobacterial Therapy in Chronic Pulmonary Sarcoidosis Wonder</w:t>
            </w:r>
          </w:p>
        </w:tc>
        <w:tc>
          <w:tcPr>
            <w:tcW w:w="3254" w:type="dxa"/>
          </w:tcPr>
          <w:p w14:paraId="5E95597C" w14:textId="77777777" w:rsidR="00AB100D" w:rsidRPr="00522CE0" w:rsidRDefault="00AB100D" w:rsidP="00694734">
            <w:pPr>
              <w:jc w:val="both"/>
              <w:rPr>
                <w:sz w:val="20"/>
                <w:szCs w:val="20"/>
              </w:rPr>
            </w:pPr>
            <w:r w:rsidRPr="00522CE0">
              <w:rPr>
                <w:sz w:val="20"/>
                <w:szCs w:val="20"/>
              </w:rPr>
              <w:t>Off topic: It simply establishes that, despite a significant decline in ESAT-6 immune responses, a 16-week CLEAR regimen provided no physiological benefit in terms of FVC or 6MWD among patients with sarcoidosis.</w:t>
            </w:r>
          </w:p>
        </w:tc>
      </w:tr>
      <w:tr w:rsidR="00522CE0" w:rsidRPr="00522CE0" w14:paraId="64563065" w14:textId="77777777" w:rsidTr="00694734">
        <w:tc>
          <w:tcPr>
            <w:tcW w:w="1129" w:type="dxa"/>
          </w:tcPr>
          <w:p w14:paraId="0FA8CD53" w14:textId="41E35AA7" w:rsidR="00AB100D" w:rsidRPr="00522CE0" w:rsidRDefault="00E5497B" w:rsidP="00694734">
            <w:pPr>
              <w:jc w:val="both"/>
              <w:rPr>
                <w:sz w:val="20"/>
                <w:szCs w:val="20"/>
              </w:rPr>
            </w:pPr>
            <w:r w:rsidRPr="00522CE0">
              <w:rPr>
                <w:sz w:val="20"/>
                <w:szCs w:val="20"/>
              </w:rPr>
              <w:t>30</w:t>
            </w:r>
          </w:p>
        </w:tc>
        <w:tc>
          <w:tcPr>
            <w:tcW w:w="1134" w:type="dxa"/>
          </w:tcPr>
          <w:p w14:paraId="59D9B235" w14:textId="77777777" w:rsidR="00AB100D" w:rsidRPr="00522CE0" w:rsidRDefault="00AB100D" w:rsidP="00694734">
            <w:pPr>
              <w:jc w:val="both"/>
              <w:rPr>
                <w:sz w:val="20"/>
                <w:szCs w:val="20"/>
              </w:rPr>
            </w:pPr>
            <w:r w:rsidRPr="00522CE0">
              <w:rPr>
                <w:sz w:val="20"/>
                <w:szCs w:val="20"/>
              </w:rPr>
              <w:t>Doroudchi et al.</w:t>
            </w:r>
          </w:p>
        </w:tc>
        <w:tc>
          <w:tcPr>
            <w:tcW w:w="1560" w:type="dxa"/>
          </w:tcPr>
          <w:p w14:paraId="0F9678EB" w14:textId="77777777" w:rsidR="00AB100D" w:rsidRPr="00522CE0" w:rsidRDefault="00AB100D" w:rsidP="00694734">
            <w:pPr>
              <w:jc w:val="both"/>
              <w:rPr>
                <w:sz w:val="20"/>
                <w:szCs w:val="20"/>
              </w:rPr>
            </w:pPr>
            <w:r w:rsidRPr="00522CE0">
              <w:rPr>
                <w:sz w:val="20"/>
                <w:szCs w:val="20"/>
              </w:rPr>
              <w:t>2020</w:t>
            </w:r>
          </w:p>
        </w:tc>
        <w:tc>
          <w:tcPr>
            <w:tcW w:w="2551" w:type="dxa"/>
          </w:tcPr>
          <w:p w14:paraId="74584D23" w14:textId="2837AC2A" w:rsidR="00AB100D" w:rsidRPr="00522CE0" w:rsidRDefault="00AB100D" w:rsidP="00694734">
            <w:pPr>
              <w:jc w:val="both"/>
              <w:rPr>
                <w:sz w:val="20"/>
                <w:szCs w:val="20"/>
              </w:rPr>
            </w:pPr>
            <w:r w:rsidRPr="00522CE0">
              <w:rPr>
                <w:sz w:val="20"/>
                <w:szCs w:val="20"/>
              </w:rPr>
              <w:t xml:space="preserve">Asthma Biologics: Comparing Trial Designs, Patient Cohorts and Study Results </w:t>
            </w:r>
          </w:p>
        </w:tc>
        <w:tc>
          <w:tcPr>
            <w:tcW w:w="3254" w:type="dxa"/>
          </w:tcPr>
          <w:p w14:paraId="24517730" w14:textId="2E4500AD" w:rsidR="00AB100D" w:rsidRPr="00522CE0" w:rsidRDefault="00AB100D" w:rsidP="00694734">
            <w:pPr>
              <w:jc w:val="both"/>
              <w:rPr>
                <w:sz w:val="20"/>
                <w:szCs w:val="20"/>
              </w:rPr>
            </w:pPr>
            <w:r w:rsidRPr="00522CE0">
              <w:rPr>
                <w:sz w:val="20"/>
                <w:szCs w:val="20"/>
              </w:rPr>
              <w:t xml:space="preserve">Off topic: It simply provides details and differences in biological asthma study designs, patient cohorts, and study outcomes. </w:t>
            </w:r>
          </w:p>
        </w:tc>
      </w:tr>
      <w:tr w:rsidR="00522CE0" w:rsidRPr="00522CE0" w14:paraId="44916814" w14:textId="77777777" w:rsidTr="00694734">
        <w:tc>
          <w:tcPr>
            <w:tcW w:w="1129" w:type="dxa"/>
          </w:tcPr>
          <w:p w14:paraId="598B893A" w14:textId="4A198A1D" w:rsidR="00AB100D" w:rsidRPr="00522CE0" w:rsidRDefault="00E5497B" w:rsidP="00694734">
            <w:pPr>
              <w:jc w:val="both"/>
              <w:rPr>
                <w:sz w:val="20"/>
                <w:szCs w:val="20"/>
              </w:rPr>
            </w:pPr>
            <w:r w:rsidRPr="00522CE0">
              <w:rPr>
                <w:sz w:val="20"/>
                <w:szCs w:val="20"/>
              </w:rPr>
              <w:t>31</w:t>
            </w:r>
          </w:p>
        </w:tc>
        <w:tc>
          <w:tcPr>
            <w:tcW w:w="1134" w:type="dxa"/>
          </w:tcPr>
          <w:p w14:paraId="591C5D8C" w14:textId="77777777" w:rsidR="00AB100D" w:rsidRPr="00522CE0" w:rsidRDefault="00AB100D" w:rsidP="00694734">
            <w:pPr>
              <w:jc w:val="both"/>
              <w:rPr>
                <w:sz w:val="20"/>
                <w:szCs w:val="20"/>
              </w:rPr>
            </w:pPr>
            <w:r w:rsidRPr="00522CE0">
              <w:rPr>
                <w:sz w:val="20"/>
                <w:szCs w:val="20"/>
              </w:rPr>
              <w:t>Liang et al.</w:t>
            </w:r>
          </w:p>
        </w:tc>
        <w:tc>
          <w:tcPr>
            <w:tcW w:w="1560" w:type="dxa"/>
          </w:tcPr>
          <w:p w14:paraId="303D97C8" w14:textId="77777777" w:rsidR="00AB100D" w:rsidRPr="00522CE0" w:rsidRDefault="00AB100D" w:rsidP="00694734">
            <w:pPr>
              <w:jc w:val="both"/>
              <w:rPr>
                <w:sz w:val="20"/>
                <w:szCs w:val="20"/>
              </w:rPr>
            </w:pPr>
            <w:r w:rsidRPr="00522CE0">
              <w:rPr>
                <w:sz w:val="20"/>
                <w:szCs w:val="20"/>
              </w:rPr>
              <w:t>2020</w:t>
            </w:r>
          </w:p>
        </w:tc>
        <w:tc>
          <w:tcPr>
            <w:tcW w:w="2551" w:type="dxa"/>
          </w:tcPr>
          <w:p w14:paraId="45F497EA" w14:textId="77777777" w:rsidR="00AB100D" w:rsidRPr="00522CE0" w:rsidRDefault="00AB100D" w:rsidP="00694734">
            <w:pPr>
              <w:jc w:val="both"/>
              <w:rPr>
                <w:sz w:val="20"/>
                <w:szCs w:val="20"/>
              </w:rPr>
            </w:pPr>
            <w:r w:rsidRPr="00522CE0">
              <w:rPr>
                <w:sz w:val="20"/>
                <w:szCs w:val="20"/>
              </w:rPr>
              <w:t>Pulmonary Delivery of Biological Drugs</w:t>
            </w:r>
          </w:p>
        </w:tc>
        <w:tc>
          <w:tcPr>
            <w:tcW w:w="3254" w:type="dxa"/>
          </w:tcPr>
          <w:p w14:paraId="5374D80E" w14:textId="77777777" w:rsidR="00AB100D" w:rsidRPr="00522CE0" w:rsidRDefault="00AB100D" w:rsidP="00694734">
            <w:pPr>
              <w:jc w:val="both"/>
              <w:rPr>
                <w:sz w:val="20"/>
                <w:szCs w:val="20"/>
              </w:rPr>
            </w:pPr>
            <w:r w:rsidRPr="00522CE0">
              <w:rPr>
                <w:sz w:val="20"/>
                <w:szCs w:val="20"/>
              </w:rPr>
              <w:t xml:space="preserve">Off topic: This review is limited to evaluating the characteristics of biologics and barriers to pulmonary drug delivery </w:t>
            </w:r>
          </w:p>
        </w:tc>
      </w:tr>
      <w:tr w:rsidR="00522CE0" w:rsidRPr="00522CE0" w14:paraId="28F38386" w14:textId="77777777" w:rsidTr="00694734">
        <w:tc>
          <w:tcPr>
            <w:tcW w:w="1129" w:type="dxa"/>
          </w:tcPr>
          <w:p w14:paraId="19529CB0" w14:textId="50D46562" w:rsidR="00AB100D" w:rsidRPr="00522CE0" w:rsidRDefault="00E5497B" w:rsidP="00694734">
            <w:pPr>
              <w:jc w:val="both"/>
              <w:rPr>
                <w:sz w:val="20"/>
                <w:szCs w:val="20"/>
              </w:rPr>
            </w:pPr>
            <w:r w:rsidRPr="00522CE0">
              <w:rPr>
                <w:sz w:val="20"/>
                <w:szCs w:val="20"/>
              </w:rPr>
              <w:t>32</w:t>
            </w:r>
          </w:p>
        </w:tc>
        <w:tc>
          <w:tcPr>
            <w:tcW w:w="1134" w:type="dxa"/>
          </w:tcPr>
          <w:p w14:paraId="1151C21D" w14:textId="77777777" w:rsidR="00AB100D" w:rsidRPr="00522CE0" w:rsidRDefault="00AB100D" w:rsidP="00694734">
            <w:pPr>
              <w:jc w:val="both"/>
              <w:rPr>
                <w:sz w:val="20"/>
                <w:szCs w:val="20"/>
              </w:rPr>
            </w:pPr>
            <w:r w:rsidRPr="00522CE0">
              <w:rPr>
                <w:sz w:val="20"/>
                <w:szCs w:val="20"/>
              </w:rPr>
              <w:t xml:space="preserve">Gelhorn et al. </w:t>
            </w:r>
          </w:p>
        </w:tc>
        <w:tc>
          <w:tcPr>
            <w:tcW w:w="1560" w:type="dxa"/>
          </w:tcPr>
          <w:p w14:paraId="08909287" w14:textId="77777777" w:rsidR="00AB100D" w:rsidRPr="00522CE0" w:rsidRDefault="00AB100D" w:rsidP="00694734">
            <w:pPr>
              <w:jc w:val="both"/>
              <w:rPr>
                <w:sz w:val="20"/>
                <w:szCs w:val="20"/>
              </w:rPr>
            </w:pPr>
            <w:r w:rsidRPr="00522CE0">
              <w:rPr>
                <w:sz w:val="20"/>
                <w:szCs w:val="20"/>
              </w:rPr>
              <w:t>2019</w:t>
            </w:r>
          </w:p>
        </w:tc>
        <w:tc>
          <w:tcPr>
            <w:tcW w:w="2551" w:type="dxa"/>
          </w:tcPr>
          <w:p w14:paraId="2D51FD2A" w14:textId="77777777" w:rsidR="00AB100D" w:rsidRPr="00522CE0" w:rsidRDefault="00AB100D" w:rsidP="00694734">
            <w:pPr>
              <w:jc w:val="both"/>
              <w:rPr>
                <w:sz w:val="20"/>
                <w:szCs w:val="20"/>
              </w:rPr>
            </w:pPr>
            <w:r w:rsidRPr="00522CE0">
              <w:rPr>
                <w:sz w:val="20"/>
                <w:szCs w:val="20"/>
              </w:rPr>
              <w:t>Patient and physician preferences for attributes of biologic medications for severe asthma</w:t>
            </w:r>
          </w:p>
        </w:tc>
        <w:tc>
          <w:tcPr>
            <w:tcW w:w="3254" w:type="dxa"/>
          </w:tcPr>
          <w:p w14:paraId="3D6A0FF8" w14:textId="77777777" w:rsidR="00AB100D" w:rsidRPr="00522CE0" w:rsidRDefault="00AB100D" w:rsidP="00694734">
            <w:pPr>
              <w:jc w:val="both"/>
              <w:rPr>
                <w:sz w:val="20"/>
                <w:szCs w:val="20"/>
              </w:rPr>
            </w:pPr>
            <w:r w:rsidRPr="00522CE0">
              <w:rPr>
                <w:sz w:val="20"/>
                <w:szCs w:val="20"/>
              </w:rPr>
              <w:t>Off topic: This study provided important information on both patient and physician preferences regarding the characteristics of biologics indicated for the treatment of severe asthma</w:t>
            </w:r>
          </w:p>
        </w:tc>
      </w:tr>
      <w:tr w:rsidR="00522CE0" w:rsidRPr="00522CE0" w14:paraId="407B745D" w14:textId="77777777" w:rsidTr="00694734">
        <w:tc>
          <w:tcPr>
            <w:tcW w:w="1129" w:type="dxa"/>
          </w:tcPr>
          <w:p w14:paraId="21096AC6" w14:textId="7F423B30" w:rsidR="00AB100D" w:rsidRPr="00522CE0" w:rsidRDefault="00E5497B" w:rsidP="00694734">
            <w:pPr>
              <w:jc w:val="both"/>
              <w:rPr>
                <w:sz w:val="20"/>
                <w:szCs w:val="20"/>
              </w:rPr>
            </w:pPr>
            <w:r w:rsidRPr="00522CE0">
              <w:rPr>
                <w:sz w:val="20"/>
                <w:szCs w:val="20"/>
              </w:rPr>
              <w:t>33</w:t>
            </w:r>
          </w:p>
        </w:tc>
        <w:tc>
          <w:tcPr>
            <w:tcW w:w="1134" w:type="dxa"/>
          </w:tcPr>
          <w:p w14:paraId="0151DF29" w14:textId="77777777" w:rsidR="00AB100D" w:rsidRPr="00522CE0" w:rsidRDefault="00AB100D" w:rsidP="00694734">
            <w:pPr>
              <w:jc w:val="both"/>
              <w:rPr>
                <w:sz w:val="20"/>
                <w:szCs w:val="20"/>
              </w:rPr>
            </w:pPr>
            <w:r w:rsidRPr="00522CE0">
              <w:rPr>
                <w:sz w:val="20"/>
                <w:szCs w:val="20"/>
              </w:rPr>
              <w:t>Petelytska et al.</w:t>
            </w:r>
          </w:p>
        </w:tc>
        <w:tc>
          <w:tcPr>
            <w:tcW w:w="1560" w:type="dxa"/>
          </w:tcPr>
          <w:p w14:paraId="3CEAE855" w14:textId="77777777" w:rsidR="00AB100D" w:rsidRPr="00522CE0" w:rsidRDefault="00AB100D" w:rsidP="00694734">
            <w:pPr>
              <w:jc w:val="both"/>
              <w:rPr>
                <w:sz w:val="20"/>
                <w:szCs w:val="20"/>
              </w:rPr>
            </w:pPr>
            <w:r w:rsidRPr="00522CE0">
              <w:rPr>
                <w:sz w:val="20"/>
                <w:szCs w:val="20"/>
              </w:rPr>
              <w:t>2023</w:t>
            </w:r>
          </w:p>
        </w:tc>
        <w:tc>
          <w:tcPr>
            <w:tcW w:w="2551" w:type="dxa"/>
          </w:tcPr>
          <w:p w14:paraId="1AA68804" w14:textId="726C996F" w:rsidR="00AB100D" w:rsidRPr="00522CE0" w:rsidRDefault="00AB100D" w:rsidP="00694734">
            <w:pPr>
              <w:jc w:val="both"/>
              <w:rPr>
                <w:sz w:val="20"/>
                <w:szCs w:val="20"/>
              </w:rPr>
            </w:pPr>
            <w:r w:rsidRPr="00522CE0">
              <w:rPr>
                <w:sz w:val="20"/>
                <w:szCs w:val="20"/>
              </w:rPr>
              <w:t>Heterogeneity of determining disease severity, clinical course and outcomes in systemic sclerosis-associated interstitial lung disease: a systematic literature review</w:t>
            </w:r>
          </w:p>
        </w:tc>
        <w:tc>
          <w:tcPr>
            <w:tcW w:w="3254" w:type="dxa"/>
          </w:tcPr>
          <w:p w14:paraId="01BCBBC0" w14:textId="77777777" w:rsidR="00AB100D" w:rsidRPr="00522CE0" w:rsidRDefault="00AB100D" w:rsidP="00694734">
            <w:pPr>
              <w:jc w:val="both"/>
              <w:rPr>
                <w:sz w:val="20"/>
                <w:szCs w:val="20"/>
              </w:rPr>
            </w:pPr>
            <w:r w:rsidRPr="00522CE0">
              <w:rPr>
                <w:sz w:val="20"/>
                <w:szCs w:val="20"/>
              </w:rPr>
              <w:t>Off topic: A systematic literature review was performed to search for definitions of severity, progression, and outcomes recorded for SSc-ILD.</w:t>
            </w:r>
          </w:p>
        </w:tc>
      </w:tr>
      <w:tr w:rsidR="00522CE0" w:rsidRPr="00522CE0" w14:paraId="70B53549" w14:textId="77777777" w:rsidTr="00694734">
        <w:tc>
          <w:tcPr>
            <w:tcW w:w="1129" w:type="dxa"/>
          </w:tcPr>
          <w:p w14:paraId="5B2BF5CB" w14:textId="4BEAD778" w:rsidR="00AB100D" w:rsidRPr="00522CE0" w:rsidRDefault="00E5497B" w:rsidP="00694734">
            <w:pPr>
              <w:jc w:val="both"/>
              <w:rPr>
                <w:sz w:val="20"/>
                <w:szCs w:val="20"/>
              </w:rPr>
            </w:pPr>
            <w:r w:rsidRPr="00522CE0">
              <w:rPr>
                <w:sz w:val="20"/>
                <w:szCs w:val="20"/>
              </w:rPr>
              <w:t>36</w:t>
            </w:r>
          </w:p>
        </w:tc>
        <w:tc>
          <w:tcPr>
            <w:tcW w:w="1134" w:type="dxa"/>
          </w:tcPr>
          <w:p w14:paraId="40814DB4" w14:textId="77777777" w:rsidR="00AB100D" w:rsidRPr="00522CE0" w:rsidRDefault="00AB100D" w:rsidP="00694734">
            <w:pPr>
              <w:jc w:val="both"/>
              <w:rPr>
                <w:sz w:val="20"/>
                <w:szCs w:val="20"/>
              </w:rPr>
            </w:pPr>
            <w:r w:rsidRPr="00522CE0">
              <w:rPr>
                <w:sz w:val="20"/>
                <w:szCs w:val="20"/>
              </w:rPr>
              <w:t>Jin et al.</w:t>
            </w:r>
          </w:p>
        </w:tc>
        <w:tc>
          <w:tcPr>
            <w:tcW w:w="1560" w:type="dxa"/>
          </w:tcPr>
          <w:p w14:paraId="3B8ECDE1" w14:textId="77777777" w:rsidR="00AB100D" w:rsidRPr="00522CE0" w:rsidRDefault="00AB100D" w:rsidP="00694734">
            <w:pPr>
              <w:jc w:val="both"/>
              <w:rPr>
                <w:sz w:val="20"/>
                <w:szCs w:val="20"/>
              </w:rPr>
            </w:pPr>
            <w:r w:rsidRPr="00522CE0">
              <w:rPr>
                <w:sz w:val="20"/>
                <w:szCs w:val="20"/>
              </w:rPr>
              <w:t>2020</w:t>
            </w:r>
          </w:p>
        </w:tc>
        <w:tc>
          <w:tcPr>
            <w:tcW w:w="2551" w:type="dxa"/>
          </w:tcPr>
          <w:p w14:paraId="707D0242" w14:textId="77777777" w:rsidR="00AB100D" w:rsidRPr="00522CE0" w:rsidRDefault="00AB100D" w:rsidP="00694734">
            <w:pPr>
              <w:jc w:val="both"/>
              <w:rPr>
                <w:sz w:val="20"/>
                <w:szCs w:val="20"/>
              </w:rPr>
            </w:pPr>
            <w:r w:rsidRPr="00522CE0">
              <w:rPr>
                <w:sz w:val="20"/>
                <w:szCs w:val="20"/>
              </w:rPr>
              <w:t xml:space="preserve">Recent Trends in Nanocarrier-Based Targeted Chemotherapy: Selective Delivery of Anticancer </w:t>
            </w:r>
            <w:r w:rsidRPr="00522CE0">
              <w:rPr>
                <w:sz w:val="20"/>
                <w:szCs w:val="20"/>
              </w:rPr>
              <w:lastRenderedPageBreak/>
              <w:t>Drugs for Effective Lung, Colon, Cervical, and Breast Cancer Treatment</w:t>
            </w:r>
          </w:p>
        </w:tc>
        <w:tc>
          <w:tcPr>
            <w:tcW w:w="3254" w:type="dxa"/>
          </w:tcPr>
          <w:p w14:paraId="06CC8FCC" w14:textId="7DE277EF" w:rsidR="00AB100D" w:rsidRPr="00522CE0" w:rsidRDefault="00AB100D" w:rsidP="00694734">
            <w:pPr>
              <w:jc w:val="both"/>
              <w:rPr>
                <w:sz w:val="20"/>
                <w:szCs w:val="20"/>
              </w:rPr>
            </w:pPr>
            <w:r w:rsidRPr="00522CE0">
              <w:rPr>
                <w:sz w:val="20"/>
                <w:szCs w:val="20"/>
              </w:rPr>
              <w:lastRenderedPageBreak/>
              <w:t xml:space="preserve">Off topic: Off-target effects of chemotherapy drugs are studied with the use of nanoparticles (NPs). Published reports show that various </w:t>
            </w:r>
            <w:r w:rsidRPr="00522CE0">
              <w:rPr>
                <w:sz w:val="20"/>
                <w:szCs w:val="20"/>
              </w:rPr>
              <w:lastRenderedPageBreak/>
              <w:t>types of nanocarriers, including liposomes, lipid, metallic and polymeric NPs and micelles, nano-MOFs and carbon nanotubes, have been effectively used for the targeted delivery of chemotherapeutic agents for the treatment of lung cancer, colon, cervix</w:t>
            </w:r>
            <w:r w:rsidR="006615C3" w:rsidRPr="00522CE0">
              <w:rPr>
                <w:sz w:val="20"/>
                <w:szCs w:val="20"/>
              </w:rPr>
              <w:t>,</w:t>
            </w:r>
            <w:r w:rsidRPr="00522CE0">
              <w:rPr>
                <w:sz w:val="20"/>
                <w:szCs w:val="20"/>
              </w:rPr>
              <w:t xml:space="preserve"> and breast.</w:t>
            </w:r>
          </w:p>
        </w:tc>
      </w:tr>
      <w:tr w:rsidR="00522CE0" w:rsidRPr="00522CE0" w14:paraId="69E82709" w14:textId="77777777" w:rsidTr="00694734">
        <w:tc>
          <w:tcPr>
            <w:tcW w:w="1129" w:type="dxa"/>
          </w:tcPr>
          <w:p w14:paraId="0E010A4A" w14:textId="30DB5288" w:rsidR="00443CA9" w:rsidRPr="00522CE0" w:rsidRDefault="007161BD" w:rsidP="00443CA9">
            <w:pPr>
              <w:jc w:val="both"/>
              <w:rPr>
                <w:sz w:val="20"/>
                <w:szCs w:val="20"/>
              </w:rPr>
            </w:pPr>
            <w:r w:rsidRPr="00522CE0">
              <w:rPr>
                <w:sz w:val="20"/>
                <w:szCs w:val="20"/>
              </w:rPr>
              <w:lastRenderedPageBreak/>
              <w:t>39</w:t>
            </w:r>
          </w:p>
        </w:tc>
        <w:tc>
          <w:tcPr>
            <w:tcW w:w="1134" w:type="dxa"/>
          </w:tcPr>
          <w:p w14:paraId="58F467F0" w14:textId="728B8483" w:rsidR="00443CA9" w:rsidRPr="00522CE0" w:rsidRDefault="00443CA9" w:rsidP="00443CA9">
            <w:pPr>
              <w:jc w:val="both"/>
              <w:rPr>
                <w:sz w:val="20"/>
                <w:szCs w:val="20"/>
              </w:rPr>
            </w:pPr>
            <w:r w:rsidRPr="00522CE0">
              <w:rPr>
                <w:sz w:val="20"/>
                <w:szCs w:val="20"/>
              </w:rPr>
              <w:t xml:space="preserve">Wynne et al. </w:t>
            </w:r>
          </w:p>
        </w:tc>
        <w:tc>
          <w:tcPr>
            <w:tcW w:w="1560" w:type="dxa"/>
          </w:tcPr>
          <w:p w14:paraId="33443EBA" w14:textId="38F1C115" w:rsidR="00443CA9" w:rsidRPr="00522CE0" w:rsidRDefault="00443CA9" w:rsidP="00443CA9">
            <w:pPr>
              <w:jc w:val="both"/>
              <w:rPr>
                <w:sz w:val="20"/>
                <w:szCs w:val="20"/>
              </w:rPr>
            </w:pPr>
            <w:r w:rsidRPr="00522CE0">
              <w:rPr>
                <w:sz w:val="20"/>
                <w:szCs w:val="20"/>
              </w:rPr>
              <w:t>2018</w:t>
            </w:r>
          </w:p>
        </w:tc>
        <w:tc>
          <w:tcPr>
            <w:tcW w:w="2551" w:type="dxa"/>
          </w:tcPr>
          <w:p w14:paraId="5C27258F" w14:textId="23C3234B" w:rsidR="000F341D" w:rsidRPr="00522CE0" w:rsidRDefault="00443CA9" w:rsidP="000F341D">
            <w:pPr>
              <w:jc w:val="both"/>
              <w:rPr>
                <w:sz w:val="20"/>
                <w:szCs w:val="20"/>
                <w:lang w:eastAsia="it-IT"/>
              </w:rPr>
            </w:pPr>
            <w:r w:rsidRPr="00522CE0">
              <w:rPr>
                <w:sz w:val="20"/>
                <w:szCs w:val="20"/>
                <w:lang w:eastAsia="it-IT"/>
              </w:rPr>
              <w:t>A</w:t>
            </w:r>
            <w:r w:rsidR="000F341D" w:rsidRPr="00522CE0">
              <w:rPr>
                <w:sz w:val="20"/>
                <w:szCs w:val="20"/>
                <w:lang w:eastAsia="it-IT"/>
              </w:rPr>
              <w:t xml:space="preserve"> </w:t>
            </w:r>
            <w:r w:rsidRPr="00522CE0">
              <w:rPr>
                <w:sz w:val="20"/>
                <w:szCs w:val="20"/>
                <w:lang w:eastAsia="it-IT"/>
              </w:rPr>
              <w:t>comparative pharmacokinetic study of DRL_BZ, a candidate biosimilar of bevacizumab, with Avastin® (EU and US) in healthy male subjects</w:t>
            </w:r>
            <w:r w:rsidR="000F341D" w:rsidRPr="00522CE0">
              <w:rPr>
                <w:sz w:val="20"/>
                <w:szCs w:val="20"/>
                <w:lang w:eastAsia="it-IT"/>
              </w:rPr>
              <w:t xml:space="preserve"> </w:t>
            </w:r>
          </w:p>
        </w:tc>
        <w:tc>
          <w:tcPr>
            <w:tcW w:w="3254" w:type="dxa"/>
          </w:tcPr>
          <w:p w14:paraId="61224127" w14:textId="77777777" w:rsidR="006615C3" w:rsidRPr="00522CE0" w:rsidRDefault="000C5240" w:rsidP="006615C3">
            <w:pPr>
              <w:jc w:val="both"/>
              <w:rPr>
                <w:sz w:val="20"/>
                <w:szCs w:val="20"/>
              </w:rPr>
            </w:pPr>
            <w:r w:rsidRPr="00522CE0">
              <w:rPr>
                <w:sz w:val="20"/>
                <w:szCs w:val="20"/>
              </w:rPr>
              <w:t>Off topic: Comparative analysis, in terms of safety and immunogenicity, between the drug DRL_BZ, a biosimilar candidate for bevacizumab, and the EU-approved and US-authorized bevacizumab.</w:t>
            </w:r>
          </w:p>
          <w:p w14:paraId="64D8BD6F" w14:textId="73ECDE8A" w:rsidR="00443CA9" w:rsidRPr="00522CE0" w:rsidRDefault="000C5240" w:rsidP="006615C3">
            <w:pPr>
              <w:jc w:val="both"/>
              <w:rPr>
                <w:sz w:val="20"/>
                <w:szCs w:val="20"/>
              </w:rPr>
            </w:pPr>
            <w:r w:rsidRPr="00522CE0">
              <w:rPr>
                <w:sz w:val="20"/>
                <w:szCs w:val="20"/>
              </w:rPr>
              <w:t>No reference to lung diseases.</w:t>
            </w:r>
          </w:p>
        </w:tc>
      </w:tr>
      <w:tr w:rsidR="00522CE0" w:rsidRPr="00522CE0" w14:paraId="2E9B318F" w14:textId="77777777" w:rsidTr="00694734">
        <w:tc>
          <w:tcPr>
            <w:tcW w:w="1129" w:type="dxa"/>
          </w:tcPr>
          <w:p w14:paraId="6D898D35" w14:textId="5078CECF" w:rsidR="007161BD" w:rsidRPr="00522CE0" w:rsidRDefault="007161BD" w:rsidP="007161BD">
            <w:pPr>
              <w:jc w:val="both"/>
              <w:rPr>
                <w:sz w:val="20"/>
                <w:szCs w:val="20"/>
              </w:rPr>
            </w:pPr>
            <w:r w:rsidRPr="00522CE0">
              <w:rPr>
                <w:sz w:val="20"/>
                <w:szCs w:val="20"/>
              </w:rPr>
              <w:t>43</w:t>
            </w:r>
          </w:p>
        </w:tc>
        <w:tc>
          <w:tcPr>
            <w:tcW w:w="1134" w:type="dxa"/>
          </w:tcPr>
          <w:p w14:paraId="50FB12EE" w14:textId="45A2B005" w:rsidR="007161BD" w:rsidRPr="00522CE0" w:rsidRDefault="007161BD" w:rsidP="007161BD">
            <w:pPr>
              <w:jc w:val="both"/>
              <w:rPr>
                <w:sz w:val="20"/>
                <w:szCs w:val="20"/>
              </w:rPr>
            </w:pPr>
            <w:r w:rsidRPr="00522CE0">
              <w:rPr>
                <w:sz w:val="20"/>
                <w:szCs w:val="20"/>
              </w:rPr>
              <w:t>Mamori et al.</w:t>
            </w:r>
          </w:p>
        </w:tc>
        <w:tc>
          <w:tcPr>
            <w:tcW w:w="1560" w:type="dxa"/>
          </w:tcPr>
          <w:p w14:paraId="4B1204DC" w14:textId="0D477AF9" w:rsidR="007161BD" w:rsidRPr="00522CE0" w:rsidRDefault="007161BD" w:rsidP="007161BD">
            <w:pPr>
              <w:jc w:val="both"/>
              <w:rPr>
                <w:sz w:val="20"/>
                <w:szCs w:val="20"/>
              </w:rPr>
            </w:pPr>
            <w:r w:rsidRPr="00522CE0">
              <w:rPr>
                <w:sz w:val="20"/>
                <w:szCs w:val="20"/>
              </w:rPr>
              <w:t>2025</w:t>
            </w:r>
          </w:p>
        </w:tc>
        <w:tc>
          <w:tcPr>
            <w:tcW w:w="2551" w:type="dxa"/>
          </w:tcPr>
          <w:p w14:paraId="0A455D0E" w14:textId="438AEA3D" w:rsidR="007161BD" w:rsidRPr="00522CE0" w:rsidRDefault="007161BD" w:rsidP="000F341D">
            <w:pPr>
              <w:jc w:val="both"/>
              <w:rPr>
                <w:sz w:val="20"/>
                <w:szCs w:val="20"/>
              </w:rPr>
            </w:pPr>
            <w:r w:rsidRPr="00522CE0">
              <w:rPr>
                <w:sz w:val="20"/>
                <w:szCs w:val="20"/>
              </w:rPr>
              <w:t>Real</w:t>
            </w:r>
            <w:r w:rsidRPr="00522CE0">
              <w:rPr>
                <w:sz w:val="20"/>
                <w:szCs w:val="20"/>
              </w:rPr>
              <w:noBreakHyphen/>
              <w:t>World</w:t>
            </w:r>
            <w:r w:rsidR="000F341D" w:rsidRPr="00522CE0">
              <w:rPr>
                <w:sz w:val="20"/>
                <w:szCs w:val="20"/>
              </w:rPr>
              <w:t xml:space="preserve"> </w:t>
            </w:r>
            <w:r w:rsidRPr="00522CE0">
              <w:rPr>
                <w:sz w:val="20"/>
                <w:szCs w:val="20"/>
              </w:rPr>
              <w:t>Comparative Analysis of Trastuzumab Originator and Biosimilars: Safety, Efficacy, and Cost Effectiveness</w:t>
            </w:r>
          </w:p>
          <w:p w14:paraId="220F9736" w14:textId="77777777" w:rsidR="007161BD" w:rsidRPr="00522CE0" w:rsidRDefault="007161BD" w:rsidP="000F341D">
            <w:pPr>
              <w:jc w:val="both"/>
              <w:rPr>
                <w:sz w:val="20"/>
                <w:szCs w:val="20"/>
              </w:rPr>
            </w:pPr>
          </w:p>
          <w:p w14:paraId="0D5141F1" w14:textId="77777777" w:rsidR="007161BD" w:rsidRPr="00522CE0" w:rsidRDefault="007161BD" w:rsidP="000F341D">
            <w:pPr>
              <w:jc w:val="both"/>
              <w:rPr>
                <w:sz w:val="20"/>
                <w:szCs w:val="20"/>
              </w:rPr>
            </w:pPr>
          </w:p>
        </w:tc>
        <w:tc>
          <w:tcPr>
            <w:tcW w:w="3254" w:type="dxa"/>
          </w:tcPr>
          <w:p w14:paraId="015B821D" w14:textId="3E56BB08" w:rsidR="007161BD" w:rsidRPr="00522CE0" w:rsidRDefault="000F341D" w:rsidP="007161BD">
            <w:pPr>
              <w:jc w:val="both"/>
              <w:rPr>
                <w:sz w:val="20"/>
                <w:szCs w:val="20"/>
                <w:lang w:val="it-IT"/>
              </w:rPr>
            </w:pPr>
            <w:r w:rsidRPr="00522CE0">
              <w:rPr>
                <w:sz w:val="20"/>
                <w:szCs w:val="20"/>
              </w:rPr>
              <w:t xml:space="preserve">The authors confirmed the safety, side effects, efficacy, and costs of trastuzumab biosimilars compared to the original drug by analysing global reports of adverse events and large real-world data sets. </w:t>
            </w:r>
            <w:r w:rsidRPr="00522CE0">
              <w:rPr>
                <w:sz w:val="20"/>
                <w:szCs w:val="20"/>
                <w:lang w:val="it-IT"/>
              </w:rPr>
              <w:t xml:space="preserve">However, the study focused only on breast cancer treatment. </w:t>
            </w:r>
          </w:p>
        </w:tc>
      </w:tr>
    </w:tbl>
    <w:p w14:paraId="72CA29DA" w14:textId="2E0237CC" w:rsidR="00AB100D" w:rsidRPr="00522CE0" w:rsidRDefault="00A12305" w:rsidP="00AB100D">
      <w:pPr>
        <w:spacing w:line="276" w:lineRule="auto"/>
        <w:jc w:val="center"/>
        <w:rPr>
          <w:rFonts w:ascii="Times New Roman" w:eastAsia="Times New Roman" w:hAnsi="Times New Roman" w:cs="Times New Roman"/>
          <w:sz w:val="20"/>
          <w:szCs w:val="20"/>
        </w:rPr>
      </w:pPr>
      <w:bookmarkStart w:id="0" w:name="_heading=h.1fob9te" w:colFirst="0" w:colLast="0"/>
      <w:bookmarkEnd w:id="0"/>
      <w:r w:rsidRPr="00522CE0">
        <w:rPr>
          <w:rFonts w:ascii="Times New Roman" w:eastAsia="Times New Roman" w:hAnsi="Times New Roman" w:cs="Times New Roman"/>
          <w:sz w:val="20"/>
          <w:szCs w:val="20"/>
        </w:rPr>
        <w:t>Note</w:t>
      </w:r>
      <w:r w:rsidR="00AB100D" w:rsidRPr="00522CE0">
        <w:rPr>
          <w:rFonts w:ascii="Times New Roman" w:eastAsia="Times New Roman" w:hAnsi="Times New Roman" w:cs="Times New Roman"/>
          <w:sz w:val="20"/>
          <w:szCs w:val="20"/>
        </w:rPr>
        <w:t>: own elaboration</w:t>
      </w:r>
      <w:r w:rsidRPr="00522CE0">
        <w:rPr>
          <w:rFonts w:ascii="Times New Roman" w:eastAsia="Times New Roman" w:hAnsi="Times New Roman" w:cs="Times New Roman"/>
          <w:sz w:val="20"/>
          <w:szCs w:val="20"/>
        </w:rPr>
        <w:t xml:space="preserve"> from Dimensions data</w:t>
      </w:r>
    </w:p>
    <w:p w14:paraId="00CCE82A" w14:textId="77777777" w:rsidR="00AB100D" w:rsidRPr="00522CE0" w:rsidRDefault="00AB100D" w:rsidP="00AB100D">
      <w:pPr>
        <w:spacing w:line="276" w:lineRule="auto"/>
        <w:jc w:val="center"/>
        <w:rPr>
          <w:rFonts w:ascii="Times New Roman" w:eastAsia="Times New Roman" w:hAnsi="Times New Roman" w:cs="Times New Roman"/>
          <w:b/>
          <w:bCs/>
          <w:sz w:val="24"/>
          <w:szCs w:val="24"/>
        </w:rPr>
      </w:pPr>
    </w:p>
    <w:p w14:paraId="69EE620C" w14:textId="77777777" w:rsidR="001B5F09" w:rsidRPr="00522CE0" w:rsidRDefault="001B5F09" w:rsidP="00AB100D">
      <w:pPr>
        <w:spacing w:line="276" w:lineRule="auto"/>
        <w:jc w:val="center"/>
        <w:rPr>
          <w:rFonts w:ascii="Times New Roman" w:eastAsia="Times New Roman" w:hAnsi="Times New Roman" w:cs="Times New Roman"/>
          <w:b/>
          <w:bCs/>
          <w:sz w:val="24"/>
          <w:szCs w:val="24"/>
        </w:rPr>
      </w:pPr>
    </w:p>
    <w:p w14:paraId="4EB01503" w14:textId="77777777" w:rsidR="000A0A5A" w:rsidRPr="00522CE0" w:rsidRDefault="000A0A5A" w:rsidP="00AB100D">
      <w:pPr>
        <w:spacing w:line="276" w:lineRule="auto"/>
        <w:jc w:val="center"/>
        <w:rPr>
          <w:rFonts w:ascii="Times New Roman" w:eastAsia="Times New Roman" w:hAnsi="Times New Roman" w:cs="Times New Roman"/>
          <w:b/>
          <w:bCs/>
          <w:sz w:val="24"/>
          <w:szCs w:val="24"/>
        </w:rPr>
      </w:pPr>
    </w:p>
    <w:p w14:paraId="02408C84"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2544CA85"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14460A6B"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4DA47B95"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5B24B60C"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11CB383A"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67F974C7"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2D9F6037" w14:textId="77777777" w:rsidR="00BC08A7" w:rsidRPr="00522CE0" w:rsidRDefault="00BC08A7" w:rsidP="00AB100D">
      <w:pPr>
        <w:spacing w:line="276" w:lineRule="auto"/>
        <w:jc w:val="center"/>
        <w:rPr>
          <w:rFonts w:ascii="Times New Roman" w:eastAsia="Times New Roman" w:hAnsi="Times New Roman" w:cs="Times New Roman"/>
          <w:b/>
          <w:bCs/>
          <w:sz w:val="24"/>
          <w:szCs w:val="24"/>
        </w:rPr>
      </w:pPr>
    </w:p>
    <w:p w14:paraId="2F16E6E7" w14:textId="77777777" w:rsidR="00BC08A7" w:rsidRPr="00522CE0" w:rsidRDefault="00BC08A7" w:rsidP="00AB100D">
      <w:pPr>
        <w:spacing w:line="276" w:lineRule="auto"/>
        <w:jc w:val="center"/>
        <w:rPr>
          <w:rFonts w:ascii="Times New Roman" w:eastAsia="Times New Roman" w:hAnsi="Times New Roman" w:cs="Times New Roman"/>
          <w:b/>
          <w:bCs/>
          <w:sz w:val="28"/>
          <w:szCs w:val="28"/>
        </w:rPr>
      </w:pPr>
    </w:p>
    <w:p w14:paraId="193D4D7B" w14:textId="77777777" w:rsidR="00283DA1" w:rsidRPr="00522CE0" w:rsidRDefault="00283DA1" w:rsidP="00AB100D">
      <w:pPr>
        <w:spacing w:line="276" w:lineRule="auto"/>
        <w:jc w:val="center"/>
        <w:rPr>
          <w:rFonts w:ascii="Times New Roman" w:eastAsia="Times New Roman" w:hAnsi="Times New Roman" w:cs="Times New Roman"/>
          <w:b/>
          <w:bCs/>
          <w:sz w:val="28"/>
          <w:szCs w:val="28"/>
        </w:rPr>
      </w:pPr>
    </w:p>
    <w:p w14:paraId="3D7FF926" w14:textId="77777777" w:rsidR="00BC08A7" w:rsidRDefault="00BC08A7" w:rsidP="00AB100D">
      <w:pPr>
        <w:spacing w:line="276" w:lineRule="auto"/>
        <w:jc w:val="center"/>
        <w:rPr>
          <w:rFonts w:ascii="Times New Roman" w:eastAsia="Times New Roman" w:hAnsi="Times New Roman" w:cs="Times New Roman"/>
          <w:b/>
          <w:bCs/>
          <w:sz w:val="28"/>
          <w:szCs w:val="28"/>
        </w:rPr>
      </w:pPr>
    </w:p>
    <w:p w14:paraId="65D5E085"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5225D39A"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2940EDC4" w14:textId="77777777" w:rsidR="007073EF" w:rsidRPr="00522CE0" w:rsidRDefault="007073EF" w:rsidP="00AB100D">
      <w:pPr>
        <w:spacing w:line="276" w:lineRule="auto"/>
        <w:jc w:val="center"/>
        <w:rPr>
          <w:rFonts w:ascii="Times New Roman" w:eastAsia="Times New Roman" w:hAnsi="Times New Roman" w:cs="Times New Roman"/>
          <w:b/>
          <w:bCs/>
          <w:sz w:val="28"/>
          <w:szCs w:val="28"/>
        </w:rPr>
      </w:pPr>
    </w:p>
    <w:p w14:paraId="5BBD58F3" w14:textId="46E26D12" w:rsidR="001B5F09" w:rsidRPr="00522CE0" w:rsidRDefault="001B5F09" w:rsidP="001B5F09">
      <w:pPr>
        <w:spacing w:line="276" w:lineRule="auto"/>
        <w:jc w:val="center"/>
        <w:rPr>
          <w:rFonts w:ascii="Times New Roman" w:eastAsia="Times New Roman" w:hAnsi="Times New Roman" w:cs="Times New Roman"/>
          <w:b/>
          <w:sz w:val="24"/>
          <w:szCs w:val="24"/>
        </w:rPr>
      </w:pPr>
      <w:r w:rsidRPr="00522CE0">
        <w:rPr>
          <w:rFonts w:ascii="Times New Roman" w:eastAsia="Times New Roman" w:hAnsi="Times New Roman" w:cs="Times New Roman"/>
          <w:b/>
          <w:sz w:val="24"/>
          <w:szCs w:val="24"/>
        </w:rPr>
        <w:lastRenderedPageBreak/>
        <w:t>Table A.2 – Included papers classified by</w:t>
      </w:r>
      <w:r w:rsidR="000A0A5A" w:rsidRPr="00522CE0">
        <w:rPr>
          <w:rFonts w:ascii="Times New Roman" w:eastAsia="Times New Roman" w:hAnsi="Times New Roman" w:cs="Times New Roman"/>
          <w:b/>
          <w:sz w:val="24"/>
          <w:szCs w:val="24"/>
        </w:rPr>
        <w:t xml:space="preserve"> methodology, thematic area, economic variables</w:t>
      </w:r>
    </w:p>
    <w:tbl>
      <w:tblPr>
        <w:tblStyle w:val="Grigliatabella"/>
        <w:tblW w:w="0" w:type="auto"/>
        <w:tblLook w:val="04A0" w:firstRow="1" w:lastRow="0" w:firstColumn="1" w:lastColumn="0" w:noHBand="0" w:noVBand="1"/>
      </w:tblPr>
      <w:tblGrid>
        <w:gridCol w:w="1196"/>
        <w:gridCol w:w="2867"/>
        <w:gridCol w:w="1915"/>
        <w:gridCol w:w="1913"/>
        <w:gridCol w:w="1737"/>
      </w:tblGrid>
      <w:tr w:rsidR="00522CE0" w:rsidRPr="00522CE0" w14:paraId="4D80A37F" w14:textId="77777777" w:rsidTr="004F0C8D">
        <w:tc>
          <w:tcPr>
            <w:tcW w:w="1196" w:type="dxa"/>
          </w:tcPr>
          <w:p w14:paraId="5CF76AB9" w14:textId="066CCF69" w:rsidR="004F0C8D" w:rsidRPr="00522CE0" w:rsidRDefault="004F0C8D" w:rsidP="004F0C8D">
            <w:pPr>
              <w:spacing w:after="160" w:line="276" w:lineRule="auto"/>
              <w:jc w:val="center"/>
              <w:rPr>
                <w:rFonts w:ascii="Times New Roman" w:eastAsia="Times New Roman" w:hAnsi="Times New Roman" w:cs="Times New Roman"/>
                <w:b/>
                <w:bCs/>
                <w:sz w:val="20"/>
                <w:szCs w:val="20"/>
              </w:rPr>
            </w:pPr>
            <w:bookmarkStart w:id="1" w:name="_Hlk198076744"/>
            <w:r w:rsidRPr="00522CE0">
              <w:rPr>
                <w:rFonts w:ascii="Times New Roman" w:eastAsia="Times New Roman" w:hAnsi="Times New Roman" w:cs="Times New Roman"/>
                <w:b/>
                <w:bCs/>
                <w:sz w:val="20"/>
                <w:szCs w:val="20"/>
              </w:rPr>
              <w:t xml:space="preserve">N. </w:t>
            </w:r>
          </w:p>
        </w:tc>
        <w:tc>
          <w:tcPr>
            <w:tcW w:w="2867" w:type="dxa"/>
          </w:tcPr>
          <w:p w14:paraId="1AC6230F" w14:textId="432EB370" w:rsidR="004F0C8D" w:rsidRPr="00522CE0" w:rsidRDefault="00676328" w:rsidP="004F0C8D">
            <w:pPr>
              <w:spacing w:after="160" w:line="276" w:lineRule="auto"/>
              <w:jc w:val="center"/>
              <w:rPr>
                <w:rFonts w:ascii="Times New Roman" w:eastAsia="Times New Roman" w:hAnsi="Times New Roman" w:cs="Times New Roman"/>
                <w:b/>
                <w:bCs/>
                <w:sz w:val="20"/>
                <w:szCs w:val="20"/>
              </w:rPr>
            </w:pPr>
            <w:r w:rsidRPr="00522CE0">
              <w:rPr>
                <w:rFonts w:ascii="Times New Roman" w:eastAsia="Times New Roman" w:hAnsi="Times New Roman" w:cs="Times New Roman"/>
                <w:b/>
                <w:bCs/>
                <w:sz w:val="20"/>
                <w:szCs w:val="20"/>
              </w:rPr>
              <w:t>Authors, year, country of the study</w:t>
            </w:r>
          </w:p>
        </w:tc>
        <w:tc>
          <w:tcPr>
            <w:tcW w:w="1915" w:type="dxa"/>
          </w:tcPr>
          <w:p w14:paraId="3E3BC6D9" w14:textId="3433DA0E" w:rsidR="004F0C8D" w:rsidRPr="00522CE0" w:rsidRDefault="004F0C8D" w:rsidP="004F0C8D">
            <w:pPr>
              <w:spacing w:after="160" w:line="276" w:lineRule="auto"/>
              <w:jc w:val="center"/>
              <w:rPr>
                <w:rFonts w:ascii="Times New Roman" w:eastAsia="Times New Roman" w:hAnsi="Times New Roman" w:cs="Times New Roman"/>
                <w:b/>
                <w:bCs/>
                <w:sz w:val="20"/>
                <w:szCs w:val="20"/>
              </w:rPr>
            </w:pPr>
            <w:r w:rsidRPr="00522CE0">
              <w:rPr>
                <w:rFonts w:ascii="Times New Roman" w:eastAsia="Times New Roman" w:hAnsi="Times New Roman" w:cs="Times New Roman"/>
                <w:b/>
                <w:bCs/>
                <w:sz w:val="20"/>
                <w:szCs w:val="20"/>
              </w:rPr>
              <w:t>Methodology</w:t>
            </w:r>
          </w:p>
        </w:tc>
        <w:tc>
          <w:tcPr>
            <w:tcW w:w="1913" w:type="dxa"/>
          </w:tcPr>
          <w:p w14:paraId="164848DA" w14:textId="1B50050A" w:rsidR="004F0C8D" w:rsidRPr="00522CE0" w:rsidRDefault="004F0C8D" w:rsidP="004F0C8D">
            <w:pPr>
              <w:spacing w:after="160" w:line="276" w:lineRule="auto"/>
              <w:jc w:val="center"/>
              <w:rPr>
                <w:rFonts w:ascii="Times New Roman" w:eastAsia="Times New Roman" w:hAnsi="Times New Roman" w:cs="Times New Roman"/>
                <w:b/>
                <w:bCs/>
                <w:sz w:val="20"/>
                <w:szCs w:val="20"/>
              </w:rPr>
            </w:pPr>
            <w:r w:rsidRPr="00522CE0">
              <w:rPr>
                <w:rFonts w:ascii="Times New Roman" w:eastAsia="Times New Roman" w:hAnsi="Times New Roman" w:cs="Times New Roman"/>
                <w:b/>
                <w:bCs/>
                <w:sz w:val="20"/>
                <w:szCs w:val="20"/>
              </w:rPr>
              <w:t>Thematic area</w:t>
            </w:r>
          </w:p>
        </w:tc>
        <w:tc>
          <w:tcPr>
            <w:tcW w:w="1737" w:type="dxa"/>
          </w:tcPr>
          <w:p w14:paraId="6E1F9AC0" w14:textId="21A7C5B3" w:rsidR="004F0C8D" w:rsidRPr="00522CE0" w:rsidRDefault="00F75C4C" w:rsidP="000A0A5A">
            <w:pPr>
              <w:spacing w:after="160" w:line="276" w:lineRule="auto"/>
              <w:jc w:val="center"/>
              <w:rPr>
                <w:rFonts w:ascii="Times New Roman" w:eastAsia="Times New Roman" w:hAnsi="Times New Roman" w:cs="Times New Roman"/>
                <w:b/>
                <w:bCs/>
                <w:sz w:val="20"/>
                <w:szCs w:val="20"/>
                <w:lang w:val="it-IT"/>
              </w:rPr>
            </w:pPr>
            <w:r>
              <w:rPr>
                <w:rFonts w:ascii="Times New Roman" w:eastAsia="Times New Roman" w:hAnsi="Times New Roman" w:cs="Times New Roman"/>
                <w:b/>
                <w:bCs/>
                <w:sz w:val="20"/>
                <w:szCs w:val="20"/>
                <w:lang w:val="it-IT"/>
              </w:rPr>
              <w:t>E</w:t>
            </w:r>
            <w:r w:rsidR="004F0C8D" w:rsidRPr="00522CE0">
              <w:rPr>
                <w:rFonts w:ascii="Times New Roman" w:eastAsia="Times New Roman" w:hAnsi="Times New Roman" w:cs="Times New Roman"/>
                <w:b/>
                <w:bCs/>
                <w:sz w:val="20"/>
                <w:szCs w:val="20"/>
                <w:lang w:val="it-IT"/>
              </w:rPr>
              <w:t>conomic variable</w:t>
            </w:r>
            <w:r w:rsidR="000A0A5A" w:rsidRPr="00522CE0">
              <w:rPr>
                <w:rFonts w:ascii="Times New Roman" w:eastAsia="Times New Roman" w:hAnsi="Times New Roman" w:cs="Times New Roman"/>
                <w:b/>
                <w:bCs/>
                <w:sz w:val="20"/>
                <w:szCs w:val="20"/>
                <w:lang w:val="it-IT"/>
              </w:rPr>
              <w:t>s</w:t>
            </w:r>
          </w:p>
        </w:tc>
      </w:tr>
      <w:bookmarkEnd w:id="1"/>
      <w:tr w:rsidR="00522CE0" w:rsidRPr="00522CE0" w14:paraId="66B888AB" w14:textId="77777777" w:rsidTr="004F0C8D">
        <w:tc>
          <w:tcPr>
            <w:tcW w:w="1196" w:type="dxa"/>
          </w:tcPr>
          <w:p w14:paraId="5B0D20C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w:t>
            </w:r>
          </w:p>
        </w:tc>
        <w:tc>
          <w:tcPr>
            <w:tcW w:w="2867" w:type="dxa"/>
          </w:tcPr>
          <w:p w14:paraId="21AEF30B" w14:textId="77777777" w:rsidR="004F0C8D" w:rsidRPr="00522CE0" w:rsidRDefault="004F0C8D" w:rsidP="004F0C8D">
            <w:pPr>
              <w:spacing w:after="160" w:line="276" w:lineRule="auto"/>
              <w:jc w:val="center"/>
              <w:rPr>
                <w:rFonts w:ascii="Times New Roman" w:eastAsia="Times New Roman" w:hAnsi="Times New Roman" w:cs="Times New Roman"/>
                <w:sz w:val="20"/>
                <w:szCs w:val="20"/>
                <w:lang w:val="it-IT"/>
              </w:rPr>
            </w:pPr>
            <w:r w:rsidRPr="00522CE0">
              <w:rPr>
                <w:rFonts w:ascii="Times New Roman" w:eastAsia="Times New Roman" w:hAnsi="Times New Roman" w:cs="Times New Roman"/>
                <w:sz w:val="20"/>
                <w:szCs w:val="20"/>
                <w:lang w:val="it-IT"/>
              </w:rPr>
              <w:t>Luo et al., 2022, USA e UK</w:t>
            </w:r>
          </w:p>
        </w:tc>
        <w:tc>
          <w:tcPr>
            <w:tcW w:w="1915" w:type="dxa"/>
          </w:tcPr>
          <w:p w14:paraId="4FAEBFCB"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Markov Models</w:t>
            </w:r>
          </w:p>
        </w:tc>
        <w:tc>
          <w:tcPr>
            <w:tcW w:w="1913" w:type="dxa"/>
          </w:tcPr>
          <w:p w14:paraId="78A9C72C" w14:textId="3601AD0E" w:rsidR="004F0C8D" w:rsidRPr="00522CE0" w:rsidRDefault="004F0C8D" w:rsidP="00676328">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Advanced or Recurrent</w:t>
            </w:r>
            <w:r w:rsidR="00676328" w:rsidRPr="00522CE0">
              <w:rPr>
                <w:rFonts w:ascii="Times New Roman" w:eastAsia="Times New Roman" w:hAnsi="Times New Roman" w:cs="Times New Roman"/>
                <w:sz w:val="20"/>
                <w:szCs w:val="20"/>
              </w:rPr>
              <w:t xml:space="preserve"> Non-squamous non-small cell lung cancer</w:t>
            </w:r>
          </w:p>
        </w:tc>
        <w:tc>
          <w:tcPr>
            <w:tcW w:w="1737" w:type="dxa"/>
          </w:tcPr>
          <w:p w14:paraId="244ADACC" w14:textId="4ECC2ADD"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5C6C98FB" w14:textId="77777777" w:rsidTr="004F0C8D">
        <w:tc>
          <w:tcPr>
            <w:tcW w:w="1196" w:type="dxa"/>
          </w:tcPr>
          <w:p w14:paraId="505FE9A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2</w:t>
            </w:r>
          </w:p>
        </w:tc>
        <w:tc>
          <w:tcPr>
            <w:tcW w:w="2867" w:type="dxa"/>
          </w:tcPr>
          <w:p w14:paraId="0A947EB9" w14:textId="20554885"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Xiao et al.</w:t>
            </w:r>
            <w:r w:rsidR="00676328" w:rsidRPr="00522CE0">
              <w:rPr>
                <w:rFonts w:ascii="Times New Roman" w:eastAsia="Times New Roman" w:hAnsi="Times New Roman" w:cs="Times New Roman"/>
                <w:sz w:val="20"/>
                <w:szCs w:val="20"/>
              </w:rPr>
              <w:t>,</w:t>
            </w:r>
            <w:r w:rsidRPr="00522CE0">
              <w:rPr>
                <w:rFonts w:ascii="Times New Roman" w:eastAsia="Times New Roman" w:hAnsi="Times New Roman" w:cs="Times New Roman"/>
                <w:sz w:val="20"/>
                <w:szCs w:val="20"/>
              </w:rPr>
              <w:t xml:space="preserve"> 2022, China</w:t>
            </w:r>
          </w:p>
        </w:tc>
        <w:tc>
          <w:tcPr>
            <w:tcW w:w="1915" w:type="dxa"/>
          </w:tcPr>
          <w:p w14:paraId="7DCE2FC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6A0B1A4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Non-squamous non-small cell lung cancer</w:t>
            </w:r>
          </w:p>
        </w:tc>
        <w:tc>
          <w:tcPr>
            <w:tcW w:w="1737" w:type="dxa"/>
          </w:tcPr>
          <w:p w14:paraId="46FC699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00C4882D" w14:textId="77777777" w:rsidTr="004F0C8D">
        <w:tc>
          <w:tcPr>
            <w:tcW w:w="1196" w:type="dxa"/>
          </w:tcPr>
          <w:p w14:paraId="4D35B311"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3</w:t>
            </w:r>
          </w:p>
        </w:tc>
        <w:tc>
          <w:tcPr>
            <w:tcW w:w="2867" w:type="dxa"/>
          </w:tcPr>
          <w:p w14:paraId="0D86BCAF" w14:textId="02E838E7" w:rsidR="004F0C8D" w:rsidRPr="00522CE0" w:rsidRDefault="004F0C8D" w:rsidP="00676328">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Syrigos et al.,</w:t>
            </w:r>
            <w:r w:rsidR="00676328" w:rsidRPr="00522CE0">
              <w:rPr>
                <w:rFonts w:ascii="Times New Roman" w:eastAsia="Times New Roman" w:hAnsi="Times New Roman" w:cs="Times New Roman"/>
                <w:sz w:val="20"/>
                <w:szCs w:val="20"/>
              </w:rPr>
              <w:t xml:space="preserve"> </w:t>
            </w:r>
            <w:r w:rsidRPr="00522CE0">
              <w:rPr>
                <w:rFonts w:ascii="Times New Roman" w:eastAsia="Times New Roman" w:hAnsi="Times New Roman" w:cs="Times New Roman"/>
                <w:sz w:val="20"/>
                <w:szCs w:val="20"/>
              </w:rPr>
              <w:t xml:space="preserve">2021, various </w:t>
            </w:r>
            <w:r w:rsidR="00C84B08" w:rsidRPr="00522CE0">
              <w:rPr>
                <w:rFonts w:ascii="Times New Roman" w:eastAsia="Times New Roman" w:hAnsi="Times New Roman" w:cs="Times New Roman"/>
                <w:sz w:val="20"/>
                <w:szCs w:val="20"/>
              </w:rPr>
              <w:t xml:space="preserve">OECD </w:t>
            </w:r>
            <w:r w:rsidRPr="00522CE0">
              <w:rPr>
                <w:rFonts w:ascii="Times New Roman" w:eastAsia="Times New Roman" w:hAnsi="Times New Roman" w:cs="Times New Roman"/>
                <w:sz w:val="20"/>
                <w:szCs w:val="20"/>
              </w:rPr>
              <w:t>countries</w:t>
            </w:r>
          </w:p>
        </w:tc>
        <w:tc>
          <w:tcPr>
            <w:tcW w:w="1915" w:type="dxa"/>
          </w:tcPr>
          <w:p w14:paraId="050141AC"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1C410A86" w14:textId="04D143CD" w:rsidR="004F0C8D" w:rsidRPr="00522CE0" w:rsidRDefault="00676328" w:rsidP="00676328">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Non-squamous non-small cell lung cancer</w:t>
            </w:r>
          </w:p>
        </w:tc>
        <w:tc>
          <w:tcPr>
            <w:tcW w:w="1737" w:type="dxa"/>
          </w:tcPr>
          <w:p w14:paraId="063D828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090AEEB7" w14:textId="77777777" w:rsidTr="004F0C8D">
        <w:tc>
          <w:tcPr>
            <w:tcW w:w="1196" w:type="dxa"/>
          </w:tcPr>
          <w:p w14:paraId="0EA8DCC0"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w:t>
            </w:r>
          </w:p>
        </w:tc>
        <w:tc>
          <w:tcPr>
            <w:tcW w:w="2867" w:type="dxa"/>
          </w:tcPr>
          <w:p w14:paraId="7F29604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Xu et al., 2022, China</w:t>
            </w:r>
          </w:p>
        </w:tc>
        <w:tc>
          <w:tcPr>
            <w:tcW w:w="1915" w:type="dxa"/>
          </w:tcPr>
          <w:p w14:paraId="715F87C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78E8C8D0" w14:textId="70831249"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Advanced non-small cell lung ca</w:t>
            </w:r>
            <w:r w:rsidR="00676328" w:rsidRPr="00522CE0">
              <w:rPr>
                <w:rFonts w:ascii="Times New Roman" w:eastAsia="Times New Roman" w:hAnsi="Times New Roman" w:cs="Times New Roman"/>
                <w:sz w:val="20"/>
                <w:szCs w:val="20"/>
              </w:rPr>
              <w:t>ncer</w:t>
            </w:r>
          </w:p>
        </w:tc>
        <w:tc>
          <w:tcPr>
            <w:tcW w:w="1737" w:type="dxa"/>
          </w:tcPr>
          <w:p w14:paraId="156CC69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5784E62C" w14:textId="77777777" w:rsidTr="004F0C8D">
        <w:tc>
          <w:tcPr>
            <w:tcW w:w="1196" w:type="dxa"/>
          </w:tcPr>
          <w:p w14:paraId="037498E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5</w:t>
            </w:r>
          </w:p>
        </w:tc>
        <w:tc>
          <w:tcPr>
            <w:tcW w:w="2867" w:type="dxa"/>
          </w:tcPr>
          <w:p w14:paraId="2B19C4A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Zhao et al., 2023, China </w:t>
            </w:r>
          </w:p>
        </w:tc>
        <w:tc>
          <w:tcPr>
            <w:tcW w:w="1915" w:type="dxa"/>
          </w:tcPr>
          <w:p w14:paraId="16994CF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122AC94C" w14:textId="28C990F8"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Locally advanced and advanced non-small cell lung ca</w:t>
            </w:r>
            <w:r w:rsidR="00676328" w:rsidRPr="00522CE0">
              <w:rPr>
                <w:rFonts w:ascii="Times New Roman" w:eastAsia="Times New Roman" w:hAnsi="Times New Roman" w:cs="Times New Roman"/>
                <w:sz w:val="20"/>
                <w:szCs w:val="20"/>
              </w:rPr>
              <w:t>ncer</w:t>
            </w:r>
          </w:p>
        </w:tc>
        <w:tc>
          <w:tcPr>
            <w:tcW w:w="1737" w:type="dxa"/>
          </w:tcPr>
          <w:p w14:paraId="0E791E1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65346201" w14:textId="77777777" w:rsidTr="004F0C8D">
        <w:tc>
          <w:tcPr>
            <w:tcW w:w="1196" w:type="dxa"/>
          </w:tcPr>
          <w:p w14:paraId="207F033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6</w:t>
            </w:r>
          </w:p>
        </w:tc>
        <w:tc>
          <w:tcPr>
            <w:tcW w:w="2867" w:type="dxa"/>
          </w:tcPr>
          <w:p w14:paraId="43AA6D81"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Schwabe et al., 2022, New Zealand</w:t>
            </w:r>
          </w:p>
        </w:tc>
        <w:tc>
          <w:tcPr>
            <w:tcW w:w="1915" w:type="dxa"/>
          </w:tcPr>
          <w:p w14:paraId="7C37CD9E"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ANCOVA models</w:t>
            </w:r>
          </w:p>
        </w:tc>
        <w:tc>
          <w:tcPr>
            <w:tcW w:w="1913" w:type="dxa"/>
          </w:tcPr>
          <w:p w14:paraId="03D82BDA" w14:textId="16E8D75C" w:rsidR="004F0C8D" w:rsidRPr="00522CE0" w:rsidRDefault="000A0A5A"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Generic comparison between biosimilars and reference drugs </w:t>
            </w:r>
          </w:p>
        </w:tc>
        <w:tc>
          <w:tcPr>
            <w:tcW w:w="1737" w:type="dxa"/>
          </w:tcPr>
          <w:p w14:paraId="1716EAA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3F8D7E0C" w14:textId="77777777" w:rsidTr="004F0C8D">
        <w:tc>
          <w:tcPr>
            <w:tcW w:w="1196" w:type="dxa"/>
          </w:tcPr>
          <w:p w14:paraId="25A0A4B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8</w:t>
            </w:r>
          </w:p>
        </w:tc>
        <w:tc>
          <w:tcPr>
            <w:tcW w:w="2867" w:type="dxa"/>
          </w:tcPr>
          <w:p w14:paraId="1EDAFC7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Yang et al., 2021, USA</w:t>
            </w:r>
          </w:p>
        </w:tc>
        <w:tc>
          <w:tcPr>
            <w:tcW w:w="1915" w:type="dxa"/>
          </w:tcPr>
          <w:p w14:paraId="5213EC6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Correlation models</w:t>
            </w:r>
          </w:p>
        </w:tc>
        <w:tc>
          <w:tcPr>
            <w:tcW w:w="1913" w:type="dxa"/>
          </w:tcPr>
          <w:p w14:paraId="6160BB00" w14:textId="390BEE92" w:rsidR="004F0C8D" w:rsidRPr="00522CE0" w:rsidRDefault="000A0A5A"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Cancer patients in general</w:t>
            </w:r>
          </w:p>
        </w:tc>
        <w:tc>
          <w:tcPr>
            <w:tcW w:w="1737" w:type="dxa"/>
          </w:tcPr>
          <w:p w14:paraId="56F2E6CF" w14:textId="3A21DAED"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79776330" w14:textId="77777777" w:rsidTr="004F0C8D">
        <w:tc>
          <w:tcPr>
            <w:tcW w:w="1196" w:type="dxa"/>
          </w:tcPr>
          <w:p w14:paraId="32296CF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10</w:t>
            </w:r>
          </w:p>
        </w:tc>
        <w:tc>
          <w:tcPr>
            <w:tcW w:w="2867" w:type="dxa"/>
          </w:tcPr>
          <w:p w14:paraId="55094AD3" w14:textId="069D1BEC" w:rsidR="004F0C8D" w:rsidRPr="00522CE0" w:rsidRDefault="004F0C8D" w:rsidP="006615C3">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Cornes &amp; Krendyukov, 2019, Germany, UK</w:t>
            </w:r>
          </w:p>
        </w:tc>
        <w:tc>
          <w:tcPr>
            <w:tcW w:w="1915" w:type="dxa"/>
          </w:tcPr>
          <w:p w14:paraId="608852B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Survival analysis</w:t>
            </w:r>
          </w:p>
          <w:p w14:paraId="68D972E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p>
        </w:tc>
        <w:tc>
          <w:tcPr>
            <w:tcW w:w="1913" w:type="dxa"/>
          </w:tcPr>
          <w:p w14:paraId="79199B2C" w14:textId="2B056D4C" w:rsidR="004F0C8D" w:rsidRPr="00522CE0" w:rsidRDefault="000A0A5A"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Cancer patients in general</w:t>
            </w:r>
          </w:p>
        </w:tc>
        <w:tc>
          <w:tcPr>
            <w:tcW w:w="1737" w:type="dxa"/>
          </w:tcPr>
          <w:p w14:paraId="6662DAF9" w14:textId="1B1DB9C6"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52F7D8D1" w14:textId="77777777" w:rsidTr="004F0C8D">
        <w:tc>
          <w:tcPr>
            <w:tcW w:w="1196" w:type="dxa"/>
          </w:tcPr>
          <w:p w14:paraId="74251561"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13 </w:t>
            </w:r>
          </w:p>
        </w:tc>
        <w:tc>
          <w:tcPr>
            <w:tcW w:w="2867" w:type="dxa"/>
          </w:tcPr>
          <w:p w14:paraId="4DB22EA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Niazi, 2023, USA </w:t>
            </w:r>
          </w:p>
        </w:tc>
        <w:tc>
          <w:tcPr>
            <w:tcW w:w="1915" w:type="dxa"/>
          </w:tcPr>
          <w:p w14:paraId="47B3FB8E"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Observational studies</w:t>
            </w:r>
          </w:p>
        </w:tc>
        <w:tc>
          <w:tcPr>
            <w:tcW w:w="1913" w:type="dxa"/>
          </w:tcPr>
          <w:p w14:paraId="5EC65658" w14:textId="6F4D9A73" w:rsidR="004F0C8D" w:rsidRPr="00522CE0" w:rsidRDefault="000A0A5A"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Generic comparison between biosimilars and reference drugs </w:t>
            </w:r>
          </w:p>
        </w:tc>
        <w:tc>
          <w:tcPr>
            <w:tcW w:w="1737" w:type="dxa"/>
          </w:tcPr>
          <w:p w14:paraId="79EB4D0D" w14:textId="11A854D4"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50F76B75" w14:textId="77777777" w:rsidTr="004F0C8D">
        <w:tc>
          <w:tcPr>
            <w:tcW w:w="1196" w:type="dxa"/>
          </w:tcPr>
          <w:p w14:paraId="0945B5C0"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15</w:t>
            </w:r>
          </w:p>
        </w:tc>
        <w:tc>
          <w:tcPr>
            <w:tcW w:w="2867" w:type="dxa"/>
          </w:tcPr>
          <w:p w14:paraId="525A48D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lang w:val="es-ES"/>
              </w:rPr>
              <w:t>Yang et al., 2019(a), China</w:t>
            </w:r>
          </w:p>
        </w:tc>
        <w:tc>
          <w:tcPr>
            <w:tcW w:w="1915" w:type="dxa"/>
          </w:tcPr>
          <w:p w14:paraId="6CA91B8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Survival analysis</w:t>
            </w:r>
          </w:p>
          <w:p w14:paraId="2E91BF18"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p>
        </w:tc>
        <w:tc>
          <w:tcPr>
            <w:tcW w:w="1913" w:type="dxa"/>
          </w:tcPr>
          <w:p w14:paraId="285CC64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Non-squamous non-small cell lung carcinoma</w:t>
            </w:r>
          </w:p>
        </w:tc>
        <w:tc>
          <w:tcPr>
            <w:tcW w:w="1737" w:type="dxa"/>
          </w:tcPr>
          <w:p w14:paraId="0A2F3B0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4A4D9C9A" w14:textId="77777777" w:rsidTr="004F0C8D">
        <w:tc>
          <w:tcPr>
            <w:tcW w:w="1196" w:type="dxa"/>
          </w:tcPr>
          <w:p w14:paraId="3EE2360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16</w:t>
            </w:r>
          </w:p>
        </w:tc>
        <w:tc>
          <w:tcPr>
            <w:tcW w:w="2867" w:type="dxa"/>
          </w:tcPr>
          <w:p w14:paraId="073F922C" w14:textId="147EC42E"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Chen et al., 2023, various </w:t>
            </w:r>
            <w:r w:rsidR="00C84B08" w:rsidRPr="00522CE0">
              <w:rPr>
                <w:rFonts w:ascii="Times New Roman" w:eastAsia="Times New Roman" w:hAnsi="Times New Roman" w:cs="Times New Roman"/>
                <w:sz w:val="20"/>
                <w:szCs w:val="20"/>
              </w:rPr>
              <w:t xml:space="preserve">OECD </w:t>
            </w:r>
            <w:r w:rsidRPr="00522CE0">
              <w:rPr>
                <w:rFonts w:ascii="Times New Roman" w:eastAsia="Times New Roman" w:hAnsi="Times New Roman" w:cs="Times New Roman"/>
                <w:sz w:val="20"/>
                <w:szCs w:val="20"/>
              </w:rPr>
              <w:t>countries</w:t>
            </w:r>
          </w:p>
        </w:tc>
        <w:tc>
          <w:tcPr>
            <w:tcW w:w="1915" w:type="dxa"/>
          </w:tcPr>
          <w:p w14:paraId="2CD75D7B"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Correlation models</w:t>
            </w:r>
          </w:p>
        </w:tc>
        <w:tc>
          <w:tcPr>
            <w:tcW w:w="1913" w:type="dxa"/>
          </w:tcPr>
          <w:p w14:paraId="5D29F3B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Severe allergic asthma</w:t>
            </w:r>
          </w:p>
        </w:tc>
        <w:tc>
          <w:tcPr>
            <w:tcW w:w="1737" w:type="dxa"/>
          </w:tcPr>
          <w:p w14:paraId="2D7706D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7571964F" w14:textId="77777777" w:rsidTr="004F0C8D">
        <w:tc>
          <w:tcPr>
            <w:tcW w:w="1196" w:type="dxa"/>
          </w:tcPr>
          <w:p w14:paraId="1E7D928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17</w:t>
            </w:r>
          </w:p>
        </w:tc>
        <w:tc>
          <w:tcPr>
            <w:tcW w:w="2867" w:type="dxa"/>
          </w:tcPr>
          <w:p w14:paraId="526AB23C"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lang w:val="es-ES"/>
              </w:rPr>
              <w:t>Yang et al. 2019(b), China</w:t>
            </w:r>
          </w:p>
        </w:tc>
        <w:tc>
          <w:tcPr>
            <w:tcW w:w="1915" w:type="dxa"/>
          </w:tcPr>
          <w:p w14:paraId="6244914B"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7B86E0DB"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 squamous non–small-cell lung cancer</w:t>
            </w:r>
          </w:p>
        </w:tc>
        <w:tc>
          <w:tcPr>
            <w:tcW w:w="1737" w:type="dxa"/>
          </w:tcPr>
          <w:p w14:paraId="006D200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272867C3" w14:textId="77777777" w:rsidTr="004F0C8D">
        <w:tc>
          <w:tcPr>
            <w:tcW w:w="1196" w:type="dxa"/>
          </w:tcPr>
          <w:p w14:paraId="21A04DA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18</w:t>
            </w:r>
          </w:p>
        </w:tc>
        <w:tc>
          <w:tcPr>
            <w:tcW w:w="2867" w:type="dxa"/>
          </w:tcPr>
          <w:p w14:paraId="1DCF2BA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Wan et al. 2021, China</w:t>
            </w:r>
          </w:p>
        </w:tc>
        <w:tc>
          <w:tcPr>
            <w:tcW w:w="1915" w:type="dxa"/>
          </w:tcPr>
          <w:p w14:paraId="2FCB4DF0"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Survival analysis</w:t>
            </w:r>
          </w:p>
        </w:tc>
        <w:tc>
          <w:tcPr>
            <w:tcW w:w="1913" w:type="dxa"/>
          </w:tcPr>
          <w:p w14:paraId="2579AB9C" w14:textId="2B1EB0E6"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Recurrent non-squamous non-small cell lung ca</w:t>
            </w:r>
            <w:r w:rsidR="00676328" w:rsidRPr="00522CE0">
              <w:rPr>
                <w:rFonts w:ascii="Times New Roman" w:eastAsia="Times New Roman" w:hAnsi="Times New Roman" w:cs="Times New Roman"/>
                <w:sz w:val="20"/>
                <w:szCs w:val="20"/>
              </w:rPr>
              <w:t>ncer</w:t>
            </w:r>
          </w:p>
        </w:tc>
        <w:tc>
          <w:tcPr>
            <w:tcW w:w="1737" w:type="dxa"/>
          </w:tcPr>
          <w:p w14:paraId="47B934B9"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343348E9" w14:textId="77777777" w:rsidTr="004F0C8D">
        <w:tc>
          <w:tcPr>
            <w:tcW w:w="1196" w:type="dxa"/>
          </w:tcPr>
          <w:p w14:paraId="5421736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20 </w:t>
            </w:r>
          </w:p>
        </w:tc>
        <w:tc>
          <w:tcPr>
            <w:tcW w:w="2867" w:type="dxa"/>
          </w:tcPr>
          <w:p w14:paraId="22557F9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Shi et al. 2021, China</w:t>
            </w:r>
          </w:p>
        </w:tc>
        <w:tc>
          <w:tcPr>
            <w:tcW w:w="1915" w:type="dxa"/>
          </w:tcPr>
          <w:p w14:paraId="450D0578"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1F97B439" w14:textId="073FE224"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Unresectable, metastatic, or recurrent non-</w:t>
            </w:r>
            <w:r w:rsidRPr="00522CE0">
              <w:rPr>
                <w:rFonts w:ascii="Times New Roman" w:eastAsia="Times New Roman" w:hAnsi="Times New Roman" w:cs="Times New Roman"/>
                <w:sz w:val="20"/>
                <w:szCs w:val="20"/>
              </w:rPr>
              <w:lastRenderedPageBreak/>
              <w:t>squamous non-small cell lung ca</w:t>
            </w:r>
            <w:r w:rsidR="00676328" w:rsidRPr="00522CE0">
              <w:rPr>
                <w:rFonts w:ascii="Times New Roman" w:eastAsia="Times New Roman" w:hAnsi="Times New Roman" w:cs="Times New Roman"/>
                <w:sz w:val="20"/>
                <w:szCs w:val="20"/>
              </w:rPr>
              <w:t>ncer</w:t>
            </w:r>
          </w:p>
        </w:tc>
        <w:tc>
          <w:tcPr>
            <w:tcW w:w="1737" w:type="dxa"/>
          </w:tcPr>
          <w:p w14:paraId="19E9AA3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lastRenderedPageBreak/>
              <w:t>No</w:t>
            </w:r>
          </w:p>
        </w:tc>
      </w:tr>
      <w:tr w:rsidR="00522CE0" w:rsidRPr="00522CE0" w14:paraId="11344309" w14:textId="77777777" w:rsidTr="004F0C8D">
        <w:tc>
          <w:tcPr>
            <w:tcW w:w="1196" w:type="dxa"/>
          </w:tcPr>
          <w:p w14:paraId="2E80D91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22</w:t>
            </w:r>
          </w:p>
        </w:tc>
        <w:tc>
          <w:tcPr>
            <w:tcW w:w="2867" w:type="dxa"/>
          </w:tcPr>
          <w:p w14:paraId="2014A43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Kotoulas et al. 2022, Greece</w:t>
            </w:r>
          </w:p>
        </w:tc>
        <w:tc>
          <w:tcPr>
            <w:tcW w:w="1915" w:type="dxa"/>
          </w:tcPr>
          <w:p w14:paraId="52ECA48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5B719581"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Severe allergic asthma</w:t>
            </w:r>
          </w:p>
        </w:tc>
        <w:tc>
          <w:tcPr>
            <w:tcW w:w="1737" w:type="dxa"/>
          </w:tcPr>
          <w:p w14:paraId="2F815F5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1CF0701A" w14:textId="77777777" w:rsidTr="004F0C8D">
        <w:tc>
          <w:tcPr>
            <w:tcW w:w="1196" w:type="dxa"/>
          </w:tcPr>
          <w:p w14:paraId="1CFC785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23</w:t>
            </w:r>
          </w:p>
        </w:tc>
        <w:tc>
          <w:tcPr>
            <w:tcW w:w="2867" w:type="dxa"/>
          </w:tcPr>
          <w:p w14:paraId="1CA1E47F"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Malapelle &amp; Rossi, 2019, Italy</w:t>
            </w:r>
            <w:r w:rsidRPr="00522CE0">
              <w:rPr>
                <w:rFonts w:ascii="Times New Roman" w:eastAsia="Times New Roman" w:hAnsi="Times New Roman" w:cs="Times New Roman"/>
                <w:sz w:val="20"/>
                <w:szCs w:val="20"/>
              </w:rPr>
              <w:tab/>
            </w:r>
            <w:r w:rsidRPr="00522CE0">
              <w:rPr>
                <w:rFonts w:ascii="Times New Roman" w:eastAsia="Times New Roman" w:hAnsi="Times New Roman" w:cs="Times New Roman"/>
                <w:sz w:val="20"/>
                <w:szCs w:val="20"/>
              </w:rPr>
              <w:tab/>
            </w:r>
          </w:p>
        </w:tc>
        <w:tc>
          <w:tcPr>
            <w:tcW w:w="1915" w:type="dxa"/>
          </w:tcPr>
          <w:p w14:paraId="09C7A0C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Decision tree models</w:t>
            </w:r>
          </w:p>
        </w:tc>
        <w:tc>
          <w:tcPr>
            <w:tcW w:w="1913" w:type="dxa"/>
          </w:tcPr>
          <w:p w14:paraId="4A6F8E17" w14:textId="52CE1AA4"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w:t>
            </w:r>
            <w:r w:rsidR="00676328" w:rsidRPr="00522CE0">
              <w:rPr>
                <w:rFonts w:ascii="Times New Roman" w:eastAsia="Times New Roman" w:hAnsi="Times New Roman" w:cs="Times New Roman"/>
                <w:sz w:val="20"/>
                <w:szCs w:val="20"/>
              </w:rPr>
              <w:t>ncer</w:t>
            </w:r>
          </w:p>
        </w:tc>
        <w:tc>
          <w:tcPr>
            <w:tcW w:w="1737" w:type="dxa"/>
          </w:tcPr>
          <w:p w14:paraId="34AAF11B" w14:textId="703BD88F"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5BF19534" w14:textId="77777777" w:rsidTr="004F0C8D">
        <w:tc>
          <w:tcPr>
            <w:tcW w:w="1196" w:type="dxa"/>
          </w:tcPr>
          <w:p w14:paraId="4F09605F"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26</w:t>
            </w:r>
          </w:p>
        </w:tc>
        <w:tc>
          <w:tcPr>
            <w:tcW w:w="2867" w:type="dxa"/>
          </w:tcPr>
          <w:p w14:paraId="35C30EEE"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Wang et al., 2021, USA</w:t>
            </w:r>
          </w:p>
        </w:tc>
        <w:tc>
          <w:tcPr>
            <w:tcW w:w="1915" w:type="dxa"/>
          </w:tcPr>
          <w:p w14:paraId="172081F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Markov Models</w:t>
            </w:r>
          </w:p>
        </w:tc>
        <w:tc>
          <w:tcPr>
            <w:tcW w:w="1913" w:type="dxa"/>
          </w:tcPr>
          <w:p w14:paraId="552617A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Small cell lung carcinoma</w:t>
            </w:r>
          </w:p>
        </w:tc>
        <w:tc>
          <w:tcPr>
            <w:tcW w:w="1737" w:type="dxa"/>
          </w:tcPr>
          <w:p w14:paraId="31671DDE" w14:textId="2C72B3C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4EABCDEA" w14:textId="77777777" w:rsidTr="004F0C8D">
        <w:tc>
          <w:tcPr>
            <w:tcW w:w="1196" w:type="dxa"/>
          </w:tcPr>
          <w:p w14:paraId="5DF5D7A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34</w:t>
            </w:r>
          </w:p>
        </w:tc>
        <w:tc>
          <w:tcPr>
            <w:tcW w:w="2867" w:type="dxa"/>
          </w:tcPr>
          <w:p w14:paraId="3B5E69B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Moir, 2023, UK</w:t>
            </w:r>
          </w:p>
        </w:tc>
        <w:tc>
          <w:tcPr>
            <w:tcW w:w="1915" w:type="dxa"/>
          </w:tcPr>
          <w:p w14:paraId="3009B791"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Correlation models</w:t>
            </w:r>
          </w:p>
        </w:tc>
        <w:tc>
          <w:tcPr>
            <w:tcW w:w="1913" w:type="dxa"/>
          </w:tcPr>
          <w:p w14:paraId="7FD410B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Lung cancer</w:t>
            </w:r>
          </w:p>
        </w:tc>
        <w:tc>
          <w:tcPr>
            <w:tcW w:w="1737" w:type="dxa"/>
          </w:tcPr>
          <w:p w14:paraId="05920A8F" w14:textId="5221C5A0"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076E2967" w14:textId="77777777" w:rsidTr="004F0C8D">
        <w:tc>
          <w:tcPr>
            <w:tcW w:w="1196" w:type="dxa"/>
          </w:tcPr>
          <w:p w14:paraId="30076C2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35</w:t>
            </w:r>
          </w:p>
        </w:tc>
        <w:tc>
          <w:tcPr>
            <w:tcW w:w="2867" w:type="dxa"/>
          </w:tcPr>
          <w:p w14:paraId="27CD5F27" w14:textId="45E34202"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Gourzoulidi et al.</w:t>
            </w:r>
            <w:r w:rsidR="00A0274A" w:rsidRPr="00522CE0">
              <w:rPr>
                <w:rFonts w:ascii="Times New Roman" w:eastAsia="Times New Roman" w:hAnsi="Times New Roman" w:cs="Times New Roman"/>
                <w:sz w:val="20"/>
                <w:szCs w:val="20"/>
              </w:rPr>
              <w:t>,</w:t>
            </w:r>
            <w:r w:rsidRPr="00522CE0">
              <w:rPr>
                <w:rFonts w:ascii="Times New Roman" w:eastAsia="Times New Roman" w:hAnsi="Times New Roman" w:cs="Times New Roman"/>
                <w:sz w:val="20"/>
                <w:szCs w:val="20"/>
              </w:rPr>
              <w:t xml:space="preserve"> 2020,</w:t>
            </w:r>
          </w:p>
          <w:p w14:paraId="0CC8111F"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Greece</w:t>
            </w:r>
          </w:p>
        </w:tc>
        <w:tc>
          <w:tcPr>
            <w:tcW w:w="1915" w:type="dxa"/>
          </w:tcPr>
          <w:p w14:paraId="72457D58"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Markov Models</w:t>
            </w:r>
          </w:p>
        </w:tc>
        <w:tc>
          <w:tcPr>
            <w:tcW w:w="1913" w:type="dxa"/>
          </w:tcPr>
          <w:p w14:paraId="6EE683D0"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cancer</w:t>
            </w:r>
          </w:p>
        </w:tc>
        <w:tc>
          <w:tcPr>
            <w:tcW w:w="1737" w:type="dxa"/>
          </w:tcPr>
          <w:p w14:paraId="1C5BC3AB" w14:textId="09BA1E4B"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44627EB7" w14:textId="77777777" w:rsidTr="004F0C8D">
        <w:tc>
          <w:tcPr>
            <w:tcW w:w="1196" w:type="dxa"/>
          </w:tcPr>
          <w:p w14:paraId="2837035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37</w:t>
            </w:r>
          </w:p>
        </w:tc>
        <w:tc>
          <w:tcPr>
            <w:tcW w:w="2867" w:type="dxa"/>
          </w:tcPr>
          <w:p w14:paraId="618755C0" w14:textId="1A7927FF" w:rsidR="004F0C8D" w:rsidRPr="00522CE0" w:rsidRDefault="004F0C8D" w:rsidP="004F0C8D">
            <w:pPr>
              <w:spacing w:after="160" w:line="276" w:lineRule="auto"/>
              <w:jc w:val="center"/>
              <w:rPr>
                <w:rFonts w:ascii="Times New Roman" w:eastAsia="Times New Roman" w:hAnsi="Times New Roman" w:cs="Times New Roman"/>
                <w:sz w:val="20"/>
                <w:szCs w:val="20"/>
                <w:lang w:val="it-IT"/>
              </w:rPr>
            </w:pPr>
            <w:r w:rsidRPr="00522CE0">
              <w:rPr>
                <w:rFonts w:ascii="Times New Roman" w:eastAsia="Times New Roman" w:hAnsi="Times New Roman" w:cs="Times New Roman"/>
                <w:sz w:val="20"/>
                <w:szCs w:val="20"/>
                <w:lang w:val="it-IT"/>
              </w:rPr>
              <w:t>Zhang et al., 2024, C</w:t>
            </w:r>
            <w:r w:rsidR="00913398" w:rsidRPr="00522CE0">
              <w:rPr>
                <w:rFonts w:ascii="Times New Roman" w:eastAsia="Times New Roman" w:hAnsi="Times New Roman" w:cs="Times New Roman"/>
                <w:sz w:val="20"/>
                <w:szCs w:val="20"/>
                <w:lang w:val="it-IT"/>
              </w:rPr>
              <w:t>h</w:t>
            </w:r>
            <w:r w:rsidRPr="00522CE0">
              <w:rPr>
                <w:rFonts w:ascii="Times New Roman" w:eastAsia="Times New Roman" w:hAnsi="Times New Roman" w:cs="Times New Roman"/>
                <w:sz w:val="20"/>
                <w:szCs w:val="20"/>
                <w:lang w:val="it-IT"/>
              </w:rPr>
              <w:t>ina</w:t>
            </w:r>
          </w:p>
        </w:tc>
        <w:tc>
          <w:tcPr>
            <w:tcW w:w="1915" w:type="dxa"/>
          </w:tcPr>
          <w:p w14:paraId="1FF19559"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11FB2EB5" w14:textId="444AECDA"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w:t>
            </w:r>
            <w:r w:rsidR="00676328" w:rsidRPr="00522CE0">
              <w:rPr>
                <w:rFonts w:ascii="Times New Roman" w:eastAsia="Times New Roman" w:hAnsi="Times New Roman" w:cs="Times New Roman"/>
                <w:sz w:val="20"/>
                <w:szCs w:val="20"/>
              </w:rPr>
              <w:t>ncer</w:t>
            </w:r>
          </w:p>
        </w:tc>
        <w:tc>
          <w:tcPr>
            <w:tcW w:w="1737" w:type="dxa"/>
          </w:tcPr>
          <w:p w14:paraId="6C3B9225"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640C6CA0" w14:textId="77777777" w:rsidTr="004F0C8D">
        <w:tc>
          <w:tcPr>
            <w:tcW w:w="1196" w:type="dxa"/>
          </w:tcPr>
          <w:p w14:paraId="11A4144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38</w:t>
            </w:r>
          </w:p>
        </w:tc>
        <w:tc>
          <w:tcPr>
            <w:tcW w:w="2867" w:type="dxa"/>
          </w:tcPr>
          <w:p w14:paraId="5EAA29C0" w14:textId="350014D0" w:rsidR="004F0C8D" w:rsidRPr="00522CE0" w:rsidRDefault="004F0C8D" w:rsidP="004F0C8D">
            <w:pPr>
              <w:spacing w:after="160" w:line="276" w:lineRule="auto"/>
              <w:jc w:val="center"/>
              <w:rPr>
                <w:rFonts w:ascii="Times New Roman" w:eastAsia="Times New Roman" w:hAnsi="Times New Roman" w:cs="Times New Roman"/>
                <w:sz w:val="20"/>
                <w:szCs w:val="20"/>
                <w:lang w:val="it-IT"/>
              </w:rPr>
            </w:pPr>
            <w:r w:rsidRPr="00522CE0">
              <w:rPr>
                <w:rFonts w:ascii="Times New Roman" w:eastAsia="Times New Roman" w:hAnsi="Times New Roman" w:cs="Times New Roman"/>
                <w:sz w:val="20"/>
                <w:szCs w:val="20"/>
                <w:lang w:val="it-IT"/>
              </w:rPr>
              <w:t>Yang et al., 2022</w:t>
            </w:r>
            <w:r w:rsidR="00A0274A" w:rsidRPr="00522CE0">
              <w:rPr>
                <w:rFonts w:ascii="Times New Roman" w:eastAsia="Times New Roman" w:hAnsi="Times New Roman" w:cs="Times New Roman"/>
                <w:sz w:val="20"/>
                <w:szCs w:val="20"/>
                <w:lang w:val="it-IT"/>
              </w:rPr>
              <w:t>(b),</w:t>
            </w:r>
            <w:r w:rsidRPr="00522CE0">
              <w:rPr>
                <w:rFonts w:ascii="Times New Roman" w:eastAsia="Times New Roman" w:hAnsi="Times New Roman" w:cs="Times New Roman"/>
                <w:sz w:val="20"/>
                <w:szCs w:val="20"/>
                <w:lang w:val="it-IT"/>
              </w:rPr>
              <w:t xml:space="preserve"> C</w:t>
            </w:r>
            <w:r w:rsidR="00913398" w:rsidRPr="00522CE0">
              <w:rPr>
                <w:rFonts w:ascii="Times New Roman" w:eastAsia="Times New Roman" w:hAnsi="Times New Roman" w:cs="Times New Roman"/>
                <w:sz w:val="20"/>
                <w:szCs w:val="20"/>
                <w:lang w:val="it-IT"/>
              </w:rPr>
              <w:t>h</w:t>
            </w:r>
            <w:r w:rsidRPr="00522CE0">
              <w:rPr>
                <w:rFonts w:ascii="Times New Roman" w:eastAsia="Times New Roman" w:hAnsi="Times New Roman" w:cs="Times New Roman"/>
                <w:sz w:val="20"/>
                <w:szCs w:val="20"/>
                <w:lang w:val="it-IT"/>
              </w:rPr>
              <w:t>ina</w:t>
            </w:r>
          </w:p>
        </w:tc>
        <w:tc>
          <w:tcPr>
            <w:tcW w:w="1915" w:type="dxa"/>
          </w:tcPr>
          <w:p w14:paraId="3530BEB2" w14:textId="2DB37E91" w:rsidR="004F0C8D" w:rsidRPr="00522CE0" w:rsidRDefault="004F0C8D" w:rsidP="006615C3">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Survival analysis</w:t>
            </w:r>
          </w:p>
        </w:tc>
        <w:tc>
          <w:tcPr>
            <w:tcW w:w="1913" w:type="dxa"/>
          </w:tcPr>
          <w:p w14:paraId="2A1088C2" w14:textId="40C032AA"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w:t>
            </w:r>
            <w:r w:rsidR="00676328" w:rsidRPr="00522CE0">
              <w:rPr>
                <w:rFonts w:ascii="Times New Roman" w:eastAsia="Times New Roman" w:hAnsi="Times New Roman" w:cs="Times New Roman"/>
                <w:sz w:val="20"/>
                <w:szCs w:val="20"/>
              </w:rPr>
              <w:t>ncer</w:t>
            </w:r>
          </w:p>
        </w:tc>
        <w:tc>
          <w:tcPr>
            <w:tcW w:w="1737" w:type="dxa"/>
          </w:tcPr>
          <w:p w14:paraId="575B4900"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0EB417D1" w14:textId="77777777" w:rsidTr="004F0C8D">
        <w:tc>
          <w:tcPr>
            <w:tcW w:w="1196" w:type="dxa"/>
          </w:tcPr>
          <w:p w14:paraId="4BB017FB"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40</w:t>
            </w:r>
          </w:p>
        </w:tc>
        <w:tc>
          <w:tcPr>
            <w:tcW w:w="2867" w:type="dxa"/>
          </w:tcPr>
          <w:p w14:paraId="3D94DA91" w14:textId="03F884B3" w:rsidR="004F0C8D" w:rsidRPr="00522CE0" w:rsidRDefault="004F0C8D" w:rsidP="004F0C8D">
            <w:pPr>
              <w:spacing w:after="160" w:line="276" w:lineRule="auto"/>
              <w:jc w:val="center"/>
              <w:rPr>
                <w:rFonts w:ascii="Times New Roman" w:eastAsia="Times New Roman" w:hAnsi="Times New Roman" w:cs="Times New Roman"/>
                <w:sz w:val="20"/>
                <w:szCs w:val="20"/>
                <w:lang w:val="es-ES"/>
              </w:rPr>
            </w:pPr>
            <w:r w:rsidRPr="00522CE0">
              <w:rPr>
                <w:rFonts w:ascii="Times New Roman" w:eastAsia="Times New Roman" w:hAnsi="Times New Roman" w:cs="Times New Roman"/>
                <w:sz w:val="20"/>
                <w:szCs w:val="20"/>
                <w:lang w:val="es-ES"/>
              </w:rPr>
              <w:t>Verschraegen et al., 2022</w:t>
            </w:r>
            <w:r w:rsidR="00847879" w:rsidRPr="00522CE0">
              <w:rPr>
                <w:rFonts w:ascii="Times New Roman" w:eastAsia="Times New Roman" w:hAnsi="Times New Roman" w:cs="Times New Roman"/>
                <w:sz w:val="20"/>
                <w:szCs w:val="20"/>
                <w:lang w:val="es-ES"/>
              </w:rPr>
              <w:t>,</w:t>
            </w:r>
            <w:r w:rsidRPr="00522CE0">
              <w:rPr>
                <w:rFonts w:ascii="Times New Roman" w:eastAsia="Times New Roman" w:hAnsi="Times New Roman" w:cs="Times New Roman"/>
                <w:sz w:val="20"/>
                <w:szCs w:val="20"/>
                <w:lang w:val="es-ES"/>
              </w:rPr>
              <w:t xml:space="preserve"> USA  </w:t>
            </w:r>
          </w:p>
        </w:tc>
        <w:tc>
          <w:tcPr>
            <w:tcW w:w="1915" w:type="dxa"/>
          </w:tcPr>
          <w:p w14:paraId="1291B31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7A91091E" w14:textId="2AB379FC"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Recurrent non-squamous non-small cell lung ca</w:t>
            </w:r>
            <w:r w:rsidR="00676328" w:rsidRPr="00522CE0">
              <w:rPr>
                <w:rFonts w:ascii="Times New Roman" w:eastAsia="Times New Roman" w:hAnsi="Times New Roman" w:cs="Times New Roman"/>
                <w:sz w:val="20"/>
                <w:szCs w:val="20"/>
              </w:rPr>
              <w:t>ncer</w:t>
            </w:r>
          </w:p>
        </w:tc>
        <w:tc>
          <w:tcPr>
            <w:tcW w:w="1737" w:type="dxa"/>
          </w:tcPr>
          <w:p w14:paraId="2917BCD6"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4AA0444E" w14:textId="77777777" w:rsidTr="004F0C8D">
        <w:tc>
          <w:tcPr>
            <w:tcW w:w="1196" w:type="dxa"/>
          </w:tcPr>
          <w:p w14:paraId="2E0257A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41</w:t>
            </w:r>
          </w:p>
        </w:tc>
        <w:tc>
          <w:tcPr>
            <w:tcW w:w="2867" w:type="dxa"/>
          </w:tcPr>
          <w:p w14:paraId="2AE8D039" w14:textId="7DAD4C59" w:rsidR="004F0C8D" w:rsidRPr="00522CE0" w:rsidRDefault="004F0C8D" w:rsidP="004F0C8D">
            <w:pPr>
              <w:spacing w:after="160" w:line="276" w:lineRule="auto"/>
              <w:jc w:val="center"/>
              <w:rPr>
                <w:rFonts w:ascii="Times New Roman" w:eastAsia="Times New Roman" w:hAnsi="Times New Roman" w:cs="Times New Roman"/>
                <w:sz w:val="20"/>
                <w:szCs w:val="20"/>
                <w:lang w:val="it-IT"/>
              </w:rPr>
            </w:pPr>
            <w:r w:rsidRPr="00522CE0">
              <w:rPr>
                <w:rFonts w:ascii="Times New Roman" w:eastAsia="Times New Roman" w:hAnsi="Times New Roman" w:cs="Times New Roman"/>
                <w:sz w:val="20"/>
                <w:szCs w:val="20"/>
                <w:lang w:val="it-IT"/>
              </w:rPr>
              <w:t>Russo et al., 2017</w:t>
            </w:r>
            <w:r w:rsidR="00676328" w:rsidRPr="00522CE0">
              <w:rPr>
                <w:rFonts w:ascii="Times New Roman" w:eastAsia="Times New Roman" w:hAnsi="Times New Roman" w:cs="Times New Roman"/>
                <w:sz w:val="20"/>
                <w:szCs w:val="20"/>
                <w:lang w:val="it-IT"/>
              </w:rPr>
              <w:t xml:space="preserve">, </w:t>
            </w:r>
            <w:r w:rsidRPr="00522CE0">
              <w:rPr>
                <w:rFonts w:ascii="Times New Roman" w:eastAsia="Times New Roman" w:hAnsi="Times New Roman" w:cs="Times New Roman"/>
                <w:sz w:val="20"/>
                <w:szCs w:val="20"/>
                <w:lang w:val="it-IT"/>
              </w:rPr>
              <w:t>Ital</w:t>
            </w:r>
            <w:r w:rsidR="00676328" w:rsidRPr="00522CE0">
              <w:rPr>
                <w:rFonts w:ascii="Times New Roman" w:eastAsia="Times New Roman" w:hAnsi="Times New Roman" w:cs="Times New Roman"/>
                <w:sz w:val="20"/>
                <w:szCs w:val="20"/>
                <w:lang w:val="it-IT"/>
              </w:rPr>
              <w:t>y</w:t>
            </w:r>
          </w:p>
        </w:tc>
        <w:tc>
          <w:tcPr>
            <w:tcW w:w="1915" w:type="dxa"/>
          </w:tcPr>
          <w:p w14:paraId="4088E38A"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5E8DEDE3" w14:textId="1398A20D"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Non-small cell lung </w:t>
            </w:r>
            <w:r w:rsidR="00676328" w:rsidRPr="00522CE0">
              <w:rPr>
                <w:rFonts w:ascii="Times New Roman" w:eastAsia="Times New Roman" w:hAnsi="Times New Roman" w:cs="Times New Roman"/>
                <w:sz w:val="20"/>
                <w:szCs w:val="20"/>
              </w:rPr>
              <w:t>cance</w:t>
            </w:r>
          </w:p>
        </w:tc>
        <w:tc>
          <w:tcPr>
            <w:tcW w:w="1737" w:type="dxa"/>
          </w:tcPr>
          <w:p w14:paraId="05EC059E"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3563D664" w14:textId="77777777" w:rsidTr="004F0C8D">
        <w:tc>
          <w:tcPr>
            <w:tcW w:w="1196" w:type="dxa"/>
          </w:tcPr>
          <w:p w14:paraId="0169503D"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42</w:t>
            </w:r>
          </w:p>
        </w:tc>
        <w:tc>
          <w:tcPr>
            <w:tcW w:w="2867" w:type="dxa"/>
          </w:tcPr>
          <w:p w14:paraId="4037D6DA" w14:textId="605941E9"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Ou et al.</w:t>
            </w:r>
            <w:r w:rsidR="00676328" w:rsidRPr="00522CE0">
              <w:rPr>
                <w:rFonts w:ascii="Times New Roman" w:eastAsia="Times New Roman" w:hAnsi="Times New Roman" w:cs="Times New Roman"/>
                <w:sz w:val="20"/>
                <w:szCs w:val="20"/>
              </w:rPr>
              <w:t>,</w:t>
            </w:r>
            <w:r w:rsidRPr="00522CE0">
              <w:rPr>
                <w:rFonts w:ascii="Times New Roman" w:eastAsia="Times New Roman" w:hAnsi="Times New Roman" w:cs="Times New Roman"/>
                <w:sz w:val="20"/>
                <w:szCs w:val="20"/>
              </w:rPr>
              <w:t xml:space="preserve"> 2024, Taiwan</w:t>
            </w:r>
          </w:p>
        </w:tc>
        <w:tc>
          <w:tcPr>
            <w:tcW w:w="1915" w:type="dxa"/>
          </w:tcPr>
          <w:p w14:paraId="393A46DC"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0BBD26D0" w14:textId="00BBA2FA"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w:t>
            </w:r>
            <w:r w:rsidR="00676328" w:rsidRPr="00522CE0">
              <w:rPr>
                <w:rFonts w:ascii="Times New Roman" w:eastAsia="Times New Roman" w:hAnsi="Times New Roman" w:cs="Times New Roman"/>
                <w:sz w:val="20"/>
                <w:szCs w:val="20"/>
              </w:rPr>
              <w:t>ncer</w:t>
            </w:r>
          </w:p>
        </w:tc>
        <w:tc>
          <w:tcPr>
            <w:tcW w:w="1737" w:type="dxa"/>
          </w:tcPr>
          <w:p w14:paraId="7286B89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14D07B76" w14:textId="77777777" w:rsidTr="004F0C8D">
        <w:tc>
          <w:tcPr>
            <w:tcW w:w="1196" w:type="dxa"/>
          </w:tcPr>
          <w:p w14:paraId="52247EE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44</w:t>
            </w:r>
          </w:p>
        </w:tc>
        <w:tc>
          <w:tcPr>
            <w:tcW w:w="2867" w:type="dxa"/>
          </w:tcPr>
          <w:p w14:paraId="5D24AC05" w14:textId="13AFF013"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Goulart et al.</w:t>
            </w:r>
            <w:r w:rsidR="00676328" w:rsidRPr="00522CE0">
              <w:rPr>
                <w:rFonts w:ascii="Times New Roman" w:eastAsia="Times New Roman" w:hAnsi="Times New Roman" w:cs="Times New Roman"/>
                <w:sz w:val="20"/>
                <w:szCs w:val="20"/>
              </w:rPr>
              <w:t>,</w:t>
            </w:r>
            <w:r w:rsidRPr="00522CE0">
              <w:rPr>
                <w:rFonts w:ascii="Times New Roman" w:eastAsia="Times New Roman" w:hAnsi="Times New Roman" w:cs="Times New Roman"/>
                <w:sz w:val="20"/>
                <w:szCs w:val="20"/>
              </w:rPr>
              <w:t xml:space="preserve"> 2011, USA</w:t>
            </w:r>
          </w:p>
        </w:tc>
        <w:tc>
          <w:tcPr>
            <w:tcW w:w="1915" w:type="dxa"/>
          </w:tcPr>
          <w:p w14:paraId="62E828AF"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Markov Models</w:t>
            </w:r>
          </w:p>
        </w:tc>
        <w:tc>
          <w:tcPr>
            <w:tcW w:w="1913" w:type="dxa"/>
          </w:tcPr>
          <w:p w14:paraId="7F6DBEDA" w14:textId="6693DE24"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Non-small cell lung ca</w:t>
            </w:r>
            <w:r w:rsidR="00676328" w:rsidRPr="00522CE0">
              <w:rPr>
                <w:rFonts w:ascii="Times New Roman" w:eastAsia="Times New Roman" w:hAnsi="Times New Roman" w:cs="Times New Roman"/>
                <w:sz w:val="20"/>
                <w:szCs w:val="20"/>
              </w:rPr>
              <w:t>ncer</w:t>
            </w:r>
          </w:p>
        </w:tc>
        <w:tc>
          <w:tcPr>
            <w:tcW w:w="1737" w:type="dxa"/>
          </w:tcPr>
          <w:p w14:paraId="303FA603" w14:textId="7B0DA68A"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Yes</w:t>
            </w:r>
          </w:p>
        </w:tc>
      </w:tr>
      <w:tr w:rsidR="00522CE0" w:rsidRPr="00522CE0" w14:paraId="6D20C0E9" w14:textId="77777777" w:rsidTr="004F0C8D">
        <w:tc>
          <w:tcPr>
            <w:tcW w:w="1196" w:type="dxa"/>
          </w:tcPr>
          <w:p w14:paraId="1D1D247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45</w:t>
            </w:r>
          </w:p>
        </w:tc>
        <w:tc>
          <w:tcPr>
            <w:tcW w:w="2867" w:type="dxa"/>
          </w:tcPr>
          <w:p w14:paraId="020C2DAB" w14:textId="67ED3D1D" w:rsidR="004F0C8D" w:rsidRPr="00522CE0" w:rsidRDefault="004F0C8D" w:rsidP="004F0C8D">
            <w:pPr>
              <w:spacing w:after="160" w:line="276" w:lineRule="auto"/>
              <w:jc w:val="center"/>
              <w:rPr>
                <w:rFonts w:ascii="Times New Roman" w:eastAsia="Times New Roman" w:hAnsi="Times New Roman" w:cs="Times New Roman"/>
                <w:sz w:val="20"/>
                <w:szCs w:val="20"/>
                <w:lang w:val="it-IT"/>
              </w:rPr>
            </w:pPr>
            <w:r w:rsidRPr="00522CE0">
              <w:rPr>
                <w:rFonts w:ascii="Times New Roman" w:eastAsia="Times New Roman" w:hAnsi="Times New Roman" w:cs="Times New Roman"/>
                <w:sz w:val="20"/>
                <w:szCs w:val="20"/>
                <w:lang w:val="it-IT"/>
              </w:rPr>
              <w:t xml:space="preserve">Ghanei et al. 2024, </w:t>
            </w:r>
            <w:r w:rsidR="00415520" w:rsidRPr="00522CE0">
              <w:rPr>
                <w:rFonts w:ascii="Times New Roman" w:eastAsia="Times New Roman" w:hAnsi="Times New Roman" w:cs="Times New Roman"/>
                <w:sz w:val="20"/>
                <w:szCs w:val="20"/>
                <w:lang w:val="it-IT"/>
              </w:rPr>
              <w:t>Iran</w:t>
            </w:r>
          </w:p>
        </w:tc>
        <w:tc>
          <w:tcPr>
            <w:tcW w:w="1915" w:type="dxa"/>
          </w:tcPr>
          <w:p w14:paraId="28409D1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ANCOVA models</w:t>
            </w:r>
          </w:p>
        </w:tc>
        <w:tc>
          <w:tcPr>
            <w:tcW w:w="1913" w:type="dxa"/>
          </w:tcPr>
          <w:p w14:paraId="51D7360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Severe allergic asthma</w:t>
            </w:r>
          </w:p>
        </w:tc>
        <w:tc>
          <w:tcPr>
            <w:tcW w:w="1737" w:type="dxa"/>
          </w:tcPr>
          <w:p w14:paraId="48407DA3"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522CE0" w:rsidRPr="00522CE0" w14:paraId="6A202F28" w14:textId="77777777" w:rsidTr="004F0C8D">
        <w:tc>
          <w:tcPr>
            <w:tcW w:w="1196" w:type="dxa"/>
          </w:tcPr>
          <w:p w14:paraId="1C959DA9"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46</w:t>
            </w:r>
          </w:p>
        </w:tc>
        <w:tc>
          <w:tcPr>
            <w:tcW w:w="2867" w:type="dxa"/>
          </w:tcPr>
          <w:p w14:paraId="32CE2F57" w14:textId="5F2B4BB9"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Cheng et al. 2024, C</w:t>
            </w:r>
            <w:r w:rsidR="00913398" w:rsidRPr="00522CE0">
              <w:rPr>
                <w:rFonts w:ascii="Times New Roman" w:eastAsia="Times New Roman" w:hAnsi="Times New Roman" w:cs="Times New Roman"/>
                <w:sz w:val="20"/>
                <w:szCs w:val="20"/>
              </w:rPr>
              <w:t>h</w:t>
            </w:r>
            <w:r w:rsidRPr="00522CE0">
              <w:rPr>
                <w:rFonts w:ascii="Times New Roman" w:eastAsia="Times New Roman" w:hAnsi="Times New Roman" w:cs="Times New Roman"/>
                <w:sz w:val="20"/>
                <w:szCs w:val="20"/>
              </w:rPr>
              <w:t>ina</w:t>
            </w:r>
          </w:p>
        </w:tc>
        <w:tc>
          <w:tcPr>
            <w:tcW w:w="1915" w:type="dxa"/>
          </w:tcPr>
          <w:p w14:paraId="793D600A" w14:textId="5A0B4250" w:rsidR="004F0C8D" w:rsidRPr="00522CE0" w:rsidRDefault="004F0C8D" w:rsidP="006615C3">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Overall response rates</w:t>
            </w:r>
          </w:p>
        </w:tc>
        <w:tc>
          <w:tcPr>
            <w:tcW w:w="1913" w:type="dxa"/>
          </w:tcPr>
          <w:p w14:paraId="429A581E" w14:textId="1BB11036"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 xml:space="preserve">Non-small cell lung </w:t>
            </w:r>
            <w:r w:rsidR="00676328" w:rsidRPr="00522CE0">
              <w:rPr>
                <w:rFonts w:ascii="Times New Roman" w:eastAsia="Times New Roman" w:hAnsi="Times New Roman" w:cs="Times New Roman"/>
                <w:sz w:val="20"/>
                <w:szCs w:val="20"/>
              </w:rPr>
              <w:t>cancer</w:t>
            </w:r>
          </w:p>
        </w:tc>
        <w:tc>
          <w:tcPr>
            <w:tcW w:w="1737" w:type="dxa"/>
          </w:tcPr>
          <w:p w14:paraId="363353BC"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r w:rsidR="004F0C8D" w:rsidRPr="00522CE0" w14:paraId="13A8EB34" w14:textId="77777777" w:rsidTr="004F0C8D">
        <w:tc>
          <w:tcPr>
            <w:tcW w:w="1196" w:type="dxa"/>
          </w:tcPr>
          <w:p w14:paraId="6FBE05E4"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47</w:t>
            </w:r>
          </w:p>
        </w:tc>
        <w:tc>
          <w:tcPr>
            <w:tcW w:w="2867" w:type="dxa"/>
          </w:tcPr>
          <w:p w14:paraId="67F4FF66" w14:textId="1B04E215"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lang w:val="it-IT"/>
              </w:rPr>
              <w:t>Ananyeva et al. 2021, C</w:t>
            </w:r>
            <w:r w:rsidR="00913398" w:rsidRPr="00522CE0">
              <w:rPr>
                <w:rFonts w:ascii="Times New Roman" w:eastAsia="Times New Roman" w:hAnsi="Times New Roman" w:cs="Times New Roman"/>
                <w:sz w:val="20"/>
                <w:szCs w:val="20"/>
                <w:lang w:val="it-IT"/>
              </w:rPr>
              <w:t>h</w:t>
            </w:r>
            <w:r w:rsidRPr="00522CE0">
              <w:rPr>
                <w:rFonts w:ascii="Times New Roman" w:eastAsia="Times New Roman" w:hAnsi="Times New Roman" w:cs="Times New Roman"/>
                <w:sz w:val="20"/>
                <w:szCs w:val="20"/>
                <w:lang w:val="it-IT"/>
              </w:rPr>
              <w:t>ina</w:t>
            </w:r>
          </w:p>
        </w:tc>
        <w:tc>
          <w:tcPr>
            <w:tcW w:w="1915" w:type="dxa"/>
          </w:tcPr>
          <w:p w14:paraId="3CF6EAC2"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Survival analysis</w:t>
            </w:r>
          </w:p>
          <w:p w14:paraId="6798F43C"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p>
        </w:tc>
        <w:tc>
          <w:tcPr>
            <w:tcW w:w="1913" w:type="dxa"/>
          </w:tcPr>
          <w:p w14:paraId="71DE80E1" w14:textId="47CDC308" w:rsidR="004F0C8D" w:rsidRPr="00522CE0" w:rsidRDefault="000A0A5A" w:rsidP="000A0A5A">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Interstitial lung disease associated with systemic sclerosis</w:t>
            </w:r>
          </w:p>
        </w:tc>
        <w:tc>
          <w:tcPr>
            <w:tcW w:w="1737" w:type="dxa"/>
          </w:tcPr>
          <w:p w14:paraId="000324D7" w14:textId="77777777" w:rsidR="004F0C8D" w:rsidRPr="00522CE0" w:rsidRDefault="004F0C8D" w:rsidP="004F0C8D">
            <w:pPr>
              <w:spacing w:after="160" w:line="276" w:lineRule="auto"/>
              <w:jc w:val="center"/>
              <w:rPr>
                <w:rFonts w:ascii="Times New Roman" w:eastAsia="Times New Roman" w:hAnsi="Times New Roman" w:cs="Times New Roman"/>
                <w:sz w:val="20"/>
                <w:szCs w:val="20"/>
              </w:rPr>
            </w:pPr>
            <w:r w:rsidRPr="00522CE0">
              <w:rPr>
                <w:rFonts w:ascii="Times New Roman" w:eastAsia="Times New Roman" w:hAnsi="Times New Roman" w:cs="Times New Roman"/>
                <w:sz w:val="20"/>
                <w:szCs w:val="20"/>
              </w:rPr>
              <w:t>No</w:t>
            </w:r>
          </w:p>
        </w:tc>
      </w:tr>
    </w:tbl>
    <w:p w14:paraId="0FB96DDF" w14:textId="77777777" w:rsidR="004F0C8D" w:rsidRPr="00522CE0" w:rsidRDefault="004F0C8D" w:rsidP="00AB100D">
      <w:pPr>
        <w:spacing w:line="276" w:lineRule="auto"/>
        <w:jc w:val="center"/>
        <w:rPr>
          <w:rFonts w:ascii="Times New Roman" w:eastAsia="Times New Roman" w:hAnsi="Times New Roman" w:cs="Times New Roman"/>
          <w:b/>
          <w:bCs/>
          <w:sz w:val="28"/>
          <w:szCs w:val="28"/>
        </w:rPr>
      </w:pPr>
    </w:p>
    <w:p w14:paraId="476D59A0" w14:textId="77777777" w:rsidR="00AD7CB4" w:rsidRPr="00522CE0" w:rsidRDefault="00AD7CB4" w:rsidP="00AB100D">
      <w:pPr>
        <w:spacing w:line="276" w:lineRule="auto"/>
        <w:jc w:val="center"/>
        <w:rPr>
          <w:rFonts w:ascii="Times New Roman" w:eastAsia="Times New Roman" w:hAnsi="Times New Roman" w:cs="Times New Roman"/>
          <w:b/>
          <w:bCs/>
          <w:sz w:val="28"/>
          <w:szCs w:val="28"/>
        </w:rPr>
      </w:pPr>
    </w:p>
    <w:p w14:paraId="284E7C8E" w14:textId="77777777" w:rsidR="00AD7CB4" w:rsidRPr="00522CE0" w:rsidRDefault="00AD7CB4" w:rsidP="00AB100D">
      <w:pPr>
        <w:spacing w:line="276" w:lineRule="auto"/>
        <w:jc w:val="center"/>
        <w:rPr>
          <w:rFonts w:ascii="Times New Roman" w:eastAsia="Times New Roman" w:hAnsi="Times New Roman" w:cs="Times New Roman"/>
          <w:b/>
          <w:bCs/>
          <w:sz w:val="28"/>
          <w:szCs w:val="28"/>
        </w:rPr>
      </w:pPr>
    </w:p>
    <w:p w14:paraId="00961316" w14:textId="77777777" w:rsidR="00AD7CB4" w:rsidRDefault="00AD7CB4" w:rsidP="00AB100D">
      <w:pPr>
        <w:spacing w:line="276" w:lineRule="auto"/>
        <w:jc w:val="center"/>
        <w:rPr>
          <w:rFonts w:ascii="Times New Roman" w:eastAsia="Times New Roman" w:hAnsi="Times New Roman" w:cs="Times New Roman"/>
          <w:b/>
          <w:bCs/>
          <w:sz w:val="28"/>
          <w:szCs w:val="28"/>
        </w:rPr>
      </w:pPr>
    </w:p>
    <w:p w14:paraId="47F073F9" w14:textId="77777777" w:rsidR="00976226" w:rsidRDefault="00976226" w:rsidP="00AB100D">
      <w:pPr>
        <w:spacing w:line="276" w:lineRule="auto"/>
        <w:jc w:val="center"/>
        <w:rPr>
          <w:rFonts w:ascii="Times New Roman" w:eastAsia="Times New Roman" w:hAnsi="Times New Roman" w:cs="Times New Roman"/>
          <w:b/>
          <w:bCs/>
          <w:sz w:val="28"/>
          <w:szCs w:val="28"/>
        </w:rPr>
      </w:pPr>
    </w:p>
    <w:p w14:paraId="3EF662FC" w14:textId="77777777" w:rsidR="00976226" w:rsidRPr="00522CE0" w:rsidRDefault="00976226" w:rsidP="00AB100D">
      <w:pPr>
        <w:spacing w:line="276" w:lineRule="auto"/>
        <w:jc w:val="center"/>
        <w:rPr>
          <w:rFonts w:ascii="Times New Roman" w:eastAsia="Times New Roman" w:hAnsi="Times New Roman" w:cs="Times New Roman"/>
          <w:b/>
          <w:bCs/>
          <w:sz w:val="28"/>
          <w:szCs w:val="28"/>
        </w:rPr>
      </w:pPr>
    </w:p>
    <w:p w14:paraId="5F347C24" w14:textId="1086C8A7" w:rsidR="00AD7CB4" w:rsidRPr="00522CE0" w:rsidRDefault="00AD7CB4" w:rsidP="00AD7CB4">
      <w:pPr>
        <w:spacing w:line="276" w:lineRule="auto"/>
        <w:jc w:val="center"/>
        <w:rPr>
          <w:rFonts w:ascii="Times New Roman" w:eastAsia="Times New Roman" w:hAnsi="Times New Roman" w:cs="Times New Roman"/>
          <w:b/>
          <w:sz w:val="24"/>
          <w:szCs w:val="24"/>
        </w:rPr>
      </w:pPr>
      <w:r w:rsidRPr="00522CE0">
        <w:rPr>
          <w:rFonts w:ascii="Times New Roman" w:eastAsia="Times New Roman" w:hAnsi="Times New Roman" w:cs="Times New Roman"/>
          <w:b/>
          <w:sz w:val="24"/>
          <w:szCs w:val="24"/>
        </w:rPr>
        <w:lastRenderedPageBreak/>
        <w:t>Table A.3 – Included papers</w:t>
      </w:r>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275"/>
        <w:gridCol w:w="1418"/>
        <w:gridCol w:w="1984"/>
        <w:gridCol w:w="4530"/>
      </w:tblGrid>
      <w:tr w:rsidR="00522CE0" w:rsidRPr="00522CE0" w14:paraId="25A784F8" w14:textId="77777777" w:rsidTr="00181AC0">
        <w:tc>
          <w:tcPr>
            <w:tcW w:w="421" w:type="dxa"/>
          </w:tcPr>
          <w:p w14:paraId="7B8B4AEA" w14:textId="77777777" w:rsidR="00AD7CB4" w:rsidRPr="00522CE0" w:rsidRDefault="00AD7CB4" w:rsidP="00181AC0">
            <w:pPr>
              <w:jc w:val="center"/>
              <w:rPr>
                <w:b/>
                <w:sz w:val="20"/>
                <w:szCs w:val="20"/>
              </w:rPr>
            </w:pPr>
            <w:r w:rsidRPr="00522CE0">
              <w:rPr>
                <w:b/>
                <w:sz w:val="20"/>
                <w:szCs w:val="20"/>
              </w:rPr>
              <w:t>N.</w:t>
            </w:r>
          </w:p>
        </w:tc>
        <w:tc>
          <w:tcPr>
            <w:tcW w:w="1275" w:type="dxa"/>
          </w:tcPr>
          <w:p w14:paraId="29C5EB0B" w14:textId="77777777" w:rsidR="00AD7CB4" w:rsidRPr="00522CE0" w:rsidRDefault="00AD7CB4" w:rsidP="00181AC0">
            <w:pPr>
              <w:jc w:val="center"/>
              <w:rPr>
                <w:b/>
                <w:sz w:val="20"/>
                <w:szCs w:val="20"/>
              </w:rPr>
            </w:pPr>
            <w:r w:rsidRPr="00522CE0">
              <w:rPr>
                <w:b/>
                <w:sz w:val="20"/>
                <w:szCs w:val="20"/>
              </w:rPr>
              <w:t>Authors, year, country of the study</w:t>
            </w:r>
          </w:p>
        </w:tc>
        <w:tc>
          <w:tcPr>
            <w:tcW w:w="1418" w:type="dxa"/>
          </w:tcPr>
          <w:p w14:paraId="28D6DE8A" w14:textId="77777777" w:rsidR="00AD7CB4" w:rsidRPr="00522CE0" w:rsidRDefault="00AD7CB4" w:rsidP="00181AC0">
            <w:pPr>
              <w:jc w:val="center"/>
              <w:rPr>
                <w:b/>
                <w:sz w:val="20"/>
                <w:szCs w:val="20"/>
              </w:rPr>
            </w:pPr>
            <w:r w:rsidRPr="00522CE0">
              <w:rPr>
                <w:b/>
                <w:sz w:val="20"/>
                <w:szCs w:val="20"/>
              </w:rPr>
              <w:t>Type of study</w:t>
            </w:r>
          </w:p>
        </w:tc>
        <w:tc>
          <w:tcPr>
            <w:tcW w:w="1984" w:type="dxa"/>
          </w:tcPr>
          <w:p w14:paraId="562409EE" w14:textId="77777777" w:rsidR="00AD7CB4" w:rsidRPr="00522CE0" w:rsidRDefault="00AD7CB4" w:rsidP="00181AC0">
            <w:pPr>
              <w:jc w:val="center"/>
              <w:rPr>
                <w:b/>
                <w:sz w:val="20"/>
                <w:szCs w:val="20"/>
              </w:rPr>
            </w:pPr>
            <w:r w:rsidRPr="00522CE0">
              <w:rPr>
                <w:b/>
                <w:sz w:val="20"/>
                <w:szCs w:val="20"/>
              </w:rPr>
              <w:t>Title</w:t>
            </w:r>
          </w:p>
        </w:tc>
        <w:tc>
          <w:tcPr>
            <w:tcW w:w="4530" w:type="dxa"/>
          </w:tcPr>
          <w:p w14:paraId="3F9DD956" w14:textId="77777777" w:rsidR="00AD7CB4" w:rsidRPr="00522CE0" w:rsidRDefault="00AD7CB4" w:rsidP="00181AC0">
            <w:pPr>
              <w:jc w:val="center"/>
              <w:rPr>
                <w:b/>
                <w:sz w:val="20"/>
                <w:szCs w:val="20"/>
              </w:rPr>
            </w:pPr>
            <w:r w:rsidRPr="00522CE0">
              <w:rPr>
                <w:b/>
                <w:sz w:val="20"/>
                <w:szCs w:val="20"/>
              </w:rPr>
              <w:t>Summary of the contents and results</w:t>
            </w:r>
          </w:p>
        </w:tc>
      </w:tr>
      <w:tr w:rsidR="00522CE0" w:rsidRPr="00522CE0" w14:paraId="3E8C6E96" w14:textId="77777777" w:rsidTr="00181AC0">
        <w:tc>
          <w:tcPr>
            <w:tcW w:w="421" w:type="dxa"/>
          </w:tcPr>
          <w:p w14:paraId="26A4F7EF" w14:textId="77777777" w:rsidR="00AD7CB4" w:rsidRPr="00522CE0" w:rsidRDefault="00AD7CB4" w:rsidP="00181AC0">
            <w:pPr>
              <w:jc w:val="both"/>
              <w:rPr>
                <w:sz w:val="20"/>
                <w:szCs w:val="20"/>
              </w:rPr>
            </w:pPr>
            <w:r w:rsidRPr="00522CE0">
              <w:rPr>
                <w:sz w:val="20"/>
                <w:szCs w:val="20"/>
              </w:rPr>
              <w:t>1</w:t>
            </w:r>
          </w:p>
        </w:tc>
        <w:tc>
          <w:tcPr>
            <w:tcW w:w="1275" w:type="dxa"/>
          </w:tcPr>
          <w:p w14:paraId="21C85D80" w14:textId="77777777" w:rsidR="00AD7CB4" w:rsidRPr="00522CE0" w:rsidRDefault="00AD7CB4" w:rsidP="00181AC0">
            <w:pPr>
              <w:jc w:val="both"/>
              <w:rPr>
                <w:sz w:val="20"/>
                <w:szCs w:val="20"/>
                <w:lang w:val="it-IT"/>
              </w:rPr>
            </w:pPr>
            <w:r w:rsidRPr="00522CE0">
              <w:rPr>
                <w:sz w:val="20"/>
                <w:szCs w:val="20"/>
                <w:lang w:val="it-IT"/>
              </w:rPr>
              <w:t>Luo et al., 2022, USA e UK</w:t>
            </w:r>
          </w:p>
        </w:tc>
        <w:tc>
          <w:tcPr>
            <w:tcW w:w="1418" w:type="dxa"/>
          </w:tcPr>
          <w:p w14:paraId="1EB7AA87" w14:textId="77777777" w:rsidR="00AD7CB4" w:rsidRPr="00522CE0" w:rsidRDefault="00AD7CB4" w:rsidP="00181AC0">
            <w:pPr>
              <w:jc w:val="both"/>
              <w:rPr>
                <w:sz w:val="20"/>
                <w:szCs w:val="20"/>
              </w:rPr>
            </w:pPr>
            <w:r w:rsidRPr="00522CE0">
              <w:rPr>
                <w:sz w:val="20"/>
                <w:szCs w:val="20"/>
              </w:rPr>
              <w:t>Model-based studies:</w:t>
            </w:r>
            <w:r w:rsidRPr="00522CE0">
              <w:rPr>
                <w:b/>
                <w:sz w:val="20"/>
                <w:szCs w:val="20"/>
              </w:rPr>
              <w:t xml:space="preserve"> </w:t>
            </w:r>
            <w:r w:rsidRPr="00522CE0">
              <w:rPr>
                <w:sz w:val="20"/>
                <w:szCs w:val="20"/>
              </w:rPr>
              <w:t>Markov model</w:t>
            </w:r>
          </w:p>
        </w:tc>
        <w:tc>
          <w:tcPr>
            <w:tcW w:w="1984" w:type="dxa"/>
          </w:tcPr>
          <w:p w14:paraId="0715CB46" w14:textId="77777777" w:rsidR="00AD7CB4" w:rsidRPr="00522CE0" w:rsidRDefault="00AD7CB4" w:rsidP="00181AC0">
            <w:pPr>
              <w:rPr>
                <w:sz w:val="20"/>
                <w:szCs w:val="20"/>
              </w:rPr>
            </w:pPr>
            <w:r w:rsidRPr="00522CE0">
              <w:rPr>
                <w:sz w:val="20"/>
                <w:szCs w:val="20"/>
              </w:rPr>
              <w:t xml:space="preserve">Cost-Effectiveness of Bevacizumab Biosimilar LY01008 Combined with Chemotherapy as First-Line Treatment for Chinese Patients with Advanced or Recurrent Nonsquamous Non-Small Cell Lung Cancer </w:t>
            </w:r>
          </w:p>
          <w:p w14:paraId="6A23E1D1" w14:textId="77777777" w:rsidR="00AD7CB4" w:rsidRPr="00522CE0" w:rsidRDefault="00AD7CB4" w:rsidP="00181AC0">
            <w:pPr>
              <w:jc w:val="both"/>
              <w:rPr>
                <w:sz w:val="20"/>
                <w:szCs w:val="20"/>
              </w:rPr>
            </w:pPr>
          </w:p>
        </w:tc>
        <w:tc>
          <w:tcPr>
            <w:tcW w:w="4530" w:type="dxa"/>
          </w:tcPr>
          <w:p w14:paraId="7D9B0143" w14:textId="77777777" w:rsidR="00AD7CB4" w:rsidRPr="00522CE0" w:rsidRDefault="00AD7CB4" w:rsidP="00181AC0">
            <w:pPr>
              <w:jc w:val="both"/>
              <w:rPr>
                <w:sz w:val="20"/>
                <w:szCs w:val="20"/>
              </w:rPr>
            </w:pPr>
            <w:r w:rsidRPr="00522CE0">
              <w:rPr>
                <w:sz w:val="20"/>
                <w:szCs w:val="20"/>
              </w:rPr>
              <w:t xml:space="preserve">First-line LY01008 combined with chemotherapy was associated with a 0.48 QALY increase in efficacy and a CNY189,988 (US$26,240) increase in healthcare costs compared to first-line chemotherapy, resulting in an incremental cost-effectiveness ratio (ICER) of CNY 375,425 (USD 54,430)/QALY. In the scenario analysis, first-line LY01008 combined with chemotherapy was associated with an average healthcare cost of CNY 265,060 (US$38,429), resulting in an ICER of CNY 221,579 (US$32,125/QALY) between first-line LY01008 joint with chemotherapy versus first line chemotherapy alone. </w:t>
            </w:r>
          </w:p>
        </w:tc>
      </w:tr>
      <w:tr w:rsidR="00522CE0" w:rsidRPr="00522CE0" w14:paraId="64E5E63E" w14:textId="77777777" w:rsidTr="00181AC0">
        <w:tc>
          <w:tcPr>
            <w:tcW w:w="421" w:type="dxa"/>
          </w:tcPr>
          <w:p w14:paraId="2C7B4516" w14:textId="77777777" w:rsidR="00AD7CB4" w:rsidRPr="00522CE0" w:rsidRDefault="00AD7CB4" w:rsidP="00181AC0">
            <w:pPr>
              <w:jc w:val="both"/>
              <w:rPr>
                <w:sz w:val="20"/>
                <w:szCs w:val="20"/>
              </w:rPr>
            </w:pPr>
            <w:r w:rsidRPr="00522CE0">
              <w:rPr>
                <w:sz w:val="20"/>
                <w:szCs w:val="20"/>
              </w:rPr>
              <w:t>2</w:t>
            </w:r>
          </w:p>
        </w:tc>
        <w:tc>
          <w:tcPr>
            <w:tcW w:w="1275" w:type="dxa"/>
          </w:tcPr>
          <w:p w14:paraId="1016399B" w14:textId="77777777" w:rsidR="00AD7CB4" w:rsidRPr="00522CE0" w:rsidRDefault="00AD7CB4" w:rsidP="00181AC0">
            <w:pPr>
              <w:jc w:val="both"/>
              <w:rPr>
                <w:sz w:val="20"/>
                <w:szCs w:val="20"/>
              </w:rPr>
            </w:pPr>
            <w:r w:rsidRPr="00522CE0">
              <w:rPr>
                <w:sz w:val="20"/>
                <w:szCs w:val="20"/>
              </w:rPr>
              <w:t>Xiao et al. 2022, China</w:t>
            </w:r>
          </w:p>
        </w:tc>
        <w:tc>
          <w:tcPr>
            <w:tcW w:w="1418" w:type="dxa"/>
          </w:tcPr>
          <w:p w14:paraId="3FACB644" w14:textId="77777777" w:rsidR="00AD7CB4" w:rsidRPr="00522CE0" w:rsidRDefault="00AD7CB4" w:rsidP="00181AC0">
            <w:pPr>
              <w:jc w:val="both"/>
              <w:rPr>
                <w:sz w:val="20"/>
                <w:szCs w:val="20"/>
              </w:rPr>
            </w:pPr>
            <w:r w:rsidRPr="00522CE0">
              <w:rPr>
                <w:sz w:val="20"/>
                <w:szCs w:val="20"/>
              </w:rPr>
              <w:t>Literature review</w:t>
            </w:r>
          </w:p>
        </w:tc>
        <w:tc>
          <w:tcPr>
            <w:tcW w:w="1984" w:type="dxa"/>
          </w:tcPr>
          <w:p w14:paraId="5FD92911" w14:textId="77777777" w:rsidR="00AD7CB4" w:rsidRPr="00522CE0" w:rsidRDefault="00AD7CB4" w:rsidP="00181AC0">
            <w:pPr>
              <w:jc w:val="both"/>
              <w:rPr>
                <w:sz w:val="20"/>
                <w:szCs w:val="20"/>
              </w:rPr>
            </w:pPr>
            <w:r w:rsidRPr="00522CE0">
              <w:rPr>
                <w:sz w:val="20"/>
                <w:szCs w:val="20"/>
              </w:rPr>
              <w:t>Comparison of efficacy and safety of bevacizumab biosimilar and original bevacizumab in non-squamous non-small cell lung cancer: a systematic review and meta-analysis</w:t>
            </w:r>
          </w:p>
        </w:tc>
        <w:tc>
          <w:tcPr>
            <w:tcW w:w="4530" w:type="dxa"/>
          </w:tcPr>
          <w:p w14:paraId="29094D44" w14:textId="77777777" w:rsidR="00AD7CB4" w:rsidRPr="00522CE0" w:rsidRDefault="00AD7CB4" w:rsidP="00181AC0">
            <w:pPr>
              <w:jc w:val="both"/>
              <w:rPr>
                <w:sz w:val="20"/>
                <w:szCs w:val="20"/>
              </w:rPr>
            </w:pPr>
            <w:r w:rsidRPr="00522CE0">
              <w:rPr>
                <w:sz w:val="20"/>
                <w:szCs w:val="20"/>
              </w:rPr>
              <w:t xml:space="preserve">Bevacizumab biosimilars are considered similar to the original drugs in terms of efficacy and safety and can be considered a replacement for Bevacizumab in the treatment of NSCLC. </w:t>
            </w:r>
          </w:p>
        </w:tc>
      </w:tr>
      <w:tr w:rsidR="00522CE0" w:rsidRPr="00522CE0" w14:paraId="07AFD46E" w14:textId="77777777" w:rsidTr="00181AC0">
        <w:tc>
          <w:tcPr>
            <w:tcW w:w="421" w:type="dxa"/>
          </w:tcPr>
          <w:p w14:paraId="62BECFBC" w14:textId="77777777" w:rsidR="00AD7CB4" w:rsidRPr="00522CE0" w:rsidRDefault="00AD7CB4" w:rsidP="00181AC0">
            <w:pPr>
              <w:jc w:val="both"/>
              <w:rPr>
                <w:sz w:val="20"/>
                <w:szCs w:val="20"/>
              </w:rPr>
            </w:pPr>
            <w:r w:rsidRPr="00522CE0">
              <w:rPr>
                <w:sz w:val="20"/>
                <w:szCs w:val="20"/>
              </w:rPr>
              <w:t>3</w:t>
            </w:r>
          </w:p>
        </w:tc>
        <w:tc>
          <w:tcPr>
            <w:tcW w:w="1275" w:type="dxa"/>
          </w:tcPr>
          <w:p w14:paraId="4D3438C3" w14:textId="77777777" w:rsidR="00AD7CB4" w:rsidRPr="00522CE0" w:rsidRDefault="00AD7CB4" w:rsidP="00181AC0">
            <w:pPr>
              <w:jc w:val="both"/>
              <w:rPr>
                <w:sz w:val="20"/>
                <w:szCs w:val="20"/>
              </w:rPr>
            </w:pPr>
            <w:r w:rsidRPr="00522CE0">
              <w:rPr>
                <w:sz w:val="20"/>
                <w:szCs w:val="20"/>
              </w:rPr>
              <w:t>Syrigos et al., 2021, various OECD countries</w:t>
            </w:r>
          </w:p>
        </w:tc>
        <w:tc>
          <w:tcPr>
            <w:tcW w:w="1418" w:type="dxa"/>
          </w:tcPr>
          <w:p w14:paraId="67726608" w14:textId="77777777" w:rsidR="00AD7CB4" w:rsidRPr="00522CE0" w:rsidRDefault="00AD7CB4" w:rsidP="00181AC0">
            <w:pPr>
              <w:jc w:val="both"/>
              <w:rPr>
                <w:sz w:val="20"/>
                <w:szCs w:val="20"/>
              </w:rPr>
            </w:pPr>
            <w:r w:rsidRPr="00522CE0">
              <w:rPr>
                <w:sz w:val="20"/>
                <w:szCs w:val="20"/>
              </w:rPr>
              <w:t xml:space="preserve">Randomised studies </w:t>
            </w:r>
          </w:p>
        </w:tc>
        <w:tc>
          <w:tcPr>
            <w:tcW w:w="1984" w:type="dxa"/>
          </w:tcPr>
          <w:p w14:paraId="2AC12EE7" w14:textId="77777777" w:rsidR="00AD7CB4" w:rsidRPr="00522CE0" w:rsidRDefault="00AD7CB4" w:rsidP="00181AC0">
            <w:pPr>
              <w:jc w:val="both"/>
              <w:rPr>
                <w:sz w:val="20"/>
                <w:szCs w:val="20"/>
              </w:rPr>
            </w:pPr>
            <w:r w:rsidRPr="00522CE0">
              <w:rPr>
                <w:sz w:val="20"/>
                <w:szCs w:val="20"/>
              </w:rPr>
              <w:t>Efficacy and Safety of Bevacizumab Biosimilar FKB238 Versus Originator Bevacizumab: Results from AVANA, a Phase III Trial in Patients with Non-Squamous Non-Small Cell Lung Cancer (non-sq-NSCLC)</w:t>
            </w:r>
          </w:p>
        </w:tc>
        <w:tc>
          <w:tcPr>
            <w:tcW w:w="4530" w:type="dxa"/>
          </w:tcPr>
          <w:p w14:paraId="50312045" w14:textId="77777777" w:rsidR="00AD7CB4" w:rsidRPr="00522CE0" w:rsidRDefault="00AD7CB4" w:rsidP="00181AC0">
            <w:pPr>
              <w:jc w:val="both"/>
              <w:rPr>
                <w:sz w:val="20"/>
                <w:szCs w:val="20"/>
              </w:rPr>
            </w:pPr>
            <w:r w:rsidRPr="00522CE0">
              <w:rPr>
                <w:sz w:val="20"/>
                <w:szCs w:val="20"/>
              </w:rPr>
              <w:t>The equivalence of efficacy and safety between the two drugs has been demonstrated. No significant differences in efficacy and safety were found between FKB238 and Bevacizumab in patients with non-squamous NSCLC</w:t>
            </w:r>
          </w:p>
        </w:tc>
      </w:tr>
      <w:tr w:rsidR="00522CE0" w:rsidRPr="00522CE0" w14:paraId="47124D2A" w14:textId="77777777" w:rsidTr="00181AC0">
        <w:tc>
          <w:tcPr>
            <w:tcW w:w="421" w:type="dxa"/>
          </w:tcPr>
          <w:p w14:paraId="7F753FDF" w14:textId="77777777" w:rsidR="00AD7CB4" w:rsidRPr="00522CE0" w:rsidRDefault="00AD7CB4" w:rsidP="00181AC0">
            <w:pPr>
              <w:jc w:val="both"/>
              <w:rPr>
                <w:sz w:val="20"/>
                <w:szCs w:val="20"/>
              </w:rPr>
            </w:pPr>
            <w:r w:rsidRPr="00522CE0">
              <w:rPr>
                <w:sz w:val="20"/>
                <w:szCs w:val="20"/>
              </w:rPr>
              <w:t>4</w:t>
            </w:r>
          </w:p>
        </w:tc>
        <w:tc>
          <w:tcPr>
            <w:tcW w:w="1275" w:type="dxa"/>
          </w:tcPr>
          <w:p w14:paraId="50204BE4" w14:textId="77777777" w:rsidR="00AD7CB4" w:rsidRPr="00522CE0" w:rsidRDefault="00AD7CB4" w:rsidP="00181AC0">
            <w:pPr>
              <w:jc w:val="both"/>
              <w:rPr>
                <w:sz w:val="20"/>
                <w:szCs w:val="20"/>
              </w:rPr>
            </w:pPr>
            <w:r w:rsidRPr="00522CE0">
              <w:rPr>
                <w:sz w:val="20"/>
                <w:szCs w:val="20"/>
              </w:rPr>
              <w:t>Xu et al., 2022, China</w:t>
            </w:r>
          </w:p>
        </w:tc>
        <w:tc>
          <w:tcPr>
            <w:tcW w:w="1418" w:type="dxa"/>
          </w:tcPr>
          <w:p w14:paraId="020C49AA" w14:textId="77777777" w:rsidR="00AD7CB4" w:rsidRPr="00522CE0" w:rsidRDefault="00AD7CB4" w:rsidP="00181AC0">
            <w:pPr>
              <w:jc w:val="both"/>
              <w:rPr>
                <w:sz w:val="20"/>
                <w:szCs w:val="20"/>
              </w:rPr>
            </w:pPr>
            <w:r w:rsidRPr="00522CE0">
              <w:rPr>
                <w:sz w:val="20"/>
                <w:szCs w:val="20"/>
              </w:rPr>
              <w:t xml:space="preserve">Literature review </w:t>
            </w:r>
          </w:p>
        </w:tc>
        <w:tc>
          <w:tcPr>
            <w:tcW w:w="1984" w:type="dxa"/>
          </w:tcPr>
          <w:p w14:paraId="2C72BE73" w14:textId="77777777" w:rsidR="00AD7CB4" w:rsidRPr="00522CE0" w:rsidRDefault="00AD7CB4" w:rsidP="00181AC0">
            <w:pPr>
              <w:jc w:val="both"/>
              <w:rPr>
                <w:sz w:val="20"/>
                <w:szCs w:val="20"/>
              </w:rPr>
            </w:pPr>
            <w:r w:rsidRPr="00522CE0">
              <w:rPr>
                <w:sz w:val="20"/>
                <w:szCs w:val="20"/>
              </w:rPr>
              <w:t>Efficacy and Safety of Bevacizumab Biosimilars Compared with Reference Biologics in Advanced Non-small Cell Lung Cancer or Metastatic Colorectal Cancer Patients: A Network Meta-Analysis</w:t>
            </w:r>
          </w:p>
        </w:tc>
        <w:tc>
          <w:tcPr>
            <w:tcW w:w="4530" w:type="dxa"/>
          </w:tcPr>
          <w:p w14:paraId="49010464" w14:textId="77777777" w:rsidR="00AD7CB4" w:rsidRPr="00522CE0" w:rsidRDefault="00AD7CB4" w:rsidP="00181AC0">
            <w:pPr>
              <w:jc w:val="both"/>
              <w:rPr>
                <w:sz w:val="20"/>
                <w:szCs w:val="20"/>
              </w:rPr>
            </w:pPr>
            <w:r w:rsidRPr="00522CE0">
              <w:rPr>
                <w:sz w:val="20"/>
                <w:szCs w:val="20"/>
              </w:rPr>
              <w:t xml:space="preserve">In patients with advanced NSCLC or metastatic CRC, the efficacy and safety of Bevacizumab biosimilars were comparable to those of reference biologics and to each other. </w:t>
            </w:r>
          </w:p>
        </w:tc>
      </w:tr>
      <w:tr w:rsidR="00522CE0" w:rsidRPr="00522CE0" w14:paraId="00743CC7" w14:textId="77777777" w:rsidTr="00181AC0">
        <w:tc>
          <w:tcPr>
            <w:tcW w:w="421" w:type="dxa"/>
          </w:tcPr>
          <w:p w14:paraId="2427201F" w14:textId="77777777" w:rsidR="00AD7CB4" w:rsidRPr="00522CE0" w:rsidRDefault="00AD7CB4" w:rsidP="00181AC0">
            <w:pPr>
              <w:jc w:val="both"/>
              <w:rPr>
                <w:sz w:val="20"/>
                <w:szCs w:val="20"/>
              </w:rPr>
            </w:pPr>
            <w:r w:rsidRPr="00522CE0">
              <w:rPr>
                <w:sz w:val="20"/>
                <w:szCs w:val="20"/>
              </w:rPr>
              <w:t>5</w:t>
            </w:r>
          </w:p>
        </w:tc>
        <w:tc>
          <w:tcPr>
            <w:tcW w:w="1275" w:type="dxa"/>
          </w:tcPr>
          <w:p w14:paraId="0C081344" w14:textId="77777777" w:rsidR="00AD7CB4" w:rsidRPr="00522CE0" w:rsidRDefault="00AD7CB4" w:rsidP="00181AC0">
            <w:pPr>
              <w:jc w:val="both"/>
              <w:rPr>
                <w:sz w:val="20"/>
                <w:szCs w:val="20"/>
              </w:rPr>
            </w:pPr>
            <w:r w:rsidRPr="00522CE0">
              <w:rPr>
                <w:sz w:val="20"/>
                <w:szCs w:val="20"/>
              </w:rPr>
              <w:t xml:space="preserve">Zhao et al., 2023, China </w:t>
            </w:r>
          </w:p>
        </w:tc>
        <w:tc>
          <w:tcPr>
            <w:tcW w:w="1418" w:type="dxa"/>
          </w:tcPr>
          <w:p w14:paraId="2CD7CE8D" w14:textId="77777777" w:rsidR="00AD7CB4" w:rsidRPr="00522CE0" w:rsidRDefault="00AD7CB4" w:rsidP="00181AC0">
            <w:pPr>
              <w:jc w:val="both"/>
              <w:rPr>
                <w:sz w:val="20"/>
                <w:szCs w:val="20"/>
              </w:rPr>
            </w:pPr>
            <w:r w:rsidRPr="00522CE0">
              <w:rPr>
                <w:sz w:val="20"/>
                <w:szCs w:val="20"/>
              </w:rPr>
              <w:t>Observational studies</w:t>
            </w:r>
          </w:p>
        </w:tc>
        <w:tc>
          <w:tcPr>
            <w:tcW w:w="1984" w:type="dxa"/>
          </w:tcPr>
          <w:p w14:paraId="6E1BCF90" w14:textId="77777777" w:rsidR="00AD7CB4" w:rsidRPr="00522CE0" w:rsidRDefault="00AD7CB4" w:rsidP="00181AC0">
            <w:pPr>
              <w:jc w:val="both"/>
              <w:rPr>
                <w:sz w:val="20"/>
                <w:szCs w:val="20"/>
              </w:rPr>
            </w:pPr>
            <w:r w:rsidRPr="00522CE0">
              <w:rPr>
                <w:sz w:val="20"/>
                <w:szCs w:val="20"/>
              </w:rPr>
              <w:t>Efficacy and safety of bevacizumab biosimilar compared with reference bevacizumab in locally advanced and advanced non-small cell lung cancer patients: A retrospective study</w:t>
            </w:r>
          </w:p>
        </w:tc>
        <w:tc>
          <w:tcPr>
            <w:tcW w:w="4530" w:type="dxa"/>
          </w:tcPr>
          <w:p w14:paraId="3BF6A712" w14:textId="77777777" w:rsidR="00AD7CB4" w:rsidRPr="00522CE0" w:rsidRDefault="00AD7CB4" w:rsidP="00181AC0">
            <w:pPr>
              <w:jc w:val="both"/>
              <w:rPr>
                <w:sz w:val="20"/>
                <w:szCs w:val="20"/>
              </w:rPr>
            </w:pPr>
            <w:r w:rsidRPr="00522CE0">
              <w:rPr>
                <w:sz w:val="20"/>
                <w:szCs w:val="20"/>
              </w:rPr>
              <w:t>The biosimilar Bevacizumab has been shown to be equivalent in efficacy to Bevacizumab in patients with locally advanced and advanced NSCLC. It showed an acceptable toxicity profile and no new adverse events. Even patients excluded from clinical trials can benefit from the biosimilar Bevacizumab.</w:t>
            </w:r>
          </w:p>
        </w:tc>
      </w:tr>
      <w:tr w:rsidR="00522CE0" w:rsidRPr="00522CE0" w14:paraId="47E99F0B" w14:textId="77777777" w:rsidTr="00181AC0">
        <w:tc>
          <w:tcPr>
            <w:tcW w:w="421" w:type="dxa"/>
          </w:tcPr>
          <w:p w14:paraId="064C4C9A" w14:textId="77777777" w:rsidR="00AD7CB4" w:rsidRPr="00522CE0" w:rsidRDefault="00AD7CB4" w:rsidP="00181AC0">
            <w:pPr>
              <w:jc w:val="both"/>
              <w:rPr>
                <w:sz w:val="20"/>
                <w:szCs w:val="20"/>
              </w:rPr>
            </w:pPr>
            <w:r w:rsidRPr="00522CE0">
              <w:rPr>
                <w:sz w:val="20"/>
                <w:szCs w:val="20"/>
              </w:rPr>
              <w:lastRenderedPageBreak/>
              <w:t>6</w:t>
            </w:r>
          </w:p>
        </w:tc>
        <w:tc>
          <w:tcPr>
            <w:tcW w:w="1275" w:type="dxa"/>
          </w:tcPr>
          <w:p w14:paraId="38236D2A" w14:textId="77777777" w:rsidR="00AD7CB4" w:rsidRPr="00522CE0" w:rsidRDefault="00AD7CB4" w:rsidP="00181AC0">
            <w:pPr>
              <w:jc w:val="both"/>
              <w:rPr>
                <w:sz w:val="20"/>
                <w:szCs w:val="20"/>
              </w:rPr>
            </w:pPr>
            <w:r w:rsidRPr="00522CE0">
              <w:rPr>
                <w:sz w:val="20"/>
                <w:szCs w:val="20"/>
              </w:rPr>
              <w:t>Schwabe et al., 2022, New Zealand</w:t>
            </w:r>
          </w:p>
        </w:tc>
        <w:tc>
          <w:tcPr>
            <w:tcW w:w="1418" w:type="dxa"/>
          </w:tcPr>
          <w:p w14:paraId="421FB297" w14:textId="77777777" w:rsidR="00AD7CB4" w:rsidRPr="00522CE0" w:rsidRDefault="00AD7CB4" w:rsidP="00181AC0">
            <w:pPr>
              <w:jc w:val="both"/>
              <w:rPr>
                <w:sz w:val="20"/>
                <w:szCs w:val="20"/>
              </w:rPr>
            </w:pPr>
            <w:r w:rsidRPr="00522CE0">
              <w:rPr>
                <w:sz w:val="20"/>
                <w:szCs w:val="20"/>
              </w:rPr>
              <w:t xml:space="preserve">Randomised studies </w:t>
            </w:r>
          </w:p>
        </w:tc>
        <w:tc>
          <w:tcPr>
            <w:tcW w:w="1984" w:type="dxa"/>
          </w:tcPr>
          <w:p w14:paraId="55132CA3" w14:textId="77777777" w:rsidR="00AD7CB4" w:rsidRPr="00522CE0" w:rsidRDefault="00AD7CB4" w:rsidP="00181AC0">
            <w:pPr>
              <w:jc w:val="both"/>
              <w:rPr>
                <w:sz w:val="20"/>
                <w:szCs w:val="20"/>
              </w:rPr>
            </w:pPr>
            <w:r w:rsidRPr="00522CE0">
              <w:rPr>
                <w:sz w:val="20"/>
                <w:szCs w:val="20"/>
              </w:rPr>
              <w:t>Pharmacokinetics and pharmacodynamics of a proposed tocilizumab biosimilar MSB11456 versus both the US-licensed and EU-approved products: a randomized, double-blind trial.</w:t>
            </w:r>
          </w:p>
        </w:tc>
        <w:tc>
          <w:tcPr>
            <w:tcW w:w="4530" w:type="dxa"/>
          </w:tcPr>
          <w:p w14:paraId="5BA444A0" w14:textId="77777777" w:rsidR="00AD7CB4" w:rsidRPr="00522CE0" w:rsidRDefault="00AD7CB4" w:rsidP="00181AC0">
            <w:pPr>
              <w:jc w:val="both"/>
              <w:rPr>
                <w:sz w:val="20"/>
                <w:szCs w:val="20"/>
              </w:rPr>
            </w:pPr>
            <w:r w:rsidRPr="00522CE0">
              <w:rPr>
                <w:sz w:val="20"/>
                <w:szCs w:val="20"/>
              </w:rPr>
              <w:t xml:space="preserve">Pharmacokinetic equivalence is demonstrated between MSB11456 and Tocilizumab, both authorised in the US and approved in the EU, as well as between reference products. </w:t>
            </w:r>
          </w:p>
        </w:tc>
      </w:tr>
      <w:tr w:rsidR="00522CE0" w:rsidRPr="00522CE0" w14:paraId="7C642EF0" w14:textId="77777777" w:rsidTr="00181AC0">
        <w:tc>
          <w:tcPr>
            <w:tcW w:w="421" w:type="dxa"/>
          </w:tcPr>
          <w:p w14:paraId="68873891" w14:textId="77777777" w:rsidR="00AD7CB4" w:rsidRPr="00522CE0" w:rsidRDefault="00AD7CB4" w:rsidP="00181AC0">
            <w:pPr>
              <w:jc w:val="both"/>
              <w:rPr>
                <w:sz w:val="20"/>
                <w:szCs w:val="20"/>
              </w:rPr>
            </w:pPr>
            <w:r w:rsidRPr="00522CE0">
              <w:rPr>
                <w:sz w:val="20"/>
                <w:szCs w:val="20"/>
              </w:rPr>
              <w:t>8</w:t>
            </w:r>
          </w:p>
        </w:tc>
        <w:tc>
          <w:tcPr>
            <w:tcW w:w="1275" w:type="dxa"/>
          </w:tcPr>
          <w:p w14:paraId="26920F22" w14:textId="77777777" w:rsidR="00AD7CB4" w:rsidRPr="00522CE0" w:rsidRDefault="00AD7CB4" w:rsidP="00181AC0">
            <w:pPr>
              <w:jc w:val="both"/>
              <w:rPr>
                <w:sz w:val="20"/>
                <w:szCs w:val="20"/>
              </w:rPr>
            </w:pPr>
            <w:r w:rsidRPr="00522CE0">
              <w:rPr>
                <w:sz w:val="20"/>
                <w:szCs w:val="20"/>
              </w:rPr>
              <w:t>Yang et al., 2021, USA</w:t>
            </w:r>
          </w:p>
        </w:tc>
        <w:tc>
          <w:tcPr>
            <w:tcW w:w="1418" w:type="dxa"/>
          </w:tcPr>
          <w:p w14:paraId="4C5B59E0" w14:textId="77777777" w:rsidR="00AD7CB4" w:rsidRPr="00522CE0" w:rsidRDefault="00AD7CB4" w:rsidP="00181AC0">
            <w:pPr>
              <w:jc w:val="both"/>
              <w:rPr>
                <w:sz w:val="20"/>
                <w:szCs w:val="20"/>
              </w:rPr>
            </w:pPr>
            <w:r w:rsidRPr="00522CE0">
              <w:rPr>
                <w:sz w:val="20"/>
                <w:szCs w:val="20"/>
              </w:rPr>
              <w:t>Model-based studies:</w:t>
            </w:r>
            <w:r w:rsidRPr="00522CE0">
              <w:rPr>
                <w:b/>
                <w:sz w:val="20"/>
                <w:szCs w:val="20"/>
              </w:rPr>
              <w:t xml:space="preserve"> </w:t>
            </w:r>
            <w:r w:rsidRPr="00522CE0">
              <w:rPr>
                <w:sz w:val="20"/>
                <w:szCs w:val="20"/>
              </w:rPr>
              <w:t>Microsoft Excel-based budget impact model </w:t>
            </w:r>
          </w:p>
        </w:tc>
        <w:tc>
          <w:tcPr>
            <w:tcW w:w="1984" w:type="dxa"/>
          </w:tcPr>
          <w:p w14:paraId="6793CE00" w14:textId="77777777" w:rsidR="00AD7CB4" w:rsidRPr="00522CE0" w:rsidRDefault="00AD7CB4" w:rsidP="00181AC0">
            <w:pPr>
              <w:jc w:val="both"/>
              <w:rPr>
                <w:sz w:val="20"/>
                <w:szCs w:val="20"/>
              </w:rPr>
            </w:pPr>
            <w:r w:rsidRPr="00522CE0">
              <w:rPr>
                <w:sz w:val="20"/>
                <w:szCs w:val="20"/>
              </w:rPr>
              <w:t>Does Biosimilar Bevacizumab Ofer Affordable Treatment Options for Cancer Patients in the USA? A Budget Impact Analysis from US Commercial and Medicare Payer Perspectives</w:t>
            </w:r>
          </w:p>
        </w:tc>
        <w:tc>
          <w:tcPr>
            <w:tcW w:w="4530" w:type="dxa"/>
          </w:tcPr>
          <w:p w14:paraId="2C52B7DC" w14:textId="77777777" w:rsidR="00AD7CB4" w:rsidRPr="00522CE0" w:rsidRDefault="00AD7CB4" w:rsidP="00181AC0">
            <w:pPr>
              <w:jc w:val="both"/>
              <w:rPr>
                <w:sz w:val="20"/>
                <w:szCs w:val="20"/>
              </w:rPr>
            </w:pPr>
            <w:r w:rsidRPr="00522CE0">
              <w:rPr>
                <w:sz w:val="20"/>
                <w:szCs w:val="20"/>
              </w:rPr>
              <w:t xml:space="preserve">There is evidence of substantial cost savings from the introduction of Bevacizumab-bvzr compared to its reference product, from the US taxpayer perspective. </w:t>
            </w:r>
          </w:p>
        </w:tc>
      </w:tr>
      <w:tr w:rsidR="00522CE0" w:rsidRPr="00522CE0" w14:paraId="6BFBCF01" w14:textId="77777777" w:rsidTr="00181AC0">
        <w:tc>
          <w:tcPr>
            <w:tcW w:w="421" w:type="dxa"/>
          </w:tcPr>
          <w:p w14:paraId="2A6999FC" w14:textId="77777777" w:rsidR="00AD7CB4" w:rsidRPr="00522CE0" w:rsidRDefault="00AD7CB4" w:rsidP="00181AC0">
            <w:pPr>
              <w:jc w:val="both"/>
              <w:rPr>
                <w:sz w:val="20"/>
                <w:szCs w:val="20"/>
              </w:rPr>
            </w:pPr>
            <w:r w:rsidRPr="00522CE0">
              <w:rPr>
                <w:sz w:val="20"/>
                <w:szCs w:val="20"/>
              </w:rPr>
              <w:t>10</w:t>
            </w:r>
          </w:p>
        </w:tc>
        <w:tc>
          <w:tcPr>
            <w:tcW w:w="1275" w:type="dxa"/>
          </w:tcPr>
          <w:p w14:paraId="3045287F" w14:textId="77777777" w:rsidR="00AD7CB4" w:rsidRPr="00522CE0" w:rsidRDefault="00AD7CB4" w:rsidP="00181AC0">
            <w:pPr>
              <w:rPr>
                <w:sz w:val="20"/>
                <w:szCs w:val="20"/>
              </w:rPr>
            </w:pPr>
            <w:r w:rsidRPr="00522CE0">
              <w:rPr>
                <w:sz w:val="20"/>
                <w:szCs w:val="20"/>
              </w:rPr>
              <w:t xml:space="preserve">Cornes &amp; Krendyukov, </w:t>
            </w:r>
          </w:p>
          <w:p w14:paraId="682F62B5" w14:textId="77777777" w:rsidR="00AD7CB4" w:rsidRPr="00522CE0" w:rsidRDefault="00AD7CB4" w:rsidP="00181AC0">
            <w:pPr>
              <w:jc w:val="both"/>
              <w:rPr>
                <w:sz w:val="20"/>
                <w:szCs w:val="20"/>
              </w:rPr>
            </w:pPr>
            <w:r w:rsidRPr="00522CE0">
              <w:rPr>
                <w:sz w:val="20"/>
                <w:szCs w:val="20"/>
              </w:rPr>
              <w:t>2019, Germany, UK</w:t>
            </w:r>
          </w:p>
        </w:tc>
        <w:tc>
          <w:tcPr>
            <w:tcW w:w="1418" w:type="dxa"/>
          </w:tcPr>
          <w:p w14:paraId="7CEA9A09" w14:textId="77777777" w:rsidR="00AD7CB4" w:rsidRPr="00522CE0" w:rsidRDefault="00AD7CB4" w:rsidP="00181AC0">
            <w:pPr>
              <w:jc w:val="both"/>
              <w:rPr>
                <w:sz w:val="20"/>
                <w:szCs w:val="20"/>
              </w:rPr>
            </w:pPr>
            <w:r w:rsidRPr="00522CE0">
              <w:rPr>
                <w:sz w:val="20"/>
                <w:szCs w:val="20"/>
              </w:rPr>
              <w:t xml:space="preserve">Randomised studies </w:t>
            </w:r>
          </w:p>
        </w:tc>
        <w:tc>
          <w:tcPr>
            <w:tcW w:w="1984" w:type="dxa"/>
          </w:tcPr>
          <w:p w14:paraId="4F2434C5" w14:textId="77777777" w:rsidR="00AD7CB4" w:rsidRPr="00522CE0" w:rsidRDefault="00AD7CB4" w:rsidP="00181AC0">
            <w:pPr>
              <w:jc w:val="both"/>
              <w:rPr>
                <w:sz w:val="20"/>
                <w:szCs w:val="20"/>
              </w:rPr>
            </w:pPr>
            <w:r w:rsidRPr="00522CE0">
              <w:rPr>
                <w:sz w:val="20"/>
                <w:szCs w:val="20"/>
              </w:rPr>
              <w:t>The Evolution of Value with Filgrastim in Oncology</w:t>
            </w:r>
          </w:p>
        </w:tc>
        <w:tc>
          <w:tcPr>
            <w:tcW w:w="4530" w:type="dxa"/>
          </w:tcPr>
          <w:p w14:paraId="3B0939D1" w14:textId="77777777" w:rsidR="00AD7CB4" w:rsidRPr="00522CE0" w:rsidRDefault="00AD7CB4" w:rsidP="00181AC0">
            <w:pPr>
              <w:jc w:val="both"/>
              <w:rPr>
                <w:sz w:val="20"/>
                <w:szCs w:val="20"/>
              </w:rPr>
            </w:pPr>
            <w:r w:rsidRPr="00522CE0">
              <w:rPr>
                <w:sz w:val="20"/>
                <w:szCs w:val="20"/>
              </w:rPr>
              <w:t xml:space="preserve">Shows generic cost savings of the biosimilar of the drug filgastrim, in oncology. </w:t>
            </w:r>
          </w:p>
        </w:tc>
      </w:tr>
      <w:tr w:rsidR="00522CE0" w:rsidRPr="00522CE0" w14:paraId="6BBCA672" w14:textId="77777777" w:rsidTr="00181AC0">
        <w:tc>
          <w:tcPr>
            <w:tcW w:w="421" w:type="dxa"/>
          </w:tcPr>
          <w:p w14:paraId="36414F87" w14:textId="77777777" w:rsidR="00AD7CB4" w:rsidRPr="00522CE0" w:rsidRDefault="00AD7CB4" w:rsidP="00181AC0">
            <w:pPr>
              <w:jc w:val="both"/>
              <w:rPr>
                <w:sz w:val="20"/>
                <w:szCs w:val="20"/>
              </w:rPr>
            </w:pPr>
            <w:r w:rsidRPr="00522CE0">
              <w:rPr>
                <w:sz w:val="20"/>
                <w:szCs w:val="20"/>
              </w:rPr>
              <w:t xml:space="preserve">13 </w:t>
            </w:r>
          </w:p>
        </w:tc>
        <w:tc>
          <w:tcPr>
            <w:tcW w:w="1275" w:type="dxa"/>
          </w:tcPr>
          <w:p w14:paraId="0294B2C2" w14:textId="77777777" w:rsidR="00AD7CB4" w:rsidRPr="00522CE0" w:rsidRDefault="00AD7CB4" w:rsidP="00181AC0">
            <w:pPr>
              <w:jc w:val="both"/>
              <w:rPr>
                <w:sz w:val="20"/>
                <w:szCs w:val="20"/>
              </w:rPr>
            </w:pPr>
            <w:r w:rsidRPr="00522CE0">
              <w:rPr>
                <w:sz w:val="20"/>
                <w:szCs w:val="20"/>
              </w:rPr>
              <w:t xml:space="preserve">Niazi, 2023, USA </w:t>
            </w:r>
          </w:p>
        </w:tc>
        <w:tc>
          <w:tcPr>
            <w:tcW w:w="1418" w:type="dxa"/>
          </w:tcPr>
          <w:p w14:paraId="1D9A5F3F" w14:textId="77777777" w:rsidR="00AD7CB4" w:rsidRPr="00522CE0" w:rsidRDefault="00AD7CB4" w:rsidP="00181AC0">
            <w:pPr>
              <w:jc w:val="both"/>
              <w:rPr>
                <w:sz w:val="20"/>
                <w:szCs w:val="20"/>
              </w:rPr>
            </w:pPr>
            <w:r w:rsidRPr="00522CE0">
              <w:rPr>
                <w:sz w:val="20"/>
                <w:szCs w:val="20"/>
              </w:rPr>
              <w:t>Observational studies</w:t>
            </w:r>
          </w:p>
        </w:tc>
        <w:tc>
          <w:tcPr>
            <w:tcW w:w="1984" w:type="dxa"/>
          </w:tcPr>
          <w:p w14:paraId="4644B228" w14:textId="77777777" w:rsidR="00AD7CB4" w:rsidRPr="00522CE0" w:rsidRDefault="00AD7CB4" w:rsidP="00181AC0">
            <w:pPr>
              <w:jc w:val="both"/>
              <w:rPr>
                <w:sz w:val="20"/>
                <w:szCs w:val="20"/>
              </w:rPr>
            </w:pPr>
            <w:r w:rsidRPr="00522CE0">
              <w:rPr>
                <w:sz w:val="20"/>
                <w:szCs w:val="20"/>
              </w:rPr>
              <w:t>RNA Therapeutics: A Healthcare Paradigm Shift</w:t>
            </w:r>
          </w:p>
        </w:tc>
        <w:tc>
          <w:tcPr>
            <w:tcW w:w="4530" w:type="dxa"/>
          </w:tcPr>
          <w:p w14:paraId="547370D6" w14:textId="77777777" w:rsidR="00AD7CB4" w:rsidRPr="00522CE0" w:rsidRDefault="00AD7CB4" w:rsidP="00181AC0">
            <w:pPr>
              <w:jc w:val="both"/>
              <w:rPr>
                <w:sz w:val="20"/>
                <w:szCs w:val="20"/>
              </w:rPr>
            </w:pPr>
            <w:r w:rsidRPr="00522CE0">
              <w:rPr>
                <w:sz w:val="20"/>
                <w:szCs w:val="20"/>
              </w:rPr>
              <w:t xml:space="preserve">Cost analysis of synthetic RNA products is conducted in relation to time. </w:t>
            </w:r>
          </w:p>
        </w:tc>
      </w:tr>
      <w:tr w:rsidR="00522CE0" w:rsidRPr="00522CE0" w14:paraId="58332062" w14:textId="77777777" w:rsidTr="00181AC0">
        <w:tc>
          <w:tcPr>
            <w:tcW w:w="421" w:type="dxa"/>
          </w:tcPr>
          <w:p w14:paraId="3F4A420D" w14:textId="77777777" w:rsidR="00AD7CB4" w:rsidRPr="00522CE0" w:rsidRDefault="00AD7CB4" w:rsidP="00181AC0">
            <w:pPr>
              <w:jc w:val="both"/>
              <w:rPr>
                <w:sz w:val="20"/>
                <w:szCs w:val="20"/>
              </w:rPr>
            </w:pPr>
            <w:r w:rsidRPr="00522CE0">
              <w:rPr>
                <w:sz w:val="20"/>
                <w:szCs w:val="20"/>
              </w:rPr>
              <w:t>15</w:t>
            </w:r>
          </w:p>
        </w:tc>
        <w:tc>
          <w:tcPr>
            <w:tcW w:w="1275" w:type="dxa"/>
          </w:tcPr>
          <w:p w14:paraId="1ED4B016" w14:textId="77777777" w:rsidR="00AD7CB4" w:rsidRPr="00522CE0" w:rsidRDefault="00AD7CB4" w:rsidP="00181AC0">
            <w:pPr>
              <w:jc w:val="both"/>
              <w:rPr>
                <w:sz w:val="20"/>
                <w:szCs w:val="20"/>
                <w:lang w:val="es-ES"/>
              </w:rPr>
            </w:pPr>
            <w:r w:rsidRPr="00522CE0">
              <w:rPr>
                <w:sz w:val="20"/>
                <w:szCs w:val="20"/>
                <w:lang w:val="es-ES"/>
              </w:rPr>
              <w:t>Yang et al., 2019(a), China</w:t>
            </w:r>
          </w:p>
        </w:tc>
        <w:tc>
          <w:tcPr>
            <w:tcW w:w="1418" w:type="dxa"/>
          </w:tcPr>
          <w:p w14:paraId="6073FAC8" w14:textId="77777777" w:rsidR="00AD7CB4" w:rsidRPr="00522CE0" w:rsidRDefault="00AD7CB4" w:rsidP="00181AC0">
            <w:pPr>
              <w:jc w:val="both"/>
              <w:rPr>
                <w:sz w:val="20"/>
                <w:szCs w:val="20"/>
              </w:rPr>
            </w:pPr>
            <w:r w:rsidRPr="00522CE0">
              <w:rPr>
                <w:sz w:val="20"/>
                <w:szCs w:val="20"/>
              </w:rPr>
              <w:t xml:space="preserve">Randomized studies </w:t>
            </w:r>
          </w:p>
        </w:tc>
        <w:tc>
          <w:tcPr>
            <w:tcW w:w="1984" w:type="dxa"/>
          </w:tcPr>
          <w:p w14:paraId="5C68ACBC" w14:textId="77777777" w:rsidR="00AD7CB4" w:rsidRPr="00522CE0" w:rsidRDefault="00AD7CB4" w:rsidP="00181AC0">
            <w:pPr>
              <w:jc w:val="both"/>
              <w:rPr>
                <w:sz w:val="20"/>
                <w:szCs w:val="20"/>
              </w:rPr>
            </w:pPr>
            <w:r w:rsidRPr="00522CE0">
              <w:rPr>
                <w:sz w:val="20"/>
                <w:szCs w:val="20"/>
              </w:rPr>
              <w:t xml:space="preserve">Biosimilar candidate IBI305 plus paclitaxel/carboplatin for the treatment of non-squamous non-small cell lung cancer </w:t>
            </w:r>
          </w:p>
          <w:p w14:paraId="36B79F95" w14:textId="77777777" w:rsidR="00AD7CB4" w:rsidRPr="00522CE0" w:rsidRDefault="00AD7CB4" w:rsidP="00181AC0">
            <w:pPr>
              <w:jc w:val="both"/>
              <w:rPr>
                <w:sz w:val="20"/>
                <w:szCs w:val="20"/>
              </w:rPr>
            </w:pPr>
          </w:p>
        </w:tc>
        <w:tc>
          <w:tcPr>
            <w:tcW w:w="4530" w:type="dxa"/>
          </w:tcPr>
          <w:p w14:paraId="3D71F790" w14:textId="77777777" w:rsidR="00AD7CB4" w:rsidRPr="00522CE0" w:rsidRDefault="00AD7CB4" w:rsidP="00181AC0">
            <w:pPr>
              <w:jc w:val="both"/>
              <w:rPr>
                <w:sz w:val="20"/>
                <w:szCs w:val="20"/>
              </w:rPr>
            </w:pPr>
            <w:r w:rsidRPr="00522CE0">
              <w:rPr>
                <w:sz w:val="20"/>
                <w:szCs w:val="20"/>
              </w:rPr>
              <w:t xml:space="preserve">IBI305 has been shown to be similar to Bevacizumab in terms of efficacy and safety. </w:t>
            </w:r>
          </w:p>
        </w:tc>
      </w:tr>
      <w:tr w:rsidR="00522CE0" w:rsidRPr="00522CE0" w14:paraId="7D4F54DF" w14:textId="77777777" w:rsidTr="00181AC0">
        <w:tc>
          <w:tcPr>
            <w:tcW w:w="421" w:type="dxa"/>
          </w:tcPr>
          <w:p w14:paraId="3C6E3DF9" w14:textId="77777777" w:rsidR="00AD7CB4" w:rsidRPr="00522CE0" w:rsidRDefault="00AD7CB4" w:rsidP="00181AC0">
            <w:pPr>
              <w:jc w:val="both"/>
              <w:rPr>
                <w:sz w:val="20"/>
                <w:szCs w:val="20"/>
              </w:rPr>
            </w:pPr>
            <w:r w:rsidRPr="00522CE0">
              <w:rPr>
                <w:sz w:val="20"/>
                <w:szCs w:val="20"/>
              </w:rPr>
              <w:t>16</w:t>
            </w:r>
          </w:p>
        </w:tc>
        <w:tc>
          <w:tcPr>
            <w:tcW w:w="1275" w:type="dxa"/>
          </w:tcPr>
          <w:p w14:paraId="6C4C4249" w14:textId="77777777" w:rsidR="00AD7CB4" w:rsidRPr="00522CE0" w:rsidRDefault="00AD7CB4" w:rsidP="00181AC0">
            <w:pPr>
              <w:jc w:val="both"/>
              <w:rPr>
                <w:sz w:val="20"/>
                <w:szCs w:val="20"/>
              </w:rPr>
            </w:pPr>
            <w:r w:rsidRPr="00522CE0">
              <w:rPr>
                <w:sz w:val="20"/>
                <w:szCs w:val="20"/>
              </w:rPr>
              <w:t>Chen et al., 2023, various OECD countries</w:t>
            </w:r>
          </w:p>
        </w:tc>
        <w:tc>
          <w:tcPr>
            <w:tcW w:w="1418" w:type="dxa"/>
          </w:tcPr>
          <w:p w14:paraId="4497D9A3" w14:textId="77777777" w:rsidR="00AD7CB4" w:rsidRPr="00522CE0" w:rsidRDefault="00AD7CB4" w:rsidP="00181AC0">
            <w:pPr>
              <w:jc w:val="both"/>
              <w:rPr>
                <w:sz w:val="20"/>
                <w:szCs w:val="20"/>
              </w:rPr>
            </w:pPr>
            <w:r w:rsidRPr="00522CE0">
              <w:rPr>
                <w:sz w:val="20"/>
                <w:szCs w:val="20"/>
              </w:rPr>
              <w:t>Non-Randomized studies</w:t>
            </w:r>
          </w:p>
        </w:tc>
        <w:tc>
          <w:tcPr>
            <w:tcW w:w="1984" w:type="dxa"/>
          </w:tcPr>
          <w:p w14:paraId="10852A71" w14:textId="77777777" w:rsidR="00AD7CB4" w:rsidRPr="00522CE0" w:rsidRDefault="00AD7CB4" w:rsidP="00181AC0">
            <w:pPr>
              <w:jc w:val="both"/>
              <w:rPr>
                <w:sz w:val="20"/>
                <w:szCs w:val="20"/>
              </w:rPr>
            </w:pPr>
            <w:r w:rsidRPr="00522CE0">
              <w:rPr>
                <w:sz w:val="20"/>
                <w:szCs w:val="20"/>
              </w:rPr>
              <w:t>Can we predict who will benefit most from biologics in severe asthma? A post-hoc analysis of two phase 3 trials</w:t>
            </w:r>
          </w:p>
        </w:tc>
        <w:tc>
          <w:tcPr>
            <w:tcW w:w="4530" w:type="dxa"/>
          </w:tcPr>
          <w:p w14:paraId="5FB9FDED" w14:textId="77777777" w:rsidR="00AD7CB4" w:rsidRPr="00522CE0" w:rsidRDefault="00AD7CB4" w:rsidP="00181AC0">
            <w:pPr>
              <w:jc w:val="both"/>
              <w:rPr>
                <w:sz w:val="20"/>
                <w:szCs w:val="20"/>
              </w:rPr>
            </w:pPr>
            <w:r w:rsidRPr="00522CE0">
              <w:rPr>
                <w:sz w:val="20"/>
                <w:szCs w:val="20"/>
              </w:rPr>
              <w:t xml:space="preserve">The study aims to investigate the combined ability of patient characteristics to predict response to treatment with Mepolizumab in patients with severe asthma. There is marked variability in the ability of patient characteristics to predict response to treatment. </w:t>
            </w:r>
          </w:p>
        </w:tc>
      </w:tr>
      <w:tr w:rsidR="00522CE0" w:rsidRPr="00522CE0" w14:paraId="36846658" w14:textId="77777777" w:rsidTr="00181AC0">
        <w:tc>
          <w:tcPr>
            <w:tcW w:w="421" w:type="dxa"/>
          </w:tcPr>
          <w:p w14:paraId="6777DECD" w14:textId="77777777" w:rsidR="00AD7CB4" w:rsidRPr="00522CE0" w:rsidRDefault="00AD7CB4" w:rsidP="00181AC0">
            <w:pPr>
              <w:jc w:val="both"/>
              <w:rPr>
                <w:sz w:val="20"/>
                <w:szCs w:val="20"/>
              </w:rPr>
            </w:pPr>
            <w:r w:rsidRPr="00522CE0">
              <w:rPr>
                <w:sz w:val="20"/>
                <w:szCs w:val="20"/>
              </w:rPr>
              <w:t>17</w:t>
            </w:r>
          </w:p>
        </w:tc>
        <w:tc>
          <w:tcPr>
            <w:tcW w:w="1275" w:type="dxa"/>
          </w:tcPr>
          <w:p w14:paraId="7CAB5EF9" w14:textId="77777777" w:rsidR="00AD7CB4" w:rsidRPr="00522CE0" w:rsidRDefault="00AD7CB4" w:rsidP="00181AC0">
            <w:pPr>
              <w:jc w:val="both"/>
              <w:rPr>
                <w:sz w:val="20"/>
                <w:szCs w:val="20"/>
                <w:lang w:val="es-ES"/>
              </w:rPr>
            </w:pPr>
            <w:r w:rsidRPr="00522CE0">
              <w:rPr>
                <w:sz w:val="20"/>
                <w:szCs w:val="20"/>
                <w:lang w:val="es-ES"/>
              </w:rPr>
              <w:t>Yang et al., 2019(b), China</w:t>
            </w:r>
          </w:p>
        </w:tc>
        <w:tc>
          <w:tcPr>
            <w:tcW w:w="1418" w:type="dxa"/>
          </w:tcPr>
          <w:p w14:paraId="55676400" w14:textId="77777777" w:rsidR="00AD7CB4" w:rsidRPr="00522CE0" w:rsidRDefault="00AD7CB4" w:rsidP="00181AC0">
            <w:pPr>
              <w:jc w:val="both"/>
              <w:rPr>
                <w:sz w:val="20"/>
                <w:szCs w:val="20"/>
              </w:rPr>
            </w:pPr>
            <w:r w:rsidRPr="00522CE0">
              <w:rPr>
                <w:sz w:val="20"/>
                <w:szCs w:val="20"/>
              </w:rPr>
              <w:t xml:space="preserve">Randomised studies </w:t>
            </w:r>
          </w:p>
        </w:tc>
        <w:tc>
          <w:tcPr>
            <w:tcW w:w="1984" w:type="dxa"/>
          </w:tcPr>
          <w:p w14:paraId="7A74436A" w14:textId="77777777" w:rsidR="00AD7CB4" w:rsidRPr="00522CE0" w:rsidRDefault="00AD7CB4" w:rsidP="00181AC0">
            <w:pPr>
              <w:jc w:val="both"/>
              <w:rPr>
                <w:sz w:val="20"/>
                <w:szCs w:val="20"/>
              </w:rPr>
            </w:pPr>
            <w:r w:rsidRPr="00522CE0">
              <w:rPr>
                <w:sz w:val="20"/>
                <w:szCs w:val="20"/>
              </w:rPr>
              <w:t>Efficacy and Safety of Anti-cancer Biosimilars Compared to Reference Biologics in Oncology: A Systematic Review and Meta-Analysis of Randomized Controlled Trials</w:t>
            </w:r>
          </w:p>
        </w:tc>
        <w:tc>
          <w:tcPr>
            <w:tcW w:w="4530" w:type="dxa"/>
          </w:tcPr>
          <w:p w14:paraId="594B3D88" w14:textId="77777777" w:rsidR="00AD7CB4" w:rsidRPr="00522CE0" w:rsidRDefault="00AD7CB4" w:rsidP="00181AC0">
            <w:pPr>
              <w:jc w:val="both"/>
              <w:rPr>
                <w:sz w:val="20"/>
                <w:szCs w:val="20"/>
              </w:rPr>
            </w:pPr>
            <w:r w:rsidRPr="00522CE0">
              <w:rPr>
                <w:sz w:val="20"/>
                <w:szCs w:val="20"/>
              </w:rPr>
              <w:t xml:space="preserve">Existing evidence suggests highly comparable efficacy and safety profiles between cancer biosimilars compared to reference biologics in oncology. </w:t>
            </w:r>
          </w:p>
        </w:tc>
      </w:tr>
      <w:tr w:rsidR="00522CE0" w:rsidRPr="00522CE0" w14:paraId="19F2C16C" w14:textId="77777777" w:rsidTr="00181AC0">
        <w:tc>
          <w:tcPr>
            <w:tcW w:w="421" w:type="dxa"/>
          </w:tcPr>
          <w:p w14:paraId="105712F1" w14:textId="77777777" w:rsidR="00AD7CB4" w:rsidRPr="00522CE0" w:rsidRDefault="00AD7CB4" w:rsidP="00181AC0">
            <w:pPr>
              <w:jc w:val="both"/>
              <w:rPr>
                <w:sz w:val="20"/>
                <w:szCs w:val="20"/>
              </w:rPr>
            </w:pPr>
            <w:r w:rsidRPr="00522CE0">
              <w:rPr>
                <w:sz w:val="20"/>
                <w:szCs w:val="20"/>
              </w:rPr>
              <w:t>18</w:t>
            </w:r>
          </w:p>
        </w:tc>
        <w:tc>
          <w:tcPr>
            <w:tcW w:w="1275" w:type="dxa"/>
          </w:tcPr>
          <w:p w14:paraId="777E5A46" w14:textId="77777777" w:rsidR="00AD7CB4" w:rsidRPr="00522CE0" w:rsidRDefault="00AD7CB4" w:rsidP="00181AC0">
            <w:pPr>
              <w:jc w:val="both"/>
              <w:rPr>
                <w:sz w:val="20"/>
                <w:szCs w:val="20"/>
              </w:rPr>
            </w:pPr>
            <w:r w:rsidRPr="00522CE0">
              <w:rPr>
                <w:sz w:val="20"/>
                <w:szCs w:val="20"/>
              </w:rPr>
              <w:t>Wan et al., 2021, China</w:t>
            </w:r>
          </w:p>
        </w:tc>
        <w:tc>
          <w:tcPr>
            <w:tcW w:w="1418" w:type="dxa"/>
          </w:tcPr>
          <w:p w14:paraId="455A2E82" w14:textId="77777777" w:rsidR="00AD7CB4" w:rsidRPr="00522CE0" w:rsidRDefault="00AD7CB4" w:rsidP="00181AC0">
            <w:pPr>
              <w:jc w:val="both"/>
              <w:rPr>
                <w:sz w:val="20"/>
                <w:szCs w:val="20"/>
              </w:rPr>
            </w:pPr>
            <w:r w:rsidRPr="00522CE0">
              <w:rPr>
                <w:sz w:val="20"/>
                <w:szCs w:val="20"/>
              </w:rPr>
              <w:t>Randomised studies</w:t>
            </w:r>
          </w:p>
        </w:tc>
        <w:tc>
          <w:tcPr>
            <w:tcW w:w="1984" w:type="dxa"/>
          </w:tcPr>
          <w:p w14:paraId="2FB70D77" w14:textId="77777777" w:rsidR="00AD7CB4" w:rsidRPr="00522CE0" w:rsidRDefault="00AD7CB4" w:rsidP="00181AC0">
            <w:pPr>
              <w:jc w:val="both"/>
              <w:rPr>
                <w:sz w:val="20"/>
                <w:szCs w:val="20"/>
              </w:rPr>
            </w:pPr>
            <w:r w:rsidRPr="00522CE0">
              <w:rPr>
                <w:sz w:val="20"/>
                <w:szCs w:val="20"/>
              </w:rPr>
              <w:t>Efficacy and safety of MIL60 compared with bevacizumab in advanced or recurrent non-squamous non-small cell lung cancer: a phase 3 randomized, double-blind study</w:t>
            </w:r>
          </w:p>
        </w:tc>
        <w:tc>
          <w:tcPr>
            <w:tcW w:w="4530" w:type="dxa"/>
          </w:tcPr>
          <w:p w14:paraId="1C8C58B6" w14:textId="77777777" w:rsidR="00AD7CB4" w:rsidRPr="00522CE0" w:rsidRDefault="00AD7CB4" w:rsidP="00181AC0">
            <w:pPr>
              <w:jc w:val="both"/>
              <w:rPr>
                <w:sz w:val="20"/>
                <w:szCs w:val="20"/>
              </w:rPr>
            </w:pPr>
            <w:r w:rsidRPr="00522CE0">
              <w:rPr>
                <w:sz w:val="20"/>
                <w:szCs w:val="20"/>
              </w:rPr>
              <w:t xml:space="preserve">This study found therapeutic equality between MIL60 and Bevacizumab when joint with paclitaxel/carboplatin. </w:t>
            </w:r>
          </w:p>
          <w:p w14:paraId="4F3406B9" w14:textId="77777777" w:rsidR="00AD7CB4" w:rsidRPr="00522CE0" w:rsidRDefault="00AD7CB4" w:rsidP="00181AC0">
            <w:pPr>
              <w:jc w:val="both"/>
              <w:rPr>
                <w:sz w:val="20"/>
                <w:szCs w:val="20"/>
              </w:rPr>
            </w:pPr>
          </w:p>
        </w:tc>
      </w:tr>
      <w:tr w:rsidR="00522CE0" w:rsidRPr="00522CE0" w14:paraId="34056331" w14:textId="77777777" w:rsidTr="00181AC0">
        <w:tc>
          <w:tcPr>
            <w:tcW w:w="421" w:type="dxa"/>
          </w:tcPr>
          <w:p w14:paraId="10F31A63" w14:textId="77777777" w:rsidR="00AD7CB4" w:rsidRPr="00522CE0" w:rsidRDefault="00AD7CB4" w:rsidP="00181AC0">
            <w:pPr>
              <w:jc w:val="both"/>
              <w:rPr>
                <w:sz w:val="20"/>
                <w:szCs w:val="20"/>
              </w:rPr>
            </w:pPr>
            <w:r w:rsidRPr="00522CE0">
              <w:rPr>
                <w:sz w:val="20"/>
                <w:szCs w:val="20"/>
              </w:rPr>
              <w:lastRenderedPageBreak/>
              <w:t xml:space="preserve">20 </w:t>
            </w:r>
          </w:p>
        </w:tc>
        <w:tc>
          <w:tcPr>
            <w:tcW w:w="1275" w:type="dxa"/>
          </w:tcPr>
          <w:p w14:paraId="59480CBF" w14:textId="77777777" w:rsidR="00AD7CB4" w:rsidRPr="00522CE0" w:rsidRDefault="00AD7CB4" w:rsidP="00181AC0">
            <w:pPr>
              <w:jc w:val="both"/>
              <w:rPr>
                <w:sz w:val="20"/>
                <w:szCs w:val="20"/>
              </w:rPr>
            </w:pPr>
            <w:r w:rsidRPr="00522CE0">
              <w:rPr>
                <w:sz w:val="20"/>
                <w:szCs w:val="20"/>
              </w:rPr>
              <w:t>Shi et al., 2021, China</w:t>
            </w:r>
          </w:p>
        </w:tc>
        <w:tc>
          <w:tcPr>
            <w:tcW w:w="1418" w:type="dxa"/>
          </w:tcPr>
          <w:p w14:paraId="3C1DF1D9" w14:textId="77777777" w:rsidR="00AD7CB4" w:rsidRPr="00522CE0" w:rsidRDefault="00AD7CB4" w:rsidP="00181AC0">
            <w:pPr>
              <w:jc w:val="both"/>
              <w:rPr>
                <w:sz w:val="20"/>
                <w:szCs w:val="20"/>
              </w:rPr>
            </w:pPr>
            <w:r w:rsidRPr="00522CE0">
              <w:rPr>
                <w:sz w:val="20"/>
                <w:szCs w:val="20"/>
              </w:rPr>
              <w:t>Randomized studies</w:t>
            </w:r>
          </w:p>
        </w:tc>
        <w:tc>
          <w:tcPr>
            <w:tcW w:w="1984" w:type="dxa"/>
          </w:tcPr>
          <w:p w14:paraId="63D3F256" w14:textId="77777777" w:rsidR="00AD7CB4" w:rsidRPr="00522CE0" w:rsidRDefault="00AD7CB4" w:rsidP="00181AC0">
            <w:pPr>
              <w:jc w:val="both"/>
              <w:rPr>
                <w:sz w:val="20"/>
                <w:szCs w:val="20"/>
              </w:rPr>
            </w:pPr>
            <w:r w:rsidRPr="00522CE0">
              <w:rPr>
                <w:sz w:val="20"/>
                <w:szCs w:val="20"/>
              </w:rPr>
              <w:t>Bevacizumab biosimilar LY01008 compared with bevacizumab (Avastin) as first-line treatment for Chinese patients with unresectable, metastatic, or recurrent non-squamous non–small-cell lung cancer: A multicenter, randomized, double-blinded, phase III trial</w:t>
            </w:r>
          </w:p>
        </w:tc>
        <w:tc>
          <w:tcPr>
            <w:tcW w:w="4530" w:type="dxa"/>
          </w:tcPr>
          <w:p w14:paraId="5504CBA5" w14:textId="77777777" w:rsidR="00AD7CB4" w:rsidRPr="00522CE0" w:rsidRDefault="00AD7CB4" w:rsidP="00181AC0">
            <w:pPr>
              <w:shd w:val="clear" w:color="auto" w:fill="FFFFFF"/>
              <w:jc w:val="both"/>
              <w:rPr>
                <w:sz w:val="20"/>
                <w:szCs w:val="20"/>
              </w:rPr>
            </w:pPr>
            <w:r w:rsidRPr="00522CE0">
              <w:rPr>
                <w:sz w:val="20"/>
                <w:szCs w:val="20"/>
              </w:rPr>
              <w:t xml:space="preserve">This randomized, controlled trial compares the efficacy and safety of LY01008 with Avastin in the first-line treatment of Chinese patients with advanced or recurrent non-squamous non-small cell lung cancer (NSCLC), demonstrating the similarity of the two drugs in terms of efficacy and safety. </w:t>
            </w:r>
          </w:p>
        </w:tc>
      </w:tr>
      <w:tr w:rsidR="00522CE0" w:rsidRPr="00522CE0" w14:paraId="4048BF58" w14:textId="77777777" w:rsidTr="00181AC0">
        <w:tc>
          <w:tcPr>
            <w:tcW w:w="421" w:type="dxa"/>
          </w:tcPr>
          <w:p w14:paraId="4DBB1801" w14:textId="77777777" w:rsidR="00AD7CB4" w:rsidRPr="00522CE0" w:rsidRDefault="00AD7CB4" w:rsidP="00181AC0">
            <w:pPr>
              <w:jc w:val="both"/>
              <w:rPr>
                <w:sz w:val="20"/>
                <w:szCs w:val="20"/>
              </w:rPr>
            </w:pPr>
            <w:r w:rsidRPr="00522CE0">
              <w:rPr>
                <w:sz w:val="20"/>
                <w:szCs w:val="20"/>
              </w:rPr>
              <w:t>22</w:t>
            </w:r>
          </w:p>
        </w:tc>
        <w:tc>
          <w:tcPr>
            <w:tcW w:w="1275" w:type="dxa"/>
          </w:tcPr>
          <w:p w14:paraId="1D94C9F6" w14:textId="77777777" w:rsidR="00AD7CB4" w:rsidRPr="00522CE0" w:rsidRDefault="00AD7CB4" w:rsidP="00181AC0">
            <w:pPr>
              <w:jc w:val="both"/>
              <w:rPr>
                <w:sz w:val="20"/>
                <w:szCs w:val="20"/>
              </w:rPr>
            </w:pPr>
            <w:r w:rsidRPr="00522CE0">
              <w:rPr>
                <w:sz w:val="20"/>
                <w:szCs w:val="20"/>
              </w:rPr>
              <w:t>Kotoulas et al., 2022, Greece</w:t>
            </w:r>
          </w:p>
        </w:tc>
        <w:tc>
          <w:tcPr>
            <w:tcW w:w="1418" w:type="dxa"/>
          </w:tcPr>
          <w:p w14:paraId="7014B5E9" w14:textId="77777777" w:rsidR="00AD7CB4" w:rsidRPr="00522CE0" w:rsidRDefault="00AD7CB4" w:rsidP="00181AC0">
            <w:pPr>
              <w:jc w:val="both"/>
              <w:rPr>
                <w:sz w:val="20"/>
                <w:szCs w:val="20"/>
              </w:rPr>
            </w:pPr>
            <w:r w:rsidRPr="00522CE0">
              <w:rPr>
                <w:sz w:val="20"/>
                <w:szCs w:val="20"/>
              </w:rPr>
              <w:t>Literature review</w:t>
            </w:r>
          </w:p>
        </w:tc>
        <w:tc>
          <w:tcPr>
            <w:tcW w:w="1984" w:type="dxa"/>
          </w:tcPr>
          <w:p w14:paraId="659399CA" w14:textId="77777777" w:rsidR="00AD7CB4" w:rsidRPr="00522CE0" w:rsidRDefault="00AD7CB4" w:rsidP="00181AC0">
            <w:pPr>
              <w:jc w:val="both"/>
              <w:rPr>
                <w:sz w:val="20"/>
                <w:szCs w:val="20"/>
              </w:rPr>
            </w:pPr>
            <w:r w:rsidRPr="00522CE0">
              <w:rPr>
                <w:sz w:val="20"/>
                <w:szCs w:val="20"/>
              </w:rPr>
              <w:t>Omalizumab: An Optimal Choice for Patients with Severe Allergic Asthma</w:t>
            </w:r>
          </w:p>
        </w:tc>
        <w:tc>
          <w:tcPr>
            <w:tcW w:w="4530" w:type="dxa"/>
          </w:tcPr>
          <w:p w14:paraId="6A7FB4D2" w14:textId="77777777" w:rsidR="00AD7CB4" w:rsidRPr="00522CE0" w:rsidRDefault="00AD7CB4" w:rsidP="00181AC0">
            <w:pPr>
              <w:jc w:val="both"/>
              <w:rPr>
                <w:sz w:val="20"/>
                <w:szCs w:val="20"/>
              </w:rPr>
            </w:pPr>
            <w:r w:rsidRPr="00522CE0">
              <w:rPr>
                <w:sz w:val="20"/>
                <w:szCs w:val="20"/>
              </w:rPr>
              <w:t>The efficacy and safety of Omalizumab and its association with other asthma- and drug-related parameters are studied. Research indicates that Omalizumab enhances asthma management and decreases both the occurrence and frequency of flare-ups in individuals with severe allergic asthma.</w:t>
            </w:r>
          </w:p>
        </w:tc>
      </w:tr>
      <w:tr w:rsidR="00522CE0" w:rsidRPr="00522CE0" w14:paraId="16BE30BB" w14:textId="77777777" w:rsidTr="00181AC0">
        <w:tc>
          <w:tcPr>
            <w:tcW w:w="421" w:type="dxa"/>
          </w:tcPr>
          <w:p w14:paraId="41E171C1" w14:textId="77777777" w:rsidR="00AD7CB4" w:rsidRPr="00522CE0" w:rsidRDefault="00AD7CB4" w:rsidP="00181AC0">
            <w:pPr>
              <w:jc w:val="both"/>
              <w:rPr>
                <w:sz w:val="20"/>
                <w:szCs w:val="20"/>
              </w:rPr>
            </w:pPr>
            <w:r w:rsidRPr="00522CE0">
              <w:rPr>
                <w:sz w:val="20"/>
                <w:szCs w:val="20"/>
              </w:rPr>
              <w:t>23</w:t>
            </w:r>
          </w:p>
        </w:tc>
        <w:tc>
          <w:tcPr>
            <w:tcW w:w="1275" w:type="dxa"/>
          </w:tcPr>
          <w:p w14:paraId="00D5CA57" w14:textId="77777777" w:rsidR="00AD7CB4" w:rsidRPr="00522CE0" w:rsidRDefault="00AD7CB4" w:rsidP="00181AC0">
            <w:pPr>
              <w:jc w:val="both"/>
              <w:rPr>
                <w:sz w:val="20"/>
                <w:szCs w:val="20"/>
              </w:rPr>
            </w:pPr>
            <w:r w:rsidRPr="00522CE0">
              <w:rPr>
                <w:sz w:val="20"/>
                <w:szCs w:val="20"/>
              </w:rPr>
              <w:t>Malapelle &amp; Rossi, 2019, Italy</w:t>
            </w:r>
            <w:r w:rsidRPr="00522CE0">
              <w:rPr>
                <w:sz w:val="20"/>
                <w:szCs w:val="20"/>
              </w:rPr>
              <w:tab/>
            </w:r>
            <w:r w:rsidRPr="00522CE0">
              <w:rPr>
                <w:sz w:val="20"/>
                <w:szCs w:val="20"/>
              </w:rPr>
              <w:tab/>
            </w:r>
          </w:p>
        </w:tc>
        <w:tc>
          <w:tcPr>
            <w:tcW w:w="1418" w:type="dxa"/>
          </w:tcPr>
          <w:p w14:paraId="24C01B30" w14:textId="77777777" w:rsidR="00AD7CB4" w:rsidRPr="00522CE0" w:rsidRDefault="00AD7CB4" w:rsidP="00181AC0">
            <w:pPr>
              <w:jc w:val="both"/>
              <w:rPr>
                <w:sz w:val="20"/>
                <w:szCs w:val="20"/>
              </w:rPr>
            </w:pPr>
            <w:r w:rsidRPr="00522CE0">
              <w:rPr>
                <w:sz w:val="20"/>
                <w:szCs w:val="20"/>
              </w:rPr>
              <w:t>Literature review</w:t>
            </w:r>
          </w:p>
        </w:tc>
        <w:tc>
          <w:tcPr>
            <w:tcW w:w="1984" w:type="dxa"/>
          </w:tcPr>
          <w:p w14:paraId="78DFC106" w14:textId="77777777" w:rsidR="00AD7CB4" w:rsidRPr="00522CE0" w:rsidRDefault="00AD7CB4" w:rsidP="00181AC0">
            <w:pPr>
              <w:jc w:val="both"/>
              <w:rPr>
                <w:sz w:val="20"/>
                <w:szCs w:val="20"/>
              </w:rPr>
            </w:pPr>
            <w:r w:rsidRPr="00522CE0">
              <w:rPr>
                <w:sz w:val="20"/>
                <w:szCs w:val="20"/>
              </w:rPr>
              <w:t>Emerging angiogenesis inhibitors for non-small cell lung cancer</w:t>
            </w:r>
          </w:p>
        </w:tc>
        <w:tc>
          <w:tcPr>
            <w:tcW w:w="4530" w:type="dxa"/>
          </w:tcPr>
          <w:p w14:paraId="3AFCFE8D" w14:textId="77777777" w:rsidR="00AD7CB4" w:rsidRPr="00522CE0" w:rsidRDefault="00AD7CB4" w:rsidP="00181AC0">
            <w:pPr>
              <w:jc w:val="both"/>
              <w:rPr>
                <w:sz w:val="20"/>
                <w:szCs w:val="20"/>
              </w:rPr>
            </w:pPr>
            <w:r w:rsidRPr="00522CE0">
              <w:rPr>
                <w:sz w:val="20"/>
                <w:szCs w:val="20"/>
              </w:rPr>
              <w:t xml:space="preserve">It has been estimated that the financial cost of Bevacizumab plus chemotherapy versus chemotherapy alone could increase the cost-utility ratio by more than $500,000 per quality-adjusted life year. In the population with adenocarcinoma for each year of life gained, the incremental cost-effectiveness ratio resulting from the addition of Nintedanib Docetaxel would cost 40,886 euros. </w:t>
            </w:r>
          </w:p>
        </w:tc>
      </w:tr>
      <w:tr w:rsidR="00522CE0" w:rsidRPr="00522CE0" w14:paraId="088C9C60" w14:textId="77777777" w:rsidTr="00181AC0">
        <w:tc>
          <w:tcPr>
            <w:tcW w:w="421" w:type="dxa"/>
          </w:tcPr>
          <w:p w14:paraId="196030AE" w14:textId="77777777" w:rsidR="00AD7CB4" w:rsidRPr="00522CE0" w:rsidRDefault="00AD7CB4" w:rsidP="00181AC0">
            <w:pPr>
              <w:jc w:val="both"/>
              <w:rPr>
                <w:sz w:val="20"/>
                <w:szCs w:val="20"/>
              </w:rPr>
            </w:pPr>
            <w:r w:rsidRPr="00522CE0">
              <w:rPr>
                <w:sz w:val="20"/>
                <w:szCs w:val="20"/>
              </w:rPr>
              <w:t>26</w:t>
            </w:r>
          </w:p>
        </w:tc>
        <w:tc>
          <w:tcPr>
            <w:tcW w:w="1275" w:type="dxa"/>
          </w:tcPr>
          <w:p w14:paraId="1A384646" w14:textId="77777777" w:rsidR="00AD7CB4" w:rsidRPr="00522CE0" w:rsidRDefault="00AD7CB4" w:rsidP="00181AC0">
            <w:pPr>
              <w:jc w:val="both"/>
              <w:rPr>
                <w:sz w:val="20"/>
                <w:szCs w:val="20"/>
              </w:rPr>
            </w:pPr>
            <w:r w:rsidRPr="00522CE0">
              <w:rPr>
                <w:sz w:val="20"/>
                <w:szCs w:val="20"/>
              </w:rPr>
              <w:t>Wang et al., 2021, USA</w:t>
            </w:r>
          </w:p>
        </w:tc>
        <w:tc>
          <w:tcPr>
            <w:tcW w:w="1418" w:type="dxa"/>
          </w:tcPr>
          <w:p w14:paraId="7BECB4B5" w14:textId="77777777" w:rsidR="00AD7CB4" w:rsidRPr="00522CE0" w:rsidRDefault="00AD7CB4" w:rsidP="00181AC0">
            <w:pPr>
              <w:jc w:val="both"/>
              <w:rPr>
                <w:sz w:val="20"/>
                <w:szCs w:val="20"/>
              </w:rPr>
            </w:pPr>
            <w:r w:rsidRPr="00522CE0">
              <w:rPr>
                <w:sz w:val="20"/>
                <w:szCs w:val="20"/>
              </w:rPr>
              <w:t>Model-based studies:</w:t>
            </w:r>
            <w:r w:rsidRPr="00522CE0">
              <w:rPr>
                <w:b/>
                <w:sz w:val="20"/>
                <w:szCs w:val="20"/>
              </w:rPr>
              <w:t xml:space="preserve"> </w:t>
            </w:r>
            <w:r w:rsidRPr="00522CE0">
              <w:rPr>
                <w:sz w:val="20"/>
                <w:szCs w:val="20"/>
              </w:rPr>
              <w:t>Parametric survival model and mixture cure model </w:t>
            </w:r>
          </w:p>
        </w:tc>
        <w:tc>
          <w:tcPr>
            <w:tcW w:w="1984" w:type="dxa"/>
          </w:tcPr>
          <w:p w14:paraId="42DD7652" w14:textId="77777777" w:rsidR="00AD7CB4" w:rsidRPr="00522CE0" w:rsidRDefault="00AD7CB4" w:rsidP="00181AC0">
            <w:pPr>
              <w:jc w:val="both"/>
              <w:rPr>
                <w:sz w:val="20"/>
                <w:szCs w:val="20"/>
              </w:rPr>
            </w:pPr>
            <w:r w:rsidRPr="00522CE0">
              <w:rPr>
                <w:sz w:val="20"/>
                <w:szCs w:val="20"/>
              </w:rPr>
              <w:t>Economic Evaluation of First-Line Atezolizumab for Extensive-Stage Small-Cell Lung Cancer in the US</w:t>
            </w:r>
          </w:p>
        </w:tc>
        <w:tc>
          <w:tcPr>
            <w:tcW w:w="4530" w:type="dxa"/>
          </w:tcPr>
          <w:p w14:paraId="4510F74A" w14:textId="77777777" w:rsidR="00AD7CB4" w:rsidRPr="00522CE0" w:rsidRDefault="00AD7CB4" w:rsidP="00181AC0">
            <w:pPr>
              <w:jc w:val="both"/>
              <w:rPr>
                <w:sz w:val="20"/>
                <w:szCs w:val="20"/>
              </w:rPr>
            </w:pPr>
            <w:r w:rsidRPr="00522CE0">
              <w:rPr>
                <w:sz w:val="20"/>
                <w:szCs w:val="20"/>
              </w:rPr>
              <w:t>The use of chemotherapy + Atezolizumab compared to chemotherapy alone resulted in 0.11 additional quality-adjusted life years (QALYs), with an incremental cost of $84,257. The incremental cost-utility ratio (ICUR) was $785,848/QALY. Considering the parametric survival model, Atezolizumab + chemotherapy resulted in 0.10 additional QALYs, with an incremental cost of US$84,257; the ICUR was US$827,610/QALY.</w:t>
            </w:r>
          </w:p>
          <w:p w14:paraId="36EBA102" w14:textId="77777777" w:rsidR="00AD7CB4" w:rsidRPr="00522CE0" w:rsidRDefault="00AD7CB4" w:rsidP="00181AC0">
            <w:pPr>
              <w:jc w:val="both"/>
              <w:rPr>
                <w:sz w:val="20"/>
                <w:szCs w:val="20"/>
              </w:rPr>
            </w:pPr>
            <w:r w:rsidRPr="00522CE0">
              <w:rPr>
                <w:sz w:val="20"/>
                <w:szCs w:val="20"/>
              </w:rPr>
              <w:t xml:space="preserve">In the scenario analysis (PF utility = 0.673, PP utility = 0.473), the results showed that the ICUR was $910,557/QALY and $965,607/QALY. </w:t>
            </w:r>
          </w:p>
        </w:tc>
      </w:tr>
      <w:tr w:rsidR="00522CE0" w:rsidRPr="00522CE0" w14:paraId="4F927EAF" w14:textId="77777777" w:rsidTr="00181AC0">
        <w:tc>
          <w:tcPr>
            <w:tcW w:w="421" w:type="dxa"/>
          </w:tcPr>
          <w:p w14:paraId="1557CFC4" w14:textId="77777777" w:rsidR="00AD7CB4" w:rsidRPr="00522CE0" w:rsidRDefault="00AD7CB4" w:rsidP="00181AC0">
            <w:pPr>
              <w:jc w:val="both"/>
              <w:rPr>
                <w:sz w:val="20"/>
                <w:szCs w:val="20"/>
              </w:rPr>
            </w:pPr>
            <w:r w:rsidRPr="00522CE0">
              <w:rPr>
                <w:sz w:val="20"/>
                <w:szCs w:val="20"/>
              </w:rPr>
              <w:t>34</w:t>
            </w:r>
          </w:p>
        </w:tc>
        <w:tc>
          <w:tcPr>
            <w:tcW w:w="1275" w:type="dxa"/>
          </w:tcPr>
          <w:p w14:paraId="64CA5137" w14:textId="77777777" w:rsidR="00AD7CB4" w:rsidRPr="00522CE0" w:rsidRDefault="00AD7CB4" w:rsidP="00181AC0">
            <w:pPr>
              <w:jc w:val="both"/>
              <w:rPr>
                <w:sz w:val="20"/>
                <w:szCs w:val="20"/>
              </w:rPr>
            </w:pPr>
            <w:r w:rsidRPr="00522CE0">
              <w:rPr>
                <w:sz w:val="20"/>
                <w:szCs w:val="20"/>
              </w:rPr>
              <w:t>Moir, 2023, UK</w:t>
            </w:r>
          </w:p>
        </w:tc>
        <w:tc>
          <w:tcPr>
            <w:tcW w:w="1418" w:type="dxa"/>
          </w:tcPr>
          <w:p w14:paraId="409AA1F8" w14:textId="77777777" w:rsidR="00AD7CB4" w:rsidRPr="00522CE0" w:rsidRDefault="00AD7CB4" w:rsidP="00181AC0">
            <w:pPr>
              <w:jc w:val="both"/>
              <w:rPr>
                <w:sz w:val="20"/>
                <w:szCs w:val="20"/>
              </w:rPr>
            </w:pPr>
            <w:r w:rsidRPr="00522CE0">
              <w:rPr>
                <w:sz w:val="20"/>
                <w:szCs w:val="20"/>
              </w:rPr>
              <w:t xml:space="preserve">Literature review </w:t>
            </w:r>
          </w:p>
        </w:tc>
        <w:tc>
          <w:tcPr>
            <w:tcW w:w="1984" w:type="dxa"/>
          </w:tcPr>
          <w:p w14:paraId="07446BA8" w14:textId="77777777" w:rsidR="00AD7CB4" w:rsidRPr="00522CE0" w:rsidRDefault="00AD7CB4" w:rsidP="00181AC0">
            <w:pPr>
              <w:jc w:val="both"/>
              <w:rPr>
                <w:sz w:val="20"/>
                <w:szCs w:val="20"/>
              </w:rPr>
            </w:pPr>
            <w:r w:rsidRPr="00522CE0">
              <w:rPr>
                <w:sz w:val="20"/>
                <w:szCs w:val="20"/>
              </w:rPr>
              <w:t>Real-World Evidence of Biosimilar Utilisation and Pharmacoeconomics in People Living with Breast or Lung Cancer</w:t>
            </w:r>
          </w:p>
          <w:p w14:paraId="66E2C739" w14:textId="77777777" w:rsidR="00AD7CB4" w:rsidRPr="00522CE0" w:rsidRDefault="00AD7CB4" w:rsidP="00181AC0">
            <w:pPr>
              <w:jc w:val="both"/>
              <w:rPr>
                <w:sz w:val="20"/>
                <w:szCs w:val="20"/>
              </w:rPr>
            </w:pPr>
          </w:p>
        </w:tc>
        <w:tc>
          <w:tcPr>
            <w:tcW w:w="4530" w:type="dxa"/>
          </w:tcPr>
          <w:p w14:paraId="2501C294" w14:textId="77777777" w:rsidR="00AD7CB4" w:rsidRPr="00522CE0" w:rsidRDefault="00AD7CB4" w:rsidP="00181AC0">
            <w:pPr>
              <w:jc w:val="both"/>
              <w:rPr>
                <w:sz w:val="20"/>
                <w:szCs w:val="20"/>
              </w:rPr>
            </w:pPr>
            <w:r w:rsidRPr="00522CE0">
              <w:rPr>
                <w:sz w:val="20"/>
                <w:szCs w:val="20"/>
              </w:rPr>
              <w:t xml:space="preserve">This article reviews the current understanding and use of biosimilars in the treatment of breast and lung cancers by examining existing RWE. Integrating biosimilars into oncology care is a key strategy to mitigate the financial burden borne by both patients and healthcare systems. Supported by RWE, cost-effective alternatives with biosimilars have the potential for significant savings and improved accessibility to breast and lung cancer treatments. </w:t>
            </w:r>
          </w:p>
        </w:tc>
      </w:tr>
      <w:tr w:rsidR="00522CE0" w:rsidRPr="00522CE0" w14:paraId="34450CCA" w14:textId="77777777" w:rsidTr="00181AC0">
        <w:tc>
          <w:tcPr>
            <w:tcW w:w="421" w:type="dxa"/>
          </w:tcPr>
          <w:p w14:paraId="4212CE06" w14:textId="77777777" w:rsidR="00AD7CB4" w:rsidRPr="00522CE0" w:rsidRDefault="00AD7CB4" w:rsidP="00181AC0">
            <w:pPr>
              <w:jc w:val="both"/>
              <w:rPr>
                <w:sz w:val="20"/>
                <w:szCs w:val="20"/>
              </w:rPr>
            </w:pPr>
            <w:r w:rsidRPr="00522CE0">
              <w:rPr>
                <w:sz w:val="20"/>
                <w:szCs w:val="20"/>
              </w:rPr>
              <w:t>35</w:t>
            </w:r>
          </w:p>
        </w:tc>
        <w:tc>
          <w:tcPr>
            <w:tcW w:w="1275" w:type="dxa"/>
          </w:tcPr>
          <w:p w14:paraId="66769CD6" w14:textId="77777777" w:rsidR="00AD7CB4" w:rsidRPr="00522CE0" w:rsidRDefault="00AD7CB4" w:rsidP="00181AC0">
            <w:pPr>
              <w:rPr>
                <w:sz w:val="20"/>
                <w:szCs w:val="20"/>
              </w:rPr>
            </w:pPr>
            <w:r w:rsidRPr="00522CE0">
              <w:rPr>
                <w:sz w:val="20"/>
                <w:szCs w:val="20"/>
              </w:rPr>
              <w:t>Gourzoulidis et al., 2020,</w:t>
            </w:r>
          </w:p>
          <w:p w14:paraId="6F6BA3B8" w14:textId="77777777" w:rsidR="00AD7CB4" w:rsidRPr="00522CE0" w:rsidRDefault="00AD7CB4" w:rsidP="00181AC0">
            <w:pPr>
              <w:jc w:val="both"/>
              <w:rPr>
                <w:sz w:val="20"/>
                <w:szCs w:val="20"/>
              </w:rPr>
            </w:pPr>
            <w:r w:rsidRPr="00522CE0">
              <w:rPr>
                <w:sz w:val="20"/>
                <w:szCs w:val="20"/>
              </w:rPr>
              <w:t>Greece</w:t>
            </w:r>
          </w:p>
        </w:tc>
        <w:tc>
          <w:tcPr>
            <w:tcW w:w="1418" w:type="dxa"/>
          </w:tcPr>
          <w:p w14:paraId="0F74ABDA" w14:textId="77777777" w:rsidR="00AD7CB4" w:rsidRPr="00522CE0" w:rsidRDefault="00AD7CB4" w:rsidP="00181AC0">
            <w:pPr>
              <w:jc w:val="both"/>
              <w:rPr>
                <w:sz w:val="20"/>
                <w:szCs w:val="20"/>
              </w:rPr>
            </w:pPr>
            <w:r w:rsidRPr="00522CE0">
              <w:rPr>
                <w:sz w:val="20"/>
                <w:szCs w:val="20"/>
              </w:rPr>
              <w:t>Model-based studies:</w:t>
            </w:r>
            <w:r w:rsidRPr="00522CE0">
              <w:rPr>
                <w:b/>
                <w:sz w:val="20"/>
                <w:szCs w:val="20"/>
              </w:rPr>
              <w:t xml:space="preserve"> </w:t>
            </w:r>
            <w:r w:rsidRPr="00522CE0">
              <w:rPr>
                <w:sz w:val="20"/>
                <w:szCs w:val="20"/>
              </w:rPr>
              <w:t xml:space="preserve">Partitioned survival model with three health states, referring to pre-progression, progressed </w:t>
            </w:r>
            <w:r w:rsidRPr="00522CE0">
              <w:rPr>
                <w:sz w:val="20"/>
                <w:szCs w:val="20"/>
              </w:rPr>
              <w:lastRenderedPageBreak/>
              <w:t>disease, and death</w:t>
            </w:r>
          </w:p>
        </w:tc>
        <w:tc>
          <w:tcPr>
            <w:tcW w:w="1984" w:type="dxa"/>
          </w:tcPr>
          <w:p w14:paraId="09F19427" w14:textId="77777777" w:rsidR="00AD7CB4" w:rsidRPr="00522CE0" w:rsidRDefault="00AD7CB4" w:rsidP="00181AC0">
            <w:pPr>
              <w:jc w:val="both"/>
              <w:rPr>
                <w:sz w:val="20"/>
                <w:szCs w:val="20"/>
              </w:rPr>
            </w:pPr>
            <w:r w:rsidRPr="00522CE0">
              <w:rPr>
                <w:sz w:val="20"/>
                <w:szCs w:val="20"/>
              </w:rPr>
              <w:lastRenderedPageBreak/>
              <w:t>Cost-effectiveness analysis of lorlatinib inpatients previously treated with anaplastic lymphoma kinase inhibitors for non-small cell lung cancer in Greece</w:t>
            </w:r>
          </w:p>
          <w:p w14:paraId="13CD5A5D" w14:textId="77777777" w:rsidR="00AD7CB4" w:rsidRPr="00522CE0" w:rsidRDefault="00AD7CB4" w:rsidP="00181AC0">
            <w:pPr>
              <w:jc w:val="both"/>
              <w:rPr>
                <w:sz w:val="20"/>
                <w:szCs w:val="20"/>
              </w:rPr>
            </w:pPr>
          </w:p>
        </w:tc>
        <w:tc>
          <w:tcPr>
            <w:tcW w:w="4530" w:type="dxa"/>
          </w:tcPr>
          <w:p w14:paraId="48104C1F" w14:textId="77777777" w:rsidR="00AD7CB4" w:rsidRPr="00522CE0" w:rsidRDefault="00AD7CB4" w:rsidP="00181AC0">
            <w:pPr>
              <w:jc w:val="both"/>
              <w:rPr>
                <w:sz w:val="20"/>
                <w:szCs w:val="20"/>
              </w:rPr>
            </w:pPr>
            <w:r w:rsidRPr="00522CE0">
              <w:rPr>
                <w:sz w:val="20"/>
                <w:szCs w:val="20"/>
              </w:rPr>
              <w:t xml:space="preserve">Lorlatinib was more effective than platinum-based ChT with 2.4 and 1.5 additional LYs and QALYs gained, respectively. The ICERs generated by Lorlatinib compared to platinum-based ChT were €28,613 per LY gained and €46,102 per QALY gained. PSA confirmed the deterministic results. </w:t>
            </w:r>
          </w:p>
        </w:tc>
      </w:tr>
      <w:tr w:rsidR="00522CE0" w:rsidRPr="00522CE0" w14:paraId="649E7048" w14:textId="77777777" w:rsidTr="00181AC0">
        <w:tc>
          <w:tcPr>
            <w:tcW w:w="421" w:type="dxa"/>
          </w:tcPr>
          <w:p w14:paraId="58087ED1" w14:textId="77777777" w:rsidR="00AD7CB4" w:rsidRPr="00522CE0" w:rsidRDefault="00AD7CB4" w:rsidP="00181AC0">
            <w:pPr>
              <w:jc w:val="both"/>
              <w:rPr>
                <w:sz w:val="20"/>
                <w:szCs w:val="20"/>
              </w:rPr>
            </w:pPr>
            <w:r w:rsidRPr="00522CE0">
              <w:rPr>
                <w:sz w:val="20"/>
                <w:szCs w:val="20"/>
              </w:rPr>
              <w:t>37</w:t>
            </w:r>
          </w:p>
        </w:tc>
        <w:tc>
          <w:tcPr>
            <w:tcW w:w="1275" w:type="dxa"/>
          </w:tcPr>
          <w:p w14:paraId="58F6052C" w14:textId="77777777" w:rsidR="00AD7CB4" w:rsidRPr="00522CE0" w:rsidRDefault="00AD7CB4" w:rsidP="00181AC0">
            <w:pPr>
              <w:jc w:val="both"/>
              <w:rPr>
                <w:sz w:val="20"/>
                <w:szCs w:val="20"/>
              </w:rPr>
            </w:pPr>
            <w:r w:rsidRPr="00522CE0">
              <w:rPr>
                <w:sz w:val="20"/>
                <w:szCs w:val="20"/>
                <w:lang w:val="it-IT"/>
              </w:rPr>
              <w:t>Zhang et al., 2024, China</w:t>
            </w:r>
          </w:p>
        </w:tc>
        <w:tc>
          <w:tcPr>
            <w:tcW w:w="1418" w:type="dxa"/>
          </w:tcPr>
          <w:p w14:paraId="71313C60" w14:textId="77777777" w:rsidR="00AD7CB4" w:rsidRPr="00522CE0" w:rsidRDefault="00AD7CB4" w:rsidP="00181AC0">
            <w:pPr>
              <w:jc w:val="both"/>
              <w:rPr>
                <w:sz w:val="20"/>
                <w:szCs w:val="20"/>
              </w:rPr>
            </w:pPr>
            <w:r w:rsidRPr="00522CE0">
              <w:rPr>
                <w:sz w:val="20"/>
                <w:szCs w:val="20"/>
              </w:rPr>
              <w:t>Observational studies</w:t>
            </w:r>
          </w:p>
        </w:tc>
        <w:tc>
          <w:tcPr>
            <w:tcW w:w="1984" w:type="dxa"/>
          </w:tcPr>
          <w:p w14:paraId="08E63573" w14:textId="77777777" w:rsidR="00AD7CB4" w:rsidRPr="00522CE0" w:rsidRDefault="00AD7CB4" w:rsidP="00181AC0">
            <w:pPr>
              <w:jc w:val="both"/>
              <w:rPr>
                <w:sz w:val="20"/>
                <w:szCs w:val="20"/>
              </w:rPr>
            </w:pPr>
            <w:r w:rsidRPr="00522CE0">
              <w:rPr>
                <w:sz w:val="20"/>
                <w:szCs w:val="20"/>
              </w:rPr>
              <w:t>Retrospective analysis of survival and safety of bevacizumab biosimilar and original drug combination chemotherapy in non-small cell lung cancer</w:t>
            </w:r>
          </w:p>
        </w:tc>
        <w:tc>
          <w:tcPr>
            <w:tcW w:w="4530" w:type="dxa"/>
          </w:tcPr>
          <w:p w14:paraId="029D38F3" w14:textId="77777777" w:rsidR="00AD7CB4" w:rsidRPr="00522CE0" w:rsidRDefault="00AD7CB4" w:rsidP="00181AC0">
            <w:pPr>
              <w:jc w:val="both"/>
              <w:rPr>
                <w:sz w:val="20"/>
                <w:szCs w:val="20"/>
              </w:rPr>
            </w:pPr>
            <w:r w:rsidRPr="00522CE0">
              <w:rPr>
                <w:sz w:val="20"/>
                <w:szCs w:val="20"/>
              </w:rPr>
              <w:t>Bevacizumab biosimilars provide comparable therapeutic efficacy and a similar level of safety to the original drug in the treatment of locally advanced or metastatic NSCLC. However, a slightly higher incidence of treatment-related adverse events (TEAEs) has been observed with the biosimilar, particularly in elderly patients with preexisting hypertension who receive high doses. Nonetheless, overall, the undesirable effects have proven to be manageable.</w:t>
            </w:r>
          </w:p>
        </w:tc>
      </w:tr>
      <w:tr w:rsidR="00522CE0" w:rsidRPr="00522CE0" w14:paraId="13ED9F51" w14:textId="77777777" w:rsidTr="00181AC0">
        <w:tc>
          <w:tcPr>
            <w:tcW w:w="421" w:type="dxa"/>
          </w:tcPr>
          <w:p w14:paraId="2D46683B" w14:textId="77777777" w:rsidR="00AD7CB4" w:rsidRPr="00522CE0" w:rsidRDefault="00AD7CB4" w:rsidP="00181AC0">
            <w:pPr>
              <w:jc w:val="both"/>
              <w:rPr>
                <w:sz w:val="20"/>
                <w:szCs w:val="20"/>
              </w:rPr>
            </w:pPr>
            <w:r w:rsidRPr="00522CE0">
              <w:rPr>
                <w:sz w:val="20"/>
                <w:szCs w:val="20"/>
              </w:rPr>
              <w:t>38</w:t>
            </w:r>
          </w:p>
        </w:tc>
        <w:tc>
          <w:tcPr>
            <w:tcW w:w="1275" w:type="dxa"/>
          </w:tcPr>
          <w:p w14:paraId="01196366" w14:textId="77777777" w:rsidR="00AD7CB4" w:rsidRPr="00522CE0" w:rsidRDefault="00AD7CB4" w:rsidP="00181AC0">
            <w:pPr>
              <w:jc w:val="both"/>
              <w:rPr>
                <w:sz w:val="20"/>
                <w:szCs w:val="20"/>
              </w:rPr>
            </w:pPr>
            <w:r w:rsidRPr="00522CE0">
              <w:rPr>
                <w:sz w:val="20"/>
                <w:szCs w:val="20"/>
              </w:rPr>
              <w:t>Yang et al., 2022(b), China</w:t>
            </w:r>
          </w:p>
        </w:tc>
        <w:tc>
          <w:tcPr>
            <w:tcW w:w="1418" w:type="dxa"/>
          </w:tcPr>
          <w:p w14:paraId="4606E9DD" w14:textId="77777777" w:rsidR="00AD7CB4" w:rsidRPr="00522CE0" w:rsidRDefault="00AD7CB4" w:rsidP="00181AC0">
            <w:pPr>
              <w:jc w:val="both"/>
              <w:rPr>
                <w:sz w:val="20"/>
                <w:szCs w:val="20"/>
              </w:rPr>
            </w:pPr>
            <w:r w:rsidRPr="00522CE0">
              <w:rPr>
                <w:sz w:val="20"/>
                <w:szCs w:val="20"/>
              </w:rPr>
              <w:t>Literature review</w:t>
            </w:r>
          </w:p>
        </w:tc>
        <w:tc>
          <w:tcPr>
            <w:tcW w:w="1984" w:type="dxa"/>
          </w:tcPr>
          <w:p w14:paraId="1246AAC4" w14:textId="77777777" w:rsidR="00AD7CB4" w:rsidRPr="00522CE0" w:rsidRDefault="00AD7CB4" w:rsidP="00181AC0">
            <w:pPr>
              <w:jc w:val="both"/>
              <w:rPr>
                <w:sz w:val="20"/>
                <w:szCs w:val="20"/>
              </w:rPr>
            </w:pPr>
            <w:r w:rsidRPr="00522CE0">
              <w:rPr>
                <w:sz w:val="20"/>
                <w:szCs w:val="20"/>
              </w:rPr>
              <w:t>Efficacy and safety of adding bevacizumab biosimilar or original drug to platinum-based chemotherapy as first-line treatment in patients with advanced NSCLC: a systematic review and meta-analysis</w:t>
            </w:r>
          </w:p>
        </w:tc>
        <w:tc>
          <w:tcPr>
            <w:tcW w:w="4530" w:type="dxa"/>
          </w:tcPr>
          <w:p w14:paraId="3C11DA39" w14:textId="77777777" w:rsidR="00AD7CB4" w:rsidRPr="00522CE0" w:rsidRDefault="00AD7CB4" w:rsidP="00181AC0">
            <w:pPr>
              <w:jc w:val="both"/>
              <w:rPr>
                <w:sz w:val="20"/>
                <w:szCs w:val="20"/>
              </w:rPr>
            </w:pPr>
            <w:r w:rsidRPr="00522CE0">
              <w:rPr>
                <w:sz w:val="20"/>
                <w:szCs w:val="20"/>
              </w:rPr>
              <w:t xml:space="preserve">The efficacy and safety of bevacizumab biosimilars in the treatment of advanced non-squamous NSCLC are very similar to those of the original drug when combined with paclitaxel and carboplatin, respectively. </w:t>
            </w:r>
          </w:p>
        </w:tc>
      </w:tr>
      <w:tr w:rsidR="00522CE0" w:rsidRPr="00522CE0" w14:paraId="2F904DFE" w14:textId="77777777" w:rsidTr="00181AC0">
        <w:tc>
          <w:tcPr>
            <w:tcW w:w="421" w:type="dxa"/>
          </w:tcPr>
          <w:p w14:paraId="1E059B67" w14:textId="77777777" w:rsidR="00AD7CB4" w:rsidRPr="00522CE0" w:rsidRDefault="00AD7CB4" w:rsidP="00181AC0">
            <w:pPr>
              <w:jc w:val="both"/>
              <w:rPr>
                <w:sz w:val="20"/>
                <w:szCs w:val="20"/>
              </w:rPr>
            </w:pPr>
            <w:r w:rsidRPr="00522CE0">
              <w:rPr>
                <w:sz w:val="20"/>
                <w:szCs w:val="20"/>
              </w:rPr>
              <w:t>40</w:t>
            </w:r>
          </w:p>
        </w:tc>
        <w:tc>
          <w:tcPr>
            <w:tcW w:w="1275" w:type="dxa"/>
          </w:tcPr>
          <w:p w14:paraId="58278201" w14:textId="77777777" w:rsidR="00AD7CB4" w:rsidRPr="00522CE0" w:rsidRDefault="00AD7CB4" w:rsidP="00181AC0">
            <w:pPr>
              <w:jc w:val="both"/>
              <w:rPr>
                <w:sz w:val="20"/>
                <w:szCs w:val="20"/>
              </w:rPr>
            </w:pPr>
            <w:r w:rsidRPr="00522CE0">
              <w:rPr>
                <w:sz w:val="20"/>
                <w:szCs w:val="20"/>
              </w:rPr>
              <w:t>Verschraegen et al., 2022, USA</w:t>
            </w:r>
          </w:p>
        </w:tc>
        <w:tc>
          <w:tcPr>
            <w:tcW w:w="1418" w:type="dxa"/>
          </w:tcPr>
          <w:p w14:paraId="7EB3340E" w14:textId="77777777" w:rsidR="00AD7CB4" w:rsidRPr="00522CE0" w:rsidRDefault="00AD7CB4" w:rsidP="00181AC0">
            <w:pPr>
              <w:jc w:val="both"/>
              <w:rPr>
                <w:sz w:val="20"/>
                <w:szCs w:val="20"/>
              </w:rPr>
            </w:pPr>
            <w:r w:rsidRPr="00522CE0">
              <w:rPr>
                <w:sz w:val="20"/>
                <w:szCs w:val="20"/>
              </w:rPr>
              <w:t>Randomised studies</w:t>
            </w:r>
          </w:p>
        </w:tc>
        <w:tc>
          <w:tcPr>
            <w:tcW w:w="1984" w:type="dxa"/>
          </w:tcPr>
          <w:p w14:paraId="3BE0F92B" w14:textId="77777777" w:rsidR="00AD7CB4" w:rsidRPr="00522CE0" w:rsidRDefault="00AD7CB4" w:rsidP="00181AC0">
            <w:pPr>
              <w:jc w:val="both"/>
              <w:rPr>
                <w:sz w:val="20"/>
                <w:szCs w:val="20"/>
              </w:rPr>
            </w:pPr>
            <w:r w:rsidRPr="00522CE0">
              <w:rPr>
                <w:sz w:val="20"/>
                <w:szCs w:val="20"/>
              </w:rPr>
              <w:t>Candidate Bevacizumab Biosimilar CT</w:t>
            </w:r>
            <w:r w:rsidRPr="00522CE0">
              <w:rPr>
                <w:rFonts w:ascii="Cambria Math" w:hAnsi="Cambria Math" w:cs="Cambria Math"/>
                <w:sz w:val="20"/>
                <w:szCs w:val="20"/>
              </w:rPr>
              <w:t>‑</w:t>
            </w:r>
            <w:r w:rsidRPr="00522CE0">
              <w:rPr>
                <w:sz w:val="20"/>
                <w:szCs w:val="20"/>
              </w:rPr>
              <w:t>P16 versus European Union Reference Bevacizumab in Patients with Metastatic or Recurrent Non‑Small Cell Lung Cancer: A Randomized Controlled Trial</w:t>
            </w:r>
          </w:p>
        </w:tc>
        <w:tc>
          <w:tcPr>
            <w:tcW w:w="4530" w:type="dxa"/>
          </w:tcPr>
          <w:p w14:paraId="40C3B8AB" w14:textId="77777777" w:rsidR="00AD7CB4" w:rsidRPr="00522CE0" w:rsidRDefault="00AD7CB4" w:rsidP="00181AC0">
            <w:pPr>
              <w:jc w:val="both"/>
              <w:rPr>
                <w:sz w:val="20"/>
                <w:szCs w:val="20"/>
              </w:rPr>
            </w:pPr>
            <w:r w:rsidRPr="00522CE0">
              <w:rPr>
                <w:sz w:val="20"/>
                <w:szCs w:val="20"/>
              </w:rPr>
              <w:t>The randomized phase III, double-blind, multicenter, parallel-group study demonstrated equivalent efficacy and similarity in terms of pharmacokinetics, safety, and immunogenicity between CT-P16 and EU-bevacizumab in patients with nsNSCLC. This supports the bioequivalence between the two treatments.</w:t>
            </w:r>
          </w:p>
        </w:tc>
      </w:tr>
      <w:tr w:rsidR="00522CE0" w:rsidRPr="00522CE0" w14:paraId="350AE0E6" w14:textId="77777777" w:rsidTr="00181AC0">
        <w:tc>
          <w:tcPr>
            <w:tcW w:w="421" w:type="dxa"/>
          </w:tcPr>
          <w:p w14:paraId="4E0CC2E5" w14:textId="77777777" w:rsidR="00AD7CB4" w:rsidRPr="00522CE0" w:rsidRDefault="00AD7CB4" w:rsidP="00181AC0">
            <w:pPr>
              <w:jc w:val="both"/>
              <w:rPr>
                <w:sz w:val="20"/>
                <w:szCs w:val="20"/>
              </w:rPr>
            </w:pPr>
            <w:r w:rsidRPr="00522CE0">
              <w:rPr>
                <w:sz w:val="20"/>
                <w:szCs w:val="20"/>
              </w:rPr>
              <w:t>41</w:t>
            </w:r>
          </w:p>
        </w:tc>
        <w:tc>
          <w:tcPr>
            <w:tcW w:w="1275" w:type="dxa"/>
          </w:tcPr>
          <w:p w14:paraId="5A9D98D1" w14:textId="77777777" w:rsidR="00AD7CB4" w:rsidRPr="00522CE0" w:rsidRDefault="00AD7CB4" w:rsidP="00181AC0">
            <w:pPr>
              <w:jc w:val="both"/>
              <w:rPr>
                <w:sz w:val="20"/>
                <w:szCs w:val="20"/>
              </w:rPr>
            </w:pPr>
            <w:r w:rsidRPr="00522CE0">
              <w:rPr>
                <w:sz w:val="20"/>
                <w:szCs w:val="20"/>
                <w:lang w:val="it-IT" w:eastAsia="it-IT"/>
              </w:rPr>
              <w:t xml:space="preserve">Russo et al., 2017, Italy </w:t>
            </w:r>
          </w:p>
        </w:tc>
        <w:tc>
          <w:tcPr>
            <w:tcW w:w="1418" w:type="dxa"/>
          </w:tcPr>
          <w:p w14:paraId="6AFC6AA8" w14:textId="77777777" w:rsidR="00AD7CB4" w:rsidRPr="00522CE0" w:rsidRDefault="00AD7CB4" w:rsidP="00181AC0">
            <w:pPr>
              <w:jc w:val="both"/>
              <w:rPr>
                <w:sz w:val="20"/>
                <w:szCs w:val="20"/>
              </w:rPr>
            </w:pPr>
            <w:r w:rsidRPr="00522CE0">
              <w:rPr>
                <w:sz w:val="20"/>
                <w:szCs w:val="20"/>
              </w:rPr>
              <w:t>Literature review</w:t>
            </w:r>
          </w:p>
        </w:tc>
        <w:tc>
          <w:tcPr>
            <w:tcW w:w="1984" w:type="dxa"/>
          </w:tcPr>
          <w:p w14:paraId="70949BF9" w14:textId="77777777" w:rsidR="00AD7CB4" w:rsidRPr="00522CE0" w:rsidRDefault="00AD7CB4" w:rsidP="00181AC0">
            <w:pPr>
              <w:jc w:val="both"/>
              <w:rPr>
                <w:sz w:val="20"/>
                <w:szCs w:val="20"/>
              </w:rPr>
            </w:pPr>
            <w:r w:rsidRPr="00522CE0">
              <w:rPr>
                <w:sz w:val="20"/>
                <w:szCs w:val="20"/>
              </w:rPr>
              <w:t>Bevacizumab in the treatment of NSCLC: patient selection and perspectives</w:t>
            </w:r>
          </w:p>
        </w:tc>
        <w:tc>
          <w:tcPr>
            <w:tcW w:w="4530" w:type="dxa"/>
          </w:tcPr>
          <w:p w14:paraId="1030A3DC" w14:textId="77777777" w:rsidR="00AD7CB4" w:rsidRPr="00522CE0" w:rsidRDefault="00AD7CB4" w:rsidP="00181AC0">
            <w:pPr>
              <w:spacing w:line="276" w:lineRule="auto"/>
              <w:jc w:val="both"/>
              <w:rPr>
                <w:sz w:val="20"/>
                <w:szCs w:val="20"/>
              </w:rPr>
            </w:pPr>
            <w:r w:rsidRPr="00522CE0">
              <w:rPr>
                <w:sz w:val="20"/>
                <w:szCs w:val="20"/>
              </w:rPr>
              <w:t xml:space="preserve">Bevacizumab led to better clinical outcomes when added to standard first-line chemotherapy in patients with advanced or recurrent non-squamous NSCLC without targetable molecular abnormalities. </w:t>
            </w:r>
          </w:p>
        </w:tc>
      </w:tr>
      <w:tr w:rsidR="00522CE0" w:rsidRPr="00522CE0" w14:paraId="7E815FB4" w14:textId="77777777" w:rsidTr="00181AC0">
        <w:tc>
          <w:tcPr>
            <w:tcW w:w="421" w:type="dxa"/>
          </w:tcPr>
          <w:p w14:paraId="7D62B74F" w14:textId="77777777" w:rsidR="00AD7CB4" w:rsidRPr="00522CE0" w:rsidRDefault="00AD7CB4" w:rsidP="00181AC0">
            <w:pPr>
              <w:jc w:val="both"/>
              <w:rPr>
                <w:sz w:val="20"/>
                <w:szCs w:val="20"/>
                <w:lang w:val="it-IT"/>
              </w:rPr>
            </w:pPr>
            <w:r w:rsidRPr="00522CE0">
              <w:rPr>
                <w:sz w:val="20"/>
                <w:szCs w:val="20"/>
              </w:rPr>
              <w:t>42</w:t>
            </w:r>
          </w:p>
        </w:tc>
        <w:tc>
          <w:tcPr>
            <w:tcW w:w="1275" w:type="dxa"/>
          </w:tcPr>
          <w:p w14:paraId="4F1F5725" w14:textId="77777777" w:rsidR="00AD7CB4" w:rsidRPr="00522CE0" w:rsidRDefault="00AD7CB4" w:rsidP="00181AC0">
            <w:pPr>
              <w:jc w:val="both"/>
              <w:rPr>
                <w:sz w:val="20"/>
                <w:szCs w:val="20"/>
                <w:lang w:val="it-IT"/>
              </w:rPr>
            </w:pPr>
            <w:r w:rsidRPr="00522CE0">
              <w:rPr>
                <w:sz w:val="20"/>
                <w:szCs w:val="20"/>
                <w:lang w:eastAsia="it-IT"/>
              </w:rPr>
              <w:t>Ou et al., 2024, Taiwan</w:t>
            </w:r>
          </w:p>
        </w:tc>
        <w:tc>
          <w:tcPr>
            <w:tcW w:w="1418" w:type="dxa"/>
          </w:tcPr>
          <w:p w14:paraId="005F139E" w14:textId="77777777" w:rsidR="00AD7CB4" w:rsidRPr="00522CE0" w:rsidRDefault="00AD7CB4" w:rsidP="00181AC0">
            <w:pPr>
              <w:jc w:val="both"/>
              <w:rPr>
                <w:sz w:val="20"/>
                <w:szCs w:val="20"/>
                <w:lang w:val="it-IT"/>
              </w:rPr>
            </w:pPr>
            <w:r w:rsidRPr="00522CE0">
              <w:rPr>
                <w:sz w:val="20"/>
                <w:szCs w:val="20"/>
              </w:rPr>
              <w:t>Observational studies</w:t>
            </w:r>
          </w:p>
        </w:tc>
        <w:tc>
          <w:tcPr>
            <w:tcW w:w="1984" w:type="dxa"/>
          </w:tcPr>
          <w:p w14:paraId="5A803A76" w14:textId="77777777" w:rsidR="00AD7CB4" w:rsidRPr="00522CE0" w:rsidRDefault="00AD7CB4" w:rsidP="00181AC0">
            <w:pPr>
              <w:jc w:val="both"/>
              <w:rPr>
                <w:sz w:val="20"/>
                <w:szCs w:val="20"/>
                <w:lang w:eastAsia="it-IT"/>
              </w:rPr>
            </w:pPr>
            <w:r w:rsidRPr="00522CE0">
              <w:rPr>
                <w:sz w:val="20"/>
                <w:szCs w:val="20"/>
                <w:lang w:eastAsia="it-IT"/>
              </w:rPr>
              <w:t>Real-world clinical efficacy of bevacizumab biosimilar in patients with advanced non-small-cell lung cancer</w:t>
            </w:r>
          </w:p>
        </w:tc>
        <w:tc>
          <w:tcPr>
            <w:tcW w:w="4530" w:type="dxa"/>
          </w:tcPr>
          <w:p w14:paraId="044FA534" w14:textId="77777777" w:rsidR="00AD7CB4" w:rsidRPr="00522CE0" w:rsidRDefault="00AD7CB4" w:rsidP="00181AC0">
            <w:pPr>
              <w:jc w:val="both"/>
              <w:rPr>
                <w:sz w:val="20"/>
                <w:szCs w:val="20"/>
              </w:rPr>
            </w:pPr>
            <w:r w:rsidRPr="00522CE0">
              <w:rPr>
                <w:sz w:val="20"/>
                <w:szCs w:val="20"/>
              </w:rPr>
              <w:t xml:space="preserve">In patients with advanced NSCLC, no differences in clinical outcomes were observed between treatments with the reference product of bevacizumab (RP) or bevacizumab biosimilars (BB). In a combination regimen, BB proved as effective as RP when combined with chemotherapy (CT) or an epidermal growth factor receptor-tyrosine kinase inhibitor (EGFR-TKI). </w:t>
            </w:r>
          </w:p>
        </w:tc>
      </w:tr>
      <w:tr w:rsidR="00522CE0" w:rsidRPr="00522CE0" w14:paraId="7F7C1F74" w14:textId="77777777" w:rsidTr="00181AC0">
        <w:tc>
          <w:tcPr>
            <w:tcW w:w="421" w:type="dxa"/>
          </w:tcPr>
          <w:p w14:paraId="444175D9" w14:textId="77777777" w:rsidR="00AD7CB4" w:rsidRPr="00522CE0" w:rsidRDefault="00AD7CB4" w:rsidP="00181AC0">
            <w:pPr>
              <w:jc w:val="both"/>
              <w:rPr>
                <w:sz w:val="20"/>
                <w:szCs w:val="20"/>
              </w:rPr>
            </w:pPr>
            <w:r w:rsidRPr="00522CE0">
              <w:rPr>
                <w:sz w:val="20"/>
                <w:szCs w:val="20"/>
              </w:rPr>
              <w:t>44</w:t>
            </w:r>
          </w:p>
        </w:tc>
        <w:tc>
          <w:tcPr>
            <w:tcW w:w="1275" w:type="dxa"/>
          </w:tcPr>
          <w:p w14:paraId="1E52F09B" w14:textId="77777777" w:rsidR="00AD7CB4" w:rsidRPr="00522CE0" w:rsidRDefault="00AD7CB4" w:rsidP="00181AC0">
            <w:pPr>
              <w:jc w:val="both"/>
              <w:rPr>
                <w:sz w:val="20"/>
                <w:szCs w:val="20"/>
                <w:lang w:eastAsia="it-IT"/>
              </w:rPr>
            </w:pPr>
            <w:r w:rsidRPr="00522CE0">
              <w:rPr>
                <w:sz w:val="20"/>
                <w:szCs w:val="20"/>
              </w:rPr>
              <w:t>Goulart &amp; Ramsey, 2011, USA</w:t>
            </w:r>
          </w:p>
        </w:tc>
        <w:tc>
          <w:tcPr>
            <w:tcW w:w="1418" w:type="dxa"/>
          </w:tcPr>
          <w:p w14:paraId="6EE53DED" w14:textId="77777777" w:rsidR="00AD7CB4" w:rsidRPr="00522CE0" w:rsidRDefault="00AD7CB4" w:rsidP="00181AC0">
            <w:pPr>
              <w:jc w:val="both"/>
              <w:rPr>
                <w:sz w:val="20"/>
                <w:szCs w:val="20"/>
              </w:rPr>
            </w:pPr>
            <w:r w:rsidRPr="00522CE0">
              <w:rPr>
                <w:sz w:val="20"/>
                <w:szCs w:val="20"/>
              </w:rPr>
              <w:t>Model-based studies: Markov model</w:t>
            </w:r>
          </w:p>
        </w:tc>
        <w:tc>
          <w:tcPr>
            <w:tcW w:w="1984" w:type="dxa"/>
          </w:tcPr>
          <w:p w14:paraId="6B85A235" w14:textId="77777777" w:rsidR="00AD7CB4" w:rsidRPr="00522CE0" w:rsidRDefault="00AD7CB4" w:rsidP="00181AC0">
            <w:pPr>
              <w:jc w:val="both"/>
              <w:rPr>
                <w:sz w:val="20"/>
                <w:szCs w:val="20"/>
                <w:lang w:eastAsia="it-IT"/>
              </w:rPr>
            </w:pPr>
            <w:r w:rsidRPr="00522CE0">
              <w:rPr>
                <w:sz w:val="20"/>
                <w:szCs w:val="20"/>
              </w:rPr>
              <w:t xml:space="preserve">A Trial-Based Assessment of the Cost-Utility of Bevacizumab and Chemotherapy versus Chemotherapy Alone for Advanced Non-Small Cell Lung Cancer </w:t>
            </w:r>
          </w:p>
        </w:tc>
        <w:tc>
          <w:tcPr>
            <w:tcW w:w="4530" w:type="dxa"/>
          </w:tcPr>
          <w:p w14:paraId="00ACC7DD" w14:textId="77777777" w:rsidR="00AD7CB4" w:rsidRPr="00522CE0" w:rsidRDefault="00AD7CB4" w:rsidP="00181AC0">
            <w:pPr>
              <w:jc w:val="both"/>
              <w:rPr>
                <w:sz w:val="20"/>
                <w:szCs w:val="20"/>
              </w:rPr>
            </w:pPr>
            <w:r w:rsidRPr="00522CE0">
              <w:rPr>
                <w:sz w:val="20"/>
                <w:szCs w:val="20"/>
              </w:rPr>
              <w:t>Compared to chemotherapy alone, bevacizumab plus chemotherapy increased average QALYs by 0.13, with a lifetime incremental cost of $72,000 per patient. The incremental cost-utility ratio (ICUR) was $560,000 per QALY. At a threshold of $100,000 per QALY, bevacizumab does not appear to be cost-effective when added to chemotherapy in patients with advanced NSCLC.</w:t>
            </w:r>
          </w:p>
        </w:tc>
      </w:tr>
      <w:tr w:rsidR="00522CE0" w:rsidRPr="00522CE0" w14:paraId="174BDBAD" w14:textId="77777777" w:rsidTr="00181AC0">
        <w:tc>
          <w:tcPr>
            <w:tcW w:w="421" w:type="dxa"/>
          </w:tcPr>
          <w:p w14:paraId="57CFB1DB" w14:textId="77777777" w:rsidR="00AD7CB4" w:rsidRPr="00522CE0" w:rsidRDefault="00AD7CB4" w:rsidP="00181AC0">
            <w:pPr>
              <w:jc w:val="both"/>
              <w:rPr>
                <w:sz w:val="20"/>
                <w:szCs w:val="20"/>
              </w:rPr>
            </w:pPr>
            <w:r w:rsidRPr="00522CE0">
              <w:rPr>
                <w:sz w:val="20"/>
                <w:szCs w:val="20"/>
              </w:rPr>
              <w:t>45</w:t>
            </w:r>
          </w:p>
        </w:tc>
        <w:tc>
          <w:tcPr>
            <w:tcW w:w="1275" w:type="dxa"/>
          </w:tcPr>
          <w:p w14:paraId="55E70895" w14:textId="77777777" w:rsidR="00AD7CB4" w:rsidRPr="00522CE0" w:rsidRDefault="00AD7CB4" w:rsidP="00181AC0">
            <w:pPr>
              <w:jc w:val="both"/>
              <w:rPr>
                <w:sz w:val="20"/>
                <w:szCs w:val="20"/>
              </w:rPr>
            </w:pPr>
            <w:r w:rsidRPr="00522CE0">
              <w:rPr>
                <w:sz w:val="20"/>
                <w:szCs w:val="20"/>
                <w:lang w:val="it-IT"/>
              </w:rPr>
              <w:t>Ghanei et al., 2024, Iran</w:t>
            </w:r>
          </w:p>
        </w:tc>
        <w:tc>
          <w:tcPr>
            <w:tcW w:w="1418" w:type="dxa"/>
          </w:tcPr>
          <w:p w14:paraId="1B4116CB" w14:textId="77777777" w:rsidR="00AD7CB4" w:rsidRPr="00522CE0" w:rsidRDefault="00AD7CB4" w:rsidP="00181AC0">
            <w:pPr>
              <w:jc w:val="both"/>
              <w:rPr>
                <w:sz w:val="20"/>
                <w:szCs w:val="20"/>
              </w:rPr>
            </w:pPr>
            <w:r w:rsidRPr="00522CE0">
              <w:rPr>
                <w:sz w:val="20"/>
                <w:szCs w:val="20"/>
              </w:rPr>
              <w:t>Randomised studies</w:t>
            </w:r>
          </w:p>
        </w:tc>
        <w:tc>
          <w:tcPr>
            <w:tcW w:w="1984" w:type="dxa"/>
          </w:tcPr>
          <w:p w14:paraId="2B143B58" w14:textId="77777777" w:rsidR="00AD7CB4" w:rsidRPr="00522CE0" w:rsidRDefault="00AD7CB4" w:rsidP="00181AC0">
            <w:pPr>
              <w:jc w:val="both"/>
              <w:rPr>
                <w:sz w:val="20"/>
                <w:szCs w:val="20"/>
              </w:rPr>
            </w:pPr>
            <w:r w:rsidRPr="00522CE0">
              <w:rPr>
                <w:sz w:val="20"/>
                <w:szCs w:val="20"/>
              </w:rPr>
              <w:t xml:space="preserve">Efficacy and safety of a proposed omalizumab biosimilar compared to the reference product in the </w:t>
            </w:r>
            <w:r w:rsidRPr="00522CE0">
              <w:rPr>
                <w:sz w:val="20"/>
                <w:szCs w:val="20"/>
              </w:rPr>
              <w:lastRenderedPageBreak/>
              <w:t>management of uncontrolled moderate-to-severe allergic asthma: a multicenter, phase III, randomized, double-blind, equivalency clinical trial</w:t>
            </w:r>
          </w:p>
        </w:tc>
        <w:tc>
          <w:tcPr>
            <w:tcW w:w="4530" w:type="dxa"/>
          </w:tcPr>
          <w:p w14:paraId="42357164" w14:textId="77777777" w:rsidR="00AD7CB4" w:rsidRPr="00522CE0" w:rsidRDefault="00AD7CB4" w:rsidP="00181AC0">
            <w:pPr>
              <w:jc w:val="both"/>
              <w:rPr>
                <w:sz w:val="20"/>
                <w:szCs w:val="20"/>
              </w:rPr>
            </w:pPr>
            <w:r w:rsidRPr="00522CE0">
              <w:rPr>
                <w:sz w:val="20"/>
                <w:szCs w:val="20"/>
              </w:rPr>
              <w:lastRenderedPageBreak/>
              <w:t xml:space="preserve">In asthma management, the omalizumab biosimilar (P043) was found to be equivalent to omalizumab in terms of reducing exacerbations, efficacy, and safety. </w:t>
            </w:r>
          </w:p>
        </w:tc>
      </w:tr>
      <w:tr w:rsidR="00522CE0" w:rsidRPr="00522CE0" w14:paraId="500B1800" w14:textId="77777777" w:rsidTr="00181AC0">
        <w:tc>
          <w:tcPr>
            <w:tcW w:w="421" w:type="dxa"/>
          </w:tcPr>
          <w:p w14:paraId="5437473A" w14:textId="77777777" w:rsidR="00AD7CB4" w:rsidRPr="00522CE0" w:rsidRDefault="00AD7CB4" w:rsidP="00181AC0">
            <w:pPr>
              <w:jc w:val="both"/>
              <w:rPr>
                <w:sz w:val="20"/>
                <w:szCs w:val="20"/>
              </w:rPr>
            </w:pPr>
            <w:r w:rsidRPr="00522CE0">
              <w:rPr>
                <w:sz w:val="20"/>
                <w:szCs w:val="20"/>
              </w:rPr>
              <w:t>46</w:t>
            </w:r>
          </w:p>
        </w:tc>
        <w:tc>
          <w:tcPr>
            <w:tcW w:w="1275" w:type="dxa"/>
          </w:tcPr>
          <w:p w14:paraId="67B44B91" w14:textId="77777777" w:rsidR="00AD7CB4" w:rsidRPr="00522CE0" w:rsidRDefault="00AD7CB4" w:rsidP="00181AC0">
            <w:pPr>
              <w:jc w:val="both"/>
              <w:rPr>
                <w:sz w:val="20"/>
                <w:szCs w:val="20"/>
                <w:lang w:val="it-IT"/>
              </w:rPr>
            </w:pPr>
            <w:r w:rsidRPr="00522CE0">
              <w:rPr>
                <w:sz w:val="20"/>
                <w:szCs w:val="20"/>
              </w:rPr>
              <w:t>Cheng et al., 2024, China</w:t>
            </w:r>
          </w:p>
        </w:tc>
        <w:tc>
          <w:tcPr>
            <w:tcW w:w="1418" w:type="dxa"/>
          </w:tcPr>
          <w:p w14:paraId="0AC3EF2B" w14:textId="77777777" w:rsidR="00AD7CB4" w:rsidRPr="00522CE0" w:rsidRDefault="00AD7CB4" w:rsidP="00181AC0">
            <w:pPr>
              <w:jc w:val="both"/>
              <w:rPr>
                <w:sz w:val="20"/>
                <w:szCs w:val="20"/>
              </w:rPr>
            </w:pPr>
            <w:r w:rsidRPr="00522CE0">
              <w:rPr>
                <w:sz w:val="20"/>
                <w:szCs w:val="20"/>
              </w:rPr>
              <w:t>Randomised studies</w:t>
            </w:r>
          </w:p>
        </w:tc>
        <w:tc>
          <w:tcPr>
            <w:tcW w:w="1984" w:type="dxa"/>
          </w:tcPr>
          <w:p w14:paraId="19BAF0E8" w14:textId="77777777" w:rsidR="00AD7CB4" w:rsidRPr="00522CE0" w:rsidRDefault="00AD7CB4" w:rsidP="00181AC0">
            <w:pPr>
              <w:jc w:val="both"/>
              <w:rPr>
                <w:sz w:val="20"/>
                <w:szCs w:val="20"/>
              </w:rPr>
            </w:pPr>
            <w:r w:rsidRPr="00522CE0">
              <w:rPr>
                <w:sz w:val="20"/>
                <w:szCs w:val="20"/>
              </w:rPr>
              <w:t>Efficacy and Safety of Biosimilar SCT510 Compared with Bevacizumab for the First</w:t>
            </w:r>
            <w:r w:rsidRPr="00522CE0">
              <w:rPr>
                <w:sz w:val="20"/>
                <w:szCs w:val="20"/>
              </w:rPr>
              <w:noBreakHyphen/>
              <w:t>Line Treatment of Advanced Non</w:t>
            </w:r>
            <w:r w:rsidRPr="00522CE0">
              <w:rPr>
                <w:sz w:val="20"/>
                <w:szCs w:val="20"/>
              </w:rPr>
              <w:noBreakHyphen/>
              <w:t>Squamous Non</w:t>
            </w:r>
            <w:r w:rsidRPr="00522CE0">
              <w:rPr>
                <w:sz w:val="20"/>
                <w:szCs w:val="20"/>
              </w:rPr>
              <w:noBreakHyphen/>
              <w:t>Small Cell Lung Cancer: A Randomized, Double</w:t>
            </w:r>
            <w:r w:rsidRPr="00522CE0">
              <w:rPr>
                <w:sz w:val="20"/>
                <w:szCs w:val="20"/>
              </w:rPr>
              <w:noBreakHyphen/>
              <w:t>Blind, Phase III Study</w:t>
            </w:r>
          </w:p>
        </w:tc>
        <w:tc>
          <w:tcPr>
            <w:tcW w:w="4530" w:type="dxa"/>
          </w:tcPr>
          <w:p w14:paraId="33B8B52C" w14:textId="77777777" w:rsidR="00AD7CB4" w:rsidRPr="00522CE0" w:rsidRDefault="00AD7CB4" w:rsidP="00181AC0">
            <w:pPr>
              <w:jc w:val="both"/>
              <w:rPr>
                <w:sz w:val="20"/>
                <w:szCs w:val="20"/>
              </w:rPr>
            </w:pPr>
            <w:r w:rsidRPr="00522CE0">
              <w:rPr>
                <w:sz w:val="20"/>
                <w:szCs w:val="20"/>
              </w:rPr>
              <w:t>The study demonstrated that for the first-line treatment of patients with NSCLC, the pharmacokinetics (PK), safety profile, and immunogenicity of SCT510 (an approved biosimilar of bevacizumab) were equivalent to the original drug Avastin®.</w:t>
            </w:r>
          </w:p>
        </w:tc>
      </w:tr>
      <w:tr w:rsidR="00522CE0" w:rsidRPr="00522CE0" w14:paraId="02D0B78F" w14:textId="77777777" w:rsidTr="00181AC0">
        <w:tc>
          <w:tcPr>
            <w:tcW w:w="421" w:type="dxa"/>
          </w:tcPr>
          <w:p w14:paraId="54A4889F" w14:textId="77777777" w:rsidR="00AD7CB4" w:rsidRPr="00522CE0" w:rsidRDefault="00AD7CB4" w:rsidP="00181AC0">
            <w:pPr>
              <w:jc w:val="both"/>
              <w:rPr>
                <w:sz w:val="20"/>
                <w:szCs w:val="20"/>
              </w:rPr>
            </w:pPr>
            <w:r w:rsidRPr="00522CE0">
              <w:rPr>
                <w:sz w:val="20"/>
                <w:szCs w:val="20"/>
              </w:rPr>
              <w:t>47</w:t>
            </w:r>
          </w:p>
        </w:tc>
        <w:tc>
          <w:tcPr>
            <w:tcW w:w="1275" w:type="dxa"/>
          </w:tcPr>
          <w:p w14:paraId="471A26AF" w14:textId="77777777" w:rsidR="00AD7CB4" w:rsidRPr="00522CE0" w:rsidRDefault="00AD7CB4" w:rsidP="00181AC0">
            <w:pPr>
              <w:jc w:val="both"/>
              <w:rPr>
                <w:sz w:val="20"/>
                <w:szCs w:val="20"/>
              </w:rPr>
            </w:pPr>
            <w:r w:rsidRPr="00522CE0">
              <w:rPr>
                <w:sz w:val="20"/>
                <w:szCs w:val="20"/>
                <w:lang w:val="it-IT"/>
              </w:rPr>
              <w:t>Ananyeva et al., 2021, China</w:t>
            </w:r>
          </w:p>
        </w:tc>
        <w:tc>
          <w:tcPr>
            <w:tcW w:w="1418" w:type="dxa"/>
          </w:tcPr>
          <w:p w14:paraId="514AE921" w14:textId="77777777" w:rsidR="00AD7CB4" w:rsidRPr="00522CE0" w:rsidRDefault="00AD7CB4" w:rsidP="00181AC0">
            <w:pPr>
              <w:jc w:val="both"/>
              <w:rPr>
                <w:sz w:val="20"/>
                <w:szCs w:val="20"/>
              </w:rPr>
            </w:pPr>
            <w:r w:rsidRPr="00522CE0">
              <w:rPr>
                <w:sz w:val="20"/>
                <w:szCs w:val="20"/>
              </w:rPr>
              <w:t>Observational studies</w:t>
            </w:r>
          </w:p>
        </w:tc>
        <w:tc>
          <w:tcPr>
            <w:tcW w:w="1984" w:type="dxa"/>
          </w:tcPr>
          <w:p w14:paraId="41DE83DC" w14:textId="5DEF914F" w:rsidR="00AD7CB4" w:rsidRPr="00522CE0" w:rsidRDefault="00AD7CB4" w:rsidP="00181AC0">
            <w:pPr>
              <w:jc w:val="both"/>
              <w:rPr>
                <w:sz w:val="20"/>
                <w:szCs w:val="20"/>
              </w:rPr>
            </w:pPr>
            <w:r w:rsidRPr="00522CE0">
              <w:rPr>
                <w:sz w:val="20"/>
                <w:szCs w:val="20"/>
              </w:rPr>
              <w:t>Efficacy and safety of two</w:t>
            </w:r>
            <w:r w:rsidR="007073EF">
              <w:rPr>
                <w:sz w:val="20"/>
                <w:szCs w:val="20"/>
              </w:rPr>
              <w:t xml:space="preserve"> </w:t>
            </w:r>
            <w:r w:rsidRPr="00522CE0">
              <w:rPr>
                <w:sz w:val="20"/>
                <w:szCs w:val="20"/>
              </w:rPr>
              <w:t>courses ofrituximab</w:t>
            </w:r>
            <w:r w:rsidR="007073EF">
              <w:rPr>
                <w:sz w:val="20"/>
                <w:szCs w:val="20"/>
              </w:rPr>
              <w:t xml:space="preserve"> </w:t>
            </w:r>
            <w:r w:rsidRPr="00522CE0">
              <w:rPr>
                <w:sz w:val="20"/>
                <w:szCs w:val="20"/>
              </w:rPr>
              <w:t xml:space="preserve">biosimilar acellbia in patients with interstitial lung disease associated with systemic sclerosis: a prospective observational study. </w:t>
            </w:r>
            <w:r w:rsidR="007073EF">
              <w:rPr>
                <w:sz w:val="20"/>
                <w:szCs w:val="20"/>
              </w:rPr>
              <w:t xml:space="preserve"> </w:t>
            </w:r>
          </w:p>
        </w:tc>
        <w:tc>
          <w:tcPr>
            <w:tcW w:w="4530" w:type="dxa"/>
          </w:tcPr>
          <w:p w14:paraId="107565D8" w14:textId="77777777" w:rsidR="00AD7CB4" w:rsidRPr="00522CE0" w:rsidRDefault="00AD7CB4" w:rsidP="00181AC0">
            <w:pPr>
              <w:jc w:val="both"/>
              <w:rPr>
                <w:sz w:val="20"/>
                <w:szCs w:val="20"/>
              </w:rPr>
            </w:pPr>
            <w:r w:rsidRPr="00522CE0">
              <w:rPr>
                <w:sz w:val="20"/>
                <w:szCs w:val="20"/>
              </w:rPr>
              <w:t>The study demonstrated the efficacy, safety, and tolerability of the Rituximab (RTX) biosimilar, Acellbia (ACB), in treating interstitial lung disease associated with systemic sclerosis (ILD-SSc). ACB is considered suitable for first-line treatment and/or monotherapy for this condition.</w:t>
            </w:r>
          </w:p>
        </w:tc>
      </w:tr>
    </w:tbl>
    <w:p w14:paraId="1C1EA33F" w14:textId="77777777" w:rsidR="00AD7CB4" w:rsidRPr="00522CE0" w:rsidRDefault="00AD7CB4" w:rsidP="00AD7CB4">
      <w:pPr>
        <w:spacing w:line="276" w:lineRule="auto"/>
        <w:jc w:val="center"/>
        <w:rPr>
          <w:rFonts w:ascii="Times New Roman" w:eastAsia="Times New Roman" w:hAnsi="Times New Roman" w:cs="Times New Roman"/>
          <w:sz w:val="20"/>
          <w:szCs w:val="20"/>
        </w:rPr>
      </w:pPr>
      <w:bookmarkStart w:id="2" w:name="_Hlk181630851"/>
      <w:r w:rsidRPr="00522CE0">
        <w:rPr>
          <w:rFonts w:ascii="Times New Roman" w:eastAsia="Times New Roman" w:hAnsi="Times New Roman" w:cs="Times New Roman"/>
          <w:sz w:val="20"/>
          <w:szCs w:val="20"/>
        </w:rPr>
        <w:t>Note: own elaboration from Dimensions data</w:t>
      </w:r>
    </w:p>
    <w:bookmarkEnd w:id="2"/>
    <w:p w14:paraId="5E696780" w14:textId="77777777" w:rsidR="00AD7CB4" w:rsidRPr="00522CE0" w:rsidRDefault="00AD7CB4" w:rsidP="00AD7CB4">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14:paraId="3CE3EF71" w14:textId="77777777" w:rsidR="00AD7CB4" w:rsidRDefault="00AD7CB4" w:rsidP="00AB100D">
      <w:pPr>
        <w:spacing w:line="276" w:lineRule="auto"/>
        <w:jc w:val="center"/>
        <w:rPr>
          <w:rFonts w:ascii="Times New Roman" w:eastAsia="Times New Roman" w:hAnsi="Times New Roman" w:cs="Times New Roman"/>
          <w:b/>
          <w:bCs/>
          <w:sz w:val="28"/>
          <w:szCs w:val="28"/>
        </w:rPr>
      </w:pPr>
    </w:p>
    <w:p w14:paraId="61D1788F"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083AF9EE"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7003BABF"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1D77BDEC"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2BF38BE7"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075756CA"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40FE1ADD"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54407FAF" w14:textId="77777777" w:rsidR="007073EF" w:rsidRDefault="007073EF" w:rsidP="00AB100D">
      <w:pPr>
        <w:spacing w:line="276" w:lineRule="auto"/>
        <w:jc w:val="center"/>
        <w:rPr>
          <w:rFonts w:ascii="Times New Roman" w:eastAsia="Times New Roman" w:hAnsi="Times New Roman" w:cs="Times New Roman"/>
          <w:b/>
          <w:bCs/>
          <w:sz w:val="28"/>
          <w:szCs w:val="28"/>
        </w:rPr>
      </w:pPr>
    </w:p>
    <w:p w14:paraId="4C533D7D" w14:textId="77777777" w:rsidR="007073EF" w:rsidRPr="00522CE0" w:rsidRDefault="007073EF" w:rsidP="00AB100D">
      <w:pPr>
        <w:spacing w:line="276" w:lineRule="auto"/>
        <w:jc w:val="center"/>
        <w:rPr>
          <w:rFonts w:ascii="Times New Roman" w:eastAsia="Times New Roman" w:hAnsi="Times New Roman" w:cs="Times New Roman"/>
          <w:b/>
          <w:bCs/>
          <w:sz w:val="28"/>
          <w:szCs w:val="28"/>
        </w:rPr>
      </w:pPr>
    </w:p>
    <w:p w14:paraId="62E4E06F" w14:textId="77777777" w:rsidR="00C32404" w:rsidRPr="00522CE0" w:rsidRDefault="00C32404" w:rsidP="00AB100D">
      <w:pPr>
        <w:spacing w:line="276" w:lineRule="auto"/>
        <w:jc w:val="center"/>
        <w:rPr>
          <w:rFonts w:ascii="Times New Roman" w:eastAsia="Times New Roman" w:hAnsi="Times New Roman" w:cs="Times New Roman"/>
          <w:b/>
          <w:bCs/>
          <w:sz w:val="28"/>
          <w:szCs w:val="28"/>
        </w:rPr>
      </w:pPr>
    </w:p>
    <w:p w14:paraId="44E04AA1" w14:textId="77777777" w:rsidR="00C32404" w:rsidRPr="00522CE0" w:rsidRDefault="00C32404" w:rsidP="00C32404">
      <w:pPr>
        <w:rPr>
          <w:rFonts w:ascii="Times New Roman" w:hAnsi="Times New Roman" w:cs="Times New Roman"/>
          <w:b/>
          <w:sz w:val="24"/>
          <w:szCs w:val="24"/>
          <w:lang w:val="es-ES"/>
        </w:rPr>
      </w:pPr>
      <w:r w:rsidRPr="00522CE0">
        <w:rPr>
          <w:rFonts w:ascii="Times New Roman" w:hAnsi="Times New Roman" w:cs="Times New Roman"/>
          <w:b/>
          <w:sz w:val="24"/>
          <w:szCs w:val="24"/>
          <w:lang w:val="es-ES"/>
        </w:rPr>
        <w:lastRenderedPageBreak/>
        <w:t>Online Appendix References</w:t>
      </w:r>
    </w:p>
    <w:p w14:paraId="02762BD8" w14:textId="399D3695" w:rsidR="00EA21EC" w:rsidRPr="00522CE0" w:rsidRDefault="00EA21EC" w:rsidP="00EA21EC">
      <w:pPr>
        <w:spacing w:line="276" w:lineRule="auto"/>
        <w:jc w:val="both"/>
        <w:rPr>
          <w:rFonts w:ascii="Times New Roman" w:eastAsia="Times New Roman" w:hAnsi="Times New Roman" w:cs="Times New Roman"/>
          <w:sz w:val="24"/>
          <w:szCs w:val="24"/>
          <w:lang w:val="it-IT"/>
        </w:rPr>
      </w:pPr>
      <w:r w:rsidRPr="00522CE0">
        <w:rPr>
          <w:rFonts w:ascii="Times New Roman" w:eastAsia="Times New Roman" w:hAnsi="Times New Roman" w:cs="Times New Roman"/>
          <w:sz w:val="24"/>
          <w:szCs w:val="24"/>
          <w:lang w:val="es-ES"/>
        </w:rPr>
        <w:t xml:space="preserve">Carreras, M. J., Tomás-Guillén, E., Farriols, A., Renedo-Miró, B., Valdivia, C., Vidal, J., ... </w:t>
      </w:r>
      <w:r w:rsidRPr="00522CE0">
        <w:rPr>
          <w:rFonts w:ascii="Times New Roman" w:eastAsia="Times New Roman" w:hAnsi="Times New Roman" w:cs="Times New Roman"/>
          <w:sz w:val="24"/>
          <w:szCs w:val="24"/>
        </w:rPr>
        <w:t>&amp; Monterde, J. (2023). Use of drugs in clinical practice and the associated cost of cancer treatment in adult patients with solid tumors: A 10-year retrospective cohort study. </w:t>
      </w:r>
      <w:r w:rsidRPr="00522CE0">
        <w:rPr>
          <w:rFonts w:ascii="Times New Roman" w:eastAsia="Times New Roman" w:hAnsi="Times New Roman" w:cs="Times New Roman"/>
          <w:i/>
          <w:sz w:val="24"/>
          <w:szCs w:val="24"/>
          <w:lang w:val="it-IT"/>
        </w:rPr>
        <w:t>Current Oncology</w:t>
      </w:r>
      <w:r w:rsidRPr="00522CE0">
        <w:rPr>
          <w:rFonts w:ascii="Times New Roman" w:eastAsia="Times New Roman" w:hAnsi="Times New Roman" w:cs="Times New Roman"/>
          <w:sz w:val="24"/>
          <w:szCs w:val="24"/>
          <w:lang w:val="it-IT"/>
        </w:rPr>
        <w:t>, </w:t>
      </w:r>
      <w:r w:rsidRPr="00522CE0">
        <w:rPr>
          <w:rFonts w:ascii="Times New Roman" w:eastAsia="Times New Roman" w:hAnsi="Times New Roman" w:cs="Times New Roman"/>
          <w:i/>
          <w:sz w:val="24"/>
          <w:szCs w:val="24"/>
          <w:lang w:val="it-IT"/>
        </w:rPr>
        <w:t>30</w:t>
      </w:r>
      <w:r w:rsidRPr="00522CE0">
        <w:rPr>
          <w:rFonts w:ascii="Times New Roman" w:eastAsia="Times New Roman" w:hAnsi="Times New Roman" w:cs="Times New Roman"/>
          <w:sz w:val="24"/>
          <w:szCs w:val="24"/>
          <w:lang w:val="it-IT"/>
        </w:rPr>
        <w:t xml:space="preserve">(9), 7984-8004. </w:t>
      </w:r>
    </w:p>
    <w:p w14:paraId="608D5A23" w14:textId="77777777"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lang w:val="it-IT"/>
        </w:rPr>
        <w:t xml:space="preserve">Convertino, I., Tuccori, M., Ferraro, S., Valdiserra, G., Cappello, E., Focosi, D., &amp; Blandizzi, C. (2020). </w:t>
      </w:r>
      <w:r w:rsidRPr="00522CE0">
        <w:rPr>
          <w:rFonts w:ascii="Times New Roman" w:eastAsia="Times New Roman" w:hAnsi="Times New Roman" w:cs="Times New Roman"/>
          <w:sz w:val="24"/>
          <w:szCs w:val="24"/>
        </w:rPr>
        <w:t>Exploring pharmacological approaches for managing cytokine storm associated with pneumonia and acute respiratory distress syndrome in COVID-19 patients. </w:t>
      </w:r>
      <w:r w:rsidRPr="00522CE0">
        <w:rPr>
          <w:rFonts w:ascii="Times New Roman" w:eastAsia="Times New Roman" w:hAnsi="Times New Roman" w:cs="Times New Roman"/>
          <w:i/>
          <w:sz w:val="24"/>
          <w:szCs w:val="24"/>
        </w:rPr>
        <w:t>Critical Care</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24</w:t>
      </w:r>
      <w:r w:rsidRPr="00522CE0">
        <w:rPr>
          <w:rFonts w:ascii="Times New Roman" w:eastAsia="Times New Roman" w:hAnsi="Times New Roman" w:cs="Times New Roman"/>
          <w:sz w:val="24"/>
          <w:szCs w:val="24"/>
        </w:rPr>
        <w:t xml:space="preserve">, 1-6. </w:t>
      </w:r>
    </w:p>
    <w:p w14:paraId="53201467" w14:textId="0A2360BE"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Doroudchi, A., Pathria, M., &amp; Modena, B. D. (2020). Asthma biologics: comparing trial designs, patient cohorts and study results. </w:t>
      </w:r>
      <w:r w:rsidRPr="00522CE0">
        <w:rPr>
          <w:rFonts w:ascii="Times New Roman" w:eastAsia="Times New Roman" w:hAnsi="Times New Roman" w:cs="Times New Roman"/>
          <w:i/>
          <w:sz w:val="24"/>
          <w:szCs w:val="24"/>
        </w:rPr>
        <w:t>Annals of Allergy, Asthma &amp; Immunology</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124</w:t>
      </w:r>
      <w:r w:rsidRPr="00522CE0">
        <w:rPr>
          <w:rFonts w:ascii="Times New Roman" w:eastAsia="Times New Roman" w:hAnsi="Times New Roman" w:cs="Times New Roman"/>
          <w:sz w:val="24"/>
          <w:szCs w:val="24"/>
        </w:rPr>
        <w:t xml:space="preserve">(1), 44-56. </w:t>
      </w:r>
    </w:p>
    <w:p w14:paraId="7C54E976" w14:textId="50995060"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Drake, W. P., Culver, D. A., Baughman, R. P., Judson, M. A., Crouser, E. D., James, W. E., ... &amp; Bernard, G. R. (2021). Phase II investigation of the efficacy of antimycobacterial therapy in chronic pulmonary sarcoidosis. </w:t>
      </w:r>
      <w:r w:rsidRPr="00522CE0">
        <w:rPr>
          <w:rFonts w:ascii="Times New Roman" w:eastAsia="Times New Roman" w:hAnsi="Times New Roman" w:cs="Times New Roman"/>
          <w:i/>
          <w:sz w:val="24"/>
          <w:szCs w:val="24"/>
        </w:rPr>
        <w:t>Chest</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159</w:t>
      </w:r>
      <w:r w:rsidRPr="00522CE0">
        <w:rPr>
          <w:rFonts w:ascii="Times New Roman" w:eastAsia="Times New Roman" w:hAnsi="Times New Roman" w:cs="Times New Roman"/>
          <w:sz w:val="24"/>
          <w:szCs w:val="24"/>
        </w:rPr>
        <w:t xml:space="preserve">(5), 1902-1912. </w:t>
      </w:r>
    </w:p>
    <w:p w14:paraId="15F2F52A" w14:textId="2A0A4E17"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Gelhorn, H. L., Balantac, Z., Ambrose, C. S., Chung, Y. N., &amp; Stone, B. (2019). Patient and physician preferences for attributes of biologic medications for severe asthma. </w:t>
      </w:r>
      <w:r w:rsidRPr="00522CE0">
        <w:rPr>
          <w:rFonts w:ascii="Times New Roman" w:eastAsia="Times New Roman" w:hAnsi="Times New Roman" w:cs="Times New Roman"/>
          <w:i/>
          <w:sz w:val="24"/>
          <w:szCs w:val="24"/>
        </w:rPr>
        <w:t>Patient preference and adherence</w:t>
      </w:r>
      <w:r w:rsidRPr="00522CE0">
        <w:rPr>
          <w:rFonts w:ascii="Times New Roman" w:eastAsia="Times New Roman" w:hAnsi="Times New Roman" w:cs="Times New Roman"/>
          <w:sz w:val="24"/>
          <w:szCs w:val="24"/>
        </w:rPr>
        <w:t xml:space="preserve">, 1253-1268. </w:t>
      </w:r>
    </w:p>
    <w:p w14:paraId="55323FB7" w14:textId="7245B2C0"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Holgate, S. T., Walker, S., West, B., &amp; Boycott, K. (2019). The future of asthma care: Personalized asthma treatment. </w:t>
      </w:r>
      <w:r w:rsidRPr="00522CE0">
        <w:rPr>
          <w:rFonts w:ascii="Times New Roman" w:eastAsia="Times New Roman" w:hAnsi="Times New Roman" w:cs="Times New Roman"/>
          <w:i/>
          <w:sz w:val="24"/>
          <w:szCs w:val="24"/>
        </w:rPr>
        <w:t>Clinics in Chest Medicine</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40</w:t>
      </w:r>
      <w:r w:rsidRPr="00522CE0">
        <w:rPr>
          <w:rFonts w:ascii="Times New Roman" w:eastAsia="Times New Roman" w:hAnsi="Times New Roman" w:cs="Times New Roman"/>
          <w:sz w:val="24"/>
          <w:szCs w:val="24"/>
        </w:rPr>
        <w:t xml:space="preserve">(1), 227-241. </w:t>
      </w:r>
    </w:p>
    <w:p w14:paraId="1D69B3EE" w14:textId="27132259" w:rsidR="00EA21EC" w:rsidRPr="00522CE0" w:rsidRDefault="00EA21EC"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Horgan, D., Baird, A. M., Middleton, M., Mihaylova, Z., Van Meerbeeck, J. P., Vogel-Claussen, J., ... &amp; Bertolaccini, L. (2022, August). How Can the EU Beating Cancer Plan Help in Tackling Lung Cancer, Colorectal Cancer, Breast Cancer and Melanoma?. In </w:t>
      </w:r>
      <w:r w:rsidRPr="00522CE0">
        <w:rPr>
          <w:rFonts w:ascii="Times New Roman" w:eastAsia="Times New Roman" w:hAnsi="Times New Roman" w:cs="Times New Roman"/>
          <w:i/>
          <w:sz w:val="24"/>
          <w:szCs w:val="24"/>
        </w:rPr>
        <w:t>Healthcare</w:t>
      </w:r>
      <w:r w:rsidRPr="00522CE0">
        <w:rPr>
          <w:rFonts w:ascii="Times New Roman" w:eastAsia="Times New Roman" w:hAnsi="Times New Roman" w:cs="Times New Roman"/>
          <w:sz w:val="24"/>
          <w:szCs w:val="24"/>
        </w:rPr>
        <w:t xml:space="preserve"> (Vol. 10, No. 9, p. 1618). MDPI. </w:t>
      </w:r>
    </w:p>
    <w:p w14:paraId="0A602955" w14:textId="753BD00A" w:rsidR="005B1348" w:rsidRPr="00522CE0" w:rsidRDefault="005B1348"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Jin, K. T., Lu, Z. B., Chen, J. Y., Liu, Y. Y., Lan, H. R., Dong, H. Y., ... &amp; Chen, X. Y. (2020). Recent trends in nanocarrier‐based targeted chemotherapy: selective delivery of anticancer drugs for effective lung, colon, cervical, and breast cancer treatment. </w:t>
      </w:r>
      <w:r w:rsidRPr="00522CE0">
        <w:rPr>
          <w:rFonts w:ascii="Times New Roman" w:eastAsia="Times New Roman" w:hAnsi="Times New Roman" w:cs="Times New Roman"/>
          <w:i/>
          <w:sz w:val="24"/>
          <w:szCs w:val="24"/>
        </w:rPr>
        <w:t>Journal of Nanomaterials</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2020</w:t>
      </w:r>
      <w:r w:rsidRPr="00522CE0">
        <w:rPr>
          <w:rFonts w:ascii="Times New Roman" w:eastAsia="Times New Roman" w:hAnsi="Times New Roman" w:cs="Times New Roman"/>
          <w:sz w:val="24"/>
          <w:szCs w:val="24"/>
        </w:rPr>
        <w:t xml:space="preserve">(1), 9184284. </w:t>
      </w:r>
    </w:p>
    <w:p w14:paraId="7A2515B3" w14:textId="5338FBDE" w:rsidR="00EA21EC" w:rsidRPr="00522CE0" w:rsidRDefault="00EA21EC"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Koulouris, A., Tsagkaris, C., Corriero, A. C., Metro, G., &amp; Mountzios, G. (2022). Resistance to TKIs in EGFR-mutated non-small cell lung cancer: from mechanisms to new therapeutic strategies. </w:t>
      </w:r>
      <w:r w:rsidRPr="00522CE0">
        <w:rPr>
          <w:rFonts w:ascii="Times New Roman" w:eastAsia="Times New Roman" w:hAnsi="Times New Roman" w:cs="Times New Roman"/>
          <w:i/>
          <w:sz w:val="24"/>
          <w:szCs w:val="24"/>
        </w:rPr>
        <w:t>Cancers</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14</w:t>
      </w:r>
      <w:r w:rsidRPr="00522CE0">
        <w:rPr>
          <w:rFonts w:ascii="Times New Roman" w:eastAsia="Times New Roman" w:hAnsi="Times New Roman" w:cs="Times New Roman"/>
          <w:sz w:val="24"/>
          <w:szCs w:val="24"/>
        </w:rPr>
        <w:t xml:space="preserve">(14), 3337. </w:t>
      </w:r>
    </w:p>
    <w:p w14:paraId="17086D28" w14:textId="77777777"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Lee, T. Y., Sadatsafavi, M., Yadav, C. P., Price, D. B., Beasley, R., Janson, C., ... &amp; Chen, W. (2023). Individualised risk prediction model for exacerbations in patients with severe asthma: protocol for a multicentre real-world risk modelling study. </w:t>
      </w:r>
      <w:r w:rsidRPr="00522CE0">
        <w:rPr>
          <w:rFonts w:ascii="Times New Roman" w:eastAsia="Times New Roman" w:hAnsi="Times New Roman" w:cs="Times New Roman"/>
          <w:i/>
          <w:sz w:val="24"/>
          <w:szCs w:val="24"/>
        </w:rPr>
        <w:t>BMJ open</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13</w:t>
      </w:r>
      <w:r w:rsidRPr="00522CE0">
        <w:rPr>
          <w:rFonts w:ascii="Times New Roman" w:eastAsia="Times New Roman" w:hAnsi="Times New Roman" w:cs="Times New Roman"/>
          <w:sz w:val="24"/>
          <w:szCs w:val="24"/>
        </w:rPr>
        <w:t xml:space="preserve">(3), e070459. </w:t>
      </w:r>
    </w:p>
    <w:p w14:paraId="4164FAE5" w14:textId="77777777"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Liang, W., Pan, H. W., Vllasaliu, D., &amp; Lam, J. K. (2020). Pulmonary delivery of biological drugs. </w:t>
      </w:r>
      <w:r w:rsidRPr="00522CE0">
        <w:rPr>
          <w:rFonts w:ascii="Times New Roman" w:eastAsia="Times New Roman" w:hAnsi="Times New Roman" w:cs="Times New Roman"/>
          <w:i/>
          <w:sz w:val="24"/>
          <w:szCs w:val="24"/>
        </w:rPr>
        <w:t>Pharmaceutics</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12</w:t>
      </w:r>
      <w:r w:rsidRPr="00522CE0">
        <w:rPr>
          <w:rFonts w:ascii="Times New Roman" w:eastAsia="Times New Roman" w:hAnsi="Times New Roman" w:cs="Times New Roman"/>
          <w:sz w:val="24"/>
          <w:szCs w:val="24"/>
        </w:rPr>
        <w:t xml:space="preserve">(11), 1025. </w:t>
      </w:r>
    </w:p>
    <w:p w14:paraId="6992D792" w14:textId="08C70097" w:rsidR="00EA21EC" w:rsidRPr="00522CE0" w:rsidRDefault="005B1348"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Mamori, T., Tanioka, M., Takada, K., Hamano, H., Tsukioki, T., Takahashi, Y., ... &amp; Toyooka, S. (2025). Real-World Comparative Analysis of Trastuzumab Originator and Biosimilars: Safety, Efficacy, and Cost Effectiveness. </w:t>
      </w:r>
      <w:r w:rsidRPr="00522CE0">
        <w:rPr>
          <w:rFonts w:ascii="Times New Roman" w:eastAsia="Times New Roman" w:hAnsi="Times New Roman" w:cs="Times New Roman"/>
          <w:i/>
          <w:iCs/>
          <w:sz w:val="24"/>
          <w:szCs w:val="24"/>
        </w:rPr>
        <w:t>BioDrugs</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iCs/>
          <w:sz w:val="24"/>
          <w:szCs w:val="24"/>
        </w:rPr>
        <w:t>39</w:t>
      </w:r>
      <w:r w:rsidRPr="00522CE0">
        <w:rPr>
          <w:rFonts w:ascii="Times New Roman" w:eastAsia="Times New Roman" w:hAnsi="Times New Roman" w:cs="Times New Roman"/>
          <w:sz w:val="24"/>
          <w:szCs w:val="24"/>
        </w:rPr>
        <w:t>(1), 131-142.</w:t>
      </w:r>
    </w:p>
    <w:p w14:paraId="588F9308" w14:textId="0F62D9BE" w:rsidR="00EA21EC" w:rsidRPr="00522CE0" w:rsidRDefault="00EA21EC" w:rsidP="00C32404">
      <w:pPr>
        <w:spacing w:line="276" w:lineRule="auto"/>
        <w:jc w:val="both"/>
        <w:rPr>
          <w:rFonts w:ascii="Times New Roman" w:eastAsia="Times New Roman" w:hAnsi="Times New Roman" w:cs="Times New Roman"/>
          <w:sz w:val="24"/>
          <w:szCs w:val="24"/>
          <w:lang w:val="es-ES"/>
        </w:rPr>
      </w:pPr>
      <w:r w:rsidRPr="00522CE0">
        <w:rPr>
          <w:rFonts w:ascii="Times New Roman" w:eastAsia="Times New Roman" w:hAnsi="Times New Roman" w:cs="Times New Roman"/>
          <w:sz w:val="24"/>
          <w:szCs w:val="24"/>
        </w:rPr>
        <w:lastRenderedPageBreak/>
        <w:t>Mazur, N. I., Terstappen, J., Baral, R., Bardají, A., Beutels, P., Buchholz, U. J., ... &amp; Bont, L. (2023). Respiratory syncytial virus prevention within reach: the vaccine and monoclonal antibody landscape. </w:t>
      </w:r>
      <w:r w:rsidRPr="00522CE0">
        <w:rPr>
          <w:rFonts w:ascii="Times New Roman" w:eastAsia="Times New Roman" w:hAnsi="Times New Roman" w:cs="Times New Roman"/>
          <w:i/>
          <w:sz w:val="24"/>
          <w:szCs w:val="24"/>
          <w:lang w:val="es-ES"/>
        </w:rPr>
        <w:t>The Lancet Infectious Diseases</w:t>
      </w:r>
      <w:r w:rsidRPr="00522CE0">
        <w:rPr>
          <w:rFonts w:ascii="Times New Roman" w:eastAsia="Times New Roman" w:hAnsi="Times New Roman" w:cs="Times New Roman"/>
          <w:sz w:val="24"/>
          <w:szCs w:val="24"/>
          <w:lang w:val="es-ES"/>
        </w:rPr>
        <w:t>, </w:t>
      </w:r>
      <w:r w:rsidRPr="00522CE0">
        <w:rPr>
          <w:rFonts w:ascii="Times New Roman" w:eastAsia="Times New Roman" w:hAnsi="Times New Roman" w:cs="Times New Roman"/>
          <w:i/>
          <w:sz w:val="24"/>
          <w:szCs w:val="24"/>
          <w:lang w:val="es-ES"/>
        </w:rPr>
        <w:t>23</w:t>
      </w:r>
      <w:r w:rsidRPr="00522CE0">
        <w:rPr>
          <w:rFonts w:ascii="Times New Roman" w:eastAsia="Times New Roman" w:hAnsi="Times New Roman" w:cs="Times New Roman"/>
          <w:sz w:val="24"/>
          <w:szCs w:val="24"/>
          <w:lang w:val="es-ES"/>
        </w:rPr>
        <w:t xml:space="preserve">(1), e2-e21. </w:t>
      </w:r>
    </w:p>
    <w:p w14:paraId="290127A4" w14:textId="7B286AA1" w:rsidR="00C32404" w:rsidRPr="00522CE0" w:rsidRDefault="00C32404" w:rsidP="00C32404">
      <w:pPr>
        <w:spacing w:line="276" w:lineRule="auto"/>
        <w:jc w:val="both"/>
        <w:rPr>
          <w:rFonts w:ascii="Times New Roman" w:eastAsia="Times New Roman" w:hAnsi="Times New Roman" w:cs="Times New Roman"/>
          <w:sz w:val="24"/>
          <w:szCs w:val="24"/>
          <w:lang w:val="it-IT"/>
        </w:rPr>
      </w:pPr>
      <w:r w:rsidRPr="00522CE0">
        <w:rPr>
          <w:rFonts w:ascii="Times New Roman" w:eastAsia="Times New Roman" w:hAnsi="Times New Roman" w:cs="Times New Roman"/>
          <w:sz w:val="24"/>
          <w:szCs w:val="24"/>
          <w:lang w:val="es-ES"/>
        </w:rPr>
        <w:t xml:space="preserve">Muñoz-Villegas, P., Sanchez-Rios, A., Quinonez-Alvarado, M. G., Olvera-Montaño, O., Quintana-Hau, J. D., &amp; Baiza-Duran, L. (2021). </w:t>
      </w:r>
      <w:r w:rsidRPr="00522CE0">
        <w:rPr>
          <w:rFonts w:ascii="Times New Roman" w:eastAsia="Times New Roman" w:hAnsi="Times New Roman" w:cs="Times New Roman"/>
          <w:sz w:val="24"/>
          <w:szCs w:val="24"/>
        </w:rPr>
        <w:t>Pharmacokinetics and safety of an intravitreal humanized anti-VEGF-a monoclonal antibody (PRO-169), a biosimilar candidate to bevacizumab. </w:t>
      </w:r>
      <w:r w:rsidRPr="00522CE0">
        <w:rPr>
          <w:rFonts w:ascii="Times New Roman" w:eastAsia="Times New Roman" w:hAnsi="Times New Roman" w:cs="Times New Roman"/>
          <w:i/>
          <w:sz w:val="24"/>
          <w:szCs w:val="24"/>
          <w:lang w:val="it-IT"/>
        </w:rPr>
        <w:t>Journal of experimental pharmacology</w:t>
      </w:r>
      <w:r w:rsidRPr="00522CE0">
        <w:rPr>
          <w:rFonts w:ascii="Times New Roman" w:eastAsia="Times New Roman" w:hAnsi="Times New Roman" w:cs="Times New Roman"/>
          <w:sz w:val="24"/>
          <w:szCs w:val="24"/>
          <w:lang w:val="it-IT"/>
        </w:rPr>
        <w:t xml:space="preserve">, 545-554. </w:t>
      </w:r>
    </w:p>
    <w:p w14:paraId="55558128" w14:textId="556E6171" w:rsidR="005B1348" w:rsidRPr="00522CE0" w:rsidRDefault="005B1348"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lang w:val="it-IT"/>
        </w:rPr>
        <w:t xml:space="preserve">Petelytska, L., Bonomi, F., Cannistrà, C., Fiorentini, E., Peretti, S., Torracchi, S., ... </w:t>
      </w:r>
      <w:r w:rsidRPr="00522CE0">
        <w:rPr>
          <w:rFonts w:ascii="Times New Roman" w:eastAsia="Times New Roman" w:hAnsi="Times New Roman" w:cs="Times New Roman"/>
          <w:sz w:val="24"/>
          <w:szCs w:val="24"/>
        </w:rPr>
        <w:t>&amp; Bruni, C. (2023). Heterogeneity of determining disease severity, clinical course and outcomes in systemic sclerosis-associated interstitial lung disease: a systematic literature review. </w:t>
      </w:r>
      <w:r w:rsidRPr="00522CE0">
        <w:rPr>
          <w:rFonts w:ascii="Times New Roman" w:eastAsia="Times New Roman" w:hAnsi="Times New Roman" w:cs="Times New Roman"/>
          <w:i/>
          <w:sz w:val="24"/>
          <w:szCs w:val="24"/>
        </w:rPr>
        <w:t>RMD open</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9</w:t>
      </w:r>
      <w:r w:rsidRPr="00522CE0">
        <w:rPr>
          <w:rFonts w:ascii="Times New Roman" w:eastAsia="Times New Roman" w:hAnsi="Times New Roman" w:cs="Times New Roman"/>
          <w:sz w:val="24"/>
          <w:szCs w:val="24"/>
        </w:rPr>
        <w:t xml:space="preserve">(4), e003426. </w:t>
      </w:r>
    </w:p>
    <w:p w14:paraId="441395C0" w14:textId="3A401266" w:rsidR="00EA21EC" w:rsidRPr="00522CE0" w:rsidRDefault="00EA21EC"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Quinn, L. A., Shields, M. D., Sinha, I., &amp; Groves, H. E. (2020). Respiratory syncytial virus prophylaxis for prevention of recurrent childhood wheeze and asthma: a systematic review. </w:t>
      </w:r>
      <w:r w:rsidRPr="00522CE0">
        <w:rPr>
          <w:rFonts w:ascii="Times New Roman" w:eastAsia="Times New Roman" w:hAnsi="Times New Roman" w:cs="Times New Roman"/>
          <w:i/>
          <w:sz w:val="24"/>
          <w:szCs w:val="24"/>
        </w:rPr>
        <w:t>Systematic Reviews</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9</w:t>
      </w:r>
      <w:r w:rsidRPr="00522CE0">
        <w:rPr>
          <w:rFonts w:ascii="Times New Roman" w:eastAsia="Times New Roman" w:hAnsi="Times New Roman" w:cs="Times New Roman"/>
          <w:sz w:val="24"/>
          <w:szCs w:val="24"/>
        </w:rPr>
        <w:t xml:space="preserve">, 1-12. </w:t>
      </w:r>
    </w:p>
    <w:p w14:paraId="1BF6247D" w14:textId="2CDA6110" w:rsidR="00EA21EC" w:rsidRPr="00522CE0" w:rsidRDefault="00EA21EC"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Stolz, D., Matera, M. G., Rogliani, P., van den Berge, M., Papakonstantinou, E., Gosens, R., ... &amp; Page, C. P. (2023). Current and future developments in the pharmacology of asthma and COPD: ERS seminar, Naples 2022. </w:t>
      </w:r>
      <w:r w:rsidRPr="00522CE0">
        <w:rPr>
          <w:rFonts w:ascii="Times New Roman" w:eastAsia="Times New Roman" w:hAnsi="Times New Roman" w:cs="Times New Roman"/>
          <w:i/>
          <w:sz w:val="24"/>
          <w:szCs w:val="24"/>
        </w:rPr>
        <w:t>Breathe</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19</w:t>
      </w:r>
      <w:r w:rsidRPr="00522CE0">
        <w:rPr>
          <w:rFonts w:ascii="Times New Roman" w:eastAsia="Times New Roman" w:hAnsi="Times New Roman" w:cs="Times New Roman"/>
          <w:sz w:val="24"/>
          <w:szCs w:val="24"/>
        </w:rPr>
        <w:t xml:space="preserve">(2). </w:t>
      </w:r>
    </w:p>
    <w:p w14:paraId="77F77F18" w14:textId="1147A536" w:rsidR="005B1348" w:rsidRPr="00522CE0" w:rsidRDefault="005B1348" w:rsidP="00C32404">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Wynne, C., Schwabe, C., Batra, S. S., Lopez‐Lazaro, L., &amp; Kankanwadi, S. (2018). A comparative pharmacokinetic study of DRL_BZ, a candidate biosimilar of bevacizumab, with Avastin®(EU and US) in healthy male subjects. </w:t>
      </w:r>
      <w:r w:rsidRPr="00522CE0">
        <w:rPr>
          <w:rFonts w:ascii="Times New Roman" w:eastAsia="Times New Roman" w:hAnsi="Times New Roman" w:cs="Times New Roman"/>
          <w:i/>
          <w:iCs/>
          <w:sz w:val="24"/>
          <w:szCs w:val="24"/>
        </w:rPr>
        <w:t>British Journal of Clinical Pharmacology</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iCs/>
          <w:sz w:val="24"/>
          <w:szCs w:val="24"/>
        </w:rPr>
        <w:t>84</w:t>
      </w:r>
      <w:r w:rsidRPr="00522CE0">
        <w:rPr>
          <w:rFonts w:ascii="Times New Roman" w:eastAsia="Times New Roman" w:hAnsi="Times New Roman" w:cs="Times New Roman"/>
          <w:sz w:val="24"/>
          <w:szCs w:val="24"/>
        </w:rPr>
        <w:t xml:space="preserve">(10), 2352-2364. </w:t>
      </w:r>
    </w:p>
    <w:p w14:paraId="1630CFF1" w14:textId="77777777" w:rsidR="00EA21EC" w:rsidRPr="00522CE0" w:rsidRDefault="00EA21EC" w:rsidP="00EA21EC">
      <w:pPr>
        <w:spacing w:line="276" w:lineRule="auto"/>
        <w:jc w:val="both"/>
        <w:rPr>
          <w:rFonts w:ascii="Times New Roman" w:eastAsia="Times New Roman" w:hAnsi="Times New Roman" w:cs="Times New Roman"/>
          <w:sz w:val="24"/>
          <w:szCs w:val="24"/>
        </w:rPr>
      </w:pPr>
      <w:r w:rsidRPr="00522CE0">
        <w:rPr>
          <w:rFonts w:ascii="Times New Roman" w:eastAsia="Times New Roman" w:hAnsi="Times New Roman" w:cs="Times New Roman"/>
          <w:sz w:val="24"/>
          <w:szCs w:val="24"/>
        </w:rPr>
        <w:t>Yamaguchi, S., &amp; Narukawa, M. (2022). Combinations of Drug Candidate Properties Affecting Development Success and Discontinuation for 5 Diseases: Lymphoma, Non–Small Cell Lung Cancer, Arthritis, Depression, and Alzheimer Disease. </w:t>
      </w:r>
      <w:r w:rsidRPr="00522CE0">
        <w:rPr>
          <w:rFonts w:ascii="Times New Roman" w:eastAsia="Times New Roman" w:hAnsi="Times New Roman" w:cs="Times New Roman"/>
          <w:i/>
          <w:sz w:val="24"/>
          <w:szCs w:val="24"/>
        </w:rPr>
        <w:t>The Journal of Clinical Pharmacology</w:t>
      </w:r>
      <w:r w:rsidRPr="00522CE0">
        <w:rPr>
          <w:rFonts w:ascii="Times New Roman" w:eastAsia="Times New Roman" w:hAnsi="Times New Roman" w:cs="Times New Roman"/>
          <w:sz w:val="24"/>
          <w:szCs w:val="24"/>
        </w:rPr>
        <w:t>, </w:t>
      </w:r>
      <w:r w:rsidRPr="00522CE0">
        <w:rPr>
          <w:rFonts w:ascii="Times New Roman" w:eastAsia="Times New Roman" w:hAnsi="Times New Roman" w:cs="Times New Roman"/>
          <w:i/>
          <w:sz w:val="24"/>
          <w:szCs w:val="24"/>
        </w:rPr>
        <w:t>62</w:t>
      </w:r>
      <w:r w:rsidRPr="00522CE0">
        <w:rPr>
          <w:rFonts w:ascii="Times New Roman" w:eastAsia="Times New Roman" w:hAnsi="Times New Roman" w:cs="Times New Roman"/>
          <w:sz w:val="24"/>
          <w:szCs w:val="24"/>
        </w:rPr>
        <w:t xml:space="preserve">(10), 1247-1256. </w:t>
      </w:r>
    </w:p>
    <w:p w14:paraId="1D74FFAA" w14:textId="77777777" w:rsidR="00EA21EC" w:rsidRPr="00522CE0" w:rsidRDefault="00EA21EC" w:rsidP="00C32404">
      <w:pPr>
        <w:spacing w:line="276" w:lineRule="auto"/>
        <w:jc w:val="both"/>
        <w:rPr>
          <w:rFonts w:ascii="Times New Roman" w:eastAsia="Times New Roman" w:hAnsi="Times New Roman" w:cs="Times New Roman"/>
          <w:sz w:val="24"/>
          <w:szCs w:val="24"/>
        </w:rPr>
      </w:pPr>
    </w:p>
    <w:p w14:paraId="18193CD5" w14:textId="77777777" w:rsidR="00C32404" w:rsidRPr="00522CE0" w:rsidRDefault="00C32404" w:rsidP="00AB100D">
      <w:pPr>
        <w:spacing w:line="276" w:lineRule="auto"/>
        <w:jc w:val="center"/>
        <w:rPr>
          <w:rFonts w:ascii="Times New Roman" w:eastAsia="Times New Roman" w:hAnsi="Times New Roman" w:cs="Times New Roman"/>
          <w:b/>
          <w:bCs/>
          <w:sz w:val="28"/>
          <w:szCs w:val="28"/>
        </w:rPr>
      </w:pPr>
    </w:p>
    <w:sectPr w:rsidR="00C32404" w:rsidRPr="00522CE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6350" w14:textId="77777777" w:rsidR="0093187D" w:rsidRDefault="0093187D">
      <w:pPr>
        <w:spacing w:after="0" w:line="240" w:lineRule="auto"/>
      </w:pPr>
      <w:r>
        <w:separator/>
      </w:r>
    </w:p>
  </w:endnote>
  <w:endnote w:type="continuationSeparator" w:id="0">
    <w:p w14:paraId="0E4CA126" w14:textId="77777777" w:rsidR="0093187D" w:rsidRDefault="0093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927C" w14:textId="77777777" w:rsidR="0093187D" w:rsidRDefault="0093187D">
      <w:pPr>
        <w:spacing w:after="0" w:line="240" w:lineRule="auto"/>
      </w:pPr>
      <w:r>
        <w:separator/>
      </w:r>
    </w:p>
  </w:footnote>
  <w:footnote w:type="continuationSeparator" w:id="0">
    <w:p w14:paraId="2E8BCB65" w14:textId="77777777" w:rsidR="0093187D" w:rsidRDefault="00931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12DF"/>
    <w:multiLevelType w:val="multilevel"/>
    <w:tmpl w:val="74382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8E4F56"/>
    <w:multiLevelType w:val="multilevel"/>
    <w:tmpl w:val="C3C0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6767C3"/>
    <w:multiLevelType w:val="multilevel"/>
    <w:tmpl w:val="BEDEE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B83E79"/>
    <w:multiLevelType w:val="multilevel"/>
    <w:tmpl w:val="74382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7071362">
    <w:abstractNumId w:val="1"/>
  </w:num>
  <w:num w:numId="2" w16cid:durableId="668678250">
    <w:abstractNumId w:val="0"/>
  </w:num>
  <w:num w:numId="3" w16cid:durableId="491022152">
    <w:abstractNumId w:val="2"/>
  </w:num>
  <w:num w:numId="4" w16cid:durableId="1536505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4A"/>
    <w:rsid w:val="00000D7C"/>
    <w:rsid w:val="00007037"/>
    <w:rsid w:val="000074B2"/>
    <w:rsid w:val="0001162C"/>
    <w:rsid w:val="00011FBF"/>
    <w:rsid w:val="0001440D"/>
    <w:rsid w:val="00014B2E"/>
    <w:rsid w:val="0002415C"/>
    <w:rsid w:val="000310EB"/>
    <w:rsid w:val="00031D15"/>
    <w:rsid w:val="00033419"/>
    <w:rsid w:val="000374A5"/>
    <w:rsid w:val="00042906"/>
    <w:rsid w:val="00050D5B"/>
    <w:rsid w:val="0005143C"/>
    <w:rsid w:val="00052744"/>
    <w:rsid w:val="00056319"/>
    <w:rsid w:val="000702AC"/>
    <w:rsid w:val="00072542"/>
    <w:rsid w:val="00077C6F"/>
    <w:rsid w:val="00080526"/>
    <w:rsid w:val="00087104"/>
    <w:rsid w:val="00087F38"/>
    <w:rsid w:val="00090E13"/>
    <w:rsid w:val="00090E9E"/>
    <w:rsid w:val="00092B96"/>
    <w:rsid w:val="000A0A5A"/>
    <w:rsid w:val="000A135F"/>
    <w:rsid w:val="000A3995"/>
    <w:rsid w:val="000B55A5"/>
    <w:rsid w:val="000B5DD1"/>
    <w:rsid w:val="000C4B60"/>
    <w:rsid w:val="000C5240"/>
    <w:rsid w:val="000C6375"/>
    <w:rsid w:val="000D027B"/>
    <w:rsid w:val="000D2648"/>
    <w:rsid w:val="000E042A"/>
    <w:rsid w:val="000E14B7"/>
    <w:rsid w:val="000E28AD"/>
    <w:rsid w:val="000E3DE1"/>
    <w:rsid w:val="000E5D40"/>
    <w:rsid w:val="000F341D"/>
    <w:rsid w:val="001008AF"/>
    <w:rsid w:val="00100B39"/>
    <w:rsid w:val="001033BC"/>
    <w:rsid w:val="0010354F"/>
    <w:rsid w:val="001047A7"/>
    <w:rsid w:val="00105518"/>
    <w:rsid w:val="0011229C"/>
    <w:rsid w:val="001138B9"/>
    <w:rsid w:val="00123E9B"/>
    <w:rsid w:val="00125188"/>
    <w:rsid w:val="00141035"/>
    <w:rsid w:val="001421C0"/>
    <w:rsid w:val="00146439"/>
    <w:rsid w:val="001479B3"/>
    <w:rsid w:val="00151D37"/>
    <w:rsid w:val="00153433"/>
    <w:rsid w:val="00154ECC"/>
    <w:rsid w:val="0015690C"/>
    <w:rsid w:val="00156BAB"/>
    <w:rsid w:val="00161F4B"/>
    <w:rsid w:val="0016484A"/>
    <w:rsid w:val="00164F2E"/>
    <w:rsid w:val="00172F0F"/>
    <w:rsid w:val="001745A7"/>
    <w:rsid w:val="00174BCC"/>
    <w:rsid w:val="00180AE0"/>
    <w:rsid w:val="0018140F"/>
    <w:rsid w:val="00181B66"/>
    <w:rsid w:val="00184C2A"/>
    <w:rsid w:val="00192B16"/>
    <w:rsid w:val="0019485C"/>
    <w:rsid w:val="0019606D"/>
    <w:rsid w:val="001A6280"/>
    <w:rsid w:val="001B01E5"/>
    <w:rsid w:val="001B0A8B"/>
    <w:rsid w:val="001B0D20"/>
    <w:rsid w:val="001B3145"/>
    <w:rsid w:val="001B5F09"/>
    <w:rsid w:val="001C1F64"/>
    <w:rsid w:val="001C27BA"/>
    <w:rsid w:val="001C42BD"/>
    <w:rsid w:val="001D1A1B"/>
    <w:rsid w:val="001E3B41"/>
    <w:rsid w:val="001F0320"/>
    <w:rsid w:val="001F2051"/>
    <w:rsid w:val="001F6C41"/>
    <w:rsid w:val="001F760C"/>
    <w:rsid w:val="0020136F"/>
    <w:rsid w:val="002035EA"/>
    <w:rsid w:val="00205EF3"/>
    <w:rsid w:val="002118FA"/>
    <w:rsid w:val="002143D6"/>
    <w:rsid w:val="002230EC"/>
    <w:rsid w:val="002236D4"/>
    <w:rsid w:val="00223C2C"/>
    <w:rsid w:val="002324A1"/>
    <w:rsid w:val="00233069"/>
    <w:rsid w:val="00234B60"/>
    <w:rsid w:val="00241803"/>
    <w:rsid w:val="002546B1"/>
    <w:rsid w:val="0026019C"/>
    <w:rsid w:val="00261DFE"/>
    <w:rsid w:val="00262142"/>
    <w:rsid w:val="00270DC3"/>
    <w:rsid w:val="002724EB"/>
    <w:rsid w:val="0027631F"/>
    <w:rsid w:val="002803B8"/>
    <w:rsid w:val="00283DA1"/>
    <w:rsid w:val="0029244D"/>
    <w:rsid w:val="00292AEA"/>
    <w:rsid w:val="00293567"/>
    <w:rsid w:val="00293BF1"/>
    <w:rsid w:val="002A0D26"/>
    <w:rsid w:val="002A2120"/>
    <w:rsid w:val="002C05B9"/>
    <w:rsid w:val="002C1DC9"/>
    <w:rsid w:val="002C2CB5"/>
    <w:rsid w:val="002D1E7E"/>
    <w:rsid w:val="002E1DDC"/>
    <w:rsid w:val="002F29FF"/>
    <w:rsid w:val="002F4B95"/>
    <w:rsid w:val="002F66A4"/>
    <w:rsid w:val="003035D3"/>
    <w:rsid w:val="0030379A"/>
    <w:rsid w:val="00304070"/>
    <w:rsid w:val="003049AA"/>
    <w:rsid w:val="003067F5"/>
    <w:rsid w:val="00307A88"/>
    <w:rsid w:val="00310C76"/>
    <w:rsid w:val="00312442"/>
    <w:rsid w:val="00313412"/>
    <w:rsid w:val="003220FA"/>
    <w:rsid w:val="00323071"/>
    <w:rsid w:val="00324761"/>
    <w:rsid w:val="00330B33"/>
    <w:rsid w:val="003363A7"/>
    <w:rsid w:val="003404DD"/>
    <w:rsid w:val="003474EE"/>
    <w:rsid w:val="00347EB6"/>
    <w:rsid w:val="00347F47"/>
    <w:rsid w:val="003507D7"/>
    <w:rsid w:val="00354DB5"/>
    <w:rsid w:val="00360509"/>
    <w:rsid w:val="003662CF"/>
    <w:rsid w:val="0037025F"/>
    <w:rsid w:val="003708BF"/>
    <w:rsid w:val="003730CF"/>
    <w:rsid w:val="00375D61"/>
    <w:rsid w:val="00380620"/>
    <w:rsid w:val="0038267C"/>
    <w:rsid w:val="003919E3"/>
    <w:rsid w:val="00393370"/>
    <w:rsid w:val="003A23DB"/>
    <w:rsid w:val="003A7872"/>
    <w:rsid w:val="003B2578"/>
    <w:rsid w:val="003B4939"/>
    <w:rsid w:val="003C0123"/>
    <w:rsid w:val="003C111B"/>
    <w:rsid w:val="003C4B78"/>
    <w:rsid w:val="003D00BF"/>
    <w:rsid w:val="003D0835"/>
    <w:rsid w:val="003E1D61"/>
    <w:rsid w:val="003E4E61"/>
    <w:rsid w:val="003E71D9"/>
    <w:rsid w:val="003E7865"/>
    <w:rsid w:val="003F303D"/>
    <w:rsid w:val="003F617E"/>
    <w:rsid w:val="0040302C"/>
    <w:rsid w:val="00405733"/>
    <w:rsid w:val="00407150"/>
    <w:rsid w:val="0041461E"/>
    <w:rsid w:val="00415520"/>
    <w:rsid w:val="0042344E"/>
    <w:rsid w:val="0043761A"/>
    <w:rsid w:val="00443CA9"/>
    <w:rsid w:val="00444AAF"/>
    <w:rsid w:val="004455A0"/>
    <w:rsid w:val="00454825"/>
    <w:rsid w:val="00454C8F"/>
    <w:rsid w:val="004550EA"/>
    <w:rsid w:val="00457165"/>
    <w:rsid w:val="00461407"/>
    <w:rsid w:val="004629C9"/>
    <w:rsid w:val="00463028"/>
    <w:rsid w:val="00471B20"/>
    <w:rsid w:val="00481355"/>
    <w:rsid w:val="00483F12"/>
    <w:rsid w:val="0048487F"/>
    <w:rsid w:val="00484B1A"/>
    <w:rsid w:val="004855AE"/>
    <w:rsid w:val="004A2033"/>
    <w:rsid w:val="004A76CF"/>
    <w:rsid w:val="004A7A83"/>
    <w:rsid w:val="004B3239"/>
    <w:rsid w:val="004B6600"/>
    <w:rsid w:val="004C0033"/>
    <w:rsid w:val="004C6093"/>
    <w:rsid w:val="004D741D"/>
    <w:rsid w:val="004E37DF"/>
    <w:rsid w:val="004E6757"/>
    <w:rsid w:val="004F0C8D"/>
    <w:rsid w:val="004F1462"/>
    <w:rsid w:val="004F3C44"/>
    <w:rsid w:val="004F47AE"/>
    <w:rsid w:val="004F5622"/>
    <w:rsid w:val="004F695E"/>
    <w:rsid w:val="00503A10"/>
    <w:rsid w:val="00504174"/>
    <w:rsid w:val="0050499E"/>
    <w:rsid w:val="00506202"/>
    <w:rsid w:val="0051058E"/>
    <w:rsid w:val="005106C9"/>
    <w:rsid w:val="00510F73"/>
    <w:rsid w:val="00514B37"/>
    <w:rsid w:val="005205AF"/>
    <w:rsid w:val="00522436"/>
    <w:rsid w:val="00522CE0"/>
    <w:rsid w:val="00532D58"/>
    <w:rsid w:val="00532E64"/>
    <w:rsid w:val="0053643F"/>
    <w:rsid w:val="005412C7"/>
    <w:rsid w:val="005416BF"/>
    <w:rsid w:val="00543584"/>
    <w:rsid w:val="005438DF"/>
    <w:rsid w:val="00543ED1"/>
    <w:rsid w:val="005458A5"/>
    <w:rsid w:val="00553A4C"/>
    <w:rsid w:val="005551B8"/>
    <w:rsid w:val="00561B2D"/>
    <w:rsid w:val="00567BA5"/>
    <w:rsid w:val="00567C05"/>
    <w:rsid w:val="00575614"/>
    <w:rsid w:val="00581E03"/>
    <w:rsid w:val="00585111"/>
    <w:rsid w:val="0059143D"/>
    <w:rsid w:val="00592234"/>
    <w:rsid w:val="0059359B"/>
    <w:rsid w:val="00595022"/>
    <w:rsid w:val="00595F75"/>
    <w:rsid w:val="005960B7"/>
    <w:rsid w:val="005A00B7"/>
    <w:rsid w:val="005A428C"/>
    <w:rsid w:val="005B1348"/>
    <w:rsid w:val="005B4360"/>
    <w:rsid w:val="005B65EC"/>
    <w:rsid w:val="005C081A"/>
    <w:rsid w:val="005C788F"/>
    <w:rsid w:val="005C79D1"/>
    <w:rsid w:val="005D0A00"/>
    <w:rsid w:val="005D1362"/>
    <w:rsid w:val="005D181B"/>
    <w:rsid w:val="005D52B5"/>
    <w:rsid w:val="005E01B0"/>
    <w:rsid w:val="005E2F47"/>
    <w:rsid w:val="005E34B2"/>
    <w:rsid w:val="005E5510"/>
    <w:rsid w:val="005E7CA8"/>
    <w:rsid w:val="005F11C1"/>
    <w:rsid w:val="005F52A5"/>
    <w:rsid w:val="005F5350"/>
    <w:rsid w:val="005F576E"/>
    <w:rsid w:val="005F57A5"/>
    <w:rsid w:val="005F5828"/>
    <w:rsid w:val="005F7292"/>
    <w:rsid w:val="005F7A4E"/>
    <w:rsid w:val="005F7CDC"/>
    <w:rsid w:val="006008D9"/>
    <w:rsid w:val="006013C4"/>
    <w:rsid w:val="006055AB"/>
    <w:rsid w:val="006112A0"/>
    <w:rsid w:val="00620DA1"/>
    <w:rsid w:val="00624F94"/>
    <w:rsid w:val="00625525"/>
    <w:rsid w:val="00625757"/>
    <w:rsid w:val="006317C3"/>
    <w:rsid w:val="00635BB2"/>
    <w:rsid w:val="0063679E"/>
    <w:rsid w:val="0063757D"/>
    <w:rsid w:val="00637F9D"/>
    <w:rsid w:val="00645177"/>
    <w:rsid w:val="006479E0"/>
    <w:rsid w:val="00654894"/>
    <w:rsid w:val="00655AAF"/>
    <w:rsid w:val="00656498"/>
    <w:rsid w:val="006615C3"/>
    <w:rsid w:val="00664EB5"/>
    <w:rsid w:val="0066535D"/>
    <w:rsid w:val="00667E0C"/>
    <w:rsid w:val="00673C2E"/>
    <w:rsid w:val="00675B92"/>
    <w:rsid w:val="00675F46"/>
    <w:rsid w:val="00676328"/>
    <w:rsid w:val="00677D02"/>
    <w:rsid w:val="006825C1"/>
    <w:rsid w:val="00683FEA"/>
    <w:rsid w:val="00686A50"/>
    <w:rsid w:val="00690134"/>
    <w:rsid w:val="00694E27"/>
    <w:rsid w:val="00697B7F"/>
    <w:rsid w:val="006A307E"/>
    <w:rsid w:val="006A4B10"/>
    <w:rsid w:val="006A762E"/>
    <w:rsid w:val="006B5A91"/>
    <w:rsid w:val="006C2647"/>
    <w:rsid w:val="006C404B"/>
    <w:rsid w:val="006D00D2"/>
    <w:rsid w:val="006D0793"/>
    <w:rsid w:val="006D0D16"/>
    <w:rsid w:val="006D24F0"/>
    <w:rsid w:val="006D2873"/>
    <w:rsid w:val="006E4CB5"/>
    <w:rsid w:val="006F2277"/>
    <w:rsid w:val="006F34F4"/>
    <w:rsid w:val="006F6D30"/>
    <w:rsid w:val="00701093"/>
    <w:rsid w:val="007061EE"/>
    <w:rsid w:val="007073EF"/>
    <w:rsid w:val="007074FA"/>
    <w:rsid w:val="00707FE7"/>
    <w:rsid w:val="007161BD"/>
    <w:rsid w:val="00716A0E"/>
    <w:rsid w:val="0071757B"/>
    <w:rsid w:val="00722AAC"/>
    <w:rsid w:val="00724C30"/>
    <w:rsid w:val="0072529A"/>
    <w:rsid w:val="00730FD2"/>
    <w:rsid w:val="00733795"/>
    <w:rsid w:val="0073380A"/>
    <w:rsid w:val="007351EC"/>
    <w:rsid w:val="00737362"/>
    <w:rsid w:val="00740711"/>
    <w:rsid w:val="00744CF4"/>
    <w:rsid w:val="007450B5"/>
    <w:rsid w:val="00746DAD"/>
    <w:rsid w:val="00747A60"/>
    <w:rsid w:val="007518F0"/>
    <w:rsid w:val="00751AEA"/>
    <w:rsid w:val="00751EE4"/>
    <w:rsid w:val="00754B58"/>
    <w:rsid w:val="00756146"/>
    <w:rsid w:val="00760102"/>
    <w:rsid w:val="007601AD"/>
    <w:rsid w:val="007627A4"/>
    <w:rsid w:val="0076697F"/>
    <w:rsid w:val="00767ED3"/>
    <w:rsid w:val="00770676"/>
    <w:rsid w:val="0078453A"/>
    <w:rsid w:val="00784B97"/>
    <w:rsid w:val="00792CA8"/>
    <w:rsid w:val="00795009"/>
    <w:rsid w:val="00797F61"/>
    <w:rsid w:val="007A1228"/>
    <w:rsid w:val="007A300C"/>
    <w:rsid w:val="007A6D79"/>
    <w:rsid w:val="007B39D8"/>
    <w:rsid w:val="007C130D"/>
    <w:rsid w:val="007C2297"/>
    <w:rsid w:val="007C57CF"/>
    <w:rsid w:val="007C6F1E"/>
    <w:rsid w:val="007D18ED"/>
    <w:rsid w:val="007D7ABD"/>
    <w:rsid w:val="007E416F"/>
    <w:rsid w:val="007F5B2F"/>
    <w:rsid w:val="007F6AE2"/>
    <w:rsid w:val="00800027"/>
    <w:rsid w:val="00803C82"/>
    <w:rsid w:val="008119FD"/>
    <w:rsid w:val="0081427F"/>
    <w:rsid w:val="00816E81"/>
    <w:rsid w:val="0083005C"/>
    <w:rsid w:val="00833020"/>
    <w:rsid w:val="0083435F"/>
    <w:rsid w:val="0084179A"/>
    <w:rsid w:val="00842473"/>
    <w:rsid w:val="00846B1C"/>
    <w:rsid w:val="00847879"/>
    <w:rsid w:val="008478F6"/>
    <w:rsid w:val="00852157"/>
    <w:rsid w:val="00854225"/>
    <w:rsid w:val="00856ACE"/>
    <w:rsid w:val="0085710D"/>
    <w:rsid w:val="00857406"/>
    <w:rsid w:val="0086240E"/>
    <w:rsid w:val="008654CA"/>
    <w:rsid w:val="00875AF5"/>
    <w:rsid w:val="00881C0C"/>
    <w:rsid w:val="0088598A"/>
    <w:rsid w:val="008871B5"/>
    <w:rsid w:val="00892789"/>
    <w:rsid w:val="00895C94"/>
    <w:rsid w:val="008A003F"/>
    <w:rsid w:val="008B15A5"/>
    <w:rsid w:val="008B2E65"/>
    <w:rsid w:val="008C1276"/>
    <w:rsid w:val="008D22D6"/>
    <w:rsid w:val="008E06F0"/>
    <w:rsid w:val="008E7552"/>
    <w:rsid w:val="008F1CE6"/>
    <w:rsid w:val="00913398"/>
    <w:rsid w:val="0092322F"/>
    <w:rsid w:val="0092778C"/>
    <w:rsid w:val="0092798B"/>
    <w:rsid w:val="00927E49"/>
    <w:rsid w:val="0093187D"/>
    <w:rsid w:val="00937114"/>
    <w:rsid w:val="00940E90"/>
    <w:rsid w:val="00942262"/>
    <w:rsid w:val="00942722"/>
    <w:rsid w:val="0094659B"/>
    <w:rsid w:val="00954031"/>
    <w:rsid w:val="00954DC9"/>
    <w:rsid w:val="00961E86"/>
    <w:rsid w:val="00963E5B"/>
    <w:rsid w:val="00973C6B"/>
    <w:rsid w:val="00974A95"/>
    <w:rsid w:val="00974D61"/>
    <w:rsid w:val="00976226"/>
    <w:rsid w:val="00983911"/>
    <w:rsid w:val="00991FE2"/>
    <w:rsid w:val="009A285D"/>
    <w:rsid w:val="009A48E1"/>
    <w:rsid w:val="009B0A2E"/>
    <w:rsid w:val="009B32D6"/>
    <w:rsid w:val="009B33D4"/>
    <w:rsid w:val="009B703A"/>
    <w:rsid w:val="009C26F1"/>
    <w:rsid w:val="009C614C"/>
    <w:rsid w:val="009C7AF0"/>
    <w:rsid w:val="009D0239"/>
    <w:rsid w:val="009D11F9"/>
    <w:rsid w:val="009D1890"/>
    <w:rsid w:val="009E08F5"/>
    <w:rsid w:val="009E17E6"/>
    <w:rsid w:val="009F30E0"/>
    <w:rsid w:val="009F46C9"/>
    <w:rsid w:val="009F63A0"/>
    <w:rsid w:val="00A0274A"/>
    <w:rsid w:val="00A05134"/>
    <w:rsid w:val="00A05F11"/>
    <w:rsid w:val="00A12305"/>
    <w:rsid w:val="00A152C5"/>
    <w:rsid w:val="00A207BB"/>
    <w:rsid w:val="00A24405"/>
    <w:rsid w:val="00A267F7"/>
    <w:rsid w:val="00A278D1"/>
    <w:rsid w:val="00A2794D"/>
    <w:rsid w:val="00A27C04"/>
    <w:rsid w:val="00A316E9"/>
    <w:rsid w:val="00A427C7"/>
    <w:rsid w:val="00A46115"/>
    <w:rsid w:val="00A532F3"/>
    <w:rsid w:val="00A533EF"/>
    <w:rsid w:val="00A551EB"/>
    <w:rsid w:val="00A55272"/>
    <w:rsid w:val="00A560CA"/>
    <w:rsid w:val="00A617A2"/>
    <w:rsid w:val="00A62C05"/>
    <w:rsid w:val="00A63006"/>
    <w:rsid w:val="00A64F90"/>
    <w:rsid w:val="00A66AC7"/>
    <w:rsid w:val="00A6734B"/>
    <w:rsid w:val="00A7122C"/>
    <w:rsid w:val="00A724A3"/>
    <w:rsid w:val="00A74536"/>
    <w:rsid w:val="00A82314"/>
    <w:rsid w:val="00A90AAA"/>
    <w:rsid w:val="00A92728"/>
    <w:rsid w:val="00A93CAF"/>
    <w:rsid w:val="00A9431F"/>
    <w:rsid w:val="00A97B51"/>
    <w:rsid w:val="00AA0CAE"/>
    <w:rsid w:val="00AA1261"/>
    <w:rsid w:val="00AA2D64"/>
    <w:rsid w:val="00AA37FD"/>
    <w:rsid w:val="00AB091A"/>
    <w:rsid w:val="00AB100D"/>
    <w:rsid w:val="00AB18CA"/>
    <w:rsid w:val="00AB1DC6"/>
    <w:rsid w:val="00AB6122"/>
    <w:rsid w:val="00AB685E"/>
    <w:rsid w:val="00AB708C"/>
    <w:rsid w:val="00AD2AD2"/>
    <w:rsid w:val="00AD2EA3"/>
    <w:rsid w:val="00AD7CB4"/>
    <w:rsid w:val="00AE1C6E"/>
    <w:rsid w:val="00AE7888"/>
    <w:rsid w:val="00AF69A3"/>
    <w:rsid w:val="00B00BCF"/>
    <w:rsid w:val="00B00D03"/>
    <w:rsid w:val="00B0371A"/>
    <w:rsid w:val="00B04081"/>
    <w:rsid w:val="00B05649"/>
    <w:rsid w:val="00B109EA"/>
    <w:rsid w:val="00B13245"/>
    <w:rsid w:val="00B2635C"/>
    <w:rsid w:val="00B26ECD"/>
    <w:rsid w:val="00B27EB0"/>
    <w:rsid w:val="00B301A6"/>
    <w:rsid w:val="00B31D87"/>
    <w:rsid w:val="00B32E3A"/>
    <w:rsid w:val="00B35644"/>
    <w:rsid w:val="00B3599E"/>
    <w:rsid w:val="00B4112D"/>
    <w:rsid w:val="00B451E7"/>
    <w:rsid w:val="00B47E4B"/>
    <w:rsid w:val="00B5338D"/>
    <w:rsid w:val="00B62223"/>
    <w:rsid w:val="00B6470A"/>
    <w:rsid w:val="00B812DE"/>
    <w:rsid w:val="00B8464E"/>
    <w:rsid w:val="00B856AA"/>
    <w:rsid w:val="00B85DBD"/>
    <w:rsid w:val="00B8617E"/>
    <w:rsid w:val="00B86514"/>
    <w:rsid w:val="00B94777"/>
    <w:rsid w:val="00B94E2E"/>
    <w:rsid w:val="00B9749B"/>
    <w:rsid w:val="00BA3D25"/>
    <w:rsid w:val="00BA5547"/>
    <w:rsid w:val="00BA649B"/>
    <w:rsid w:val="00BA73FB"/>
    <w:rsid w:val="00BB0B23"/>
    <w:rsid w:val="00BB21A7"/>
    <w:rsid w:val="00BB2A8F"/>
    <w:rsid w:val="00BB2B22"/>
    <w:rsid w:val="00BB4562"/>
    <w:rsid w:val="00BB61A4"/>
    <w:rsid w:val="00BC08A7"/>
    <w:rsid w:val="00BC4537"/>
    <w:rsid w:val="00BC7F36"/>
    <w:rsid w:val="00BD1DC8"/>
    <w:rsid w:val="00BF5C0E"/>
    <w:rsid w:val="00BF6634"/>
    <w:rsid w:val="00BF77C5"/>
    <w:rsid w:val="00BF7CDD"/>
    <w:rsid w:val="00C0313A"/>
    <w:rsid w:val="00C043D2"/>
    <w:rsid w:val="00C064AA"/>
    <w:rsid w:val="00C07FEE"/>
    <w:rsid w:val="00C12753"/>
    <w:rsid w:val="00C1404D"/>
    <w:rsid w:val="00C27A3C"/>
    <w:rsid w:val="00C32404"/>
    <w:rsid w:val="00C36DEA"/>
    <w:rsid w:val="00C43857"/>
    <w:rsid w:val="00C4697E"/>
    <w:rsid w:val="00C5412F"/>
    <w:rsid w:val="00C54CE8"/>
    <w:rsid w:val="00C5710B"/>
    <w:rsid w:val="00C63816"/>
    <w:rsid w:val="00C654EA"/>
    <w:rsid w:val="00C73ABD"/>
    <w:rsid w:val="00C7430A"/>
    <w:rsid w:val="00C84B08"/>
    <w:rsid w:val="00C85838"/>
    <w:rsid w:val="00CB10F3"/>
    <w:rsid w:val="00CB176B"/>
    <w:rsid w:val="00CB4F8A"/>
    <w:rsid w:val="00CB7A96"/>
    <w:rsid w:val="00CC021A"/>
    <w:rsid w:val="00CC3CAC"/>
    <w:rsid w:val="00CC7EAC"/>
    <w:rsid w:val="00CD7532"/>
    <w:rsid w:val="00CE5702"/>
    <w:rsid w:val="00CE5F6D"/>
    <w:rsid w:val="00CF0EF1"/>
    <w:rsid w:val="00CF5E46"/>
    <w:rsid w:val="00CF6153"/>
    <w:rsid w:val="00D10F65"/>
    <w:rsid w:val="00D13A29"/>
    <w:rsid w:val="00D15611"/>
    <w:rsid w:val="00D1750A"/>
    <w:rsid w:val="00D2629F"/>
    <w:rsid w:val="00D30BAB"/>
    <w:rsid w:val="00D323DF"/>
    <w:rsid w:val="00D32B78"/>
    <w:rsid w:val="00D32FD4"/>
    <w:rsid w:val="00D34211"/>
    <w:rsid w:val="00D35C91"/>
    <w:rsid w:val="00D36028"/>
    <w:rsid w:val="00D37579"/>
    <w:rsid w:val="00D43CCD"/>
    <w:rsid w:val="00D4649D"/>
    <w:rsid w:val="00D503A5"/>
    <w:rsid w:val="00D52505"/>
    <w:rsid w:val="00D52577"/>
    <w:rsid w:val="00D54540"/>
    <w:rsid w:val="00D604D6"/>
    <w:rsid w:val="00D6129C"/>
    <w:rsid w:val="00D6294E"/>
    <w:rsid w:val="00D7003A"/>
    <w:rsid w:val="00D77C2C"/>
    <w:rsid w:val="00D800B9"/>
    <w:rsid w:val="00D84336"/>
    <w:rsid w:val="00D862F8"/>
    <w:rsid w:val="00D91120"/>
    <w:rsid w:val="00DA00EC"/>
    <w:rsid w:val="00DA0D66"/>
    <w:rsid w:val="00DA185D"/>
    <w:rsid w:val="00DA4770"/>
    <w:rsid w:val="00DA4D6E"/>
    <w:rsid w:val="00DA69C7"/>
    <w:rsid w:val="00DB4669"/>
    <w:rsid w:val="00DB4818"/>
    <w:rsid w:val="00DB551A"/>
    <w:rsid w:val="00DB7EC1"/>
    <w:rsid w:val="00DC2DF6"/>
    <w:rsid w:val="00DC5032"/>
    <w:rsid w:val="00DD15FB"/>
    <w:rsid w:val="00DD18A3"/>
    <w:rsid w:val="00DD3AEA"/>
    <w:rsid w:val="00DD44DA"/>
    <w:rsid w:val="00DE3AF3"/>
    <w:rsid w:val="00DE3FCA"/>
    <w:rsid w:val="00DE55A6"/>
    <w:rsid w:val="00DE59E4"/>
    <w:rsid w:val="00DF0DCE"/>
    <w:rsid w:val="00DF2C44"/>
    <w:rsid w:val="00DF6CB3"/>
    <w:rsid w:val="00E01731"/>
    <w:rsid w:val="00E02312"/>
    <w:rsid w:val="00E04D4B"/>
    <w:rsid w:val="00E05896"/>
    <w:rsid w:val="00E06D61"/>
    <w:rsid w:val="00E10E58"/>
    <w:rsid w:val="00E15456"/>
    <w:rsid w:val="00E15893"/>
    <w:rsid w:val="00E15AB7"/>
    <w:rsid w:val="00E17EAB"/>
    <w:rsid w:val="00E2001C"/>
    <w:rsid w:val="00E21BAD"/>
    <w:rsid w:val="00E239A0"/>
    <w:rsid w:val="00E23D9E"/>
    <w:rsid w:val="00E30A39"/>
    <w:rsid w:val="00E3274B"/>
    <w:rsid w:val="00E3530E"/>
    <w:rsid w:val="00E36EDE"/>
    <w:rsid w:val="00E37AA9"/>
    <w:rsid w:val="00E406B8"/>
    <w:rsid w:val="00E41FA0"/>
    <w:rsid w:val="00E44499"/>
    <w:rsid w:val="00E458F4"/>
    <w:rsid w:val="00E46467"/>
    <w:rsid w:val="00E51FDE"/>
    <w:rsid w:val="00E5318E"/>
    <w:rsid w:val="00E5497B"/>
    <w:rsid w:val="00E57313"/>
    <w:rsid w:val="00E637FC"/>
    <w:rsid w:val="00E64195"/>
    <w:rsid w:val="00E66576"/>
    <w:rsid w:val="00E67D50"/>
    <w:rsid w:val="00E7492F"/>
    <w:rsid w:val="00E75E67"/>
    <w:rsid w:val="00E9669B"/>
    <w:rsid w:val="00E971A1"/>
    <w:rsid w:val="00E9748C"/>
    <w:rsid w:val="00EA17EE"/>
    <w:rsid w:val="00EA21EC"/>
    <w:rsid w:val="00EB4C01"/>
    <w:rsid w:val="00EB6FEE"/>
    <w:rsid w:val="00EB7D98"/>
    <w:rsid w:val="00EC2AAA"/>
    <w:rsid w:val="00EC54C9"/>
    <w:rsid w:val="00ED016C"/>
    <w:rsid w:val="00ED3915"/>
    <w:rsid w:val="00ED3BF7"/>
    <w:rsid w:val="00EE340E"/>
    <w:rsid w:val="00EE41A5"/>
    <w:rsid w:val="00EE55C5"/>
    <w:rsid w:val="00EE7425"/>
    <w:rsid w:val="00EF1854"/>
    <w:rsid w:val="00F01952"/>
    <w:rsid w:val="00F058C7"/>
    <w:rsid w:val="00F1347C"/>
    <w:rsid w:val="00F2008E"/>
    <w:rsid w:val="00F20809"/>
    <w:rsid w:val="00F20B12"/>
    <w:rsid w:val="00F2114F"/>
    <w:rsid w:val="00F2314A"/>
    <w:rsid w:val="00F33DF9"/>
    <w:rsid w:val="00F34A67"/>
    <w:rsid w:val="00F35C8A"/>
    <w:rsid w:val="00F37705"/>
    <w:rsid w:val="00F37D3E"/>
    <w:rsid w:val="00F4385B"/>
    <w:rsid w:val="00F4623E"/>
    <w:rsid w:val="00F4705D"/>
    <w:rsid w:val="00F52361"/>
    <w:rsid w:val="00F53074"/>
    <w:rsid w:val="00F60DB4"/>
    <w:rsid w:val="00F6507D"/>
    <w:rsid w:val="00F66A10"/>
    <w:rsid w:val="00F70BEA"/>
    <w:rsid w:val="00F7190B"/>
    <w:rsid w:val="00F75C4C"/>
    <w:rsid w:val="00F76F84"/>
    <w:rsid w:val="00F77E26"/>
    <w:rsid w:val="00F81822"/>
    <w:rsid w:val="00F83789"/>
    <w:rsid w:val="00F87D7F"/>
    <w:rsid w:val="00F95BD4"/>
    <w:rsid w:val="00F96BA2"/>
    <w:rsid w:val="00FA0154"/>
    <w:rsid w:val="00FA3FB9"/>
    <w:rsid w:val="00FA4326"/>
    <w:rsid w:val="00FA5F34"/>
    <w:rsid w:val="00FB43F7"/>
    <w:rsid w:val="00FB723F"/>
    <w:rsid w:val="00FC4534"/>
    <w:rsid w:val="00FE25DE"/>
    <w:rsid w:val="00FF05CA"/>
    <w:rsid w:val="00FF0C55"/>
    <w:rsid w:val="00FF11A6"/>
    <w:rsid w:val="00FF2F1D"/>
    <w:rsid w:val="00FF7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B888"/>
  <w15:docId w15:val="{A18745B6-E417-4D22-AAA3-DB0729AC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D41D2"/>
    <w:pPr>
      <w:ind w:left="720"/>
      <w:contextualSpacing/>
    </w:pPr>
  </w:style>
  <w:style w:type="table" w:styleId="Grigliatabella">
    <w:name w:val="Table Grid"/>
    <w:basedOn w:val="Tabellanormale"/>
    <w:uiPriority w:val="39"/>
    <w:rsid w:val="009D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126C2"/>
    <w:rPr>
      <w:sz w:val="16"/>
      <w:szCs w:val="16"/>
    </w:rPr>
  </w:style>
  <w:style w:type="paragraph" w:styleId="Testocommento">
    <w:name w:val="annotation text"/>
    <w:basedOn w:val="Normale"/>
    <w:link w:val="TestocommentoCarattere"/>
    <w:uiPriority w:val="99"/>
    <w:unhideWhenUsed/>
    <w:rsid w:val="000126C2"/>
    <w:pPr>
      <w:spacing w:line="240" w:lineRule="auto"/>
    </w:pPr>
    <w:rPr>
      <w:sz w:val="20"/>
      <w:szCs w:val="20"/>
    </w:rPr>
  </w:style>
  <w:style w:type="character" w:customStyle="1" w:styleId="TestocommentoCarattere">
    <w:name w:val="Testo commento Carattere"/>
    <w:basedOn w:val="Carpredefinitoparagrafo"/>
    <w:link w:val="Testocommento"/>
    <w:uiPriority w:val="99"/>
    <w:rsid w:val="000126C2"/>
    <w:rPr>
      <w:sz w:val="20"/>
      <w:szCs w:val="20"/>
    </w:rPr>
  </w:style>
  <w:style w:type="paragraph" w:styleId="Soggettocommento">
    <w:name w:val="annotation subject"/>
    <w:basedOn w:val="Testocommento"/>
    <w:next w:val="Testocommento"/>
    <w:link w:val="SoggettocommentoCarattere"/>
    <w:uiPriority w:val="99"/>
    <w:semiHidden/>
    <w:unhideWhenUsed/>
    <w:rsid w:val="000126C2"/>
    <w:rPr>
      <w:b/>
      <w:bCs/>
    </w:rPr>
  </w:style>
  <w:style w:type="character" w:customStyle="1" w:styleId="SoggettocommentoCarattere">
    <w:name w:val="Soggetto commento Carattere"/>
    <w:basedOn w:val="TestocommentoCarattere"/>
    <w:link w:val="Soggettocommento"/>
    <w:uiPriority w:val="99"/>
    <w:semiHidden/>
    <w:rsid w:val="000126C2"/>
    <w:rPr>
      <w:b/>
      <w:bCs/>
      <w:sz w:val="20"/>
      <w:szCs w:val="20"/>
    </w:rPr>
  </w:style>
  <w:style w:type="character" w:styleId="Collegamentoipertestuale">
    <w:name w:val="Hyperlink"/>
    <w:basedOn w:val="Carpredefinitoparagrafo"/>
    <w:uiPriority w:val="99"/>
    <w:unhideWhenUsed/>
    <w:rsid w:val="002B5CD9"/>
    <w:rPr>
      <w:color w:val="0563C1" w:themeColor="hyperlink"/>
      <w:u w:val="single"/>
    </w:rPr>
  </w:style>
  <w:style w:type="character" w:customStyle="1" w:styleId="Menzionenonrisolta1">
    <w:name w:val="Menzione non risolta1"/>
    <w:basedOn w:val="Carpredefinitoparagrafo"/>
    <w:uiPriority w:val="99"/>
    <w:semiHidden/>
    <w:unhideWhenUsed/>
    <w:rsid w:val="002B5CD9"/>
    <w:rPr>
      <w:color w:val="605E5C"/>
      <w:shd w:val="clear" w:color="auto" w:fill="E1DFDD"/>
    </w:rPr>
  </w:style>
  <w:style w:type="paragraph" w:styleId="Testonotaapidipagina">
    <w:name w:val="footnote text"/>
    <w:basedOn w:val="Normale"/>
    <w:link w:val="TestonotaapidipaginaCarattere"/>
    <w:uiPriority w:val="99"/>
    <w:unhideWhenUsed/>
    <w:rsid w:val="00F45A5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45A59"/>
    <w:rPr>
      <w:sz w:val="20"/>
      <w:szCs w:val="20"/>
    </w:rPr>
  </w:style>
  <w:style w:type="character" w:styleId="Rimandonotaapidipagina">
    <w:name w:val="footnote reference"/>
    <w:basedOn w:val="Carpredefinitoparagrafo"/>
    <w:uiPriority w:val="99"/>
    <w:semiHidden/>
    <w:unhideWhenUsed/>
    <w:rsid w:val="00F45A59"/>
    <w:rPr>
      <w:vertAlign w:val="superscript"/>
    </w:rPr>
  </w:style>
  <w:style w:type="paragraph" w:styleId="Testofumetto">
    <w:name w:val="Balloon Text"/>
    <w:basedOn w:val="Normale"/>
    <w:link w:val="TestofumettoCarattere"/>
    <w:uiPriority w:val="99"/>
    <w:semiHidden/>
    <w:unhideWhenUsed/>
    <w:rsid w:val="005F22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225F"/>
    <w:rPr>
      <w:rFonts w:ascii="Segoe UI" w:hAnsi="Segoe UI" w:cs="Segoe UI"/>
      <w:sz w:val="18"/>
      <w:szCs w:val="18"/>
    </w:rPr>
  </w:style>
  <w:style w:type="character" w:styleId="Menzionenonrisolta">
    <w:name w:val="Unresolved Mention"/>
    <w:basedOn w:val="Carpredefinitoparagrafo"/>
    <w:uiPriority w:val="99"/>
    <w:semiHidden/>
    <w:unhideWhenUsed/>
    <w:rsid w:val="001228AF"/>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Grigliatabella1">
    <w:name w:val="Griglia tabella1"/>
    <w:basedOn w:val="Tabellanormale"/>
    <w:next w:val="Grigliatabella"/>
    <w:rsid w:val="00183899"/>
    <w:pPr>
      <w:spacing w:after="0" w:line="240" w:lineRule="auto"/>
    </w:pPr>
    <w:rPr>
      <w:rFonts w:ascii="Times New Roman" w:eastAsia="Times New Roman" w:hAnsi="Times New Roman"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locked/>
    <w:rsid w:val="00183899"/>
    <w:pPr>
      <w:spacing w:after="0" w:line="240" w:lineRule="auto"/>
    </w:pPr>
    <w:rPr>
      <w:rFonts w:ascii="Times New Roman" w:eastAsia="Times New Roman" w:hAnsi="Times New Roman"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72D30"/>
    <w:rPr>
      <w:rFonts w:ascii="Times New Roman" w:hAnsi="Times New Roman" w:cs="Times New Roman"/>
      <w:sz w:val="24"/>
      <w:szCs w:val="24"/>
    </w:r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3"/>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3">
    <w:basedOn w:val="TableNormal2"/>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4">
    <w:basedOn w:val="TableNormal2"/>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5">
    <w:basedOn w:val="TableNormal2"/>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PreformattatoHTML">
    <w:name w:val="HTML Preformatted"/>
    <w:basedOn w:val="Normale"/>
    <w:link w:val="PreformattatoHTMLCarattere"/>
    <w:uiPriority w:val="99"/>
    <w:semiHidden/>
    <w:unhideWhenUsed/>
    <w:rsid w:val="00E7557B"/>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E7557B"/>
    <w:rPr>
      <w:rFonts w:ascii="Consolas" w:hAnsi="Consolas"/>
      <w:sz w:val="20"/>
      <w:szCs w:val="20"/>
    </w:rPr>
  </w:style>
  <w:style w:type="table" w:customStyle="1" w:styleId="a6">
    <w:basedOn w:val="TableNormal1"/>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7">
    <w:basedOn w:val="TableNormal1"/>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8">
    <w:basedOn w:val="TableNormal1"/>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9">
    <w:basedOn w:val="TableNormal0"/>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a">
    <w:basedOn w:val="TableNormal0"/>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b">
    <w:basedOn w:val="TableNormal0"/>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Revisione">
    <w:name w:val="Revision"/>
    <w:hidden/>
    <w:uiPriority w:val="99"/>
    <w:semiHidden/>
    <w:rsid w:val="00F95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6439">
      <w:bodyDiv w:val="1"/>
      <w:marLeft w:val="0"/>
      <w:marRight w:val="0"/>
      <w:marTop w:val="0"/>
      <w:marBottom w:val="0"/>
      <w:divBdr>
        <w:top w:val="none" w:sz="0" w:space="0" w:color="auto"/>
        <w:left w:val="none" w:sz="0" w:space="0" w:color="auto"/>
        <w:bottom w:val="none" w:sz="0" w:space="0" w:color="auto"/>
        <w:right w:val="none" w:sz="0" w:space="0" w:color="auto"/>
      </w:divBdr>
    </w:div>
    <w:div w:id="314339553">
      <w:bodyDiv w:val="1"/>
      <w:marLeft w:val="0"/>
      <w:marRight w:val="0"/>
      <w:marTop w:val="0"/>
      <w:marBottom w:val="0"/>
      <w:divBdr>
        <w:top w:val="none" w:sz="0" w:space="0" w:color="auto"/>
        <w:left w:val="none" w:sz="0" w:space="0" w:color="auto"/>
        <w:bottom w:val="none" w:sz="0" w:space="0" w:color="auto"/>
        <w:right w:val="none" w:sz="0" w:space="0" w:color="auto"/>
      </w:divBdr>
      <w:divsChild>
        <w:div w:id="1763722712">
          <w:marLeft w:val="0"/>
          <w:marRight w:val="0"/>
          <w:marTop w:val="0"/>
          <w:marBottom w:val="0"/>
          <w:divBdr>
            <w:top w:val="none" w:sz="0" w:space="0" w:color="auto"/>
            <w:left w:val="none" w:sz="0" w:space="0" w:color="auto"/>
            <w:bottom w:val="none" w:sz="0" w:space="0" w:color="auto"/>
            <w:right w:val="none" w:sz="0" w:space="0" w:color="auto"/>
          </w:divBdr>
        </w:div>
      </w:divsChild>
    </w:div>
    <w:div w:id="762263458">
      <w:bodyDiv w:val="1"/>
      <w:marLeft w:val="0"/>
      <w:marRight w:val="0"/>
      <w:marTop w:val="0"/>
      <w:marBottom w:val="0"/>
      <w:divBdr>
        <w:top w:val="none" w:sz="0" w:space="0" w:color="auto"/>
        <w:left w:val="none" w:sz="0" w:space="0" w:color="auto"/>
        <w:bottom w:val="none" w:sz="0" w:space="0" w:color="auto"/>
        <w:right w:val="none" w:sz="0" w:space="0" w:color="auto"/>
      </w:divBdr>
    </w:div>
    <w:div w:id="888151196">
      <w:bodyDiv w:val="1"/>
      <w:marLeft w:val="0"/>
      <w:marRight w:val="0"/>
      <w:marTop w:val="0"/>
      <w:marBottom w:val="0"/>
      <w:divBdr>
        <w:top w:val="none" w:sz="0" w:space="0" w:color="auto"/>
        <w:left w:val="none" w:sz="0" w:space="0" w:color="auto"/>
        <w:bottom w:val="none" w:sz="0" w:space="0" w:color="auto"/>
        <w:right w:val="none" w:sz="0" w:space="0" w:color="auto"/>
      </w:divBdr>
    </w:div>
    <w:div w:id="1035812093">
      <w:bodyDiv w:val="1"/>
      <w:marLeft w:val="0"/>
      <w:marRight w:val="0"/>
      <w:marTop w:val="0"/>
      <w:marBottom w:val="0"/>
      <w:divBdr>
        <w:top w:val="none" w:sz="0" w:space="0" w:color="auto"/>
        <w:left w:val="none" w:sz="0" w:space="0" w:color="auto"/>
        <w:bottom w:val="none" w:sz="0" w:space="0" w:color="auto"/>
        <w:right w:val="none" w:sz="0" w:space="0" w:color="auto"/>
      </w:divBdr>
    </w:div>
    <w:div w:id="1122070633">
      <w:bodyDiv w:val="1"/>
      <w:marLeft w:val="0"/>
      <w:marRight w:val="0"/>
      <w:marTop w:val="0"/>
      <w:marBottom w:val="0"/>
      <w:divBdr>
        <w:top w:val="none" w:sz="0" w:space="0" w:color="auto"/>
        <w:left w:val="none" w:sz="0" w:space="0" w:color="auto"/>
        <w:bottom w:val="none" w:sz="0" w:space="0" w:color="auto"/>
        <w:right w:val="none" w:sz="0" w:space="0" w:color="auto"/>
      </w:divBdr>
    </w:div>
    <w:div w:id="1290284738">
      <w:bodyDiv w:val="1"/>
      <w:marLeft w:val="0"/>
      <w:marRight w:val="0"/>
      <w:marTop w:val="0"/>
      <w:marBottom w:val="0"/>
      <w:divBdr>
        <w:top w:val="none" w:sz="0" w:space="0" w:color="auto"/>
        <w:left w:val="none" w:sz="0" w:space="0" w:color="auto"/>
        <w:bottom w:val="none" w:sz="0" w:space="0" w:color="auto"/>
        <w:right w:val="none" w:sz="0" w:space="0" w:color="auto"/>
      </w:divBdr>
      <w:divsChild>
        <w:div w:id="1554265808">
          <w:marLeft w:val="0"/>
          <w:marRight w:val="0"/>
          <w:marTop w:val="0"/>
          <w:marBottom w:val="0"/>
          <w:divBdr>
            <w:top w:val="none" w:sz="0" w:space="0" w:color="auto"/>
            <w:left w:val="none" w:sz="0" w:space="0" w:color="auto"/>
            <w:bottom w:val="none" w:sz="0" w:space="0" w:color="auto"/>
            <w:right w:val="none" w:sz="0" w:space="0" w:color="auto"/>
          </w:divBdr>
        </w:div>
        <w:div w:id="1961257034">
          <w:marLeft w:val="0"/>
          <w:marRight w:val="0"/>
          <w:marTop w:val="0"/>
          <w:marBottom w:val="0"/>
          <w:divBdr>
            <w:top w:val="none" w:sz="0" w:space="0" w:color="auto"/>
            <w:left w:val="none" w:sz="0" w:space="0" w:color="auto"/>
            <w:bottom w:val="none" w:sz="0" w:space="0" w:color="auto"/>
            <w:right w:val="none" w:sz="0" w:space="0" w:color="auto"/>
          </w:divBdr>
          <w:divsChild>
            <w:div w:id="1082604187">
              <w:marLeft w:val="0"/>
              <w:marRight w:val="0"/>
              <w:marTop w:val="0"/>
              <w:marBottom w:val="0"/>
              <w:divBdr>
                <w:top w:val="none" w:sz="0" w:space="0" w:color="auto"/>
                <w:left w:val="none" w:sz="0" w:space="0" w:color="auto"/>
                <w:bottom w:val="none" w:sz="0" w:space="0" w:color="auto"/>
                <w:right w:val="none" w:sz="0" w:space="0" w:color="auto"/>
              </w:divBdr>
              <w:divsChild>
                <w:div w:id="1729298690">
                  <w:marLeft w:val="0"/>
                  <w:marRight w:val="0"/>
                  <w:marTop w:val="0"/>
                  <w:marBottom w:val="0"/>
                  <w:divBdr>
                    <w:top w:val="none" w:sz="0" w:space="0" w:color="auto"/>
                    <w:left w:val="none" w:sz="0" w:space="0" w:color="auto"/>
                    <w:bottom w:val="none" w:sz="0" w:space="0" w:color="auto"/>
                    <w:right w:val="none" w:sz="0" w:space="0" w:color="auto"/>
                  </w:divBdr>
                  <w:divsChild>
                    <w:div w:id="19205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5505">
          <w:marLeft w:val="0"/>
          <w:marRight w:val="0"/>
          <w:marTop w:val="0"/>
          <w:marBottom w:val="0"/>
          <w:divBdr>
            <w:top w:val="none" w:sz="0" w:space="0" w:color="auto"/>
            <w:left w:val="none" w:sz="0" w:space="0" w:color="auto"/>
            <w:bottom w:val="none" w:sz="0" w:space="0" w:color="auto"/>
            <w:right w:val="none" w:sz="0" w:space="0" w:color="auto"/>
          </w:divBdr>
          <w:divsChild>
            <w:div w:id="287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2525">
      <w:bodyDiv w:val="1"/>
      <w:marLeft w:val="0"/>
      <w:marRight w:val="0"/>
      <w:marTop w:val="0"/>
      <w:marBottom w:val="0"/>
      <w:divBdr>
        <w:top w:val="none" w:sz="0" w:space="0" w:color="auto"/>
        <w:left w:val="none" w:sz="0" w:space="0" w:color="auto"/>
        <w:bottom w:val="none" w:sz="0" w:space="0" w:color="auto"/>
        <w:right w:val="none" w:sz="0" w:space="0" w:color="auto"/>
      </w:divBdr>
    </w:div>
    <w:div w:id="210024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jYJazp499GU7y7kxBHq4CKjQg==">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ABA179-3D2E-4A93-9A12-0CF5A361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12</Pages>
  <Words>4155</Words>
  <Characters>23684</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Lorenzo Ferrara</dc:creator>
  <cp:lastModifiedBy>Paolo Lorenzo Ferrara</cp:lastModifiedBy>
  <cp:revision>281</cp:revision>
  <dcterms:created xsi:type="dcterms:W3CDTF">2024-11-04T11:10:00Z</dcterms:created>
  <dcterms:modified xsi:type="dcterms:W3CDTF">2025-06-10T22:23:00Z</dcterms:modified>
</cp:coreProperties>
</file>