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81940" w14:textId="2386BEC1" w:rsidR="009E1547" w:rsidRDefault="004D2D84" w:rsidP="004D2D84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D2D84">
        <w:rPr>
          <w:rFonts w:ascii="Times New Roman" w:hAnsi="Times New Roman" w:cs="Times New Roman"/>
          <w:b/>
          <w:sz w:val="28"/>
        </w:rPr>
        <w:t>Supplementary Material Information</w:t>
      </w:r>
    </w:p>
    <w:p w14:paraId="4D17A809" w14:textId="1F965124" w:rsidR="004D2D84" w:rsidRDefault="004D2D84" w:rsidP="004D2D84">
      <w:pPr>
        <w:spacing w:after="0" w:line="240" w:lineRule="auto"/>
        <w:jc w:val="center"/>
        <w:rPr>
          <w:rFonts w:ascii="Times New Roman" w:hAnsi="Times New Roman" w:cs="Times New Roman"/>
          <w:sz w:val="22"/>
        </w:rPr>
      </w:pPr>
      <w:r w:rsidRPr="004D2D84">
        <w:rPr>
          <w:rFonts w:ascii="Times New Roman" w:hAnsi="Times New Roman" w:cs="Times New Roman"/>
          <w:sz w:val="22"/>
        </w:rPr>
        <w:t>Manuscript ID: JES-07-2026-0730.R2</w:t>
      </w:r>
    </w:p>
    <w:p w14:paraId="5AA0B602" w14:textId="62735B31" w:rsidR="004D2D84" w:rsidRDefault="004D2D84" w:rsidP="004D2D84">
      <w:pPr>
        <w:spacing w:line="240" w:lineRule="auto"/>
        <w:jc w:val="center"/>
        <w:rPr>
          <w:rFonts w:ascii="Times New Roman" w:hAnsi="Times New Roman" w:cs="Times New Roman"/>
          <w:i/>
          <w:sz w:val="22"/>
        </w:rPr>
      </w:pPr>
      <w:r w:rsidRPr="004D2D84">
        <w:rPr>
          <w:rFonts w:ascii="Times New Roman" w:hAnsi="Times New Roman" w:cs="Times New Roman"/>
          <w:i/>
          <w:sz w:val="22"/>
        </w:rPr>
        <w:t>Task Assignment and Restaurant Output: A Simulation Note</w:t>
      </w:r>
    </w:p>
    <w:p w14:paraId="50345AB3" w14:textId="038877BF" w:rsidR="004D2D84" w:rsidRDefault="004D2D84" w:rsidP="004D2D84">
      <w:pPr>
        <w:spacing w:line="240" w:lineRule="auto"/>
        <w:rPr>
          <w:rFonts w:ascii="Times New Roman" w:hAnsi="Times New Roman" w:cs="Times New Roman"/>
          <w:sz w:val="22"/>
        </w:rPr>
      </w:pPr>
      <w:r w:rsidRPr="004D2D84">
        <w:rPr>
          <w:rFonts w:ascii="Times New Roman" w:hAnsi="Times New Roman" w:cs="Times New Roman"/>
          <w:sz w:val="22"/>
        </w:rPr>
        <w:t>The following nine files are intended for publication alongside the article. The labels below correspond exactly to the citations in the revised manuscript.</w:t>
      </w: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85"/>
        <w:gridCol w:w="3299"/>
        <w:gridCol w:w="5040"/>
      </w:tblGrid>
      <w:tr w:rsidR="004D2D84" w14:paraId="091FA4EA" w14:textId="77777777" w:rsidTr="00D80BF8">
        <w:trPr>
          <w:cantSplit/>
          <w:tblHeader/>
        </w:trPr>
        <w:tc>
          <w:tcPr>
            <w:tcW w:w="1885" w:type="dxa"/>
            <w:shd w:val="clear" w:color="auto" w:fill="D9D9D9"/>
            <w:vAlign w:val="center"/>
          </w:tcPr>
          <w:p w14:paraId="2177DF35" w14:textId="2208C287" w:rsidR="004D2D84" w:rsidRPr="004D2D84" w:rsidRDefault="004D2D84" w:rsidP="004D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D2D84">
              <w:rPr>
                <w:rFonts w:ascii="Times New Roman" w:hAnsi="Times New Roman" w:cs="Times New Roman"/>
                <w:b/>
                <w:sz w:val="20"/>
              </w:rPr>
              <w:t>Citation in manuscript</w:t>
            </w:r>
          </w:p>
        </w:tc>
        <w:tc>
          <w:tcPr>
            <w:tcW w:w="3299" w:type="dxa"/>
            <w:shd w:val="clear" w:color="auto" w:fill="D9D9D9"/>
            <w:vAlign w:val="center"/>
          </w:tcPr>
          <w:p w14:paraId="0EBABA17" w14:textId="451B8A76" w:rsidR="004D2D84" w:rsidRPr="004D2D84" w:rsidRDefault="004D2D84" w:rsidP="004D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D2D84">
              <w:rPr>
                <w:rFonts w:ascii="Times New Roman" w:hAnsi="Times New Roman" w:cs="Times New Roman"/>
                <w:b/>
                <w:sz w:val="20"/>
              </w:rPr>
              <w:t>Filename</w:t>
            </w:r>
          </w:p>
        </w:tc>
        <w:tc>
          <w:tcPr>
            <w:tcW w:w="5040" w:type="dxa"/>
            <w:shd w:val="clear" w:color="auto" w:fill="D9D9D9"/>
            <w:vAlign w:val="center"/>
          </w:tcPr>
          <w:p w14:paraId="2C81C2EC" w14:textId="4C9BAD67" w:rsidR="004D2D84" w:rsidRPr="004D2D84" w:rsidRDefault="004D2D84" w:rsidP="004D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D2D84">
              <w:rPr>
                <w:rFonts w:ascii="Times New Roman" w:hAnsi="Times New Roman" w:cs="Times New Roman"/>
                <w:b/>
                <w:sz w:val="20"/>
              </w:rPr>
              <w:t>Brief description</w:t>
            </w:r>
          </w:p>
        </w:tc>
      </w:tr>
      <w:tr w:rsidR="004D2D84" w14:paraId="37583F6D" w14:textId="77777777" w:rsidTr="00D80BF8">
        <w:trPr>
          <w:cantSplit/>
        </w:trPr>
        <w:tc>
          <w:tcPr>
            <w:tcW w:w="1885" w:type="dxa"/>
          </w:tcPr>
          <w:p w14:paraId="1E065BEF" w14:textId="0B582EC6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Supplementary Material 1</w:t>
            </w:r>
          </w:p>
        </w:tc>
        <w:tc>
          <w:tcPr>
            <w:tcW w:w="3299" w:type="dxa"/>
          </w:tcPr>
          <w:p w14:paraId="750198C4" w14:textId="51071A0D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Replicate_Figure_1.xlsx</w:t>
            </w:r>
          </w:p>
        </w:tc>
        <w:tc>
          <w:tcPr>
            <w:tcW w:w="5040" w:type="dxa"/>
          </w:tcPr>
          <w:p w14:paraId="594E9934" w14:textId="64D7C8C0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Formula-driven Excel workbook containing one illustrative 1,000-worker cross-advantage realization, worker-level task productivities and assignments, every assignment cutoff, a same-headcount random assignment, the fixed group-neutral benchmark, Figure 1 chart data, and the native Excel chart.</w:t>
            </w:r>
          </w:p>
        </w:tc>
      </w:tr>
      <w:tr w:rsidR="004D2D84" w14:paraId="63359D68" w14:textId="77777777" w:rsidTr="00D80BF8">
        <w:trPr>
          <w:cantSplit/>
        </w:trPr>
        <w:tc>
          <w:tcPr>
            <w:tcW w:w="1885" w:type="dxa"/>
          </w:tcPr>
          <w:p w14:paraId="4F8602C7" w14:textId="453D5334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Supplementary Material 2</w:t>
            </w:r>
          </w:p>
        </w:tc>
        <w:tc>
          <w:tcPr>
            <w:tcW w:w="3299" w:type="dxa"/>
          </w:tcPr>
          <w:p w14:paraId="63255F63" w14:textId="5CADC97B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Replicate_Figures_3_4.do</w:t>
            </w:r>
          </w:p>
        </w:tc>
        <w:tc>
          <w:tcPr>
            <w:tcW w:w="5040" w:type="dxa"/>
          </w:tcPr>
          <w:p w14:paraId="2BC943AA" w14:textId="24F728FB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Version 1.0 Stata 17 do-file that runs five 3,000-run Monte Carlo designs, creates the 15,000-observation run-level dataset and summary datasets, performs the paired dispersion-reassignment audit and sensitivity calculations, and generates Figures 3a, 3b, and 4.</w:t>
            </w:r>
          </w:p>
        </w:tc>
      </w:tr>
      <w:tr w:rsidR="004D2D84" w14:paraId="1FD413AB" w14:textId="77777777" w:rsidTr="00D80BF8">
        <w:trPr>
          <w:cantSplit/>
        </w:trPr>
        <w:tc>
          <w:tcPr>
            <w:tcW w:w="1885" w:type="dxa"/>
          </w:tcPr>
          <w:p w14:paraId="1AE49805" w14:textId="38EBE82C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Supplementary Material 3</w:t>
            </w:r>
          </w:p>
        </w:tc>
        <w:tc>
          <w:tcPr>
            <w:tcW w:w="3299" w:type="dxa"/>
          </w:tcPr>
          <w:p w14:paraId="4EA8A73F" w14:textId="4D36A24C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Replicate_Figures_3_4.log</w:t>
            </w:r>
          </w:p>
        </w:tc>
        <w:tc>
          <w:tcPr>
            <w:tcW w:w="5040" w:type="dxa"/>
          </w:tcPr>
          <w:p w14:paraId="3724F4E7" w14:textId="43FD0DEF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Version 1.0 Stata execution log corresponding to Supplementary Material 2. It records the commands, successful completion, and printed design, correlation, and worker-reassignment summaries.</w:t>
            </w:r>
          </w:p>
        </w:tc>
      </w:tr>
      <w:tr w:rsidR="004D2D84" w14:paraId="310F2A3B" w14:textId="77777777" w:rsidTr="00D80BF8">
        <w:trPr>
          <w:cantSplit/>
        </w:trPr>
        <w:tc>
          <w:tcPr>
            <w:tcW w:w="1885" w:type="dxa"/>
          </w:tcPr>
          <w:p w14:paraId="2603411E" w14:textId="5E0C58DF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Supplementary Material 4</w:t>
            </w:r>
          </w:p>
        </w:tc>
        <w:tc>
          <w:tcPr>
            <w:tcW w:w="3299" w:type="dxa"/>
          </w:tcPr>
          <w:p w14:paraId="65E5E600" w14:textId="1ABA550E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Replicate_Figures_3_4.csv</w:t>
            </w:r>
          </w:p>
        </w:tc>
        <w:tc>
          <w:tcPr>
            <w:tcW w:w="5040" w:type="dxa"/>
          </w:tcPr>
          <w:p w14:paraId="3FB5807E" w14:textId="795DBF17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Run-level CSV with 15,000 observations: 3,000 realizations for each of five designs. It contains design parameters, cutoffs, optimal and same-headcount random outputs, assignment measures, group task shares, and task-weight outcomes.</w:t>
            </w:r>
          </w:p>
        </w:tc>
      </w:tr>
      <w:tr w:rsidR="004D2D84" w14:paraId="471CF744" w14:textId="77777777" w:rsidTr="00D80BF8">
        <w:trPr>
          <w:cantSplit/>
        </w:trPr>
        <w:tc>
          <w:tcPr>
            <w:tcW w:w="1885" w:type="dxa"/>
          </w:tcPr>
          <w:p w14:paraId="2DD3E5B6" w14:textId="1C78E0B9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Supplementary Material 5</w:t>
            </w:r>
          </w:p>
        </w:tc>
        <w:tc>
          <w:tcPr>
            <w:tcW w:w="3299" w:type="dxa"/>
          </w:tcPr>
          <w:p w14:paraId="35204D83" w14:textId="6451ED5A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Simulation_Design_Summary.csv</w:t>
            </w:r>
          </w:p>
        </w:tc>
        <w:tc>
          <w:tcPr>
            <w:tcW w:w="5040" w:type="dxa"/>
          </w:tcPr>
          <w:p w14:paraId="334A5EA0" w14:textId="360B6EDC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Five-row design-level CSV summarizing cutoffs, task outputs, optimal and random total output, assignment gains, common-benchmark ratios, group assignment patterns, and output dispersion for the five simulation designs.</w:t>
            </w:r>
          </w:p>
        </w:tc>
      </w:tr>
      <w:tr w:rsidR="004D2D84" w14:paraId="4B507911" w14:textId="77777777" w:rsidTr="00D80BF8">
        <w:trPr>
          <w:cantSplit/>
        </w:trPr>
        <w:tc>
          <w:tcPr>
            <w:tcW w:w="1885" w:type="dxa"/>
          </w:tcPr>
          <w:p w14:paraId="3D46CF0F" w14:textId="6FA8CD9A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Supplementary Material 6</w:t>
            </w:r>
          </w:p>
        </w:tc>
        <w:tc>
          <w:tcPr>
            <w:tcW w:w="3299" w:type="dxa"/>
          </w:tcPr>
          <w:p w14:paraId="608246BE" w14:textId="39E48B6D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Table_1_assignment_dispersion.csv</w:t>
            </w:r>
          </w:p>
        </w:tc>
        <w:tc>
          <w:tcPr>
            <w:tcW w:w="5040" w:type="dxa"/>
          </w:tcPr>
          <w:p w14:paraId="00E0CE21" w14:textId="0FC59F74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Four-row CSV for the low/high front-of-house productivity dispersion by random/optimal assignment comparison. It provides the summary data reported in Table 1.</w:t>
            </w:r>
          </w:p>
        </w:tc>
      </w:tr>
      <w:tr w:rsidR="00D80BF8" w14:paraId="13F2E35A" w14:textId="77777777" w:rsidTr="00D80BF8">
        <w:trPr>
          <w:cantSplit/>
        </w:trPr>
        <w:tc>
          <w:tcPr>
            <w:tcW w:w="1885" w:type="dxa"/>
          </w:tcPr>
          <w:p w14:paraId="446A4204" w14:textId="32D088D1" w:rsidR="00D80BF8" w:rsidRPr="004D2D84" w:rsidRDefault="00D80BF8" w:rsidP="006F1F5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 xml:space="preserve">Supplementary Material 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299" w:type="dxa"/>
          </w:tcPr>
          <w:p w14:paraId="3B73655A" w14:textId="77777777" w:rsidR="00D80BF8" w:rsidRPr="004D2D84" w:rsidRDefault="00D80BF8" w:rsidP="006F1F5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Table_2_task_weight_sensitivity.csv</w:t>
            </w:r>
          </w:p>
        </w:tc>
        <w:tc>
          <w:tcPr>
            <w:tcW w:w="5040" w:type="dxa"/>
          </w:tcPr>
          <w:p w14:paraId="5503F5A0" w14:textId="77777777" w:rsidR="00D80BF8" w:rsidRPr="004D2D84" w:rsidRDefault="00D80BF8" w:rsidP="006F1F5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Eight-row task-weight sensitivity CSV covering low and high dispersion under four phi/gamma calibrations, with task weights, returns sums, optimal cutoffs, optimal and random output, and assignment gains.</w:t>
            </w:r>
          </w:p>
        </w:tc>
      </w:tr>
      <w:tr w:rsidR="004D2D84" w14:paraId="0CFDF072" w14:textId="77777777" w:rsidTr="00D80BF8">
        <w:trPr>
          <w:cantSplit/>
        </w:trPr>
        <w:tc>
          <w:tcPr>
            <w:tcW w:w="1885" w:type="dxa"/>
          </w:tcPr>
          <w:p w14:paraId="3F3F3831" w14:textId="623E8656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Supplementary Material 8</w:t>
            </w:r>
          </w:p>
        </w:tc>
        <w:tc>
          <w:tcPr>
            <w:tcW w:w="3299" w:type="dxa"/>
          </w:tcPr>
          <w:p w14:paraId="775B7961" w14:textId="13B46D68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Table_3_correlation_sensitivity.csv</w:t>
            </w:r>
          </w:p>
        </w:tc>
        <w:tc>
          <w:tcPr>
            <w:tcW w:w="5040" w:type="dxa"/>
          </w:tcPr>
          <w:p w14:paraId="0B4C6651" w14:textId="0BD5F24C" w:rsidR="004D2D84" w:rsidRPr="004D2D84" w:rsidRDefault="004D2D84" w:rsidP="004D2D8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Three-row correlation-sensitivity CSV for rho = -0.5, 0, and 0.5, reporting cutoffs, optimal and random output, switching measures, relative-productivity measures, and assignment gains.</w:t>
            </w:r>
          </w:p>
        </w:tc>
      </w:tr>
      <w:tr w:rsidR="00D80BF8" w14:paraId="53EA8E73" w14:textId="77777777" w:rsidTr="00D80BF8">
        <w:trPr>
          <w:cantSplit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E301" w14:textId="58451432" w:rsidR="00D80BF8" w:rsidRPr="004D2D84" w:rsidRDefault="00D80BF8" w:rsidP="006F1F5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 xml:space="preserve">Supplementary Material 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8D4F" w14:textId="77777777" w:rsidR="00D80BF8" w:rsidRPr="004D2D84" w:rsidRDefault="00D80BF8" w:rsidP="006F1F5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Table_4_dispersion_reassignment.csv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D169" w14:textId="77777777" w:rsidR="00D80BF8" w:rsidRPr="004D2D84" w:rsidRDefault="00D80BF8" w:rsidP="006F1F5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D2D84">
              <w:rPr>
                <w:rFonts w:ascii="Times New Roman" w:hAnsi="Times New Roman" w:cs="Times New Roman"/>
                <w:sz w:val="20"/>
              </w:rPr>
              <w:t>One-row paired low/high-dispersion worker-reassignment summary containing front-to-back and back-to-front movements, gross switching, mover characteristics, relative-productivity changes, and the net change in front-house staffing.</w:t>
            </w:r>
          </w:p>
        </w:tc>
      </w:tr>
    </w:tbl>
    <w:p w14:paraId="6AE442E0" w14:textId="77777777" w:rsidR="004D2D84" w:rsidRPr="004D2D84" w:rsidRDefault="004D2D84" w:rsidP="004D2D84">
      <w:pPr>
        <w:spacing w:after="0" w:line="20" w:lineRule="exact"/>
        <w:rPr>
          <w:sz w:val="2"/>
        </w:rPr>
      </w:pPr>
    </w:p>
    <w:sectPr w:rsidR="004D2D84" w:rsidRPr="004D2D84" w:rsidSect="004D2D84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47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D84"/>
    <w:rsid w:val="00487E63"/>
    <w:rsid w:val="004D2D84"/>
    <w:rsid w:val="006555EE"/>
    <w:rsid w:val="006B0C8B"/>
    <w:rsid w:val="006B6306"/>
    <w:rsid w:val="00801CE7"/>
    <w:rsid w:val="00985D79"/>
    <w:rsid w:val="009C2A3C"/>
    <w:rsid w:val="009E1547"/>
    <w:rsid w:val="00BC03CA"/>
    <w:rsid w:val="00D8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6FDB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2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2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2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2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2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2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2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2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2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2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2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2D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2026-09-17T14:38:00Z</dcterms:created>
  <dcterms:modified xsi:type="dcterms:W3CDTF">2026-09-17T14:38:00Z</dcterms:modified>
  <cp:category/>
</cp:coreProperties>
</file>