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A4A" w:rsidRDefault="00006A4A" w:rsidP="00006A4A">
      <w:pPr>
        <w:pStyle w:val="Heading1"/>
        <w:tabs>
          <w:tab w:val="center" w:pos="4228"/>
          <w:tab w:val="center" w:pos="4987"/>
        </w:tabs>
        <w:spacing w:after="383"/>
        <w:ind w:left="0" w:right="0" w:firstLine="0"/>
        <w:jc w:val="left"/>
        <w:rPr>
          <w:sz w:val="22"/>
        </w:rPr>
      </w:pPr>
    </w:p>
    <w:p w:rsidR="00006A4A" w:rsidRDefault="00006A4A" w:rsidP="00006A4A">
      <w:pPr>
        <w:pStyle w:val="Heading1"/>
        <w:tabs>
          <w:tab w:val="center" w:pos="4228"/>
          <w:tab w:val="center" w:pos="4987"/>
        </w:tabs>
        <w:spacing w:after="383"/>
        <w:ind w:left="0" w:right="0" w:firstLine="0"/>
        <w:jc w:val="left"/>
      </w:pPr>
      <w:r>
        <w:rPr>
          <w:sz w:val="22"/>
        </w:rPr>
        <w:tab/>
      </w:r>
      <w:r>
        <w:rPr>
          <w:sz w:val="29"/>
        </w:rPr>
        <w:t>A.</w:t>
      </w:r>
      <w:r>
        <w:rPr>
          <w:sz w:val="29"/>
        </w:rPr>
        <w:tab/>
        <w:t>D</w:t>
      </w:r>
      <w:r>
        <w:t>ATA</w:t>
      </w:r>
    </w:p>
    <w:p w:rsidR="00006A4A" w:rsidRDefault="00006A4A" w:rsidP="00006A4A">
      <w:pPr>
        <w:spacing w:after="7"/>
        <w:ind w:left="-1" w:right="58"/>
      </w:pPr>
      <w:r>
        <w:t xml:space="preserve">I use the well-known trade data of </w:t>
      </w:r>
      <w:r>
        <w:rPr>
          <w:color w:val="00007F"/>
        </w:rPr>
        <w:t xml:space="preserve">Glick and Rose </w:t>
      </w:r>
      <w:r>
        <w:t>(</w:t>
      </w:r>
      <w:r>
        <w:rPr>
          <w:color w:val="00007F"/>
        </w:rPr>
        <w:t>2016</w:t>
      </w:r>
      <w:r>
        <w:t>),</w:t>
      </w:r>
      <w:r>
        <w:rPr>
          <w:vertAlign w:val="superscript"/>
        </w:rPr>
        <w:footnoteReference w:id="1"/>
      </w:r>
      <w:r>
        <w:rPr>
          <w:vertAlign w:val="superscript"/>
        </w:rPr>
        <w:t xml:space="preserve"> </w:t>
      </w:r>
      <w:r>
        <w:t xml:space="preserve">who use </w:t>
      </w:r>
      <w:r>
        <w:rPr>
          <w:i/>
        </w:rPr>
        <w:t xml:space="preserve">Direction of Trade </w:t>
      </w:r>
      <w:r>
        <w:t>statistics from the IMF to construct bilateral trade data for more than 200 countries from</w:t>
      </w:r>
    </w:p>
    <w:p w:rsidR="00006A4A" w:rsidRDefault="00006A4A" w:rsidP="00006A4A">
      <w:pPr>
        <w:spacing w:after="0"/>
        <w:ind w:left="-1" w:right="58"/>
      </w:pPr>
      <w:r>
        <w:t>1948-2013. I merge this with population-by-age data from the United Nations Population Prospects data from 2022 (</w:t>
      </w:r>
      <w:r>
        <w:rPr>
          <w:color w:val="00007F"/>
        </w:rPr>
        <w:t>UN</w:t>
      </w:r>
      <w:r>
        <w:t xml:space="preserve">, </w:t>
      </w:r>
      <w:r>
        <w:rPr>
          <w:color w:val="00007F"/>
        </w:rPr>
        <w:t>2022</w:t>
      </w:r>
      <w:r>
        <w:t>). After doing so, I am left with 192 of these countries over the period from 1970 to 2013. When structured as ‘one-way’ export data, where each country-pair appears twice to reflect flows in both directions, this results in a sample of 1,613,568 (192*191*44). A well-known problem in trade datasets are missing trade flows and there are 925,453 missing values in this data for bilateral exports, making the maximum usable sample for log gravity models only 688,025. Both of these are further reduced by the availability of covariates, in particular, GDP data, which is missing for 321,572 country-pairs (many, but not all of which have missing trade data).</w:t>
      </w:r>
    </w:p>
    <w:p w:rsidR="00006A4A" w:rsidRDefault="00006A4A" w:rsidP="00006A4A">
      <w:pPr>
        <w:spacing w:after="185" w:line="265" w:lineRule="auto"/>
        <w:ind w:left="10" w:right="92" w:hanging="10"/>
        <w:jc w:val="right"/>
      </w:pPr>
      <w:r>
        <w:t>In addition to log gravity equations I will use the Poisson pseudo-maximum likelihood</w:t>
      </w:r>
    </w:p>
    <w:p w:rsidR="00006A4A" w:rsidRDefault="00006A4A" w:rsidP="00006A4A">
      <w:pPr>
        <w:spacing w:after="336"/>
        <w:ind w:left="-1" w:right="58"/>
      </w:pPr>
      <w:r>
        <w:t xml:space="preserve">(PPML) estimators suggested in </w:t>
      </w:r>
      <w:r>
        <w:rPr>
          <w:color w:val="00007F"/>
        </w:rPr>
        <w:t xml:space="preserve">Silva and </w:t>
      </w:r>
      <w:proofErr w:type="spellStart"/>
      <w:r>
        <w:rPr>
          <w:color w:val="00007F"/>
        </w:rPr>
        <w:t>Tenreyro</w:t>
      </w:r>
      <w:proofErr w:type="spellEnd"/>
      <w:r>
        <w:rPr>
          <w:color w:val="00007F"/>
        </w:rPr>
        <w:t xml:space="preserve"> </w:t>
      </w:r>
      <w:r>
        <w:t>(</w:t>
      </w:r>
      <w:r>
        <w:rPr>
          <w:color w:val="00007F"/>
        </w:rPr>
        <w:t>2006</w:t>
      </w:r>
      <w:r>
        <w:t xml:space="preserve">). </w:t>
      </w:r>
      <w:proofErr w:type="gramStart"/>
      <w:r>
        <w:t>These correct bias</w:t>
      </w:r>
      <w:proofErr w:type="gramEnd"/>
      <w:r>
        <w:t xml:space="preserve"> introduced by the presence of </w:t>
      </w:r>
      <w:proofErr w:type="spellStart"/>
      <w:r>
        <w:t>heterosketasticity</w:t>
      </w:r>
      <w:proofErr w:type="spellEnd"/>
      <w:r>
        <w:t xml:space="preserve"> for estimates with log approximations, but are also able to include zero trade flows. For my PPML estimates I will assume that missing flows are zero. This leaves me with a maximum sample size of 1,291,996 for PPML estimators and 651,474 for log gravity equations. My estimates below will be on samples that are further reduced for two reasons. The first is due to removal of singleton groups. There are 1135 such cases in the log gravity equation, though none in the PPML specification. The second sample reduction comes from issues associated with existence of the maximum likelihood function in PPML estimations, which is shown by </w:t>
      </w:r>
      <w:r>
        <w:rPr>
          <w:color w:val="00007F"/>
        </w:rPr>
        <w:t xml:space="preserve">Silva and </w:t>
      </w:r>
      <w:proofErr w:type="spellStart"/>
      <w:r>
        <w:rPr>
          <w:color w:val="00007F"/>
        </w:rPr>
        <w:t>Tenreyro</w:t>
      </w:r>
      <w:proofErr w:type="spellEnd"/>
      <w:r>
        <w:rPr>
          <w:color w:val="00007F"/>
        </w:rPr>
        <w:t xml:space="preserve"> </w:t>
      </w:r>
      <w:r>
        <w:t>(</w:t>
      </w:r>
      <w:r>
        <w:rPr>
          <w:color w:val="00007F"/>
        </w:rPr>
        <w:t>2010</w:t>
      </w:r>
      <w:r>
        <w:t xml:space="preserve">) to be a problem for Poisson estimation in the presence of multicollinearity among regressors. This is potentially magnified with high dimensions of fixed effects. While </w:t>
      </w:r>
      <w:r>
        <w:rPr>
          <w:color w:val="00007F"/>
        </w:rPr>
        <w:t xml:space="preserve">Silva and </w:t>
      </w:r>
      <w:proofErr w:type="spellStart"/>
      <w:r>
        <w:rPr>
          <w:color w:val="00007F"/>
        </w:rPr>
        <w:t>Tenreyro</w:t>
      </w:r>
      <w:proofErr w:type="spellEnd"/>
      <w:r>
        <w:rPr>
          <w:color w:val="00007F"/>
        </w:rPr>
        <w:t xml:space="preserve"> </w:t>
      </w:r>
      <w:r>
        <w:t>(</w:t>
      </w:r>
      <w:r>
        <w:rPr>
          <w:color w:val="00007F"/>
        </w:rPr>
        <w:t>2010</w:t>
      </w:r>
      <w:r>
        <w:t xml:space="preserve">) suggest dropping problematic regressors, </w:t>
      </w:r>
      <w:r>
        <w:rPr>
          <w:color w:val="00007F"/>
        </w:rPr>
        <w:t xml:space="preserve">Correia et al. </w:t>
      </w:r>
      <w:r>
        <w:t>(</w:t>
      </w:r>
      <w:r>
        <w:rPr>
          <w:color w:val="00007F"/>
        </w:rPr>
        <w:t>2019</w:t>
      </w:r>
      <w:r>
        <w:t>) show that existence can be also be guaranteed by dropping “separated” observations,</w:t>
      </w:r>
      <w:r>
        <w:rPr>
          <w:vertAlign w:val="superscript"/>
        </w:rPr>
        <w:footnoteReference w:id="2"/>
      </w:r>
      <w:r>
        <w:rPr>
          <w:vertAlign w:val="superscript"/>
        </w:rPr>
        <w:t xml:space="preserve"> </w:t>
      </w:r>
      <w:r>
        <w:t xml:space="preserve">and provide a method for estimating the PPML with high dimensionality of fixed effects in </w:t>
      </w:r>
      <w:r>
        <w:rPr>
          <w:color w:val="00007F"/>
        </w:rPr>
        <w:t xml:space="preserve">Correia et al. </w:t>
      </w:r>
      <w:r>
        <w:t>(</w:t>
      </w:r>
      <w:r>
        <w:rPr>
          <w:color w:val="00007F"/>
        </w:rPr>
        <w:t>2020</w:t>
      </w:r>
      <w:r>
        <w:t xml:space="preserve">), which I utilize. Their method drops 205,862 </w:t>
      </w:r>
      <w:r>
        <w:rPr>
          <w:i/>
        </w:rPr>
        <w:t xml:space="preserve">separated </w:t>
      </w:r>
      <w:r>
        <w:t xml:space="preserve">observations, leaving my PPML sample at 1,086,134. However, I note that there does not appear to be any change in my coefficients of interest when including these. I summarize some of my key trade, gravity, and demographic variables in </w:t>
      </w:r>
      <w:r>
        <w:rPr>
          <w:color w:val="00007F"/>
        </w:rPr>
        <w:t>Table 4</w:t>
      </w:r>
      <w:r>
        <w:t>.</w:t>
      </w:r>
    </w:p>
    <w:p w:rsidR="00006A4A" w:rsidRDefault="00006A4A" w:rsidP="00006A4A">
      <w:pPr>
        <w:tabs>
          <w:tab w:val="center" w:pos="4800"/>
          <w:tab w:val="right" w:pos="9500"/>
        </w:tabs>
        <w:jc w:val="center"/>
        <w:rPr>
          <w:rFonts w:ascii="Times New Roman" w:hAnsi="Times New Roman" w:cs="Times New Roman"/>
          <w:noProof/>
        </w:rPr>
      </w:pPr>
      <w:r>
        <w:rPr>
          <w:noProof/>
        </w:rPr>
        <w:t xml:space="preserve">Table 4: Descriptive Statistics </w:t>
      </w:r>
    </w:p>
    <w:tbl>
      <w:tblPr>
        <w:tblW w:w="9708" w:type="dxa"/>
        <w:jc w:val="center"/>
        <w:tblLayout w:type="fixed"/>
        <w:tblCellMar>
          <w:left w:w="0" w:type="dxa"/>
          <w:right w:w="0" w:type="dxa"/>
        </w:tblCellMar>
        <w:tblLook w:val="0000" w:firstRow="0" w:lastRow="0" w:firstColumn="0" w:lastColumn="0" w:noHBand="0" w:noVBand="0"/>
      </w:tblPr>
      <w:tblGrid>
        <w:gridCol w:w="3681"/>
        <w:gridCol w:w="1417"/>
        <w:gridCol w:w="2183"/>
        <w:gridCol w:w="2427"/>
      </w:tblGrid>
      <w:tr w:rsidR="00006A4A" w:rsidTr="006E3788">
        <w:trPr>
          <w:trHeight w:val="235"/>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mean</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w:t>
            </w:r>
            <w:proofErr w:type="spellStart"/>
            <w:r>
              <w:t>sd</w:t>
            </w:r>
            <w:proofErr w:type="spellEnd"/>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count</w:t>
            </w:r>
          </w:p>
        </w:tc>
      </w:tr>
      <w:tr w:rsidR="00006A4A" w:rsidTr="006E3788">
        <w:trPr>
          <w:trHeight w:val="490"/>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log(</w:t>
            </w:r>
            <m:oMath>
              <m:r>
                <w:rPr>
                  <w:rFonts w:ascii="Cambria Math" w:hAnsi="Cambria Math"/>
                </w:rPr>
                <m:t>Export</m:t>
              </m:r>
              <m:sSub>
                <m:sSubPr>
                  <m:ctrlPr>
                    <w:rPr>
                      <w:rFonts w:ascii="Cambria Math" w:hAnsi="Cambria Math"/>
                    </w:rPr>
                  </m:ctrlPr>
                </m:sSubPr>
                <m:e>
                  <m:r>
                    <w:rPr>
                      <w:rFonts w:ascii="Cambria Math" w:hAnsi="Cambria Math"/>
                    </w:rPr>
                    <m:t>s</m:t>
                  </m:r>
                </m:e>
                <m:sub>
                  <m:r>
                    <w:rPr>
                      <w:rFonts w:ascii="Cambria Math" w:hAnsi="Cambria Math"/>
                    </w:rPr>
                    <m:t>ij</m:t>
                  </m:r>
                </m:sub>
              </m:sSub>
            </m:oMath>
            <w:r>
              <w:t xml:space="preserve">)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.9453812</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3.77182</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688025</w:t>
            </w:r>
          </w:p>
        </w:tc>
      </w:tr>
      <w:tr w:rsidR="00006A4A" w:rsidTr="006E3788">
        <w:trPr>
          <w:trHeight w:val="255"/>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m:oMath>
              <m:r>
                <w:rPr>
                  <w:rFonts w:ascii="Cambria Math" w:hAnsi="Cambria Math"/>
                </w:rPr>
                <m:t>Export</m:t>
              </m:r>
              <m:sSub>
                <m:sSubPr>
                  <m:ctrlPr>
                    <w:rPr>
                      <w:rFonts w:ascii="Cambria Math" w:hAnsi="Cambria Math"/>
                    </w:rPr>
                  </m:ctrlPr>
                </m:sSubPr>
                <m:e>
                  <m:r>
                    <w:rPr>
                      <w:rFonts w:ascii="Cambria Math" w:hAnsi="Cambria Math"/>
                    </w:rPr>
                    <m:t>s</m:t>
                  </m:r>
                </m:e>
                <m:sub>
                  <m:r>
                    <w:rPr>
                      <w:rFonts w:ascii="Cambria Math" w:hAnsi="Cambria Math"/>
                    </w:rPr>
                    <m:t>ij</m:t>
                  </m:r>
                </m:sub>
              </m:sSub>
            </m:oMath>
            <w:r>
              <w:t xml:space="preserve">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157.1436</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2432.65</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1613568</w:t>
            </w:r>
          </w:p>
        </w:tc>
      </w:tr>
      <w:tr w:rsidR="00006A4A" w:rsidTr="006E3788">
        <w:trPr>
          <w:trHeight w:val="490"/>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lastRenderedPageBreak/>
              <w:t>log(</w:t>
            </w:r>
            <m:oMath>
              <m:r>
                <w:rPr>
                  <w:rFonts w:ascii="Cambria Math" w:hAnsi="Cambria Math"/>
                </w:rPr>
                <m:t>GD</m:t>
              </m:r>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×GD</m:t>
              </m:r>
              <m:sSub>
                <m:sSubPr>
                  <m:ctrlPr>
                    <w:rPr>
                      <w:rFonts w:ascii="Cambria Math" w:hAnsi="Cambria Math"/>
                    </w:rPr>
                  </m:ctrlPr>
                </m:sSubPr>
                <m:e>
                  <m:r>
                    <w:rPr>
                      <w:rFonts w:ascii="Cambria Math" w:hAnsi="Cambria Math"/>
                    </w:rPr>
                    <m:t>P</m:t>
                  </m:r>
                </m:e>
                <m:sub>
                  <m:r>
                    <w:rPr>
                      <w:rFonts w:ascii="Cambria Math" w:hAnsi="Cambria Math"/>
                    </w:rPr>
                    <m:t>j</m:t>
                  </m:r>
                </m:sub>
              </m:sSub>
            </m:oMath>
            <w:r>
              <w:t xml:space="preserve">)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47.62321</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3.25624</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1291996</w:t>
            </w:r>
          </w:p>
        </w:tc>
      </w:tr>
      <w:tr w:rsidR="00006A4A" w:rsidTr="006E3788">
        <w:trPr>
          <w:trHeight w:val="490"/>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log(</w:t>
            </w:r>
            <m:oMath>
              <m:r>
                <w:rPr>
                  <w:rFonts w:ascii="Cambria Math" w:hAnsi="Cambria Math"/>
                </w:rPr>
                <m:t>GDPp</m:t>
              </m:r>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×GDPp</m:t>
              </m:r>
              <m:sSub>
                <m:sSubPr>
                  <m:ctrlPr>
                    <w:rPr>
                      <w:rFonts w:ascii="Cambria Math" w:hAnsi="Cambria Math"/>
                    </w:rPr>
                  </m:ctrlPr>
                </m:sSubPr>
                <m:e>
                  <m:r>
                    <w:rPr>
                      <w:rFonts w:ascii="Cambria Math" w:hAnsi="Cambria Math"/>
                    </w:rPr>
                    <m:t>c</m:t>
                  </m:r>
                </m:e>
                <m:sub>
                  <m:r>
                    <w:rPr>
                      <w:rFonts w:ascii="Cambria Math" w:hAnsi="Cambria Math"/>
                    </w:rPr>
                    <m:t>j</m:t>
                  </m:r>
                </m:sub>
              </m:sSub>
            </m:oMath>
            <w:r>
              <w:t xml:space="preserve">)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16.84038</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1.865577</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1291996</w:t>
            </w:r>
          </w:p>
        </w:tc>
      </w:tr>
      <w:tr w:rsidR="00006A4A" w:rsidTr="006E3788">
        <w:trPr>
          <w:trHeight w:val="470"/>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Regional Trade Agreement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.0407631</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.1977409</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1613568</w:t>
            </w:r>
          </w:p>
        </w:tc>
      </w:tr>
      <w:tr w:rsidR="00006A4A" w:rsidTr="006E3788">
        <w:trPr>
          <w:trHeight w:val="715"/>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Working Age Population Country </w:t>
            </w:r>
            <m:oMath>
              <m:r>
                <w:rPr>
                  <w:rFonts w:ascii="Cambria Math" w:hAnsi="Cambria Math"/>
                </w:rPr>
                <m:t>i</m:t>
              </m:r>
            </m:oMath>
            <w:r>
              <w:t xml:space="preserve">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.5929518</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.0713934</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1613568</w:t>
            </w:r>
          </w:p>
        </w:tc>
      </w:tr>
      <w:tr w:rsidR="00006A4A" w:rsidTr="006E3788">
        <w:trPr>
          <w:trHeight w:val="480"/>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Share Retirees Country </w:t>
            </w:r>
            <m:oMath>
              <m:r>
                <w:rPr>
                  <w:rFonts w:ascii="Cambria Math" w:hAnsi="Cambria Math"/>
                </w:rPr>
                <m:t>i</m:t>
              </m:r>
            </m:oMath>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.0623437</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.0426818</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1613568</w:t>
            </w:r>
          </w:p>
        </w:tc>
      </w:tr>
      <w:tr w:rsidR="00006A4A" w:rsidTr="006E3788">
        <w:trPr>
          <w:trHeight w:val="715"/>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Difference (</w:t>
            </w:r>
            <m:oMath>
              <m:r>
                <w:rPr>
                  <w:rFonts w:ascii="Cambria Math" w:hAnsi="Cambria Math"/>
                </w:rPr>
                <m:t>i-j</m:t>
              </m:r>
            </m:oMath>
            <w:r>
              <w:t xml:space="preserve">): Working Age Population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0</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.09428</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1613568</w:t>
            </w:r>
          </w:p>
        </w:tc>
      </w:tr>
      <w:tr w:rsidR="00006A4A" w:rsidTr="006E3788">
        <w:trPr>
          <w:trHeight w:val="715"/>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Difference (</w:t>
            </w:r>
            <m:oMath>
              <m:r>
                <w:rPr>
                  <w:rFonts w:ascii="Cambria Math" w:hAnsi="Cambria Math"/>
                </w:rPr>
                <m:t>i-j</m:t>
              </m:r>
            </m:oMath>
            <w:r>
              <w:t xml:space="preserve">): Share of Retirees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0</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.0850498</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1613568</w:t>
            </w:r>
          </w:p>
        </w:tc>
      </w:tr>
      <w:tr w:rsidR="00006A4A" w:rsidTr="006E3788">
        <w:trPr>
          <w:trHeight w:val="715"/>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Demographic Polynomial Control 1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0</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1.560091</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1613568</w:t>
            </w:r>
          </w:p>
        </w:tc>
      </w:tr>
      <w:tr w:rsidR="00006A4A" w:rsidTr="006E3788">
        <w:trPr>
          <w:trHeight w:val="715"/>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Demographic Polynomial Control 2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0</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20.98249</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1613568</w:t>
            </w:r>
          </w:p>
        </w:tc>
      </w:tr>
      <w:tr w:rsidR="00006A4A" w:rsidTr="006E3788">
        <w:trPr>
          <w:trHeight w:val="715"/>
          <w:jc w:val="center"/>
        </w:trPr>
        <w:tc>
          <w:tcPr>
            <w:tcW w:w="368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Demographic Polynomial Control 3 </w:t>
            </w:r>
          </w:p>
        </w:tc>
        <w:tc>
          <w:tcPr>
            <w:tcW w:w="141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0</w:t>
            </w:r>
          </w:p>
        </w:tc>
        <w:tc>
          <w:tcPr>
            <w:tcW w:w="2183"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266.2446</w:t>
            </w:r>
          </w:p>
        </w:tc>
        <w:tc>
          <w:tcPr>
            <w:tcW w:w="2427"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jc w:val="center"/>
            </w:pPr>
            <w:r>
              <w:t xml:space="preserve"> 1613568</w:t>
            </w:r>
          </w:p>
        </w:tc>
      </w:tr>
    </w:tbl>
    <w:p w:rsidR="00006A4A" w:rsidRDefault="00006A4A" w:rsidP="00006A4A">
      <w:pPr>
        <w:tabs>
          <w:tab w:val="center" w:pos="4800"/>
          <w:tab w:val="right" w:pos="9500"/>
        </w:tabs>
        <w:rPr>
          <w:rFonts w:ascii="Times New Roman" w:hAnsi="Times New Roman" w:cs="Times New Roman"/>
          <w:noProof/>
        </w:rPr>
      </w:pPr>
      <w:r>
        <w:rPr>
          <w:noProof/>
        </w:rPr>
        <w:t xml:space="preserve"> </w:t>
      </w:r>
      <w:r>
        <w:rPr>
          <w:noProof/>
          <w:sz w:val="16"/>
          <w:szCs w:val="16"/>
        </w:rPr>
        <w:t xml:space="preserve">  </w:t>
      </w:r>
    </w:p>
    <w:p w:rsidR="00006A4A" w:rsidRDefault="00006A4A" w:rsidP="00006A4A">
      <w:pPr>
        <w:tabs>
          <w:tab w:val="center" w:pos="4800"/>
          <w:tab w:val="right" w:pos="9500"/>
        </w:tabs>
        <w:spacing w:line="240" w:lineRule="auto"/>
        <w:rPr>
          <w:rFonts w:ascii="Times New Roman" w:hAnsi="Times New Roman" w:cs="Times New Roman"/>
          <w:noProof/>
        </w:rPr>
      </w:pPr>
      <w:r>
        <w:rPr>
          <w:i/>
          <w:iCs/>
          <w:noProof/>
        </w:rPr>
        <w:tab/>
      </w:r>
      <w:r>
        <w:rPr>
          <w:i/>
          <w:iCs/>
          <w:noProof/>
        </w:rPr>
        <w:tab/>
        <w:t xml:space="preserve">Because data are constructed as “one-way” exports, each country-pair appears twice. Therefore the difference variables used in my main analysis are mean zero by construction as they contain symmetric information for each of the two country-pair observations (EG: </w:t>
      </w:r>
      <m:oMath>
        <m:r>
          <w:rPr>
            <w:rFonts w:ascii="Cambria Math" w:hAnsi="Cambria Math"/>
            <w:noProof/>
          </w:rPr>
          <m:t>WA</m:t>
        </m:r>
        <m:sSub>
          <m:sSubPr>
            <m:ctrlPr>
              <w:rPr>
                <w:rFonts w:ascii="Cambria Math" w:hAnsi="Cambria Math"/>
              </w:rPr>
            </m:ctrlPr>
          </m:sSubPr>
          <m:e>
            <m:r>
              <w:rPr>
                <w:rFonts w:ascii="Cambria Math" w:hAnsi="Cambria Math"/>
                <w:noProof/>
              </w:rPr>
              <m:t>P</m:t>
            </m:r>
          </m:e>
          <m:sub>
            <m:r>
              <w:rPr>
                <w:rFonts w:ascii="Cambria Math" w:hAnsi="Cambria Math"/>
                <w:noProof/>
              </w:rPr>
              <m:t>USA</m:t>
            </m:r>
          </m:sub>
        </m:sSub>
        <m:r>
          <w:rPr>
            <w:rFonts w:ascii="Cambria Math" w:hAnsi="Cambria Math"/>
            <w:noProof/>
          </w:rPr>
          <m:t>-WA</m:t>
        </m:r>
        <m:sSub>
          <m:sSubPr>
            <m:ctrlPr>
              <w:rPr>
                <w:rFonts w:ascii="Cambria Math" w:hAnsi="Cambria Math"/>
              </w:rPr>
            </m:ctrlPr>
          </m:sSubPr>
          <m:e>
            <m:r>
              <w:rPr>
                <w:rFonts w:ascii="Cambria Math" w:hAnsi="Cambria Math"/>
                <w:noProof/>
              </w:rPr>
              <m:t>P</m:t>
            </m:r>
          </m:e>
          <m:sub>
            <m:r>
              <w:rPr>
                <w:rFonts w:ascii="Cambria Math" w:hAnsi="Cambria Math"/>
                <w:noProof/>
              </w:rPr>
              <m:t>China</m:t>
            </m:r>
          </m:sub>
        </m:sSub>
        <m:r>
          <w:rPr>
            <w:rFonts w:ascii="Cambria Math" w:hAnsi="Cambria Math"/>
            <w:noProof/>
          </w:rPr>
          <m:t>andWA</m:t>
        </m:r>
        <m:sSub>
          <m:sSubPr>
            <m:ctrlPr>
              <w:rPr>
                <w:rFonts w:ascii="Cambria Math" w:hAnsi="Cambria Math"/>
              </w:rPr>
            </m:ctrlPr>
          </m:sSubPr>
          <m:e>
            <m:r>
              <w:rPr>
                <w:rFonts w:ascii="Cambria Math" w:hAnsi="Cambria Math"/>
                <w:noProof/>
              </w:rPr>
              <m:t>P</m:t>
            </m:r>
          </m:e>
          <m:sub>
            <m:r>
              <w:rPr>
                <w:rFonts w:ascii="Cambria Math" w:hAnsi="Cambria Math"/>
                <w:noProof/>
              </w:rPr>
              <m:t>China</m:t>
            </m:r>
          </m:sub>
        </m:sSub>
        <m:r>
          <w:rPr>
            <w:rFonts w:ascii="Cambria Math" w:hAnsi="Cambria Math"/>
            <w:noProof/>
          </w:rPr>
          <m:t>-WA</m:t>
        </m:r>
        <m:sSub>
          <m:sSubPr>
            <m:ctrlPr>
              <w:rPr>
                <w:rFonts w:ascii="Cambria Math" w:hAnsi="Cambria Math"/>
              </w:rPr>
            </m:ctrlPr>
          </m:sSubPr>
          <m:e>
            <m:r>
              <w:rPr>
                <w:rFonts w:ascii="Cambria Math" w:hAnsi="Cambria Math"/>
                <w:noProof/>
              </w:rPr>
              <m:t>P</m:t>
            </m:r>
          </m:e>
          <m:sub>
            <m:r>
              <w:rPr>
                <w:rFonts w:ascii="Cambria Math" w:hAnsi="Cambria Math"/>
                <w:noProof/>
              </w:rPr>
              <m:t>USA</m:t>
            </m:r>
          </m:sub>
        </m:sSub>
      </m:oMath>
      <w:r>
        <w:rPr>
          <w:i/>
          <w:iCs/>
          <w:noProof/>
        </w:rPr>
        <w:t>). The demographic polynomial controls are constructed as in [12], and defined in eq:DemogConstruct.</w:t>
      </w:r>
      <w:r>
        <w:rPr>
          <w:noProof/>
        </w:rPr>
        <w:t xml:space="preserve"> </w:t>
      </w:r>
    </w:p>
    <w:p w:rsidR="00006A4A" w:rsidRDefault="00006A4A" w:rsidP="00006A4A">
      <w:pPr>
        <w:tabs>
          <w:tab w:val="center" w:pos="4800"/>
          <w:tab w:val="right" w:pos="9500"/>
        </w:tabs>
        <w:ind w:firstLine="720"/>
        <w:rPr>
          <w:rFonts w:ascii="Times New Roman" w:hAnsi="Times New Roman" w:cs="Times New Roman"/>
          <w:noProof/>
        </w:rPr>
      </w:pPr>
      <w:r>
        <w:rPr>
          <w:noProof/>
        </w:rPr>
        <w:t xml:space="preserve">  </w:t>
      </w:r>
    </w:p>
    <w:p w:rsidR="00006A4A" w:rsidRDefault="00006A4A" w:rsidP="00006A4A">
      <w:pPr>
        <w:pStyle w:val="Heading1"/>
        <w:tabs>
          <w:tab w:val="center" w:pos="1512"/>
          <w:tab w:val="center" w:pos="4944"/>
        </w:tabs>
        <w:spacing w:after="379"/>
        <w:ind w:left="0" w:right="0" w:firstLine="0"/>
        <w:jc w:val="left"/>
      </w:pPr>
      <w:r>
        <w:rPr>
          <w:sz w:val="22"/>
        </w:rPr>
        <w:tab/>
      </w:r>
      <w:r>
        <w:rPr>
          <w:sz w:val="29"/>
        </w:rPr>
        <w:t>B.</w:t>
      </w:r>
      <w:r>
        <w:rPr>
          <w:sz w:val="29"/>
        </w:rPr>
        <w:tab/>
        <w:t>C</w:t>
      </w:r>
      <w:r>
        <w:t xml:space="preserve">ONSTRUCTION OF </w:t>
      </w:r>
      <w:r>
        <w:rPr>
          <w:sz w:val="29"/>
        </w:rPr>
        <w:t>D</w:t>
      </w:r>
      <w:r>
        <w:t xml:space="preserve">EMOGRAPHIC </w:t>
      </w:r>
      <w:r>
        <w:rPr>
          <w:sz w:val="29"/>
        </w:rPr>
        <w:t>C</w:t>
      </w:r>
      <w:r>
        <w:t>ONTROLS</w:t>
      </w:r>
    </w:p>
    <w:p w:rsidR="00006A4A" w:rsidRDefault="00006A4A" w:rsidP="00006A4A">
      <w:pPr>
        <w:spacing w:after="216"/>
        <w:ind w:left="-1" w:right="58"/>
      </w:pPr>
      <w:r>
        <w:t xml:space="preserve">Consider a version of </w:t>
      </w:r>
      <w:r>
        <w:rPr>
          <w:color w:val="00007F"/>
        </w:rPr>
        <w:t xml:space="preserve">Equation 1 </w:t>
      </w:r>
      <w:r>
        <w:t>that includes a full set of differences in population age shares as a demographic control in the traditional gravity equation of trade:</w:t>
      </w:r>
    </w:p>
    <w:p w:rsidR="00006A4A" w:rsidRDefault="00006A4A" w:rsidP="00006A4A">
      <w:pPr>
        <w:tabs>
          <w:tab w:val="center" w:pos="4750"/>
          <w:tab w:val="right" w:pos="9480"/>
        </w:tabs>
        <w:spacing w:after="185" w:line="265" w:lineRule="auto"/>
      </w:pPr>
      <w:r>
        <w:tab/>
      </w:r>
      <w:r>
        <w:rPr>
          <w:noProof/>
          <w:lang w:eastAsia="en-IN"/>
        </w:rPr>
        <w:drawing>
          <wp:inline distT="0" distB="0" distL="0" distR="0" wp14:anchorId="1A3105A6" wp14:editId="65B260E2">
            <wp:extent cx="3767328" cy="441960"/>
            <wp:effectExtent l="0" t="0" r="0" b="0"/>
            <wp:docPr id="76106" name="Picture 76106"/>
            <wp:cNvGraphicFramePr/>
            <a:graphic xmlns:a="http://schemas.openxmlformats.org/drawingml/2006/main">
              <a:graphicData uri="http://schemas.openxmlformats.org/drawingml/2006/picture">
                <pic:pic xmlns:pic="http://schemas.openxmlformats.org/drawingml/2006/picture">
                  <pic:nvPicPr>
                    <pic:cNvPr id="76106" name="Picture 76106"/>
                    <pic:cNvPicPr/>
                  </pic:nvPicPr>
                  <pic:blipFill>
                    <a:blip r:embed="rId8"/>
                    <a:stretch>
                      <a:fillRect/>
                    </a:stretch>
                  </pic:blipFill>
                  <pic:spPr>
                    <a:xfrm>
                      <a:off x="0" y="0"/>
                      <a:ext cx="3767328" cy="441960"/>
                    </a:xfrm>
                    <a:prstGeom prst="rect">
                      <a:avLst/>
                    </a:prstGeom>
                  </pic:spPr>
                </pic:pic>
              </a:graphicData>
            </a:graphic>
          </wp:inline>
        </w:drawing>
      </w:r>
      <w:r>
        <w:tab/>
        <w:t>(5)</w:t>
      </w:r>
    </w:p>
    <w:p w:rsidR="00006A4A" w:rsidRDefault="00006A4A" w:rsidP="00006A4A">
      <w:pPr>
        <w:spacing w:after="287"/>
        <w:ind w:left="-2" w:right="58" w:firstLine="351"/>
      </w:pPr>
      <w:r>
        <w:t xml:space="preserve">Where </w:t>
      </w:r>
      <w:proofErr w:type="spellStart"/>
      <w:r>
        <w:rPr>
          <w:rFonts w:ascii="Cambria" w:eastAsia="Cambria" w:hAnsi="Cambria" w:cs="Cambria"/>
          <w:i/>
        </w:rPr>
        <w:t>p</w:t>
      </w:r>
      <w:r>
        <w:rPr>
          <w:rFonts w:ascii="Cambria" w:eastAsia="Cambria" w:hAnsi="Cambria" w:cs="Cambria"/>
          <w:i/>
          <w:vertAlign w:val="subscript"/>
        </w:rPr>
        <w:t>a</w:t>
      </w:r>
      <w:proofErr w:type="gramStart"/>
      <w:r>
        <w:rPr>
          <w:rFonts w:ascii="Cambria" w:eastAsia="Cambria" w:hAnsi="Cambria" w:cs="Cambria"/>
          <w:i/>
          <w:vertAlign w:val="subscript"/>
        </w:rPr>
        <w:t>,i,t</w:t>
      </w:r>
      <w:proofErr w:type="spellEnd"/>
      <w:proofErr w:type="gramEnd"/>
      <w:r>
        <w:rPr>
          <w:rFonts w:ascii="Cambria" w:eastAsia="Cambria" w:hAnsi="Cambria" w:cs="Cambria"/>
          <w:i/>
          <w:vertAlign w:val="subscript"/>
        </w:rPr>
        <w:t xml:space="preserve"> </w:t>
      </w:r>
      <w:r>
        <w:t xml:space="preserve">is the share of population age group </w:t>
      </w:r>
      <w:r>
        <w:rPr>
          <w:rFonts w:ascii="Cambria" w:eastAsia="Cambria" w:hAnsi="Cambria" w:cs="Cambria"/>
          <w:i/>
        </w:rPr>
        <w:t xml:space="preserve">a </w:t>
      </w:r>
      <w:r>
        <w:t xml:space="preserve">in country </w:t>
      </w:r>
      <w:proofErr w:type="spellStart"/>
      <w:r>
        <w:rPr>
          <w:rFonts w:ascii="Cambria" w:eastAsia="Cambria" w:hAnsi="Cambria" w:cs="Cambria"/>
          <w:i/>
        </w:rPr>
        <w:t>i</w:t>
      </w:r>
      <w:proofErr w:type="spellEnd"/>
      <w:r>
        <w:rPr>
          <w:rFonts w:ascii="Cambria" w:eastAsia="Cambria" w:hAnsi="Cambria" w:cs="Cambria"/>
          <w:i/>
        </w:rPr>
        <w:t xml:space="preserve"> </w:t>
      </w:r>
      <w:r>
        <w:t xml:space="preserve">at time </w:t>
      </w:r>
      <w:r>
        <w:rPr>
          <w:rFonts w:ascii="Cambria" w:eastAsia="Cambria" w:hAnsi="Cambria" w:cs="Cambria"/>
          <w:i/>
        </w:rPr>
        <w:t>t</w:t>
      </w:r>
      <w:r>
        <w:t xml:space="preserve">. This equation is inestimable as currently specified due to the perfect </w:t>
      </w:r>
      <w:proofErr w:type="spellStart"/>
      <w:r>
        <w:t>colinearity</w:t>
      </w:r>
      <w:proofErr w:type="spellEnd"/>
      <w:r>
        <w:t xml:space="preserve"> of the population shares </w:t>
      </w:r>
      <w:proofErr w:type="spellStart"/>
      <w:r>
        <w:rPr>
          <w:rFonts w:ascii="Cambria" w:eastAsia="Cambria" w:hAnsi="Cambria" w:cs="Cambria"/>
          <w:i/>
        </w:rPr>
        <w:t>p</w:t>
      </w:r>
      <w:r>
        <w:rPr>
          <w:rFonts w:ascii="Cambria" w:eastAsia="Cambria" w:hAnsi="Cambria" w:cs="Cambria"/>
          <w:i/>
          <w:vertAlign w:val="subscript"/>
        </w:rPr>
        <w:t>a,i,t</w:t>
      </w:r>
      <w:proofErr w:type="spellEnd"/>
      <w:r>
        <w:t xml:space="preserve">, which for every time period some to one within a particular country, and whose difference between two countries thus sums to zero in every period. One might also prefer to estimate a large number of </w:t>
      </w:r>
      <w:r>
        <w:rPr>
          <w:rFonts w:ascii="Cambria" w:eastAsia="Cambria" w:hAnsi="Cambria" w:cs="Cambria"/>
          <w:i/>
        </w:rPr>
        <w:t xml:space="preserve">A </w:t>
      </w:r>
      <w:r>
        <w:t xml:space="preserve">groups to allow for the most flexibility possible within the model specification. Population shares are highly colinear, increasingly so as the number of groups increases. The </w:t>
      </w:r>
      <w:r>
        <w:rPr>
          <w:color w:val="00007F"/>
        </w:rPr>
        <w:t xml:space="preserve">Fair and </w:t>
      </w:r>
      <w:proofErr w:type="spellStart"/>
      <w:r>
        <w:rPr>
          <w:color w:val="00007F"/>
        </w:rPr>
        <w:t>Dom´ınguez</w:t>
      </w:r>
      <w:proofErr w:type="spellEnd"/>
      <w:r>
        <w:rPr>
          <w:color w:val="00007F"/>
        </w:rPr>
        <w:t xml:space="preserve"> </w:t>
      </w:r>
      <w:r>
        <w:t>(</w:t>
      </w:r>
      <w:r>
        <w:rPr>
          <w:color w:val="00007F"/>
        </w:rPr>
        <w:t>1991</w:t>
      </w:r>
      <w:r>
        <w:t xml:space="preserve">) approach to estimating these </w:t>
      </w:r>
      <w:r>
        <w:rPr>
          <w:rFonts w:ascii="Cambria" w:eastAsia="Cambria" w:hAnsi="Cambria" w:cs="Cambria"/>
          <w:i/>
        </w:rPr>
        <w:t>α</w:t>
      </w:r>
      <w:r>
        <w:rPr>
          <w:rFonts w:ascii="Cambria" w:eastAsia="Cambria" w:hAnsi="Cambria" w:cs="Cambria"/>
          <w:i/>
          <w:vertAlign w:val="subscript"/>
        </w:rPr>
        <w:t xml:space="preserve">a </w:t>
      </w:r>
      <w:r>
        <w:t>coefficients suggests making the following two assumptions:</w:t>
      </w:r>
    </w:p>
    <w:p w:rsidR="00006A4A" w:rsidRDefault="00006A4A" w:rsidP="00006A4A">
      <w:pPr>
        <w:numPr>
          <w:ilvl w:val="0"/>
          <w:numId w:val="1"/>
        </w:numPr>
        <w:spacing w:after="8" w:line="404" w:lineRule="auto"/>
        <w:ind w:left="598" w:right="58" w:hanging="316"/>
        <w:jc w:val="both"/>
      </w:pPr>
      <w:r>
        <w:lastRenderedPageBreak/>
        <w:t xml:space="preserve">Letting </w:t>
      </w:r>
      <w:r>
        <w:rPr>
          <w:rFonts w:ascii="Cambria" w:eastAsia="Cambria" w:hAnsi="Cambria" w:cs="Cambria"/>
          <w:i/>
        </w:rPr>
        <w:t>α</w:t>
      </w:r>
      <w:r>
        <w:rPr>
          <w:rFonts w:ascii="Cambria" w:eastAsia="Cambria" w:hAnsi="Cambria" w:cs="Cambria"/>
          <w:i/>
          <w:vertAlign w:val="subscript"/>
        </w:rPr>
        <w:t xml:space="preserve">a </w:t>
      </w:r>
      <w:r>
        <w:t xml:space="preserve">be the coefficient on the difference in population shares </w:t>
      </w:r>
      <w:r>
        <w:rPr>
          <w:rFonts w:ascii="Cambria" w:eastAsia="Cambria" w:hAnsi="Cambria" w:cs="Cambria"/>
        </w:rPr>
        <w:t>(</w:t>
      </w:r>
      <w:proofErr w:type="spellStart"/>
      <w:r>
        <w:rPr>
          <w:rFonts w:ascii="Cambria" w:eastAsia="Cambria" w:hAnsi="Cambria" w:cs="Cambria"/>
          <w:i/>
        </w:rPr>
        <w:t>p</w:t>
      </w:r>
      <w:r>
        <w:rPr>
          <w:rFonts w:ascii="Cambria" w:eastAsia="Cambria" w:hAnsi="Cambria" w:cs="Cambria"/>
          <w:i/>
          <w:vertAlign w:val="subscript"/>
        </w:rPr>
        <w:t>a</w:t>
      </w:r>
      <w:proofErr w:type="gramStart"/>
      <w:r>
        <w:rPr>
          <w:rFonts w:ascii="Cambria" w:eastAsia="Cambria" w:hAnsi="Cambria" w:cs="Cambria"/>
          <w:i/>
          <w:vertAlign w:val="subscript"/>
        </w:rPr>
        <w:t>,i,t</w:t>
      </w:r>
      <w:proofErr w:type="spellEnd"/>
      <w:proofErr w:type="gramEnd"/>
      <w:r>
        <w:rPr>
          <w:rFonts w:ascii="Cambria" w:eastAsia="Cambria" w:hAnsi="Cambria" w:cs="Cambria"/>
          <w:i/>
          <w:vertAlign w:val="subscript"/>
        </w:rPr>
        <w:t xml:space="preserve"> </w:t>
      </w:r>
      <w:r>
        <w:rPr>
          <w:rFonts w:ascii="Cambria" w:eastAsia="Cambria" w:hAnsi="Cambria" w:cs="Cambria"/>
        </w:rPr>
        <w:t xml:space="preserve">− </w:t>
      </w:r>
      <w:proofErr w:type="spellStart"/>
      <w:r>
        <w:rPr>
          <w:rFonts w:ascii="Cambria" w:eastAsia="Cambria" w:hAnsi="Cambria" w:cs="Cambria"/>
          <w:i/>
        </w:rPr>
        <w:t>p</w:t>
      </w:r>
      <w:r>
        <w:rPr>
          <w:rFonts w:ascii="Cambria" w:eastAsia="Cambria" w:hAnsi="Cambria" w:cs="Cambria"/>
          <w:i/>
          <w:vertAlign w:val="subscript"/>
        </w:rPr>
        <w:t>a,j,t</w:t>
      </w:r>
      <w:proofErr w:type="spellEnd"/>
      <w:r>
        <w:rPr>
          <w:rFonts w:ascii="Cambria" w:eastAsia="Cambria" w:hAnsi="Cambria" w:cs="Cambria"/>
        </w:rPr>
        <w:t xml:space="preserve">) </w:t>
      </w:r>
      <w:r>
        <w:t xml:space="preserve">of age group </w:t>
      </w:r>
      <w:r>
        <w:rPr>
          <w:rFonts w:ascii="Cambria" w:eastAsia="Cambria" w:hAnsi="Cambria" w:cs="Cambria"/>
          <w:i/>
        </w:rPr>
        <w:t xml:space="preserve">a </w:t>
      </w:r>
      <w:r>
        <w:t xml:space="preserve">between countries </w:t>
      </w:r>
      <w:proofErr w:type="spellStart"/>
      <w:r>
        <w:rPr>
          <w:rFonts w:ascii="Cambria" w:eastAsia="Cambria" w:hAnsi="Cambria" w:cs="Cambria"/>
          <w:i/>
        </w:rPr>
        <w:t>i</w:t>
      </w:r>
      <w:proofErr w:type="spellEnd"/>
      <w:r>
        <w:rPr>
          <w:rFonts w:ascii="Cambria" w:eastAsia="Cambria" w:hAnsi="Cambria" w:cs="Cambria"/>
          <w:i/>
        </w:rPr>
        <w:t xml:space="preserve"> </w:t>
      </w:r>
      <w:r>
        <w:t xml:space="preserve">and </w:t>
      </w:r>
      <w:r>
        <w:rPr>
          <w:rFonts w:ascii="Cambria" w:eastAsia="Cambria" w:hAnsi="Cambria" w:cs="Cambria"/>
          <w:i/>
        </w:rPr>
        <w:t xml:space="preserve">j </w:t>
      </w:r>
      <w:r>
        <w:t xml:space="preserve">at time </w:t>
      </w:r>
      <w:r>
        <w:rPr>
          <w:rFonts w:ascii="Cambria" w:eastAsia="Cambria" w:hAnsi="Cambria" w:cs="Cambria"/>
          <w:i/>
        </w:rPr>
        <w:t>t</w:t>
      </w:r>
      <w:r>
        <w:t>. Assume that all of the effects of these coefficients across the age distribution sum to zero. In other words:</w:t>
      </w:r>
    </w:p>
    <w:p w:rsidR="00006A4A" w:rsidRDefault="00006A4A" w:rsidP="00006A4A">
      <w:pPr>
        <w:spacing w:after="523" w:line="259" w:lineRule="auto"/>
        <w:ind w:left="4413"/>
      </w:pPr>
      <w:r>
        <w:rPr>
          <w:noProof/>
          <w:lang w:eastAsia="en-IN"/>
        </w:rPr>
        <w:drawing>
          <wp:inline distT="0" distB="0" distL="0" distR="0" wp14:anchorId="51D94ECA" wp14:editId="18B08B1B">
            <wp:extent cx="667512" cy="441960"/>
            <wp:effectExtent l="0" t="0" r="0" b="0"/>
            <wp:docPr id="76107" name="Picture 76107"/>
            <wp:cNvGraphicFramePr/>
            <a:graphic xmlns:a="http://schemas.openxmlformats.org/drawingml/2006/main">
              <a:graphicData uri="http://schemas.openxmlformats.org/drawingml/2006/picture">
                <pic:pic xmlns:pic="http://schemas.openxmlformats.org/drawingml/2006/picture">
                  <pic:nvPicPr>
                    <pic:cNvPr id="76107" name="Picture 76107"/>
                    <pic:cNvPicPr/>
                  </pic:nvPicPr>
                  <pic:blipFill>
                    <a:blip r:embed="rId9"/>
                    <a:stretch>
                      <a:fillRect/>
                    </a:stretch>
                  </pic:blipFill>
                  <pic:spPr>
                    <a:xfrm>
                      <a:off x="0" y="0"/>
                      <a:ext cx="667512" cy="441960"/>
                    </a:xfrm>
                    <a:prstGeom prst="rect">
                      <a:avLst/>
                    </a:prstGeom>
                  </pic:spPr>
                </pic:pic>
              </a:graphicData>
            </a:graphic>
          </wp:inline>
        </w:drawing>
      </w:r>
    </w:p>
    <w:p w:rsidR="00006A4A" w:rsidRDefault="00006A4A" w:rsidP="00006A4A">
      <w:pPr>
        <w:numPr>
          <w:ilvl w:val="0"/>
          <w:numId w:val="1"/>
        </w:numPr>
        <w:spacing w:after="4" w:line="404" w:lineRule="auto"/>
        <w:ind w:left="598" w:right="58" w:hanging="316"/>
        <w:jc w:val="both"/>
      </w:pPr>
      <w:r>
        <w:t xml:space="preserve">Assume also that the age coefficients </w:t>
      </w:r>
      <w:r>
        <w:rPr>
          <w:rFonts w:ascii="Cambria" w:eastAsia="Cambria" w:hAnsi="Cambria" w:cs="Cambria"/>
          <w:i/>
        </w:rPr>
        <w:t>α</w:t>
      </w:r>
      <w:r>
        <w:rPr>
          <w:rFonts w:ascii="Cambria" w:eastAsia="Cambria" w:hAnsi="Cambria" w:cs="Cambria"/>
          <w:i/>
          <w:vertAlign w:val="subscript"/>
        </w:rPr>
        <w:t xml:space="preserve">a </w:t>
      </w:r>
      <w:r>
        <w:t xml:space="preserve">can be fitted with a </w:t>
      </w:r>
      <w:r>
        <w:rPr>
          <w:rFonts w:ascii="Cambria" w:eastAsia="Cambria" w:hAnsi="Cambria" w:cs="Cambria"/>
          <w:i/>
        </w:rPr>
        <w:t xml:space="preserve">K </w:t>
      </w:r>
      <w:r>
        <w:t>order polynomial. In other words:</w:t>
      </w:r>
    </w:p>
    <w:p w:rsidR="00006A4A" w:rsidRDefault="00006A4A" w:rsidP="00006A4A">
      <w:pPr>
        <w:tabs>
          <w:tab w:val="center" w:pos="5030"/>
          <w:tab w:val="right" w:pos="9480"/>
        </w:tabs>
        <w:spacing w:after="274" w:line="265" w:lineRule="auto"/>
      </w:pPr>
      <w:r>
        <w:tab/>
      </w:r>
      <w:r>
        <w:rPr>
          <w:noProof/>
          <w:lang w:eastAsia="en-IN"/>
        </w:rPr>
        <w:drawing>
          <wp:inline distT="0" distB="0" distL="0" distR="0" wp14:anchorId="3A3A88EC" wp14:editId="72A398FA">
            <wp:extent cx="868680" cy="445008"/>
            <wp:effectExtent l="0" t="0" r="0" b="0"/>
            <wp:docPr id="76108" name="Picture 76108"/>
            <wp:cNvGraphicFramePr/>
            <a:graphic xmlns:a="http://schemas.openxmlformats.org/drawingml/2006/main">
              <a:graphicData uri="http://schemas.openxmlformats.org/drawingml/2006/picture">
                <pic:pic xmlns:pic="http://schemas.openxmlformats.org/drawingml/2006/picture">
                  <pic:nvPicPr>
                    <pic:cNvPr id="76108" name="Picture 76108"/>
                    <pic:cNvPicPr/>
                  </pic:nvPicPr>
                  <pic:blipFill>
                    <a:blip r:embed="rId10"/>
                    <a:stretch>
                      <a:fillRect/>
                    </a:stretch>
                  </pic:blipFill>
                  <pic:spPr>
                    <a:xfrm>
                      <a:off x="0" y="0"/>
                      <a:ext cx="868680" cy="445008"/>
                    </a:xfrm>
                    <a:prstGeom prst="rect">
                      <a:avLst/>
                    </a:prstGeom>
                  </pic:spPr>
                </pic:pic>
              </a:graphicData>
            </a:graphic>
          </wp:inline>
        </w:drawing>
      </w:r>
      <w:r>
        <w:tab/>
        <w:t>(6)</w:t>
      </w:r>
    </w:p>
    <w:p w:rsidR="00006A4A" w:rsidRDefault="00006A4A" w:rsidP="00006A4A">
      <w:pPr>
        <w:spacing w:after="564"/>
        <w:ind w:left="-2" w:right="58" w:firstLine="351"/>
      </w:pPr>
      <w:r>
        <w:t xml:space="preserve">The problem can thus be transformed from one of estimating </w:t>
      </w:r>
      <w:r>
        <w:rPr>
          <w:rFonts w:ascii="Cambria" w:eastAsia="Cambria" w:hAnsi="Cambria" w:cs="Cambria"/>
          <w:i/>
        </w:rPr>
        <w:t>A</w:t>
      </w:r>
      <w:r>
        <w:t xml:space="preserve">, </w:t>
      </w:r>
      <w:r>
        <w:rPr>
          <w:rFonts w:ascii="Cambria" w:eastAsia="Cambria" w:hAnsi="Cambria" w:cs="Cambria"/>
          <w:i/>
        </w:rPr>
        <w:t>α</w:t>
      </w:r>
      <w:r>
        <w:rPr>
          <w:rFonts w:ascii="Cambria" w:eastAsia="Cambria" w:hAnsi="Cambria" w:cs="Cambria"/>
          <w:i/>
          <w:vertAlign w:val="subscript"/>
        </w:rPr>
        <w:t xml:space="preserve">a </w:t>
      </w:r>
      <w:r>
        <w:t xml:space="preserve">coefficients for each age group, to one that estimates the </w:t>
      </w:r>
      <w:r>
        <w:rPr>
          <w:rFonts w:ascii="Cambria" w:eastAsia="Cambria" w:hAnsi="Cambria" w:cs="Cambria"/>
          <w:i/>
        </w:rPr>
        <w:t>K</w:t>
      </w:r>
      <w:r>
        <w:t xml:space="preserve">, </w:t>
      </w:r>
      <w:r>
        <w:rPr>
          <w:rFonts w:ascii="Cambria" w:eastAsia="Cambria" w:hAnsi="Cambria" w:cs="Cambria"/>
          <w:i/>
        </w:rPr>
        <w:t xml:space="preserve">θ </w:t>
      </w:r>
      <w:r>
        <w:t xml:space="preserve">coefficients that determine the shape of the polynomial. Requiring that these coefficients sum to zero allows for joint estimation without dropping the regression constant. This assumption also implicitly defines the constant of the polynomial, </w:t>
      </w:r>
      <w:r>
        <w:rPr>
          <w:rFonts w:ascii="Cambria" w:eastAsia="Cambria" w:hAnsi="Cambria" w:cs="Cambria"/>
          <w:i/>
        </w:rPr>
        <w:t>θ</w:t>
      </w:r>
      <w:r>
        <w:rPr>
          <w:rFonts w:ascii="Cambria" w:eastAsia="Cambria" w:hAnsi="Cambria" w:cs="Cambria"/>
          <w:vertAlign w:val="subscript"/>
        </w:rPr>
        <w:t>0</w:t>
      </w:r>
      <w:r>
        <w:t xml:space="preserve">, as a function of the estimates for </w:t>
      </w:r>
      <w:r>
        <w:rPr>
          <w:rFonts w:ascii="Cambria" w:eastAsia="Cambria" w:hAnsi="Cambria" w:cs="Cambria"/>
          <w:i/>
        </w:rPr>
        <w:t>θ</w:t>
      </w:r>
      <w:r>
        <w:rPr>
          <w:rFonts w:ascii="Cambria" w:eastAsia="Cambria" w:hAnsi="Cambria" w:cs="Cambria"/>
          <w:vertAlign w:val="subscript"/>
        </w:rPr>
        <w:t>1−</w:t>
      </w:r>
      <w:r>
        <w:rPr>
          <w:rFonts w:ascii="Cambria" w:eastAsia="Cambria" w:hAnsi="Cambria" w:cs="Cambria"/>
          <w:i/>
          <w:vertAlign w:val="subscript"/>
        </w:rPr>
        <w:t>K</w:t>
      </w:r>
      <w:r>
        <w:t xml:space="preserve">. By requiring that the individual age coefficients lie on a polynomial, these assumptions allow limited changes from one age group to the next, while imposing restrictions on how dramatically such estimated coefficients can swing from group to group. While the first assumption makes </w:t>
      </w:r>
      <w:r>
        <w:rPr>
          <w:color w:val="00007F"/>
        </w:rPr>
        <w:t xml:space="preserve">Equation 5 </w:t>
      </w:r>
      <w:r>
        <w:t xml:space="preserve">possible, simply imposing it tends to yield estimations with highly unstable </w:t>
      </w:r>
      <w:r>
        <w:rPr>
          <w:rFonts w:ascii="Cambria" w:eastAsia="Cambria" w:hAnsi="Cambria" w:cs="Cambria"/>
          <w:i/>
        </w:rPr>
        <w:t>α</w:t>
      </w:r>
      <w:r>
        <w:rPr>
          <w:rFonts w:ascii="Cambria" w:eastAsia="Cambria" w:hAnsi="Cambria" w:cs="Cambria"/>
          <w:i/>
          <w:vertAlign w:val="subscript"/>
        </w:rPr>
        <w:t xml:space="preserve">a </w:t>
      </w:r>
      <w:r>
        <w:t xml:space="preserve">parameters from one age group to the next, and so this imposition is useful in limiting overfitting such a model with highly colinear regression controls. To see how this methodology works, substitute </w:t>
      </w:r>
      <w:r>
        <w:rPr>
          <w:rFonts w:ascii="Cambria" w:eastAsia="Cambria" w:hAnsi="Cambria" w:cs="Cambria"/>
          <w:i/>
        </w:rPr>
        <w:t>α</w:t>
      </w:r>
      <w:r>
        <w:rPr>
          <w:rFonts w:ascii="Cambria" w:eastAsia="Cambria" w:hAnsi="Cambria" w:cs="Cambria"/>
          <w:i/>
          <w:vertAlign w:val="subscript"/>
        </w:rPr>
        <w:t xml:space="preserve">a </w:t>
      </w:r>
      <w:r>
        <w:t xml:space="preserve">as defined in </w:t>
      </w:r>
      <w:r>
        <w:rPr>
          <w:color w:val="00007F"/>
        </w:rPr>
        <w:t xml:space="preserve">Equation 6 </w:t>
      </w:r>
      <w:r>
        <w:t xml:space="preserve">into </w:t>
      </w:r>
      <w:r>
        <w:rPr>
          <w:color w:val="00007F"/>
        </w:rPr>
        <w:t>Equation 5</w:t>
      </w:r>
      <w:r>
        <w:t xml:space="preserve">. As in the paper, I set </w:t>
      </w:r>
      <w:r>
        <w:rPr>
          <w:rFonts w:ascii="Cambria" w:eastAsia="Cambria" w:hAnsi="Cambria" w:cs="Cambria"/>
          <w:i/>
        </w:rPr>
        <w:t xml:space="preserve">K </w:t>
      </w:r>
      <w:r>
        <w:rPr>
          <w:rFonts w:ascii="Cambria" w:eastAsia="Cambria" w:hAnsi="Cambria" w:cs="Cambria"/>
        </w:rPr>
        <w:t>= 3</w:t>
      </w:r>
      <w:r>
        <w:t xml:space="preserve">, using a third order polynomial. </w:t>
      </w:r>
      <w:proofErr w:type="gramStart"/>
      <w:r>
        <w:t>This yields</w:t>
      </w:r>
      <w:proofErr w:type="gramEnd"/>
      <w:r>
        <w:t>:</w:t>
      </w:r>
    </w:p>
    <w:p w:rsidR="00006A4A" w:rsidRDefault="00006A4A" w:rsidP="00006A4A">
      <w:pPr>
        <w:tabs>
          <w:tab w:val="center" w:pos="4730"/>
          <w:tab w:val="right" w:pos="9480"/>
        </w:tabs>
        <w:spacing w:after="397" w:line="265" w:lineRule="auto"/>
      </w:pPr>
      <w:r>
        <w:tab/>
      </w:r>
      <w:r>
        <w:rPr>
          <w:noProof/>
          <w:lang w:eastAsia="en-IN"/>
        </w:rPr>
        <w:drawing>
          <wp:inline distT="0" distB="0" distL="0" distR="0" wp14:anchorId="2FF79FA1" wp14:editId="49B3B23D">
            <wp:extent cx="3419856" cy="765048"/>
            <wp:effectExtent l="0" t="0" r="0" b="0"/>
            <wp:docPr id="76109" name="Picture 76109"/>
            <wp:cNvGraphicFramePr/>
            <a:graphic xmlns:a="http://schemas.openxmlformats.org/drawingml/2006/main">
              <a:graphicData uri="http://schemas.openxmlformats.org/drawingml/2006/picture">
                <pic:pic xmlns:pic="http://schemas.openxmlformats.org/drawingml/2006/picture">
                  <pic:nvPicPr>
                    <pic:cNvPr id="76109" name="Picture 76109"/>
                    <pic:cNvPicPr/>
                  </pic:nvPicPr>
                  <pic:blipFill>
                    <a:blip r:embed="rId11"/>
                    <a:stretch>
                      <a:fillRect/>
                    </a:stretch>
                  </pic:blipFill>
                  <pic:spPr>
                    <a:xfrm>
                      <a:off x="0" y="0"/>
                      <a:ext cx="3419856" cy="765048"/>
                    </a:xfrm>
                    <a:prstGeom prst="rect">
                      <a:avLst/>
                    </a:prstGeom>
                  </pic:spPr>
                </pic:pic>
              </a:graphicData>
            </a:graphic>
          </wp:inline>
        </w:drawing>
      </w:r>
      <w:r>
        <w:tab/>
        <w:t>(7)</w:t>
      </w:r>
    </w:p>
    <w:p w:rsidR="00006A4A" w:rsidRDefault="00006A4A" w:rsidP="00006A4A">
      <w:pPr>
        <w:spacing w:after="191"/>
        <w:ind w:left="-2" w:right="58" w:firstLine="351"/>
      </w:pPr>
      <w:r>
        <w:t xml:space="preserve">Taking the sum of both sides of Equation </w:t>
      </w:r>
      <w:r>
        <w:rPr>
          <w:color w:val="00007F"/>
        </w:rPr>
        <w:t>6</w:t>
      </w:r>
      <w:r>
        <w:t xml:space="preserve">, and using the assumption that the sum of </w:t>
      </w:r>
      <w:r>
        <w:rPr>
          <w:rFonts w:ascii="Cambria" w:eastAsia="Cambria" w:hAnsi="Cambria" w:cs="Cambria"/>
          <w:i/>
        </w:rPr>
        <w:t>α</w:t>
      </w:r>
      <w:r>
        <w:rPr>
          <w:rFonts w:ascii="Cambria" w:eastAsia="Cambria" w:hAnsi="Cambria" w:cs="Cambria"/>
          <w:i/>
          <w:vertAlign w:val="subscript"/>
        </w:rPr>
        <w:t xml:space="preserve">a </w:t>
      </w:r>
      <w:r>
        <w:t xml:space="preserve">must be zero, it can easily be shown that </w:t>
      </w:r>
      <w:r>
        <w:rPr>
          <w:rFonts w:ascii="Cambria" w:eastAsia="Cambria" w:hAnsi="Cambria" w:cs="Cambria"/>
          <w:i/>
        </w:rPr>
        <w:t>θ</w:t>
      </w:r>
      <w:r>
        <w:rPr>
          <w:rFonts w:ascii="Cambria" w:eastAsia="Cambria" w:hAnsi="Cambria" w:cs="Cambria"/>
          <w:vertAlign w:val="subscript"/>
        </w:rPr>
        <w:t xml:space="preserve">0 </w:t>
      </w:r>
      <w:r>
        <w:t>is equal to:</w:t>
      </w:r>
    </w:p>
    <w:p w:rsidR="00006A4A" w:rsidRDefault="00006A4A" w:rsidP="00006A4A">
      <w:pPr>
        <w:tabs>
          <w:tab w:val="center" w:pos="4710"/>
          <w:tab w:val="right" w:pos="9480"/>
        </w:tabs>
        <w:spacing w:after="124" w:line="265" w:lineRule="auto"/>
      </w:pPr>
      <w:r>
        <w:tab/>
      </w:r>
      <w:r>
        <w:rPr>
          <w:noProof/>
          <w:lang w:eastAsia="en-IN"/>
        </w:rPr>
        <w:drawing>
          <wp:inline distT="0" distB="0" distL="0" distR="0" wp14:anchorId="46B7303B" wp14:editId="7CC229A9">
            <wp:extent cx="2667000" cy="463296"/>
            <wp:effectExtent l="0" t="0" r="0" b="0"/>
            <wp:docPr id="76110" name="Picture 76110"/>
            <wp:cNvGraphicFramePr/>
            <a:graphic xmlns:a="http://schemas.openxmlformats.org/drawingml/2006/main">
              <a:graphicData uri="http://schemas.openxmlformats.org/drawingml/2006/picture">
                <pic:pic xmlns:pic="http://schemas.openxmlformats.org/drawingml/2006/picture">
                  <pic:nvPicPr>
                    <pic:cNvPr id="76110" name="Picture 76110"/>
                    <pic:cNvPicPr/>
                  </pic:nvPicPr>
                  <pic:blipFill>
                    <a:blip r:embed="rId12"/>
                    <a:stretch>
                      <a:fillRect/>
                    </a:stretch>
                  </pic:blipFill>
                  <pic:spPr>
                    <a:xfrm>
                      <a:off x="0" y="0"/>
                      <a:ext cx="2667000" cy="463296"/>
                    </a:xfrm>
                    <a:prstGeom prst="rect">
                      <a:avLst/>
                    </a:prstGeom>
                  </pic:spPr>
                </pic:pic>
              </a:graphicData>
            </a:graphic>
          </wp:inline>
        </w:drawing>
      </w:r>
      <w:r>
        <w:tab/>
        <w:t>(8)</w:t>
      </w:r>
    </w:p>
    <w:p w:rsidR="00006A4A" w:rsidRDefault="00006A4A" w:rsidP="00006A4A">
      <w:pPr>
        <w:spacing w:after="304" w:line="291" w:lineRule="auto"/>
        <w:ind w:left="-2" w:right="58" w:firstLine="351"/>
      </w:pPr>
      <w:r>
        <w:t xml:space="preserve">Distributing the summation term in </w:t>
      </w:r>
      <w:r>
        <w:rPr>
          <w:color w:val="00007F"/>
        </w:rPr>
        <w:t>Equation 7</w:t>
      </w:r>
      <w:r>
        <w:t>, and recognizing that the first term is zero (</w:t>
      </w:r>
      <w:proofErr w:type="spellStart"/>
      <w:r>
        <w:rPr>
          <w:rFonts w:ascii="Cambria" w:eastAsia="Cambria" w:hAnsi="Cambria" w:cs="Cambria"/>
          <w:i/>
        </w:rPr>
        <w:t>θ</w:t>
      </w:r>
      <w:r>
        <w:rPr>
          <w:rFonts w:ascii="Cambria" w:eastAsia="Cambria" w:hAnsi="Cambria" w:cs="Cambria"/>
          <w:vertAlign w:val="subscript"/>
        </w:rPr>
        <w:t>0</w:t>
      </w:r>
      <w:proofErr w:type="spellEnd"/>
      <w:r>
        <w:rPr>
          <w:rFonts w:ascii="Cambria" w:eastAsia="Cambria" w:hAnsi="Cambria" w:cs="Cambria"/>
          <w:vertAlign w:val="subscript"/>
        </w:rPr>
        <w:t xml:space="preserve"> </w:t>
      </w:r>
      <w:proofErr w:type="gramStart"/>
      <w:r>
        <w:rPr>
          <w:rFonts w:ascii="Cambria" w:eastAsia="Cambria" w:hAnsi="Cambria" w:cs="Cambria"/>
          <w:sz w:val="37"/>
          <w:vertAlign w:val="superscript"/>
        </w:rPr>
        <w:t>P</w:t>
      </w:r>
      <w:r>
        <w:rPr>
          <w:rFonts w:ascii="Cambria" w:eastAsia="Cambria" w:hAnsi="Cambria" w:cs="Cambria"/>
          <w:i/>
          <w:vertAlign w:val="subscript"/>
        </w:rPr>
        <w:t>a</w:t>
      </w:r>
      <w:r>
        <w:rPr>
          <w:rFonts w:ascii="Cambria" w:eastAsia="Cambria" w:hAnsi="Cambria" w:cs="Cambria"/>
        </w:rPr>
        <w:t>(</w:t>
      </w:r>
      <w:proofErr w:type="spellStart"/>
      <w:proofErr w:type="gramEnd"/>
      <w:r>
        <w:rPr>
          <w:rFonts w:ascii="Cambria" w:eastAsia="Cambria" w:hAnsi="Cambria" w:cs="Cambria"/>
          <w:i/>
        </w:rPr>
        <w:t>p</w:t>
      </w:r>
      <w:r>
        <w:rPr>
          <w:rFonts w:ascii="Cambria" w:eastAsia="Cambria" w:hAnsi="Cambria" w:cs="Cambria"/>
          <w:i/>
          <w:vertAlign w:val="subscript"/>
        </w:rPr>
        <w:t>a,i,t</w:t>
      </w:r>
      <w:proofErr w:type="spellEnd"/>
      <w:r>
        <w:rPr>
          <w:rFonts w:ascii="Cambria" w:eastAsia="Cambria" w:hAnsi="Cambria" w:cs="Cambria"/>
          <w:i/>
          <w:vertAlign w:val="subscript"/>
        </w:rPr>
        <w:t xml:space="preserve"> </w:t>
      </w:r>
      <w:r>
        <w:rPr>
          <w:rFonts w:ascii="Cambria" w:eastAsia="Cambria" w:hAnsi="Cambria" w:cs="Cambria"/>
        </w:rPr>
        <w:t xml:space="preserve">− </w:t>
      </w:r>
      <w:proofErr w:type="spellStart"/>
      <w:r>
        <w:rPr>
          <w:rFonts w:ascii="Cambria" w:eastAsia="Cambria" w:hAnsi="Cambria" w:cs="Cambria"/>
          <w:i/>
        </w:rPr>
        <w:t>p</w:t>
      </w:r>
      <w:r>
        <w:rPr>
          <w:rFonts w:ascii="Cambria" w:eastAsia="Cambria" w:hAnsi="Cambria" w:cs="Cambria"/>
          <w:i/>
          <w:vertAlign w:val="subscript"/>
        </w:rPr>
        <w:t>a,j,t</w:t>
      </w:r>
      <w:proofErr w:type="spellEnd"/>
      <w:r>
        <w:rPr>
          <w:rFonts w:ascii="Cambria" w:eastAsia="Cambria" w:hAnsi="Cambria" w:cs="Cambria"/>
        </w:rPr>
        <w:t>) = 0</w:t>
      </w:r>
      <w:r>
        <w:t>) this can then be expressed as:</w:t>
      </w:r>
    </w:p>
    <w:p w:rsidR="00006A4A" w:rsidRDefault="00006A4A" w:rsidP="00006A4A">
      <w:pPr>
        <w:spacing w:after="481" w:line="259" w:lineRule="auto"/>
        <w:ind w:left="133"/>
      </w:pPr>
      <w:r>
        <w:rPr>
          <w:noProof/>
          <w:lang w:eastAsia="en-IN"/>
        </w:rPr>
        <w:lastRenderedPageBreak/>
        <w:drawing>
          <wp:inline distT="0" distB="0" distL="0" distR="0" wp14:anchorId="160BA8AE" wp14:editId="5852DC2C">
            <wp:extent cx="5824728" cy="762000"/>
            <wp:effectExtent l="0" t="0" r="0" b="0"/>
            <wp:docPr id="76111" name="Picture 76111"/>
            <wp:cNvGraphicFramePr/>
            <a:graphic xmlns:a="http://schemas.openxmlformats.org/drawingml/2006/main">
              <a:graphicData uri="http://schemas.openxmlformats.org/drawingml/2006/picture">
                <pic:pic xmlns:pic="http://schemas.openxmlformats.org/drawingml/2006/picture">
                  <pic:nvPicPr>
                    <pic:cNvPr id="76111" name="Picture 76111"/>
                    <pic:cNvPicPr/>
                  </pic:nvPicPr>
                  <pic:blipFill>
                    <a:blip r:embed="rId13"/>
                    <a:stretch>
                      <a:fillRect/>
                    </a:stretch>
                  </pic:blipFill>
                  <pic:spPr>
                    <a:xfrm>
                      <a:off x="0" y="0"/>
                      <a:ext cx="5824728" cy="762000"/>
                    </a:xfrm>
                    <a:prstGeom prst="rect">
                      <a:avLst/>
                    </a:prstGeom>
                  </pic:spPr>
                </pic:pic>
              </a:graphicData>
            </a:graphic>
          </wp:inline>
        </w:drawing>
      </w:r>
    </w:p>
    <w:p w:rsidR="00006A4A" w:rsidRDefault="00006A4A" w:rsidP="00006A4A">
      <w:pPr>
        <w:spacing w:after="185" w:line="265" w:lineRule="auto"/>
        <w:ind w:left="10" w:right="92" w:hanging="10"/>
        <w:jc w:val="right"/>
      </w:pPr>
      <w:r>
        <w:t xml:space="preserve">The terms in parenthesis are the demographic variables I describe in </w:t>
      </w:r>
      <w:r>
        <w:rPr>
          <w:color w:val="00007F"/>
        </w:rPr>
        <w:t xml:space="preserve">Equation 4 </w:t>
      </w:r>
      <w:r>
        <w:t>in</w:t>
      </w:r>
    </w:p>
    <w:p w:rsidR="00006A4A" w:rsidRDefault="00006A4A" w:rsidP="00006A4A">
      <w:pPr>
        <w:spacing w:after="527"/>
        <w:ind w:left="-1" w:right="58"/>
      </w:pPr>
      <w:r>
        <w:t xml:space="preserve">the paper, which when used in this regression yield estimates of the polynomial fitting of the age specific coefficients. Notably in the original </w:t>
      </w:r>
      <w:r>
        <w:rPr>
          <w:color w:val="00007F"/>
        </w:rPr>
        <w:t xml:space="preserve">Fair and </w:t>
      </w:r>
      <w:proofErr w:type="spellStart"/>
      <w:r>
        <w:rPr>
          <w:color w:val="00007F"/>
        </w:rPr>
        <w:t>Dom´ınguez</w:t>
      </w:r>
      <w:proofErr w:type="spellEnd"/>
      <w:r>
        <w:rPr>
          <w:color w:val="00007F"/>
        </w:rPr>
        <w:t xml:space="preserve"> </w:t>
      </w:r>
      <w:r>
        <w:t>(</w:t>
      </w:r>
      <w:r>
        <w:rPr>
          <w:color w:val="00007F"/>
        </w:rPr>
        <w:t>1991</w:t>
      </w:r>
      <w:r>
        <w:t xml:space="preserve">) paper population shares are used, rather than changes in these shares. This creates a small difference as </w:t>
      </w:r>
      <w:proofErr w:type="gramStart"/>
      <w:r>
        <w:t>these sum</w:t>
      </w:r>
      <w:proofErr w:type="gramEnd"/>
      <w:r>
        <w:t xml:space="preserve"> to one, instead of zero, which means that the </w:t>
      </w:r>
      <w:r>
        <w:rPr>
          <w:rFonts w:ascii="Cambria" w:eastAsia="Cambria" w:hAnsi="Cambria" w:cs="Cambria"/>
          <w:i/>
        </w:rPr>
        <w:t>θ</w:t>
      </w:r>
      <w:r>
        <w:rPr>
          <w:rFonts w:ascii="Cambria" w:eastAsia="Cambria" w:hAnsi="Cambria" w:cs="Cambria"/>
          <w:vertAlign w:val="subscript"/>
        </w:rPr>
        <w:t xml:space="preserve">0 </w:t>
      </w:r>
      <w:r>
        <w:t xml:space="preserve">term does not drop out as it did here. The first term in this case is rather: </w:t>
      </w:r>
      <w:proofErr w:type="spellStart"/>
      <w:r>
        <w:rPr>
          <w:rFonts w:ascii="Cambria" w:eastAsia="Cambria" w:hAnsi="Cambria" w:cs="Cambria"/>
          <w:i/>
        </w:rPr>
        <w:t>θ</w:t>
      </w:r>
      <w:r>
        <w:rPr>
          <w:rFonts w:ascii="Cambria" w:eastAsia="Cambria" w:hAnsi="Cambria" w:cs="Cambria"/>
          <w:vertAlign w:val="subscript"/>
        </w:rPr>
        <w:t>0</w:t>
      </w:r>
      <w:proofErr w:type="spellEnd"/>
      <w:r>
        <w:rPr>
          <w:rFonts w:ascii="Cambria" w:eastAsia="Cambria" w:hAnsi="Cambria" w:cs="Cambria"/>
          <w:vertAlign w:val="subscript"/>
        </w:rPr>
        <w:t xml:space="preserve"> </w:t>
      </w:r>
      <w:r>
        <w:rPr>
          <w:rFonts w:ascii="Cambria" w:eastAsia="Cambria" w:hAnsi="Cambria" w:cs="Cambria"/>
          <w:sz w:val="37"/>
          <w:vertAlign w:val="superscript"/>
        </w:rPr>
        <w:t>P</w:t>
      </w:r>
      <w:r>
        <w:rPr>
          <w:rFonts w:ascii="Cambria" w:eastAsia="Cambria" w:hAnsi="Cambria" w:cs="Cambria"/>
          <w:i/>
          <w:vertAlign w:val="subscript"/>
        </w:rPr>
        <w:t xml:space="preserve">a </w:t>
      </w:r>
      <w:proofErr w:type="spellStart"/>
      <w:r>
        <w:rPr>
          <w:rFonts w:ascii="Cambria" w:eastAsia="Cambria" w:hAnsi="Cambria" w:cs="Cambria"/>
          <w:i/>
        </w:rPr>
        <w:t>p</w:t>
      </w:r>
      <w:r>
        <w:rPr>
          <w:rFonts w:ascii="Cambria" w:eastAsia="Cambria" w:hAnsi="Cambria" w:cs="Cambria"/>
          <w:i/>
          <w:vertAlign w:val="subscript"/>
        </w:rPr>
        <w:t>i,t</w:t>
      </w:r>
      <w:proofErr w:type="spellEnd"/>
      <w:r>
        <w:rPr>
          <w:rFonts w:ascii="Cambria" w:eastAsia="Cambria" w:hAnsi="Cambria" w:cs="Cambria"/>
          <w:i/>
          <w:vertAlign w:val="subscript"/>
        </w:rPr>
        <w:t xml:space="preserve"> </w:t>
      </w:r>
      <w:r>
        <w:rPr>
          <w:rFonts w:ascii="Cambria" w:eastAsia="Cambria" w:hAnsi="Cambria" w:cs="Cambria"/>
        </w:rPr>
        <w:t xml:space="preserve">= </w:t>
      </w:r>
      <w:proofErr w:type="spellStart"/>
      <w:r>
        <w:rPr>
          <w:rFonts w:ascii="Cambria" w:eastAsia="Cambria" w:hAnsi="Cambria" w:cs="Cambria"/>
          <w:i/>
        </w:rPr>
        <w:t>θ</w:t>
      </w:r>
      <w:r>
        <w:rPr>
          <w:rFonts w:ascii="Cambria" w:eastAsia="Cambria" w:hAnsi="Cambria" w:cs="Cambria"/>
          <w:vertAlign w:val="subscript"/>
        </w:rPr>
        <w:t>0</w:t>
      </w:r>
      <w:proofErr w:type="spellEnd"/>
      <w:r>
        <w:t xml:space="preserve">, which simply requires one additional step of substituting the expression for </w:t>
      </w:r>
      <w:r>
        <w:rPr>
          <w:rFonts w:ascii="Cambria" w:eastAsia="Cambria" w:hAnsi="Cambria" w:cs="Cambria"/>
          <w:i/>
        </w:rPr>
        <w:t>θ</w:t>
      </w:r>
      <w:r>
        <w:rPr>
          <w:rFonts w:ascii="Cambria" w:eastAsia="Cambria" w:hAnsi="Cambria" w:cs="Cambria"/>
          <w:vertAlign w:val="subscript"/>
        </w:rPr>
        <w:t xml:space="preserve">0 </w:t>
      </w:r>
      <w:r>
        <w:t xml:space="preserve">in </w:t>
      </w:r>
      <w:r>
        <w:rPr>
          <w:color w:val="00007F"/>
        </w:rPr>
        <w:t xml:space="preserve">Equation 8 </w:t>
      </w:r>
      <w:r>
        <w:t xml:space="preserve">into </w:t>
      </w:r>
      <w:r>
        <w:rPr>
          <w:color w:val="00007F"/>
        </w:rPr>
        <w:t xml:space="preserve">Equation 7 </w:t>
      </w:r>
      <w:r>
        <w:t>and combining like terms. The resulting demographic variables are each simply adjusted by a constant so ultimately this is not a critical distinction.</w:t>
      </w:r>
    </w:p>
    <w:p w:rsidR="00006A4A" w:rsidRDefault="00006A4A" w:rsidP="00006A4A">
      <w:pPr>
        <w:tabs>
          <w:tab w:val="center" w:pos="456"/>
          <w:tab w:val="center" w:pos="4990"/>
        </w:tabs>
        <w:spacing w:after="268" w:line="259" w:lineRule="auto"/>
      </w:pPr>
      <w:r>
        <w:tab/>
      </w:r>
      <w:r>
        <w:rPr>
          <w:sz w:val="29"/>
        </w:rPr>
        <w:t>C.</w:t>
      </w:r>
      <w:r>
        <w:rPr>
          <w:sz w:val="29"/>
        </w:rPr>
        <w:tab/>
        <w:t>F</w:t>
      </w:r>
      <w:r>
        <w:rPr>
          <w:sz w:val="23"/>
        </w:rPr>
        <w:t xml:space="preserve">URTHER </w:t>
      </w:r>
      <w:r>
        <w:rPr>
          <w:sz w:val="29"/>
        </w:rPr>
        <w:t>R</w:t>
      </w:r>
      <w:r>
        <w:rPr>
          <w:sz w:val="23"/>
        </w:rPr>
        <w:t xml:space="preserve">ESULTS AND </w:t>
      </w:r>
      <w:r>
        <w:rPr>
          <w:sz w:val="29"/>
        </w:rPr>
        <w:t>Q</w:t>
      </w:r>
      <w:r>
        <w:rPr>
          <w:sz w:val="23"/>
        </w:rPr>
        <w:t xml:space="preserve">UANTITATIVE </w:t>
      </w:r>
      <w:r>
        <w:rPr>
          <w:sz w:val="29"/>
        </w:rPr>
        <w:t>A</w:t>
      </w:r>
      <w:r>
        <w:rPr>
          <w:sz w:val="23"/>
        </w:rPr>
        <w:t xml:space="preserve">NALYSIS </w:t>
      </w:r>
      <w:r>
        <w:rPr>
          <w:sz w:val="29"/>
        </w:rPr>
        <w:t>U</w:t>
      </w:r>
      <w:r>
        <w:rPr>
          <w:sz w:val="23"/>
        </w:rPr>
        <w:t xml:space="preserve">SING </w:t>
      </w:r>
      <w:r>
        <w:rPr>
          <w:sz w:val="29"/>
        </w:rPr>
        <w:t>T</w:t>
      </w:r>
      <w:r>
        <w:rPr>
          <w:sz w:val="23"/>
        </w:rPr>
        <w:t>RADE</w:t>
      </w:r>
    </w:p>
    <w:p w:rsidR="00006A4A" w:rsidRDefault="00006A4A" w:rsidP="00006A4A">
      <w:pPr>
        <w:pStyle w:val="Heading1"/>
      </w:pPr>
      <w:r>
        <w:rPr>
          <w:sz w:val="29"/>
        </w:rPr>
        <w:t>B</w:t>
      </w:r>
      <w:r>
        <w:t>ALANCE</w:t>
      </w:r>
    </w:p>
    <w:p w:rsidR="00006A4A" w:rsidRDefault="00006A4A" w:rsidP="00006A4A">
      <w:pPr>
        <w:spacing w:after="14"/>
        <w:ind w:left="-1" w:right="58"/>
      </w:pPr>
      <w:r>
        <w:t xml:space="preserve">In this appendix I document additional results related to the trade balance estimation in </w:t>
      </w:r>
      <w:r>
        <w:rPr>
          <w:color w:val="00007F"/>
        </w:rPr>
        <w:t>section 4</w:t>
      </w:r>
      <w:r>
        <w:t>. Because the model fit is much weaker than traditional gravity estimates, and the preferred PPML estimators are not usable, these estimates should be taken with some caution. However, they provide useful context and support the general implications of estimates using those more robust estimates of bilateral exports.</w:t>
      </w:r>
    </w:p>
    <w:p w:rsidR="00006A4A" w:rsidRDefault="00006A4A" w:rsidP="00006A4A">
      <w:pPr>
        <w:spacing w:after="0"/>
        <w:ind w:left="-2" w:right="58" w:firstLine="351"/>
      </w:pPr>
      <w:r>
        <w:t xml:space="preserve">Here the age specific coefficients have a similar shape to </w:t>
      </w:r>
      <w:r>
        <w:rPr>
          <w:color w:val="00007F"/>
        </w:rPr>
        <w:t>Figure 3</w:t>
      </w:r>
      <w:r>
        <w:t xml:space="preserve">, but with a reduction in the size of coefficients earlier in working life. There are now relatively larger negative estimated impacts of both young dependents, with coefficients remaining close to zero throughout late career and retirement. While very young economies are predicted to have strong negative pressure on their trade balances, those with large shares of young workers are estimated to have positive demographic pressure toward trade surpluses, declining as they move to middle and old age. Like the results using traditional gravity estimates in </w:t>
      </w:r>
      <w:r>
        <w:rPr>
          <w:color w:val="00007F"/>
        </w:rPr>
        <w:t>section 3</w:t>
      </w:r>
      <w:r>
        <w:t>, the polynomial controls for the full age distribution suggest that working age shares likely capture much of the relevant variation here.</w:t>
      </w:r>
    </w:p>
    <w:p w:rsidR="00006A4A" w:rsidRDefault="00006A4A" w:rsidP="00006A4A">
      <w:pPr>
        <w:spacing w:after="185" w:line="265" w:lineRule="auto"/>
        <w:ind w:left="10" w:right="92" w:hanging="10"/>
        <w:jc w:val="right"/>
      </w:pPr>
      <w:r>
        <w:t>The effect of demographics on trade balance appears to be somewhat skewed toward</w:t>
      </w:r>
    </w:p>
    <w:p w:rsidR="00006A4A" w:rsidRDefault="00006A4A" w:rsidP="00006A4A">
      <w:pPr>
        <w:spacing w:after="98" w:line="265" w:lineRule="auto"/>
        <w:ind w:left="10" w:right="93" w:hanging="10"/>
        <w:jc w:val="center"/>
      </w:pPr>
      <w:r>
        <w:rPr>
          <w:b/>
        </w:rPr>
        <w:t xml:space="preserve">Figure 6: </w:t>
      </w:r>
      <w:r>
        <w:rPr>
          <w:i/>
        </w:rPr>
        <w:t>Age Specific Coefficients</w:t>
      </w:r>
    </w:p>
    <w:p w:rsidR="00006A4A" w:rsidRDefault="00006A4A" w:rsidP="00006A4A">
      <w:pPr>
        <w:spacing w:after="125" w:line="259" w:lineRule="auto"/>
        <w:ind w:left="1165"/>
      </w:pPr>
      <w:r>
        <w:rPr>
          <w:noProof/>
          <w:lang w:eastAsia="en-IN"/>
        </w:rPr>
        <w:lastRenderedPageBreak/>
        <w:drawing>
          <wp:inline distT="0" distB="0" distL="0" distR="0" wp14:anchorId="61279116" wp14:editId="45F5F35A">
            <wp:extent cx="4501896" cy="2727960"/>
            <wp:effectExtent l="0" t="0" r="0" b="0"/>
            <wp:docPr id="76112" name="Picture 76112"/>
            <wp:cNvGraphicFramePr/>
            <a:graphic xmlns:a="http://schemas.openxmlformats.org/drawingml/2006/main">
              <a:graphicData uri="http://schemas.openxmlformats.org/drawingml/2006/picture">
                <pic:pic xmlns:pic="http://schemas.openxmlformats.org/drawingml/2006/picture">
                  <pic:nvPicPr>
                    <pic:cNvPr id="76112" name="Picture 76112"/>
                    <pic:cNvPicPr/>
                  </pic:nvPicPr>
                  <pic:blipFill>
                    <a:blip r:embed="rId14"/>
                    <a:stretch>
                      <a:fillRect/>
                    </a:stretch>
                  </pic:blipFill>
                  <pic:spPr>
                    <a:xfrm>
                      <a:off x="0" y="0"/>
                      <a:ext cx="4501896" cy="2727960"/>
                    </a:xfrm>
                    <a:prstGeom prst="rect">
                      <a:avLst/>
                    </a:prstGeom>
                  </pic:spPr>
                </pic:pic>
              </a:graphicData>
            </a:graphic>
          </wp:inline>
        </w:drawing>
      </w:r>
    </w:p>
    <w:tbl>
      <w:tblPr>
        <w:tblStyle w:val="TableGrid"/>
        <w:tblW w:w="6631" w:type="dxa"/>
        <w:tblInd w:w="1548" w:type="dxa"/>
        <w:tblCellMar>
          <w:top w:w="99" w:type="dxa"/>
          <w:left w:w="76" w:type="dxa"/>
          <w:right w:w="4" w:type="dxa"/>
        </w:tblCellMar>
        <w:tblLook w:val="04A0" w:firstRow="1" w:lastRow="0" w:firstColumn="1" w:lastColumn="0" w:noHBand="0" w:noVBand="1"/>
      </w:tblPr>
      <w:tblGrid>
        <w:gridCol w:w="6631"/>
      </w:tblGrid>
      <w:tr w:rsidR="00006A4A" w:rsidTr="006E3788">
        <w:trPr>
          <w:trHeight w:val="606"/>
        </w:trPr>
        <w:tc>
          <w:tcPr>
            <w:tcW w:w="6631" w:type="dxa"/>
            <w:tcBorders>
              <w:top w:val="single" w:sz="4" w:space="0" w:color="000000"/>
              <w:left w:val="single" w:sz="4" w:space="0" w:color="000000"/>
              <w:bottom w:val="single" w:sz="4" w:space="0" w:color="000000"/>
              <w:right w:val="single" w:sz="4" w:space="0" w:color="000000"/>
            </w:tcBorders>
          </w:tcPr>
          <w:p w:rsidR="00006A4A" w:rsidRDefault="00006A4A" w:rsidP="006E3788">
            <w:pPr>
              <w:tabs>
                <w:tab w:val="center" w:pos="1846"/>
                <w:tab w:val="right" w:pos="6551"/>
              </w:tabs>
              <w:spacing w:after="36" w:line="259" w:lineRule="auto"/>
            </w:pPr>
            <w:r>
              <w:rPr>
                <w:noProof/>
                <w:lang w:eastAsia="en-IN"/>
              </w:rPr>
              <mc:AlternateContent>
                <mc:Choice Requires="wpg">
                  <w:drawing>
                    <wp:anchor distT="0" distB="0" distL="114300" distR="114300" simplePos="0" relativeHeight="251659264" behindDoc="0" locked="0" layoutInCell="1" allowOverlap="1" wp14:anchorId="29C8DBA9" wp14:editId="199FB9C3">
                      <wp:simplePos x="0" y="0"/>
                      <wp:positionH relativeFrom="column">
                        <wp:posOffset>48422</wp:posOffset>
                      </wp:positionH>
                      <wp:positionV relativeFrom="paragraph">
                        <wp:posOffset>18916</wp:posOffset>
                      </wp:positionV>
                      <wp:extent cx="420849" cy="226256"/>
                      <wp:effectExtent l="0" t="0" r="0" b="0"/>
                      <wp:wrapSquare wrapText="bothSides"/>
                      <wp:docPr id="66717" name="Group 66717"/>
                      <wp:cNvGraphicFramePr/>
                      <a:graphic xmlns:a="http://schemas.openxmlformats.org/drawingml/2006/main">
                        <a:graphicData uri="http://schemas.microsoft.com/office/word/2010/wordprocessingGroup">
                          <wpg:wgp>
                            <wpg:cNvGrpSpPr/>
                            <wpg:grpSpPr>
                              <a:xfrm>
                                <a:off x="0" y="0"/>
                                <a:ext cx="420849" cy="226256"/>
                                <a:chOff x="0" y="0"/>
                                <a:chExt cx="420849" cy="226256"/>
                              </a:xfrm>
                            </wpg:grpSpPr>
                            <wps:wsp>
                              <wps:cNvPr id="6800" name="Shape 6800"/>
                              <wps:cNvSpPr/>
                              <wps:spPr>
                                <a:xfrm>
                                  <a:off x="0" y="26461"/>
                                  <a:ext cx="420849" cy="0"/>
                                </a:xfrm>
                                <a:custGeom>
                                  <a:avLst/>
                                  <a:gdLst/>
                                  <a:ahLst/>
                                  <a:cxnLst/>
                                  <a:rect l="0" t="0" r="0" b="0"/>
                                  <a:pathLst>
                                    <a:path w="420849">
                                      <a:moveTo>
                                        <a:pt x="0" y="0"/>
                                      </a:moveTo>
                                      <a:lnTo>
                                        <a:pt x="420849" y="0"/>
                                      </a:lnTo>
                                    </a:path>
                                  </a:pathLst>
                                </a:custGeom>
                                <a:ln w="10379" cap="flat">
                                  <a:miter lim="127000"/>
                                </a:ln>
                              </wps:spPr>
                              <wps:style>
                                <a:lnRef idx="1">
                                  <a:srgbClr val="ADD8E6"/>
                                </a:lnRef>
                                <a:fillRef idx="0">
                                  <a:srgbClr val="000000">
                                    <a:alpha val="0"/>
                                  </a:srgbClr>
                                </a:fillRef>
                                <a:effectRef idx="0">
                                  <a:scrgbClr r="0" g="0" b="0"/>
                                </a:effectRef>
                                <a:fontRef idx="none"/>
                              </wps:style>
                              <wps:bodyPr/>
                            </wps:wsp>
                            <wps:wsp>
                              <wps:cNvPr id="6801" name="Shape 6801"/>
                              <wps:cNvSpPr/>
                              <wps:spPr>
                                <a:xfrm>
                                  <a:off x="0" y="0"/>
                                  <a:ext cx="0" cy="52922"/>
                                </a:xfrm>
                                <a:custGeom>
                                  <a:avLst/>
                                  <a:gdLst/>
                                  <a:ahLst/>
                                  <a:cxnLst/>
                                  <a:rect l="0" t="0" r="0" b="0"/>
                                  <a:pathLst>
                                    <a:path h="52922">
                                      <a:moveTo>
                                        <a:pt x="0" y="52922"/>
                                      </a:moveTo>
                                      <a:lnTo>
                                        <a:pt x="0" y="0"/>
                                      </a:lnTo>
                                    </a:path>
                                  </a:pathLst>
                                </a:custGeom>
                                <a:ln w="10379" cap="flat">
                                  <a:miter lim="127000"/>
                                </a:ln>
                              </wps:spPr>
                              <wps:style>
                                <a:lnRef idx="1">
                                  <a:srgbClr val="ADD8E6"/>
                                </a:lnRef>
                                <a:fillRef idx="0">
                                  <a:srgbClr val="000000">
                                    <a:alpha val="0"/>
                                  </a:srgbClr>
                                </a:fillRef>
                                <a:effectRef idx="0">
                                  <a:scrgbClr r="0" g="0" b="0"/>
                                </a:effectRef>
                                <a:fontRef idx="none"/>
                              </wps:style>
                              <wps:bodyPr/>
                            </wps:wsp>
                            <wps:wsp>
                              <wps:cNvPr id="6802" name="Shape 6802"/>
                              <wps:cNvSpPr/>
                              <wps:spPr>
                                <a:xfrm>
                                  <a:off x="420849" y="0"/>
                                  <a:ext cx="0" cy="52922"/>
                                </a:xfrm>
                                <a:custGeom>
                                  <a:avLst/>
                                  <a:gdLst/>
                                  <a:ahLst/>
                                  <a:cxnLst/>
                                  <a:rect l="0" t="0" r="0" b="0"/>
                                  <a:pathLst>
                                    <a:path h="52922">
                                      <a:moveTo>
                                        <a:pt x="0" y="52922"/>
                                      </a:moveTo>
                                      <a:lnTo>
                                        <a:pt x="0" y="0"/>
                                      </a:lnTo>
                                    </a:path>
                                  </a:pathLst>
                                </a:custGeom>
                                <a:ln w="10379" cap="flat">
                                  <a:miter lim="127000"/>
                                </a:ln>
                              </wps:spPr>
                              <wps:style>
                                <a:lnRef idx="1">
                                  <a:srgbClr val="ADD8E6"/>
                                </a:lnRef>
                                <a:fillRef idx="0">
                                  <a:srgbClr val="000000">
                                    <a:alpha val="0"/>
                                  </a:srgbClr>
                                </a:fillRef>
                                <a:effectRef idx="0">
                                  <a:scrgbClr r="0" g="0" b="0"/>
                                </a:effectRef>
                                <a:fontRef idx="none"/>
                              </wps:style>
                              <wps:bodyPr/>
                            </wps:wsp>
                            <wps:wsp>
                              <wps:cNvPr id="6806" name="Shape 6806"/>
                              <wps:cNvSpPr/>
                              <wps:spPr>
                                <a:xfrm>
                                  <a:off x="178835" y="162928"/>
                                  <a:ext cx="63328" cy="63328"/>
                                </a:xfrm>
                                <a:custGeom>
                                  <a:avLst/>
                                  <a:gdLst/>
                                  <a:ahLst/>
                                  <a:cxnLst/>
                                  <a:rect l="0" t="0" r="0" b="0"/>
                                  <a:pathLst>
                                    <a:path w="63328" h="63328">
                                      <a:moveTo>
                                        <a:pt x="31664" y="0"/>
                                      </a:moveTo>
                                      <a:cubicBezTo>
                                        <a:pt x="49143" y="0"/>
                                        <a:pt x="63328" y="14186"/>
                                        <a:pt x="63328" y="31664"/>
                                      </a:cubicBezTo>
                                      <a:cubicBezTo>
                                        <a:pt x="63328" y="49143"/>
                                        <a:pt x="49143" y="63328"/>
                                        <a:pt x="31664" y="63328"/>
                                      </a:cubicBezTo>
                                      <a:cubicBezTo>
                                        <a:pt x="14185" y="63328"/>
                                        <a:pt x="0" y="49143"/>
                                        <a:pt x="0" y="31664"/>
                                      </a:cubicBezTo>
                                      <a:cubicBezTo>
                                        <a:pt x="0" y="14186"/>
                                        <a:pt x="14185" y="0"/>
                                        <a:pt x="31664" y="0"/>
                                      </a:cubicBezTo>
                                      <a:close/>
                                    </a:path>
                                  </a:pathLst>
                                </a:custGeom>
                                <a:ln w="0" cap="flat">
                                  <a:miter lim="127000"/>
                                </a:ln>
                              </wps:spPr>
                              <wps:style>
                                <a:lnRef idx="0">
                                  <a:srgbClr val="000000">
                                    <a:alpha val="0"/>
                                  </a:srgbClr>
                                </a:lnRef>
                                <a:fillRef idx="1">
                                  <a:srgbClr val="0080FF"/>
                                </a:fillRef>
                                <a:effectRef idx="0">
                                  <a:scrgbClr r="0" g="0" b="0"/>
                                </a:effectRef>
                                <a:fontRef idx="none"/>
                              </wps:style>
                              <wps:bodyPr/>
                            </wps:wsp>
                            <wps:wsp>
                              <wps:cNvPr id="6807" name="Shape 6807"/>
                              <wps:cNvSpPr/>
                              <wps:spPr>
                                <a:xfrm>
                                  <a:off x="184024" y="168118"/>
                                  <a:ext cx="52949" cy="52949"/>
                                </a:xfrm>
                                <a:custGeom>
                                  <a:avLst/>
                                  <a:gdLst/>
                                  <a:ahLst/>
                                  <a:cxnLst/>
                                  <a:rect l="0" t="0" r="0" b="0"/>
                                  <a:pathLst>
                                    <a:path w="52949" h="52949">
                                      <a:moveTo>
                                        <a:pt x="0" y="26475"/>
                                      </a:moveTo>
                                      <a:cubicBezTo>
                                        <a:pt x="0" y="11861"/>
                                        <a:pt x="11861" y="0"/>
                                        <a:pt x="26475" y="0"/>
                                      </a:cubicBezTo>
                                      <a:cubicBezTo>
                                        <a:pt x="41089" y="0"/>
                                        <a:pt x="52949" y="11861"/>
                                        <a:pt x="52949" y="26475"/>
                                      </a:cubicBezTo>
                                      <a:cubicBezTo>
                                        <a:pt x="52949" y="41089"/>
                                        <a:pt x="41089" y="52949"/>
                                        <a:pt x="26475" y="52949"/>
                                      </a:cubicBezTo>
                                      <a:cubicBezTo>
                                        <a:pt x="11861" y="52949"/>
                                        <a:pt x="0" y="41089"/>
                                        <a:pt x="0" y="26475"/>
                                      </a:cubicBezTo>
                                    </a:path>
                                  </a:pathLst>
                                </a:custGeom>
                                <a:ln w="10379" cap="flat">
                                  <a:miter lim="127000"/>
                                </a:ln>
                              </wps:spPr>
                              <wps:style>
                                <a:lnRef idx="1">
                                  <a:srgbClr val="0080FF"/>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08A81C" id="Group 66717" o:spid="_x0000_s1026" style="position:absolute;margin-left:3.8pt;margin-top:1.5pt;width:33.15pt;height:17.8pt;z-index:251659264" coordsize="420849,22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6tqRQQAAEkVAAAOAAAAZHJzL2Uyb0RvYy54bWzsWFlv20YQfi+Q/0DwPeYhmqIFS0FSx34p&#10;2qBJf8B6tRQJkFxil5bk/vrOzh68VEOJE6NF/CLtNefOfDPL63fHuvL2TMiSN2s/ugh9jzWUb8tm&#10;t/b/+nL7NvM92ZFmSyresLX/yKT/bvPml+tDu2IxL3i1ZcIDJo1cHdq1X3RduwoCSQtWE3nBW9bA&#10;Zs5FTTqYil2wFeQA3OsqiMMwDQ5cbFvBKZMSVm/0pr9B/nnOaPdHnkvWedXaB906/BX4e69+g801&#10;We0EaYuSGjXIN2hRk7IBoY7VDemI9yDKGau6pIJLnncXlNcBz/OSMrQBrInCiTV3gj+0aMtuddi1&#10;zk3g2omfvpkt/X3/SXjldu2n6TJa+l5DargmlOzpJXDRod2t4OSdaD+3n4RZ2OmZsvqYi1r9gz3e&#10;EZ376JzLjp1HYTGJwyy58j0KW3Gcxpepdj4t4IZmVLT4+CRdYIUGSjenyqGFMJK9p+TzPPW5IC3D&#10;C5DKfuupLIRQ0o7CE16qVtAteM45Sa4k+OtfPRSnSRppL5zyErJ0hpIVfZDdHePoabL/TXY6eLd2&#10;RAo7osfGDgWkwJPB35JO0Skl1dA7uKtSSzXfsy8cN7vJJYFm/W7VDE/Zu7ZRAEf1ARgoIZtrM0DB&#10;MB6aVjVKhyhcLFW0EACFvCIdZldddoAWVVnDfrwMtdOROXBUd6/djaPusWJK76r5k+UQ4RCCETKR&#10;Ynf/ayW8PQFMeH9zk33ESEQ2cFTR5GVVOapwTgWSlXB1lFRtQTQve19GABppOKmTDOFoypYabTQm&#10;QWZDaFlkApUcEarFm87RN4CnKna03dpaZfg93z5ijuIGJINK35fJimiWFRjdSjxkz7lZYUDZZgT4&#10;Q0HGZXwVx2ivzfxx1Py4hCiscHUFfcS3g3wYKtefGOcE2PGaDj9VOsSzdMAAPjsdpigKaGBq4mtO&#10;vJYI3bz+30pEOssJLL5n50S0zLLFJUJplEJJyMbtU7pYwBIWDD1UBfKlCwZ0L0YPKB16dKp0LKI0&#10;TUZFoS8d9OG+pB/Y36Om6ipKFv156KSwAhlRUFuiJMpMUz3d0rK0M8a8x7MpXYIygc5K0wuqkjn/&#10;2q3eHrcFrh/zH8+0NKW2vlFHZ1nqmjlTQi9/nU2aZuaiXrhpO7ROvS22qRtrTisumXbnmf2sguzv&#10;2cs+qyvFnhg7ymGje6I9DsMsvL01bddPVbzdU9i98JbKDecDVZaEsU7vKM2iaAJU0DHax7Ae6mCy&#10;D+nhe+jHdbYAVEYP3eOCRqeASqcOPFaXlyYSngYqk2oARuZxa/IcF1wTbHNc83XLZ0FGEoUZPA5t&#10;P21ZGWMUFE6F91tDOyZJfQJ0ezotcwiFTgl9aLDV2+S2zrJLq63scnTWNu3UmRLzuxnaBELPhKcX&#10;em6P8OQ0Cj0L2P4TEIWfpOB7HbYe5tui+iA4nOO7vf8CuvkHAAD//wMAUEsDBBQABgAIAAAAIQC6&#10;yeqc3AAAAAUBAAAPAAAAZHJzL2Rvd25yZXYueG1sTI9BS8NAFITvgv9heYI3u4nBtE2zKaWopyLY&#10;CuJtm31NQrNvQ3abpP/e58kehxlmvsnXk23FgL1vHCmIZxEIpNKZhioFX4e3pwUIHzQZ3TpCBVf0&#10;sC7u73KdGTfSJw77UAkuIZ9pBXUIXSalL2u02s9ch8TeyfVWB5Z9JU2vRy63rXyOolRa3RAv1LrD&#10;bY3leX+xCt5HPW6S+HXYnU/b68/h5eN7F6NSjw/TZgUi4BT+w/CHz+hQMNPRXch40SqYpxxUkPAh&#10;dufJEsSR5SIFWeTylr74BQAA//8DAFBLAQItABQABgAIAAAAIQC2gziS/gAAAOEBAAATAAAAAAAA&#10;AAAAAAAAAAAAAABbQ29udGVudF9UeXBlc10ueG1sUEsBAi0AFAAGAAgAAAAhADj9If/WAAAAlAEA&#10;AAsAAAAAAAAAAAAAAAAALwEAAF9yZWxzLy5yZWxzUEsBAi0AFAAGAAgAAAAhAM4Lq2pFBAAASRUA&#10;AA4AAAAAAAAAAAAAAAAALgIAAGRycy9lMm9Eb2MueG1sUEsBAi0AFAAGAAgAAAAhALrJ6pzcAAAA&#10;BQEAAA8AAAAAAAAAAAAAAAAAnwYAAGRycy9kb3ducmV2LnhtbFBLBQYAAAAABAAEAPMAAACoBwAA&#10;AAA=&#10;">
                      <v:shape id="Shape 6800" o:spid="_x0000_s1027" style="position:absolute;top:26461;width:420849;height:0;visibility:visible;mso-wrap-style:square;v-text-anchor:top" coordsize="420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z87wwAAAN0AAAAPAAAAZHJzL2Rvd25yZXYueG1sRI/BagIx&#10;EIbvhb5DmIK3mrQUla1RpEUqenJb8DpsppvFzWTZxHV9e+dQ6HH45//mm+V6DK0aqE9NZAsvUwOK&#10;uIqu4drCz/f2eQEqZWSHbWSycKME69XjwxILF698pKHMtRIIpwIt+Jy7QutUeQqYprEjluw39gGz&#10;jH2tXY9XgYdWvxoz0wEblgseO/rwVJ3LSxCN/deJDunApTOfb/FU4jD3e2snT+PmHVSmMf8v/7V3&#10;zsJsYcRfvhEE6NUdAAD//wMAUEsBAi0AFAAGAAgAAAAhANvh9svuAAAAhQEAABMAAAAAAAAAAAAA&#10;AAAAAAAAAFtDb250ZW50X1R5cGVzXS54bWxQSwECLQAUAAYACAAAACEAWvQsW78AAAAVAQAACwAA&#10;AAAAAAAAAAAAAAAfAQAAX3JlbHMvLnJlbHNQSwECLQAUAAYACAAAACEAsTs/O8MAAADdAAAADwAA&#10;AAAAAAAAAAAAAAAHAgAAZHJzL2Rvd25yZXYueG1sUEsFBgAAAAADAAMAtwAAAPcCAAAAAA==&#10;" path="m,l420849,e" filled="f" strokecolor="#a8d4e2" strokeweight=".28831mm">
                        <v:stroke miterlimit="83231f" joinstyle="miter"/>
                        <v:path arrowok="t" textboxrect="0,0,420849,0"/>
                      </v:shape>
                      <v:shape id="Shape 6801" o:spid="_x0000_s1028" style="position:absolute;width:0;height:52922;visibility:visible;mso-wrap-style:square;v-text-anchor:top" coordsize="0,5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b5xwAAAN0AAAAPAAAAZHJzL2Rvd25yZXYueG1sRI9BS8NA&#10;FITvgv9heQUv0m6iUELabSnSgAEvVhF7e2Rfs6HZt9vs2sR/7wqCx2FmvmHW28n24kpD6BwryBcZ&#10;COLG6Y5bBe9v1bwAESKyxt4xKfimANvN7c0aS+1GfqXrIbYiQTiUqMDE6EspQ2PIYlg4T5y8kxss&#10;xiSHVuoBxwS3vXzIsqW02HFaMOjpyVBzPnxZBbv69PFYX8559Vn7/b2pji/96JW6m027FYhIU/wP&#10;/7WftYJlkeXw+yY9Abn5AQAA//8DAFBLAQItABQABgAIAAAAIQDb4fbL7gAAAIUBAAATAAAAAAAA&#10;AAAAAAAAAAAAAABbQ29udGVudF9UeXBlc10ueG1sUEsBAi0AFAAGAAgAAAAhAFr0LFu/AAAAFQEA&#10;AAsAAAAAAAAAAAAAAAAAHwEAAF9yZWxzLy5yZWxzUEsBAi0AFAAGAAgAAAAhAB4HJvnHAAAA3QAA&#10;AA8AAAAAAAAAAAAAAAAABwIAAGRycy9kb3ducmV2LnhtbFBLBQYAAAAAAwADALcAAAD7AgAAAAA=&#10;" path="m,52922l,e" filled="f" strokecolor="#a8d4e2" strokeweight=".28831mm">
                        <v:stroke miterlimit="83231f" joinstyle="miter"/>
                        <v:path arrowok="t" textboxrect="0,0,0,52922"/>
                      </v:shape>
                      <v:shape id="Shape 6802" o:spid="_x0000_s1029" style="position:absolute;left:420849;width:0;height:52922;visibility:visible;mso-wrap-style:square;v-text-anchor:top" coordsize="0,5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biOxwAAAN0AAAAPAAAAZHJzL2Rvd25yZXYueG1sRI9BawIx&#10;FITvhf6H8Aq9FM1qQWQ1ihQXutCLWoreHpvnZnHzkm6iu/33jVDocZiZb5jlerCtuFEXGscKJuMM&#10;BHHldMO1gs9DMZqDCBFZY+uYFPxQgPXq8WGJuXY97+i2j7VIEA45KjAx+lzKUBmyGMbOEyfv7DqL&#10;McmulrrDPsFtK6dZNpMWG04LBj29Gaou+6tVsCnPX6/l92VSHEu/fTHF6aPtvVLPT8NmASLSEP/D&#10;f+13rWA2z6Zwf5OegFz9AgAA//8DAFBLAQItABQABgAIAAAAIQDb4fbL7gAAAIUBAAATAAAAAAAA&#10;AAAAAAAAAAAAAABbQ29udGVudF9UeXBlc10ueG1sUEsBAi0AFAAGAAgAAAAhAFr0LFu/AAAAFQEA&#10;AAsAAAAAAAAAAAAAAAAAHwEAAF9yZWxzLy5yZWxzUEsBAi0AFAAGAAgAAAAhAO7VuI7HAAAA3QAA&#10;AA8AAAAAAAAAAAAAAAAABwIAAGRycy9kb3ducmV2LnhtbFBLBQYAAAAAAwADALcAAAD7AgAAAAA=&#10;" path="m,52922l,e" filled="f" strokecolor="#a8d4e2" strokeweight=".28831mm">
                        <v:stroke miterlimit="83231f" joinstyle="miter"/>
                        <v:path arrowok="t" textboxrect="0,0,0,52922"/>
                      </v:shape>
                      <v:shape id="Shape 6806" o:spid="_x0000_s1030" style="position:absolute;left:178835;top:162928;width:63328;height:63328;visibility:visible;mso-wrap-style:square;v-text-anchor:top" coordsize="63328,6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6vZxQAAAN0AAAAPAAAAZHJzL2Rvd25yZXYueG1sRI9fa8Iw&#10;FMXfhX2HcAe+aboySumMxW1s+CTTCatvl+baFpubkmRav70ZCHs8nD8/zqIcTS/O5HxnWcHTPAFB&#10;XFvdcaNg//0xy0H4gKyxt0wKruShXD5MFlhoe+EtnXehEXGEfYEK2hCGQkpft2TQz+1AHL2jdQZD&#10;lK6R2uEljptepkmSSYMdR0KLA721VJ92vyZCXP7Dn/1hHzZf9pmr1yp931RKTR/H1QuIQGP4D9/b&#10;a60gy5MM/t7EJyCXNwAAAP//AwBQSwECLQAUAAYACAAAACEA2+H2y+4AAACFAQAAEwAAAAAAAAAA&#10;AAAAAAAAAAAAW0NvbnRlbnRfVHlwZXNdLnhtbFBLAQItABQABgAIAAAAIQBa9CxbvwAAABUBAAAL&#10;AAAAAAAAAAAAAAAAAB8BAABfcmVscy8ucmVsc1BLAQItABQABgAIAAAAIQCAS6vZxQAAAN0AAAAP&#10;AAAAAAAAAAAAAAAAAAcCAABkcnMvZG93bnJldi54bWxQSwUGAAAAAAMAAwC3AAAA+QIAAAAA&#10;" path="m31664,c49143,,63328,14186,63328,31664v,17479,-14185,31664,-31664,31664c14185,63328,,49143,,31664,,14186,14185,,31664,xe" fillcolor="#0080ff" stroked="f" strokeweight="0">
                        <v:stroke miterlimit="83231f" joinstyle="miter"/>
                        <v:path arrowok="t" textboxrect="0,0,63328,63328"/>
                      </v:shape>
                      <v:shape id="Shape 6807" o:spid="_x0000_s1031" style="position:absolute;left:184024;top:168118;width:52949;height:52949;visibility:visible;mso-wrap-style:square;v-text-anchor:top" coordsize="52949,52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xxQAAAN0AAAAPAAAAZHJzL2Rvd25yZXYueG1sRI9Ba8JA&#10;FITvBf/D8gpeSt1YMNXoKpIieBHR1vtL9jUJZt+G3VXjv3eFQo/DzHzDLFa9acWVnG8sKxiPEhDE&#10;pdUNVwp+vjfvUxA+IGtsLZOCO3lYLQcvC8y0vfGBrsdQiQhhn6GCOoQuk9KXNRn0I9sRR+/XOoMh&#10;SldJ7fAW4aaVH0mSSoMNx4UaO8prKs/Hi1HwNivSSb47pejPeTGTbl989Xulhq/9eg4iUB/+w3/t&#10;rVaQTpNPeL6JT0AuHwAAAP//AwBQSwECLQAUAAYACAAAACEA2+H2y+4AAACFAQAAEwAAAAAAAAAA&#10;AAAAAAAAAAAAW0NvbnRlbnRfVHlwZXNdLnhtbFBLAQItABQABgAIAAAAIQBa9CxbvwAAABUBAAAL&#10;AAAAAAAAAAAAAAAAAB8BAABfcmVscy8ucmVsc1BLAQItABQABgAIAAAAIQDSDx+xxQAAAN0AAAAP&#10;AAAAAAAAAAAAAAAAAAcCAABkcnMvZG93bnJldi54bWxQSwUGAAAAAAMAAwC3AAAA+QIAAAAA&#10;" path="m,26475c,11861,11861,,26475,,41089,,52949,11861,52949,26475v,14614,-11860,26474,-26474,26474c11861,52949,,41089,,26475e" filled="f" strokecolor="#007dff" strokeweight=".28831mm">
                        <v:stroke miterlimit="83231f" joinstyle="miter"/>
                        <v:path arrowok="t" textboxrect="0,0,52949,52949"/>
                      </v:shape>
                      <w10:wrap type="square"/>
                    </v:group>
                  </w:pict>
                </mc:Fallback>
              </mc:AlternateContent>
            </w:r>
            <w:r>
              <w:tab/>
            </w:r>
            <w:r>
              <w:rPr>
                <w:rFonts w:ascii="Arial" w:eastAsia="Arial" w:hAnsi="Arial" w:cs="Arial"/>
                <w:sz w:val="19"/>
              </w:rPr>
              <w:t>95% Confidence Intervals</w:t>
            </w:r>
            <w:r>
              <w:rPr>
                <w:rFonts w:ascii="Arial" w:eastAsia="Arial" w:hAnsi="Arial" w:cs="Arial"/>
                <w:sz w:val="19"/>
              </w:rPr>
              <w:tab/>
            </w:r>
            <w:r>
              <w:rPr>
                <w:noProof/>
                <w:lang w:eastAsia="en-IN"/>
              </w:rPr>
              <mc:AlternateContent>
                <mc:Choice Requires="wpg">
                  <w:drawing>
                    <wp:inline distT="0" distB="0" distL="0" distR="0" wp14:anchorId="1FA63FBD" wp14:editId="47E7FD97">
                      <wp:extent cx="420700" cy="52922"/>
                      <wp:effectExtent l="0" t="0" r="0" b="0"/>
                      <wp:docPr id="66718" name="Group 66718"/>
                      <wp:cNvGraphicFramePr/>
                      <a:graphic xmlns:a="http://schemas.openxmlformats.org/drawingml/2006/main">
                        <a:graphicData uri="http://schemas.microsoft.com/office/word/2010/wordprocessingGroup">
                          <wpg:wgp>
                            <wpg:cNvGrpSpPr/>
                            <wpg:grpSpPr>
                              <a:xfrm>
                                <a:off x="0" y="0"/>
                                <a:ext cx="420700" cy="52922"/>
                                <a:chOff x="0" y="0"/>
                                <a:chExt cx="420700" cy="52922"/>
                              </a:xfrm>
                            </wpg:grpSpPr>
                            <wps:wsp>
                              <wps:cNvPr id="6803" name="Shape 6803"/>
                              <wps:cNvSpPr/>
                              <wps:spPr>
                                <a:xfrm>
                                  <a:off x="0" y="26461"/>
                                  <a:ext cx="420700" cy="0"/>
                                </a:xfrm>
                                <a:custGeom>
                                  <a:avLst/>
                                  <a:gdLst/>
                                  <a:ahLst/>
                                  <a:cxnLst/>
                                  <a:rect l="0" t="0" r="0" b="0"/>
                                  <a:pathLst>
                                    <a:path w="420700">
                                      <a:moveTo>
                                        <a:pt x="0" y="0"/>
                                      </a:moveTo>
                                      <a:lnTo>
                                        <a:pt x="420700" y="0"/>
                                      </a:lnTo>
                                    </a:path>
                                  </a:pathLst>
                                </a:custGeom>
                                <a:ln w="10379" cap="flat">
                                  <a:miter lim="127000"/>
                                </a:ln>
                              </wps:spPr>
                              <wps:style>
                                <a:lnRef idx="1">
                                  <a:srgbClr val="0080FF"/>
                                </a:lnRef>
                                <a:fillRef idx="0">
                                  <a:srgbClr val="000000">
                                    <a:alpha val="0"/>
                                  </a:srgbClr>
                                </a:fillRef>
                                <a:effectRef idx="0">
                                  <a:scrgbClr r="0" g="0" b="0"/>
                                </a:effectRef>
                                <a:fontRef idx="none"/>
                              </wps:style>
                              <wps:bodyPr/>
                            </wps:wsp>
                            <wps:wsp>
                              <wps:cNvPr id="6804" name="Shape 6804"/>
                              <wps:cNvSpPr/>
                              <wps:spPr>
                                <a:xfrm>
                                  <a:off x="0" y="0"/>
                                  <a:ext cx="0" cy="52922"/>
                                </a:xfrm>
                                <a:custGeom>
                                  <a:avLst/>
                                  <a:gdLst/>
                                  <a:ahLst/>
                                  <a:cxnLst/>
                                  <a:rect l="0" t="0" r="0" b="0"/>
                                  <a:pathLst>
                                    <a:path h="52922">
                                      <a:moveTo>
                                        <a:pt x="0" y="52922"/>
                                      </a:moveTo>
                                      <a:lnTo>
                                        <a:pt x="0" y="0"/>
                                      </a:lnTo>
                                    </a:path>
                                  </a:pathLst>
                                </a:custGeom>
                                <a:ln w="10379" cap="flat">
                                  <a:miter lim="127000"/>
                                </a:ln>
                              </wps:spPr>
                              <wps:style>
                                <a:lnRef idx="1">
                                  <a:srgbClr val="0080FF"/>
                                </a:lnRef>
                                <a:fillRef idx="0">
                                  <a:srgbClr val="000000">
                                    <a:alpha val="0"/>
                                  </a:srgbClr>
                                </a:fillRef>
                                <a:effectRef idx="0">
                                  <a:scrgbClr r="0" g="0" b="0"/>
                                </a:effectRef>
                                <a:fontRef idx="none"/>
                              </wps:style>
                              <wps:bodyPr/>
                            </wps:wsp>
                            <wps:wsp>
                              <wps:cNvPr id="6805" name="Shape 6805"/>
                              <wps:cNvSpPr/>
                              <wps:spPr>
                                <a:xfrm>
                                  <a:off x="420700" y="0"/>
                                  <a:ext cx="0" cy="52922"/>
                                </a:xfrm>
                                <a:custGeom>
                                  <a:avLst/>
                                  <a:gdLst/>
                                  <a:ahLst/>
                                  <a:cxnLst/>
                                  <a:rect l="0" t="0" r="0" b="0"/>
                                  <a:pathLst>
                                    <a:path h="52922">
                                      <a:moveTo>
                                        <a:pt x="0" y="52922"/>
                                      </a:moveTo>
                                      <a:lnTo>
                                        <a:pt x="0" y="0"/>
                                      </a:lnTo>
                                    </a:path>
                                  </a:pathLst>
                                </a:custGeom>
                                <a:ln w="10379" cap="flat">
                                  <a:miter lim="127000"/>
                                </a:ln>
                              </wps:spPr>
                              <wps:style>
                                <a:lnRef idx="1">
                                  <a:srgbClr val="0080FF"/>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5AA5F8" id="Group 66718" o:spid="_x0000_s1026" style="width:33.15pt;height:4.15pt;mso-position-horizontal-relative:char;mso-position-vertical-relative:line" coordsize="420700,52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AS0AIAAPsLAAAOAAAAZHJzL2Uyb0RvYy54bWzsVslu2zAQvRfoPxC6N5IVx3EE2zk0TS5F&#10;GzTpB9AUtQAUSZCMZf99hyNRVu00aNPlUl+kEcnZ3swbcXG9bQTZcGNrJZfR5CyJCJdM5bUsl9HX&#10;x9t384hYR2VOhZJ8Ge24ja5Xb98sWp3xVFVK5NwQMCJt1uplVDmnszi2rOINtWdKcwmbhTINdfBp&#10;yjg3tAXrjYjTJJnFrTK5Nopxa2H1ptuMVmi/KDhzn4vCckfEMoLYHD4NPtf+Ga8WNCsN1VXN+jDo&#10;K6JoaC3B6WDqhjpKnkx9ZKqpmVFWFe6MqSZWRVEzjjlANpPkIJs7o5405lJmbakHmADaA5xebZZ9&#10;2twbUufLaDa7nECxJG2gTOiZdEsAUavLDE7eGf2g702/UHZfPuttYRr/hnzIFsHdDeDyrSMMFqdp&#10;cplACRhsXaRXadphzyoo0JESqz68pBYHl7GPbAik1dBEdo+T/T2cHiqqOcJvffYBp3lyHmDCE2Tm&#10;VxAUPDdAZDMLaP0Qn3Q2nU06EJ7DCHtzSJRm7Mm6O64QZ7r5aF3XunmQaBUktpVBNECAF1tfU+f1&#10;fJBeJO1QKL/UqA1/VLjpDmoEke13hRyfCpUOPQBHuwMgeCerRS+gY5DHqQnpY5gk55dX0CsURkIh&#10;qENuNbWDWSHqBvZT6KWAkJBg0de+gxsltxPcxy3kF15Af0MDTtCINeX6vTBkQ/1ESObJ7a2vAcYI&#10;R71OUQsxaCXPaYHvbp0KXdHeVm+md4Ame0veKMdhdGiW9dF0Ewl4DQQJcwlCGpQwLCXdoC9hmqLD&#10;UbZeXKt8hwxFQIAMnrz/hhXTI1ZMfYTePbDnZ1nRj+TAiMOBAaCEYTPumr9HiCpMK1+CfcfrER+G&#10;aQbB7U98zwnI40SH/4oOF0d0uPglOhxOUZgG/S/xxInTL6K7uv6pXwReo+CGiT+t/jbsr7Djb5DH&#10;d/bVNwAAAP//AwBQSwMEFAAGAAgAAAAhAIdFJTHaAAAAAgEAAA8AAABkcnMvZG93bnJldi54bWxM&#10;j0FrwkAQhe+F/odlCt7qJg0NkmYjIm1PUqgWSm9jdkyC2dmQXZP479160cvA4z3e+yZfTqYVA/Wu&#10;sawgnkcgiEurG64U/Ow+nhcgnEfW2FomBWdysCweH3LMtB35m4atr0QoYZehgtr7LpPSlTUZdHPb&#10;EQfvYHuDPsi+krrHMZSbVr5EUSoNNhwWauxoXVN53J6Mgs8Rx1USvw+b42F9/tu9fv1uYlJq9jSt&#10;3kB4mvwtDP/4AR2KwLS3J9ZOtArCI/56g5emCYi9gkUCssjlPXpxAQAA//8DAFBLAQItABQABgAI&#10;AAAAIQC2gziS/gAAAOEBAAATAAAAAAAAAAAAAAAAAAAAAABbQ29udGVudF9UeXBlc10ueG1sUEsB&#10;Ai0AFAAGAAgAAAAhADj9If/WAAAAlAEAAAsAAAAAAAAAAAAAAAAALwEAAF9yZWxzLy5yZWxzUEsB&#10;Ai0AFAAGAAgAAAAhABMWkBLQAgAA+wsAAA4AAAAAAAAAAAAAAAAALgIAAGRycy9lMm9Eb2MueG1s&#10;UEsBAi0AFAAGAAgAAAAhAIdFJTHaAAAAAgEAAA8AAAAAAAAAAAAAAAAAKgUAAGRycy9kb3ducmV2&#10;LnhtbFBLBQYAAAAABAAEAPMAAAAxBgAAAAA=&#10;">
                      <v:shape id="Shape 6803" o:spid="_x0000_s1027" style="position:absolute;top:26461;width:420700;height:0;visibility:visible;mso-wrap-style:square;v-text-anchor:top" coordsize="420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2zSxgAAAN0AAAAPAAAAZHJzL2Rvd25yZXYueG1sRI/RSgMx&#10;FETfBf8hXMG3NqmFUtamRaoWEam67QdcNreb2M3Nsond7d+bQsHHYWbOMIvV4Btxoi66wBomYwWC&#10;uArGca1hv3sdzUHEhGywCUwazhRhtby9WWBhQs/fdCpTLTKEY4EabEptIWWsLHmM49ASZ+8QOo8p&#10;y66WpsM+w30jH5SaSY+O84LFltaWqmP56zU8n+2x3fyo7fvw+fHlXeP6l0Op9f3d8PQIItGQ/sPX&#10;9pvRMJurKVze5Ccgl38AAAD//wMAUEsBAi0AFAAGAAgAAAAhANvh9svuAAAAhQEAABMAAAAAAAAA&#10;AAAAAAAAAAAAAFtDb250ZW50X1R5cGVzXS54bWxQSwECLQAUAAYACAAAACEAWvQsW78AAAAVAQAA&#10;CwAAAAAAAAAAAAAAAAAfAQAAX3JlbHMvLnJlbHNQSwECLQAUAAYACAAAACEAqd9s0sYAAADdAAAA&#10;DwAAAAAAAAAAAAAAAAAHAgAAZHJzL2Rvd25yZXYueG1sUEsFBgAAAAADAAMAtwAAAPoCAAAAAA==&#10;" path="m,l420700,e" filled="f" strokecolor="#007dff" strokeweight=".28831mm">
                        <v:stroke miterlimit="83231f" joinstyle="miter"/>
                        <v:path arrowok="t" textboxrect="0,0,420700,0"/>
                      </v:shape>
                      <v:shape id="Shape 6804" o:spid="_x0000_s1028" style="position:absolute;width:0;height:52922;visibility:visible;mso-wrap-style:square;v-text-anchor:top" coordsize="0,5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h/wwAAAN0AAAAPAAAAZHJzL2Rvd25yZXYueG1sRI/RagIx&#10;FETfC/2HcAu+1axFFl2NsgiFPojQ1Q+4bK7JtpubJUl1/XsjFHwcZuYMs96OrhcXCrHzrGA2LUAQ&#10;t153bBScjp/vCxAxIWvsPZOCG0XYbl5f1lhpf+VvujTJiAzhWKECm9JQSRlbSw7j1A/E2Tv74DBl&#10;GYzUAa8Z7nr5URSldNhxXrA40M5S+9v8OQV1vTuUtAxx3zbmx86c3pvTUqnJ21ivQCQa0zP83/7S&#10;CspFMYfHm/wE5OYOAAD//wMAUEsBAi0AFAAGAAgAAAAhANvh9svuAAAAhQEAABMAAAAAAAAAAAAA&#10;AAAAAAAAAFtDb250ZW50X1R5cGVzXS54bWxQSwECLQAUAAYACAAAACEAWvQsW78AAAAVAQAACwAA&#10;AAAAAAAAAAAAAAAfAQAAX3JlbHMvLnJlbHNQSwECLQAUAAYACAAAACEAeflof8MAAADdAAAADwAA&#10;AAAAAAAAAAAAAAAHAgAAZHJzL2Rvd25yZXYueG1sUEsFBgAAAAADAAMAtwAAAPcCAAAAAA==&#10;" path="m,52922l,e" filled="f" strokecolor="#007dff" strokeweight=".28831mm">
                        <v:stroke miterlimit="83231f" joinstyle="miter"/>
                        <v:path arrowok="t" textboxrect="0,0,0,52922"/>
                      </v:shape>
                      <v:shape id="Shape 6805" o:spid="_x0000_s1029" style="position:absolute;left:420700;width:0;height:52922;visibility:visible;mso-wrap-style:square;v-text-anchor:top" coordsize="0,5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3kwwAAAN0AAAAPAAAAZHJzL2Rvd25yZXYueG1sRI/RagIx&#10;FETfC/2HcAu+1awFF12NsgiFPojQ1Q+4bK7JtpubJUl1/XsjFHwcZuYMs96OrhcXCrHzrGA2LUAQ&#10;t153bBScjp/vCxAxIWvsPZOCG0XYbl5f1lhpf+VvujTJiAzhWKECm9JQSRlbSw7j1A/E2Tv74DBl&#10;GYzUAa8Z7nr5URSldNhxXrA40M5S+9v8OQV1vTuUtAxx3zbmx86c3pvTUqnJ21ivQCQa0zP83/7S&#10;CspFMYfHm/wE5OYOAAD//wMAUEsBAi0AFAAGAAgAAAAhANvh9svuAAAAhQEAABMAAAAAAAAAAAAA&#10;AAAAAAAAAFtDb250ZW50X1R5cGVzXS54bWxQSwECLQAUAAYACAAAACEAWvQsW78AAAAVAQAACwAA&#10;AAAAAAAAAAAAAAAfAQAAX3JlbHMvLnJlbHNQSwECLQAUAAYACAAAACEAFrXN5MMAAADdAAAADwAA&#10;AAAAAAAAAAAAAAAHAgAAZHJzL2Rvd25yZXYueG1sUEsFBgAAAAADAAMAtwAAAPcCAAAAAA==&#10;" path="m,52922l,e" filled="f" strokecolor="#007dff" strokeweight=".28831mm">
                        <v:stroke miterlimit="83231f" joinstyle="miter"/>
                        <v:path arrowok="t" textboxrect="0,0,0,52922"/>
                      </v:shape>
                      <w10:anchorlock/>
                    </v:group>
                  </w:pict>
                </mc:Fallback>
              </mc:AlternateContent>
            </w:r>
            <w:r>
              <w:rPr>
                <w:rFonts w:ascii="Arial" w:eastAsia="Arial" w:hAnsi="Arial" w:cs="Arial"/>
                <w:sz w:val="19"/>
              </w:rPr>
              <w:t xml:space="preserve"> 90% Confidence Interval</w:t>
            </w:r>
          </w:p>
          <w:p w:rsidR="00006A4A" w:rsidRDefault="00006A4A" w:rsidP="006E3788">
            <w:pPr>
              <w:spacing w:line="259" w:lineRule="auto"/>
              <w:ind w:left="769"/>
            </w:pPr>
            <w:r>
              <w:rPr>
                <w:rFonts w:ascii="Arial" w:eastAsia="Arial" w:hAnsi="Arial" w:cs="Arial"/>
                <w:sz w:val="19"/>
              </w:rPr>
              <w:t>Age Specific Coefficient Estimate</w:t>
            </w:r>
          </w:p>
        </w:tc>
      </w:tr>
    </w:tbl>
    <w:p w:rsidR="00006A4A" w:rsidRDefault="00006A4A" w:rsidP="00006A4A">
      <w:pPr>
        <w:spacing w:after="11"/>
        <w:ind w:left="-1" w:right="58"/>
      </w:pPr>
      <w:r>
        <w:t xml:space="preserve">younger age groups than their effect on exports in a standard gravity equation. These results look slightly different when adjusting for GDP, as I report in </w:t>
      </w:r>
      <w:r>
        <w:rPr>
          <w:color w:val="00007F"/>
        </w:rPr>
        <w:t>Appendix E</w:t>
      </w:r>
      <w:r>
        <w:t xml:space="preserve">. While using trade balance as a share of GDP has consistent estimates for working age population, which remains significantly positive, specifications using the </w:t>
      </w:r>
      <w:r>
        <w:rPr>
          <w:color w:val="00007F"/>
        </w:rPr>
        <w:t xml:space="preserve">Fair and </w:t>
      </w:r>
      <w:proofErr w:type="spellStart"/>
      <w:r>
        <w:rPr>
          <w:color w:val="00007F"/>
        </w:rPr>
        <w:t>Dom´ınguez</w:t>
      </w:r>
      <w:proofErr w:type="spellEnd"/>
      <w:r>
        <w:rPr>
          <w:color w:val="00007F"/>
        </w:rPr>
        <w:t xml:space="preserve"> </w:t>
      </w:r>
      <w:r>
        <w:t>(</w:t>
      </w:r>
      <w:r>
        <w:rPr>
          <w:color w:val="00007F"/>
        </w:rPr>
        <w:t>1991</w:t>
      </w:r>
      <w:r>
        <w:t xml:space="preserve">) style polynomial fits appear to be skewed further toward middle aged, consistent with existing work by </w:t>
      </w:r>
      <w:r>
        <w:rPr>
          <w:color w:val="00007F"/>
        </w:rPr>
        <w:t xml:space="preserve">Higgins </w:t>
      </w:r>
      <w:r>
        <w:t>(</w:t>
      </w:r>
      <w:r>
        <w:rPr>
          <w:color w:val="00007F"/>
        </w:rPr>
        <w:t>1998</w:t>
      </w:r>
      <w:r>
        <w:t>), which studies the effects of similar demographic controls on the current account.</w:t>
      </w:r>
    </w:p>
    <w:p w:rsidR="00006A4A" w:rsidRDefault="00006A4A" w:rsidP="00006A4A">
      <w:pPr>
        <w:ind w:left="-2" w:right="58" w:firstLine="351"/>
      </w:pPr>
      <w:r>
        <w:t xml:space="preserve">Carrying out the same exercise for the results of </w:t>
      </w:r>
      <w:r>
        <w:rPr>
          <w:color w:val="00007F"/>
        </w:rPr>
        <w:t xml:space="preserve">section 4 </w:t>
      </w:r>
      <w:r>
        <w:t xml:space="preserve">I show the changes in the model predicted China and USA balance of trade due to demographic movements, holding all other variables fixed. Here I caution that I use the Column 1 specification of </w:t>
      </w:r>
      <w:r>
        <w:rPr>
          <w:color w:val="00007F"/>
        </w:rPr>
        <w:t>Table 3</w:t>
      </w:r>
      <w:r>
        <w:t xml:space="preserve">, including only the relative WAP as a control. This is because neither the old-age dependency, nor the </w:t>
      </w:r>
      <w:r>
        <w:rPr>
          <w:color w:val="00007F"/>
        </w:rPr>
        <w:t xml:space="preserve">Fair and </w:t>
      </w:r>
      <w:proofErr w:type="spellStart"/>
      <w:r>
        <w:rPr>
          <w:color w:val="00007F"/>
        </w:rPr>
        <w:t>Dom´ınguez</w:t>
      </w:r>
      <w:proofErr w:type="spellEnd"/>
      <w:r>
        <w:rPr>
          <w:color w:val="00007F"/>
        </w:rPr>
        <w:t xml:space="preserve"> </w:t>
      </w:r>
      <w:r>
        <w:t>(</w:t>
      </w:r>
      <w:r>
        <w:rPr>
          <w:color w:val="00007F"/>
        </w:rPr>
        <w:t>1991</w:t>
      </w:r>
      <w:r>
        <w:t xml:space="preserve">) controls were robust in sign or significance across the OLS and PPML specifications in </w:t>
      </w:r>
      <w:r>
        <w:rPr>
          <w:color w:val="00007F"/>
        </w:rPr>
        <w:t>section 3</w:t>
      </w:r>
      <w:r>
        <w:t xml:space="preserve">. The relative WAP, is fairly robust so I present their estimates in this quantitative exercise. The predicted trade balance moves as one might expect given the quantitative exercise from imports in </w:t>
      </w:r>
      <w:r>
        <w:rPr>
          <w:color w:val="00007F"/>
        </w:rPr>
        <w:t>Figure 4</w:t>
      </w:r>
      <w:r>
        <w:t>. Demographics are expected to exert downward pressure on China’s surplus with the United States, Japan, and Vietnam, while providing potential growth in their surplus with Hong Kong and Vietnam. The United States is expected to see population forces helping to improve deficits with all of its major trading partners with the exception of Mexico.</w:t>
      </w:r>
    </w:p>
    <w:p w:rsidR="00006A4A" w:rsidRDefault="00006A4A" w:rsidP="00006A4A">
      <w:pPr>
        <w:spacing w:after="0" w:line="265" w:lineRule="auto"/>
        <w:ind w:left="10" w:right="93" w:hanging="10"/>
        <w:jc w:val="center"/>
      </w:pPr>
      <w:r>
        <w:rPr>
          <w:b/>
        </w:rPr>
        <w:t xml:space="preserve">Figure 7: </w:t>
      </w:r>
      <w:r>
        <w:rPr>
          <w:i/>
        </w:rPr>
        <w:t>Predicted Change in Trade Balance</w:t>
      </w:r>
    </w:p>
    <w:p w:rsidR="00006A4A" w:rsidRDefault="00006A4A" w:rsidP="00006A4A">
      <w:pPr>
        <w:spacing w:after="0" w:line="259" w:lineRule="auto"/>
        <w:ind w:left="7"/>
      </w:pPr>
      <w:r>
        <w:rPr>
          <w:noProof/>
          <w:lang w:eastAsia="en-IN"/>
        </w:rPr>
        <w:lastRenderedPageBreak/>
        <w:drawing>
          <wp:inline distT="0" distB="0" distL="0" distR="0" wp14:anchorId="091F824A" wp14:editId="18D5FA3F">
            <wp:extent cx="5977128" cy="2450592"/>
            <wp:effectExtent l="0" t="0" r="0" b="0"/>
            <wp:docPr id="76114" name="Picture 76114"/>
            <wp:cNvGraphicFramePr/>
            <a:graphic xmlns:a="http://schemas.openxmlformats.org/drawingml/2006/main">
              <a:graphicData uri="http://schemas.openxmlformats.org/drawingml/2006/picture">
                <pic:pic xmlns:pic="http://schemas.openxmlformats.org/drawingml/2006/picture">
                  <pic:nvPicPr>
                    <pic:cNvPr id="76114" name="Picture 76114"/>
                    <pic:cNvPicPr/>
                  </pic:nvPicPr>
                  <pic:blipFill>
                    <a:blip r:embed="rId15"/>
                    <a:stretch>
                      <a:fillRect/>
                    </a:stretch>
                  </pic:blipFill>
                  <pic:spPr>
                    <a:xfrm>
                      <a:off x="0" y="0"/>
                      <a:ext cx="5977128" cy="2450592"/>
                    </a:xfrm>
                    <a:prstGeom prst="rect">
                      <a:avLst/>
                    </a:prstGeom>
                  </pic:spPr>
                </pic:pic>
              </a:graphicData>
            </a:graphic>
          </wp:inline>
        </w:drawing>
      </w:r>
    </w:p>
    <w:p w:rsidR="00006A4A" w:rsidRDefault="00006A4A" w:rsidP="00006A4A">
      <w:pPr>
        <w:spacing w:after="541" w:line="244" w:lineRule="auto"/>
        <w:ind w:left="-15" w:right="560" w:firstLine="3"/>
      </w:pPr>
      <w:r>
        <w:rPr>
          <w:i/>
          <w:color w:val="00007F"/>
          <w:sz w:val="20"/>
        </w:rPr>
        <w:t xml:space="preserve">Figure 4 </w:t>
      </w:r>
      <w:r>
        <w:rPr>
          <w:i/>
          <w:sz w:val="20"/>
        </w:rPr>
        <w:t xml:space="preserve">plots predicted change in trade balance using specification in Column 1 </w:t>
      </w:r>
      <w:r>
        <w:rPr>
          <w:i/>
          <w:color w:val="00007F"/>
          <w:sz w:val="20"/>
        </w:rPr>
        <w:t>Table 3</w:t>
      </w:r>
      <w:r>
        <w:rPr>
          <w:i/>
          <w:sz w:val="20"/>
        </w:rPr>
        <w:t>, holding non-demographic controls fixed. Values are reported as their change relative to final year of sample (2013).</w:t>
      </w:r>
    </w:p>
    <w:p w:rsidR="00006A4A" w:rsidRDefault="00006A4A" w:rsidP="00006A4A">
      <w:pPr>
        <w:spacing w:after="544"/>
        <w:ind w:left="-2" w:right="58" w:firstLine="351"/>
      </w:pPr>
      <w:r>
        <w:t xml:space="preserve">While the quantitative size of the estimates in </w:t>
      </w:r>
      <w:r>
        <w:rPr>
          <w:color w:val="00007F"/>
        </w:rPr>
        <w:t xml:space="preserve">Figure 7 </w:t>
      </w:r>
      <w:r>
        <w:t xml:space="preserve">are large I caution strongly against reading too closely into any specific point estimate. One reason is the already mentioned issues of the OLS estimator, which have been well documented in the trade literature by </w:t>
      </w:r>
      <w:r>
        <w:rPr>
          <w:color w:val="00007F"/>
        </w:rPr>
        <w:t xml:space="preserve">Silva and </w:t>
      </w:r>
      <w:proofErr w:type="spellStart"/>
      <w:r>
        <w:rPr>
          <w:color w:val="00007F"/>
        </w:rPr>
        <w:t>Tenreyro</w:t>
      </w:r>
      <w:proofErr w:type="spellEnd"/>
      <w:r>
        <w:rPr>
          <w:color w:val="00007F"/>
        </w:rPr>
        <w:t xml:space="preserve"> </w:t>
      </w:r>
      <w:r>
        <w:t>(</w:t>
      </w:r>
      <w:r>
        <w:rPr>
          <w:color w:val="00007F"/>
        </w:rPr>
        <w:t>2006</w:t>
      </w:r>
      <w:r>
        <w:t xml:space="preserve">) and </w:t>
      </w:r>
      <w:r>
        <w:rPr>
          <w:color w:val="00007F"/>
        </w:rPr>
        <w:t xml:space="preserve">Silva and </w:t>
      </w:r>
      <w:proofErr w:type="spellStart"/>
      <w:r>
        <w:rPr>
          <w:color w:val="00007F"/>
        </w:rPr>
        <w:t>Tenreyro</w:t>
      </w:r>
      <w:proofErr w:type="spellEnd"/>
      <w:r>
        <w:rPr>
          <w:color w:val="00007F"/>
        </w:rPr>
        <w:t xml:space="preserve"> </w:t>
      </w:r>
      <w:r>
        <w:t>(</w:t>
      </w:r>
      <w:r>
        <w:rPr>
          <w:color w:val="00007F"/>
        </w:rPr>
        <w:t>2010</w:t>
      </w:r>
      <w:r>
        <w:t xml:space="preserve">). Another is that, unlike the gravity equation estimates in </w:t>
      </w:r>
      <w:r>
        <w:rPr>
          <w:color w:val="00007F"/>
        </w:rPr>
        <w:t>section 3</w:t>
      </w:r>
      <w:r>
        <w:t xml:space="preserve">, these estimates fit the data relatively poorly with an </w:t>
      </w:r>
      <w:r>
        <w:rPr>
          <w:rFonts w:ascii="Cambria" w:eastAsia="Cambria" w:hAnsi="Cambria" w:cs="Cambria"/>
          <w:i/>
        </w:rPr>
        <w:t>R</w:t>
      </w:r>
      <w:r>
        <w:rPr>
          <w:rFonts w:ascii="Cambria" w:eastAsia="Cambria" w:hAnsi="Cambria" w:cs="Cambria"/>
          <w:vertAlign w:val="superscript"/>
        </w:rPr>
        <w:t xml:space="preserve">2 </w:t>
      </w:r>
      <w:r>
        <w:t xml:space="preserve">of 0.48. While predictions of </w:t>
      </w:r>
      <w:r>
        <w:rPr>
          <w:i/>
        </w:rPr>
        <w:t xml:space="preserve">movements </w:t>
      </w:r>
      <w:r>
        <w:t xml:space="preserve">in trade balances between countries generally match the data well, they are often extremely imprecise in their point estimates. This puts this exercise on somewhat shaky ground relative to that of </w:t>
      </w:r>
      <w:r>
        <w:rPr>
          <w:color w:val="00007F"/>
        </w:rPr>
        <w:t>Figure 4</w:t>
      </w:r>
      <w:r>
        <w:t xml:space="preserve">. I include these estimates, both for completeness and to show that the economic size of the correlations estimated in </w:t>
      </w:r>
      <w:r>
        <w:rPr>
          <w:color w:val="00007F"/>
        </w:rPr>
        <w:t xml:space="preserve">Table 3 </w:t>
      </w:r>
      <w:r>
        <w:t>are substantial. Further consideration should be made by both policymakers and researchers to understand how age structure might affect trade relationships in terms of balance.</w:t>
      </w:r>
    </w:p>
    <w:p w:rsidR="00006A4A" w:rsidRDefault="00006A4A" w:rsidP="00006A4A">
      <w:pPr>
        <w:pStyle w:val="Heading1"/>
        <w:tabs>
          <w:tab w:val="center" w:pos="2274"/>
          <w:tab w:val="center" w:pos="4985"/>
        </w:tabs>
        <w:ind w:left="0" w:right="0" w:firstLine="0"/>
        <w:jc w:val="left"/>
      </w:pPr>
      <w:r>
        <w:rPr>
          <w:sz w:val="22"/>
        </w:rPr>
        <w:tab/>
      </w:r>
      <w:r>
        <w:rPr>
          <w:sz w:val="29"/>
        </w:rPr>
        <w:t>D.</w:t>
      </w:r>
      <w:r>
        <w:rPr>
          <w:sz w:val="29"/>
        </w:rPr>
        <w:tab/>
        <w:t>R</w:t>
      </w:r>
      <w:r>
        <w:t>OBUSTNESS</w:t>
      </w:r>
      <w:r>
        <w:rPr>
          <w:sz w:val="29"/>
        </w:rPr>
        <w:t>: S</w:t>
      </w:r>
      <w:r>
        <w:t xml:space="preserve">AMPLE </w:t>
      </w:r>
      <w:r>
        <w:rPr>
          <w:sz w:val="29"/>
        </w:rPr>
        <w:t>S</w:t>
      </w:r>
      <w:r>
        <w:t>ELECTION</w:t>
      </w:r>
    </w:p>
    <w:p w:rsidR="00006A4A" w:rsidRDefault="00006A4A" w:rsidP="00006A4A">
      <w:pPr>
        <w:ind w:left="-1" w:right="58"/>
      </w:pPr>
      <w:r>
        <w:t xml:space="preserve">To test the sensitivity of the above results to outliers in young and old populations I replicate the primary results from </w:t>
      </w:r>
      <w:r>
        <w:rPr>
          <w:color w:val="00007F"/>
        </w:rPr>
        <w:t>Table 1</w:t>
      </w:r>
      <w:r>
        <w:t xml:space="preserve">, </w:t>
      </w:r>
      <w:r>
        <w:rPr>
          <w:color w:val="00007F"/>
        </w:rPr>
        <w:t>Table 2</w:t>
      </w:r>
      <w:r>
        <w:t xml:space="preserve">, and </w:t>
      </w:r>
      <w:r>
        <w:rPr>
          <w:color w:val="00007F"/>
        </w:rPr>
        <w:t xml:space="preserve">Table 3 </w:t>
      </w:r>
      <w:r>
        <w:t xml:space="preserve">on my estimation sample where countries with one and two standard deviation outliers in the differences between working age populations are removed. The first four columns are the PPML gravity estimation using both the difference in working age population and the polynomial fitting of five-year population age groups. In the first two of these columns are estimated on a truncated sample that excludes any observations where the differences in working age population between the country-pairs are greater than one standard deviation from the sample mean (which is zero, by construction). The next two use a two standard deviation threshold for truncation. The coefficients are slightly larger for the more limited sample, perhaps suggesting that these estimates are weaker as populations grow further apart, although this change could also be affected by the fact that countries with similar demographics may be </w:t>
      </w:r>
      <w:r>
        <w:lastRenderedPageBreak/>
        <w:t>more closely linked due to similar levels of development.</w:t>
      </w:r>
      <w:r>
        <w:rPr>
          <w:vertAlign w:val="superscript"/>
        </w:rPr>
        <w:footnoteReference w:id="3"/>
      </w:r>
      <w:r>
        <w:rPr>
          <w:vertAlign w:val="superscript"/>
        </w:rPr>
        <w:t xml:space="preserve"> </w:t>
      </w:r>
      <w:r>
        <w:t>These differences are much larger for estimates of trade balance on these limited samples. In either case, the results remain of a broadly similar magnitude, and identical sign, to those in the main body of the paper. The same can be seen for estimates on the balance of trade in columns 5-8.</w:t>
      </w:r>
    </w:p>
    <w:p w:rsidR="00006A4A" w:rsidRDefault="00006A4A" w:rsidP="00006A4A">
      <w:pPr>
        <w:tabs>
          <w:tab w:val="center" w:pos="4800"/>
          <w:tab w:val="right" w:pos="9500"/>
        </w:tabs>
        <w:spacing w:line="240" w:lineRule="auto"/>
        <w:jc w:val="center"/>
        <w:rPr>
          <w:rFonts w:ascii="Times New Roman" w:hAnsi="Times New Roman" w:cs="Times New Roman"/>
          <w:noProof/>
        </w:rPr>
      </w:pPr>
      <w:r>
        <w:rPr>
          <w:noProof/>
        </w:rPr>
        <w:t>Table  5: Robustness to limited sample</w:t>
      </w:r>
    </w:p>
    <w:p w:rsidR="00006A4A" w:rsidRDefault="00006A4A" w:rsidP="00006A4A">
      <w:pPr>
        <w:tabs>
          <w:tab w:val="center" w:pos="4800"/>
          <w:tab w:val="right" w:pos="9500"/>
        </w:tabs>
        <w:spacing w:line="240" w:lineRule="auto"/>
        <w:ind w:firstLine="720"/>
        <w:rPr>
          <w:rFonts w:ascii="Times New Roman" w:hAnsi="Times New Roman" w:cs="Times New Roman"/>
          <w:noProof/>
        </w:rPr>
      </w:pPr>
      <w:r>
        <w:rPr>
          <w:noProof/>
          <w:sz w:val="14"/>
          <w:szCs w:val="14"/>
        </w:rPr>
        <w:t xml:space="preserve">  </w:t>
      </w:r>
      <w:r>
        <w:rPr>
          <w:noProof/>
        </w:rPr>
        <w:t xml:space="preserve"> </w:t>
      </w:r>
    </w:p>
    <w:tbl>
      <w:tblPr>
        <w:tblW w:w="9659" w:type="dxa"/>
        <w:tblInd w:w="5" w:type="dxa"/>
        <w:tblLayout w:type="fixed"/>
        <w:tblCellMar>
          <w:left w:w="0" w:type="dxa"/>
          <w:right w:w="0" w:type="dxa"/>
        </w:tblCellMar>
        <w:tblLook w:val="0000" w:firstRow="0" w:lastRow="0" w:firstColumn="0" w:lastColumn="0" w:noHBand="0" w:noVBand="0"/>
      </w:tblPr>
      <w:tblGrid>
        <w:gridCol w:w="1833"/>
        <w:gridCol w:w="851"/>
        <w:gridCol w:w="708"/>
        <w:gridCol w:w="1134"/>
        <w:gridCol w:w="840"/>
        <w:gridCol w:w="1073"/>
        <w:gridCol w:w="1073"/>
        <w:gridCol w:w="1073"/>
        <w:gridCol w:w="1074"/>
      </w:tblGrid>
      <w:tr w:rsidR="00006A4A" w:rsidRPr="00DB1E8E" w:rsidTr="006E3788">
        <w:trPr>
          <w:trHeight w:val="252"/>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3533" w:type="dxa"/>
            <w:gridSpan w:val="4"/>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Gravity: </w:t>
            </w:r>
            <m:oMath>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ijt</m:t>
                  </m:r>
                </m:sub>
              </m:sSub>
            </m:oMath>
            <w:r w:rsidRPr="00DB1E8E">
              <w:rPr>
                <w:sz w:val="20"/>
                <w:szCs w:val="20"/>
              </w:rPr>
              <w:t xml:space="preserve"> </w:t>
            </w:r>
          </w:p>
        </w:tc>
        <w:tc>
          <w:tcPr>
            <w:tcW w:w="4293" w:type="dxa"/>
            <w:gridSpan w:val="4"/>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Trade Balance: Millions  </w:t>
            </w:r>
          </w:p>
        </w:tc>
      </w:tr>
      <w:tr w:rsidR="00006A4A" w:rsidRPr="00DB1E8E" w:rsidTr="006E3788">
        <w:trPr>
          <w:trHeight w:val="252"/>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(3)</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(4)</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(5)</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(6)</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(7)</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(8)</w:t>
            </w:r>
          </w:p>
        </w:tc>
      </w:tr>
      <w:tr w:rsidR="00006A4A" w:rsidRPr="00DB1E8E" w:rsidTr="006E3788">
        <w:trPr>
          <w:trHeight w:val="252"/>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F61FE5" w:rsidP="006E3788">
            <w:pPr>
              <w:tabs>
                <w:tab w:val="center" w:pos="4800"/>
                <w:tab w:val="right" w:pos="9500"/>
              </w:tabs>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ijt</m:t>
                    </m:r>
                  </m:sub>
                </m:sSub>
              </m:oMath>
            </m:oMathPara>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F61FE5" w:rsidP="006E3788">
            <w:pPr>
              <w:tabs>
                <w:tab w:val="center" w:pos="4800"/>
                <w:tab w:val="right" w:pos="9500"/>
              </w:tabs>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ijt</m:t>
                    </m:r>
                  </m:sub>
                </m:sSub>
              </m:oMath>
            </m:oMathPara>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F61FE5" w:rsidP="006E3788">
            <w:pPr>
              <w:tabs>
                <w:tab w:val="center" w:pos="4800"/>
                <w:tab w:val="right" w:pos="9500"/>
              </w:tabs>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ijt</m:t>
                    </m:r>
                  </m:sub>
                </m:sSub>
              </m:oMath>
            </m:oMathPara>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F61FE5" w:rsidP="006E3788">
            <w:pPr>
              <w:tabs>
                <w:tab w:val="center" w:pos="4800"/>
                <w:tab w:val="right" w:pos="9500"/>
              </w:tabs>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ijt</m:t>
                    </m:r>
                  </m:sub>
                </m:sSub>
              </m:oMath>
            </m:oMathPara>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m:oMathPara>
              <m:oMath>
                <m:r>
                  <w:rPr>
                    <w:rFonts w:ascii="Cambria Math" w:hAnsi="Cambria Math"/>
                    <w:sz w:val="20"/>
                    <w:szCs w:val="20"/>
                  </w:rPr>
                  <m:t>T</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Mill</m:t>
                    </m:r>
                  </m:sub>
                </m:sSub>
              </m:oMath>
            </m:oMathPara>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m:oMathPara>
              <m:oMath>
                <m:r>
                  <w:rPr>
                    <w:rFonts w:ascii="Cambria Math" w:hAnsi="Cambria Math"/>
                    <w:sz w:val="20"/>
                    <w:szCs w:val="20"/>
                  </w:rPr>
                  <m:t>T</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Mill</m:t>
                    </m:r>
                  </m:sub>
                </m:sSub>
              </m:oMath>
            </m:oMathPara>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m:oMathPara>
              <m:oMath>
                <m:r>
                  <w:rPr>
                    <w:rFonts w:ascii="Cambria Math" w:hAnsi="Cambria Math"/>
                    <w:sz w:val="20"/>
                    <w:szCs w:val="20"/>
                  </w:rPr>
                  <m:t>T</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Mill</m:t>
                    </m:r>
                  </m:sub>
                </m:sSub>
              </m:oMath>
            </m:oMathPara>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m:oMathPara>
              <m:oMath>
                <m:r>
                  <w:rPr>
                    <w:rFonts w:ascii="Cambria Math" w:hAnsi="Cambria Math"/>
                    <w:sz w:val="20"/>
                    <w:szCs w:val="20"/>
                  </w:rPr>
                  <m:t>T</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Mill</m:t>
                    </m:r>
                  </m:sub>
                </m:sSub>
              </m:oMath>
            </m:oMathPara>
          </w:p>
        </w:tc>
      </w:tr>
      <w:tr w:rsidR="00006A4A" w:rsidRPr="00DB1E8E" w:rsidTr="006E3788">
        <w:trPr>
          <w:trHeight w:val="466"/>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m:oMath>
              <m:r>
                <w:rPr>
                  <w:rFonts w:ascii="Cambria Math" w:hAnsi="Cambria Math"/>
                  <w:sz w:val="20"/>
                  <w:szCs w:val="20"/>
                </w:rPr>
                <m:t>WA</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ex</m:t>
                  </m:r>
                </m:sub>
              </m:sSub>
              <m:r>
                <w:rPr>
                  <w:rFonts w:ascii="Cambria Math" w:hAnsi="Cambria Math"/>
                  <w:sz w:val="20"/>
                  <w:szCs w:val="20"/>
                </w:rPr>
                <m:t>-WA</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m:t>
                  </m:r>
                </m:sub>
              </m:sSub>
            </m:oMath>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1.25</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0.75</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2330.66</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830.71</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r>
      <w:tr w:rsidR="00006A4A" w:rsidRPr="00DB1E8E" w:rsidTr="006E3788">
        <w:trPr>
          <w:trHeight w:val="239"/>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(0.16)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(0.15)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(106.86)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(56.99)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r>
      <w:tr w:rsidR="00006A4A" w:rsidRPr="00DB1E8E" w:rsidTr="006E3788">
        <w:trPr>
          <w:trHeight w:val="466"/>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m:oMathPara>
              <m:oMath>
                <m:r>
                  <w:rPr>
                    <w:rFonts w:ascii="Cambria Math" w:hAnsi="Cambria Math"/>
                    <w:sz w:val="20"/>
                    <w:szCs w:val="20"/>
                  </w:rPr>
                  <m:t>OldAg</m:t>
                </m:r>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ex</m:t>
                    </m:r>
                  </m:sub>
                </m:sSub>
                <m:r>
                  <w:rPr>
                    <w:rFonts w:ascii="Cambria Math" w:hAnsi="Cambria Math"/>
                    <w:sz w:val="20"/>
                    <w:szCs w:val="20"/>
                  </w:rPr>
                  <m:t>-OldAg</m:t>
                </m:r>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im</m:t>
                    </m:r>
                  </m:sub>
                </m:sSub>
              </m:oMath>
            </m:oMathPara>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-0.21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-0.20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3235.27</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1151.30</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r>
      <w:tr w:rsidR="00006A4A" w:rsidRPr="00DB1E8E" w:rsidTr="006E3788">
        <w:trPr>
          <w:trHeight w:val="252"/>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(0.28)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(0.25)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(262.69)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(150.43)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r>
      <w:tr w:rsidR="00006A4A" w:rsidRPr="00DB1E8E" w:rsidTr="006E3788">
        <w:trPr>
          <w:trHeight w:val="239"/>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D1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0.28</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0.07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1097.14</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640.05</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r>
      <w:tr w:rsidR="00006A4A" w:rsidRPr="00DB1E8E" w:rsidTr="006E3788">
        <w:trPr>
          <w:trHeight w:val="252"/>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(0.17)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(0.15)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(137.56)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(77.52) </w:t>
            </w:r>
          </w:p>
        </w:tc>
      </w:tr>
      <w:tr w:rsidR="00006A4A" w:rsidRPr="00DB1E8E" w:rsidTr="006E3788">
        <w:trPr>
          <w:trHeight w:val="239"/>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D2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0.13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0.25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-104.84</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-82.51 ^***</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r>
      <w:tr w:rsidR="00006A4A" w:rsidRPr="00DB1E8E" w:rsidTr="006E3788">
        <w:trPr>
          <w:trHeight w:val="239"/>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(0.29)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(0.25)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(23.06)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(13.28) </w:t>
            </w:r>
          </w:p>
        </w:tc>
      </w:tr>
      <w:tr w:rsidR="00006A4A" w:rsidRPr="00DB1E8E" w:rsidTr="006E3788">
        <w:trPr>
          <w:trHeight w:val="252"/>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D3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-0.23</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-0.21</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3.22</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3.17</w:t>
            </w:r>
            <m:oMath>
              <m:sSup>
                <m:sSupPr>
                  <m:ctrlPr>
                    <w:rPr>
                      <w:rFonts w:ascii="Cambria Math" w:hAnsi="Cambria Math"/>
                      <w:sz w:val="20"/>
                      <w:szCs w:val="20"/>
                    </w:rPr>
                  </m:ctrlPr>
                </m:sSupPr>
                <m:e>
                  <m:r>
                    <m:rPr>
                      <m:sty m:val="p"/>
                    </m:rPr>
                    <w:rPr>
                      <w:rFonts w:ascii="Cambria Math" w:hAnsi="Cambria Math"/>
                      <w:sz w:val="20"/>
                      <w:szCs w:val="20"/>
                    </w:rPr>
                    <m:t xml:space="preserve"> </m:t>
                  </m:r>
                </m:e>
                <m:sup>
                  <m:r>
                    <m:rPr>
                      <m:sty m:val="p"/>
                    </m:rPr>
                    <w:rPr>
                      <w:rFonts w:ascii="Cambria Math" w:hAnsi="Cambria Math"/>
                      <w:sz w:val="20"/>
                      <w:szCs w:val="20"/>
                    </w:rPr>
                    <m:t>***</m:t>
                  </m:r>
                </m:sup>
              </m:sSup>
            </m:oMath>
            <w:r w:rsidRPr="00DB1E8E">
              <w:rPr>
                <w:sz w:val="20"/>
                <w:szCs w:val="20"/>
              </w:rPr>
              <w:t xml:space="preserve"> </w:t>
            </w:r>
          </w:p>
        </w:tc>
      </w:tr>
      <w:tr w:rsidR="00006A4A" w:rsidRPr="00DB1E8E" w:rsidTr="006E3788">
        <w:trPr>
          <w:trHeight w:val="239"/>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(0.14)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(0.11)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(1.05)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(0.62) </w:t>
            </w:r>
          </w:p>
        </w:tc>
      </w:tr>
      <w:tr w:rsidR="00006A4A" w:rsidRPr="00DB1E8E" w:rsidTr="006E3788">
        <w:trPr>
          <w:trHeight w:val="239"/>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roofErr w:type="spellStart"/>
            <w:r w:rsidRPr="00DB1E8E">
              <w:rPr>
                <w:sz w:val="20"/>
                <w:szCs w:val="20"/>
              </w:rPr>
              <w:t>Z_ijt</w:t>
            </w:r>
            <w:proofErr w:type="spellEnd"/>
            <w:r w:rsidRPr="00DB1E8E">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r>
              <w:rPr>
                <w:sz w:val="20"/>
                <w:szCs w:val="20"/>
              </w:rPr>
              <w:t>X</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r>
      <w:tr w:rsidR="00006A4A" w:rsidRPr="00DB1E8E" w:rsidTr="006E3788">
        <w:trPr>
          <w:trHeight w:val="239"/>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Pair FEs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r>
              <w:rPr>
                <w:sz w:val="20"/>
                <w:szCs w:val="20"/>
              </w:rPr>
              <w:t>X</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r>
      <w:tr w:rsidR="00006A4A" w:rsidRPr="00DB1E8E" w:rsidTr="006E3788">
        <w:trPr>
          <w:trHeight w:val="252"/>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Year FEs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r>
              <w:rPr>
                <w:sz w:val="20"/>
                <w:szCs w:val="20"/>
              </w:rPr>
              <w:t>X</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p>
        </w:tc>
      </w:tr>
      <w:tr w:rsidR="00006A4A" w:rsidRPr="00DB1E8E" w:rsidTr="006E3788">
        <w:trPr>
          <w:trHeight w:val="505"/>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roofErr w:type="spellStart"/>
            <w:r w:rsidRPr="00DB1E8E">
              <w:rPr>
                <w:sz w:val="20"/>
                <w:szCs w:val="20"/>
              </w:rPr>
              <w:t>Samp</w:t>
            </w:r>
            <w:proofErr w:type="spellEnd"/>
            <w:r w:rsidRPr="00DB1E8E">
              <w:rPr>
                <w:sz w:val="20"/>
                <w:szCs w:val="20"/>
              </w:rPr>
              <w:t xml:space="preserve">. Red: </w:t>
            </w:r>
            <m:oMath>
              <m:r>
                <m:rPr>
                  <m:sty m:val="p"/>
                </m:rPr>
                <w:rPr>
                  <w:rFonts w:ascii="Cambria Math" w:hAnsi="Cambria Math"/>
                  <w:sz w:val="20"/>
                  <w:szCs w:val="20"/>
                </w:rPr>
                <m:t>&gt;1</m:t>
              </m:r>
              <m:r>
                <w:rPr>
                  <w:rFonts w:ascii="Cambria Math" w:hAnsi="Cambria Math"/>
                  <w:sz w:val="20"/>
                  <w:szCs w:val="20"/>
                </w:rPr>
                <m:t>sd</m:t>
              </m:r>
              <m:r>
                <m:rPr>
                  <m:sty m:val="p"/>
                </m:rPr>
                <w:rPr>
                  <w:rFonts w:ascii="Cambria Math" w:hAnsi="Cambria Math"/>
                  <w:sz w:val="20"/>
                  <w:szCs w:val="20"/>
                </w:rPr>
                <m:t>(</m:t>
              </m:r>
              <m:r>
                <w:rPr>
                  <w:rFonts w:ascii="Cambria Math" w:hAnsi="Cambria Math"/>
                  <w:sz w:val="20"/>
                  <w:szCs w:val="20"/>
                </w:rPr>
                <m:t>WA</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Diff</m:t>
                  </m:r>
                </m:sub>
              </m:sSub>
              <m:r>
                <m:rPr>
                  <m:sty m:val="p"/>
                </m:rPr>
                <w:rPr>
                  <w:rFonts w:ascii="Cambria Math" w:hAnsi="Cambria Math"/>
                  <w:sz w:val="20"/>
                  <w:szCs w:val="20"/>
                </w:rPr>
                <m:t>)</m:t>
              </m:r>
            </m:oMath>
            <w:r w:rsidRPr="00DB1E8E">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r w:rsidRPr="00DB1E8E">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r w:rsidRPr="00DB1E8E">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r>
      <w:tr w:rsidR="00006A4A" w:rsidRPr="00DB1E8E" w:rsidTr="006E3788">
        <w:trPr>
          <w:trHeight w:val="505"/>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proofErr w:type="spellStart"/>
            <w:r w:rsidRPr="00DB1E8E">
              <w:rPr>
                <w:sz w:val="20"/>
                <w:szCs w:val="20"/>
              </w:rPr>
              <w:t>Samp</w:t>
            </w:r>
            <w:proofErr w:type="spellEnd"/>
            <w:r w:rsidRPr="00DB1E8E">
              <w:rPr>
                <w:sz w:val="20"/>
                <w:szCs w:val="20"/>
              </w:rPr>
              <w:t xml:space="preserve">. Red: </w:t>
            </w:r>
            <m:oMath>
              <m:r>
                <m:rPr>
                  <m:sty m:val="p"/>
                </m:rPr>
                <w:rPr>
                  <w:rFonts w:ascii="Cambria Math" w:hAnsi="Cambria Math"/>
                  <w:sz w:val="20"/>
                  <w:szCs w:val="20"/>
                </w:rPr>
                <m:t>&gt;2</m:t>
              </m:r>
              <m:r>
                <w:rPr>
                  <w:rFonts w:ascii="Cambria Math" w:hAnsi="Cambria Math"/>
                  <w:sz w:val="20"/>
                  <w:szCs w:val="20"/>
                </w:rPr>
                <m:t>sd</m:t>
              </m:r>
              <m:r>
                <m:rPr>
                  <m:sty m:val="p"/>
                </m:rPr>
                <w:rPr>
                  <w:rFonts w:ascii="Cambria Math" w:hAnsi="Cambria Math"/>
                  <w:sz w:val="20"/>
                  <w:szCs w:val="20"/>
                </w:rPr>
                <m:t>(</m:t>
              </m:r>
              <m:r>
                <w:rPr>
                  <w:rFonts w:ascii="Cambria Math" w:hAnsi="Cambria Math"/>
                  <w:sz w:val="20"/>
                  <w:szCs w:val="20"/>
                </w:rPr>
                <m:t>WA</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Diff</m:t>
                  </m:r>
                </m:sub>
              </m:sSub>
              <m:r>
                <m:rPr>
                  <m:sty m:val="p"/>
                </m:rPr>
                <w:rPr>
                  <w:rFonts w:ascii="Cambria Math" w:hAnsi="Cambria Math"/>
                  <w:sz w:val="20"/>
                  <w:szCs w:val="20"/>
                </w:rPr>
                <m:t>)</m:t>
              </m:r>
            </m:oMath>
            <w:r w:rsidRPr="00DB1E8E">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r w:rsidRPr="00DB1E8E">
              <w:rPr>
                <w:sz w:val="20"/>
                <w:szCs w:val="20"/>
              </w:rPr>
              <w:t xml:space="preserve">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Pr>
                <w:sz w:val="20"/>
                <w:szCs w:val="20"/>
              </w:rPr>
              <w:t>X</w:t>
            </w:r>
            <w:r w:rsidRPr="00DB1E8E">
              <w:rPr>
                <w:sz w:val="20"/>
                <w:szCs w:val="20"/>
              </w:rPr>
              <w:t xml:space="preserve">  </w:t>
            </w:r>
          </w:p>
        </w:tc>
      </w:tr>
      <w:tr w:rsidR="00006A4A" w:rsidRPr="00DB1E8E" w:rsidTr="006E3788">
        <w:trPr>
          <w:trHeight w:val="239"/>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r>
      <w:tr w:rsidR="00006A4A" w:rsidRPr="00DB1E8E" w:rsidTr="006E3788">
        <w:trPr>
          <w:trHeight w:val="239"/>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R2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0.50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0.50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0.48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0.48 </w:t>
            </w:r>
          </w:p>
        </w:tc>
      </w:tr>
      <w:tr w:rsidR="00006A4A" w:rsidRPr="00DB1E8E" w:rsidTr="006E3788">
        <w:trPr>
          <w:trHeight w:val="239"/>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psuedo-R2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0.98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0.98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0.97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0.97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w:t>
            </w:r>
          </w:p>
        </w:tc>
      </w:tr>
      <w:tr w:rsidR="00006A4A" w:rsidRPr="00DB1E8E" w:rsidTr="006E3788">
        <w:trPr>
          <w:trHeight w:val="252"/>
        </w:trPr>
        <w:tc>
          <w:tcPr>
            <w:tcW w:w="183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lastRenderedPageBreak/>
              <w:t xml:space="preserve">N </w:t>
            </w:r>
          </w:p>
        </w:tc>
        <w:tc>
          <w:tcPr>
            <w:tcW w:w="851"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674645 </w:t>
            </w:r>
          </w:p>
        </w:tc>
        <w:tc>
          <w:tcPr>
            <w:tcW w:w="708"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674645 </w:t>
            </w:r>
          </w:p>
        </w:tc>
        <w:tc>
          <w:tcPr>
            <w:tcW w:w="113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1049366 </w:t>
            </w:r>
          </w:p>
        </w:tc>
        <w:tc>
          <w:tcPr>
            <w:tcW w:w="840"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1049366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465004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465004 </w:t>
            </w:r>
          </w:p>
        </w:tc>
        <w:tc>
          <w:tcPr>
            <w:tcW w:w="1073"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724076 </w:t>
            </w:r>
          </w:p>
        </w:tc>
        <w:tc>
          <w:tcPr>
            <w:tcW w:w="1074" w:type="dxa"/>
            <w:tcBorders>
              <w:top w:val="single" w:sz="4" w:space="0" w:color="auto"/>
              <w:left w:val="single" w:sz="4" w:space="0" w:color="auto"/>
              <w:bottom w:val="single" w:sz="4" w:space="0" w:color="auto"/>
              <w:right w:val="single" w:sz="4" w:space="0" w:color="auto"/>
            </w:tcBorders>
          </w:tcPr>
          <w:p w:rsidR="00006A4A" w:rsidRPr="00DB1E8E" w:rsidRDefault="00006A4A" w:rsidP="006E3788">
            <w:pPr>
              <w:tabs>
                <w:tab w:val="center" w:pos="4800"/>
                <w:tab w:val="right" w:pos="9500"/>
              </w:tabs>
              <w:spacing w:line="240" w:lineRule="auto"/>
              <w:jc w:val="center"/>
              <w:rPr>
                <w:sz w:val="20"/>
                <w:szCs w:val="20"/>
              </w:rPr>
            </w:pPr>
            <w:r w:rsidRPr="00DB1E8E">
              <w:rPr>
                <w:sz w:val="20"/>
                <w:szCs w:val="20"/>
              </w:rPr>
              <w:t xml:space="preserve"> 724076 </w:t>
            </w:r>
          </w:p>
        </w:tc>
      </w:tr>
    </w:tbl>
    <w:p w:rsidR="00006A4A" w:rsidRDefault="00006A4A" w:rsidP="00006A4A">
      <w:pPr>
        <w:tabs>
          <w:tab w:val="center" w:pos="4800"/>
          <w:tab w:val="right" w:pos="9500"/>
        </w:tabs>
        <w:spacing w:line="240" w:lineRule="auto"/>
        <w:rPr>
          <w:rFonts w:ascii="Times New Roman" w:hAnsi="Times New Roman" w:cs="Times New Roman"/>
          <w:noProof/>
        </w:rPr>
      </w:pPr>
      <w:r>
        <w:rPr>
          <w:noProof/>
        </w:rPr>
        <w:t xml:space="preserve">  </w:t>
      </w:r>
    </w:p>
    <w:p w:rsidR="00006A4A" w:rsidRDefault="00006A4A" w:rsidP="00006A4A">
      <w:pPr>
        <w:tabs>
          <w:tab w:val="center" w:pos="4800"/>
          <w:tab w:val="right" w:pos="9500"/>
        </w:tabs>
        <w:spacing w:line="240" w:lineRule="auto"/>
        <w:rPr>
          <w:rFonts w:ascii="Times New Roman" w:hAnsi="Times New Roman" w:cs="Times New Roman"/>
          <w:noProof/>
        </w:rPr>
      </w:pPr>
      <w:r>
        <w:rPr>
          <w:noProof/>
        </w:rPr>
        <w:t xml:space="preserve"> </w:t>
      </w:r>
      <m:oMath>
        <m:sSub>
          <m:sSubPr>
            <m:ctrlPr>
              <w:rPr>
                <w:rFonts w:ascii="Cambria Math" w:hAnsi="Cambria Math"/>
              </w:rPr>
            </m:ctrlPr>
          </m:sSubPr>
          <m:e>
            <m:r>
              <w:rPr>
                <w:rFonts w:ascii="Cambria Math" w:hAnsi="Cambria Math"/>
                <w:noProof/>
              </w:rPr>
              <m:t>Z</m:t>
            </m:r>
          </m:e>
          <m:sub>
            <m:r>
              <w:rPr>
                <w:rFonts w:ascii="Cambria Math" w:hAnsi="Cambria Math"/>
                <w:noProof/>
              </w:rPr>
              <m:t>ijt</m:t>
            </m:r>
          </m:sub>
        </m:sSub>
      </m:oMath>
      <w:r>
        <w:rPr>
          <w:i/>
          <w:iCs/>
          <w:noProof/>
        </w:rPr>
        <w:t xml:space="preserve"> contains controls for GDP and GDP per capita as well as for regional trade agreements between country-pairs. Samp. Red. refers to removing all observations either one or two standard deviations from the mean for the differences in working age population between exporter and importer countries. </w:t>
      </w:r>
      <w:r>
        <w:rPr>
          <w:noProof/>
        </w:rPr>
        <w:t xml:space="preserve"> </w:t>
      </w:r>
    </w:p>
    <w:p w:rsidR="00006A4A" w:rsidRDefault="00006A4A" w:rsidP="00006A4A">
      <w:pPr>
        <w:pStyle w:val="Heading1"/>
        <w:tabs>
          <w:tab w:val="center" w:pos="1125"/>
          <w:tab w:val="center" w:pos="4947"/>
        </w:tabs>
        <w:spacing w:after="378"/>
        <w:ind w:left="0" w:right="0" w:firstLine="0"/>
        <w:jc w:val="left"/>
      </w:pPr>
      <w:r>
        <w:rPr>
          <w:sz w:val="22"/>
        </w:rPr>
        <w:tab/>
      </w:r>
      <w:r>
        <w:rPr>
          <w:sz w:val="29"/>
        </w:rPr>
        <w:t>E.</w:t>
      </w:r>
      <w:r>
        <w:rPr>
          <w:sz w:val="29"/>
        </w:rPr>
        <w:tab/>
        <w:t>R</w:t>
      </w:r>
      <w:r>
        <w:t xml:space="preserve">ESULTS </w:t>
      </w:r>
      <w:r>
        <w:rPr>
          <w:sz w:val="29"/>
        </w:rPr>
        <w:t>W</w:t>
      </w:r>
      <w:r>
        <w:t xml:space="preserve">ITH </w:t>
      </w:r>
      <w:r>
        <w:rPr>
          <w:sz w:val="29"/>
        </w:rPr>
        <w:t>T</w:t>
      </w:r>
      <w:r>
        <w:t xml:space="preserve">RADE </w:t>
      </w:r>
      <w:r>
        <w:rPr>
          <w:sz w:val="29"/>
        </w:rPr>
        <w:t>B</w:t>
      </w:r>
      <w:r>
        <w:t xml:space="preserve">ALANCE AS </w:t>
      </w:r>
      <w:r>
        <w:rPr>
          <w:sz w:val="29"/>
        </w:rPr>
        <w:t>S</w:t>
      </w:r>
      <w:r>
        <w:t xml:space="preserve">HARE OF </w:t>
      </w:r>
      <w:r>
        <w:rPr>
          <w:sz w:val="29"/>
        </w:rPr>
        <w:t>GDP</w:t>
      </w:r>
    </w:p>
    <w:p w:rsidR="00006A4A" w:rsidRDefault="00006A4A" w:rsidP="00006A4A">
      <w:pPr>
        <w:ind w:left="-1" w:right="58"/>
      </w:pPr>
      <w:r>
        <w:t xml:space="preserve">In this section I replicate the results from </w:t>
      </w:r>
      <w:r>
        <w:rPr>
          <w:color w:val="00007F"/>
        </w:rPr>
        <w:t xml:space="preserve">section 4 </w:t>
      </w:r>
      <w:r>
        <w:t xml:space="preserve">when the dependent </w:t>
      </w:r>
      <w:proofErr w:type="gramStart"/>
      <w:r>
        <w:t>variables is</w:t>
      </w:r>
      <w:proofErr w:type="gramEnd"/>
      <w:r>
        <w:t xml:space="preserve"> scaled as a share of exporter GDP. Additionally I now do not control for exporter GDP and GDP per capita on the RHS as in </w:t>
      </w:r>
      <w:r>
        <w:rPr>
          <w:color w:val="00007F"/>
        </w:rPr>
        <w:t>Equation 3</w:t>
      </w:r>
      <w:r>
        <w:t xml:space="preserve">. These results are reported in </w:t>
      </w:r>
      <w:r>
        <w:rPr>
          <w:color w:val="00007F"/>
        </w:rPr>
        <w:t>Table 6</w:t>
      </w:r>
      <w:r>
        <w:t xml:space="preserve">, with the implied coefficients from the polynomial-style demographic controls plotted in </w:t>
      </w:r>
      <w:r>
        <w:rPr>
          <w:color w:val="00007F"/>
        </w:rPr>
        <w:t>Figure 8</w:t>
      </w:r>
      <w:r>
        <w:t>. Similar to in the results on dollar values of trade balances the difference in working age population has a positive correlation, as in the traditional gravity estimations, while the share of retirees is puzzlingly positive. Recall however, that while the difference in WAP was robust to OLS and PPML specifications in the gravity estimates, the sign on the share of old-aged individuals was not.</w:t>
      </w:r>
    </w:p>
    <w:p w:rsidR="00006A4A" w:rsidRDefault="00006A4A" w:rsidP="00006A4A">
      <w:pPr>
        <w:tabs>
          <w:tab w:val="center" w:pos="4800"/>
          <w:tab w:val="right" w:pos="9500"/>
        </w:tabs>
        <w:jc w:val="center"/>
        <w:rPr>
          <w:noProof/>
        </w:rPr>
      </w:pPr>
    </w:p>
    <w:p w:rsidR="00006A4A" w:rsidRDefault="00006A4A" w:rsidP="00006A4A">
      <w:pPr>
        <w:tabs>
          <w:tab w:val="center" w:pos="4800"/>
          <w:tab w:val="right" w:pos="9500"/>
        </w:tabs>
        <w:jc w:val="center"/>
        <w:rPr>
          <w:noProof/>
        </w:rPr>
      </w:pPr>
    </w:p>
    <w:p w:rsidR="00006A4A" w:rsidRPr="00B833FB" w:rsidRDefault="00006A4A" w:rsidP="00006A4A">
      <w:pPr>
        <w:tabs>
          <w:tab w:val="center" w:pos="4800"/>
          <w:tab w:val="right" w:pos="9500"/>
        </w:tabs>
        <w:spacing w:line="240" w:lineRule="auto"/>
        <w:jc w:val="center"/>
        <w:rPr>
          <w:rFonts w:ascii="Times New Roman" w:hAnsi="Times New Roman" w:cs="Times New Roman"/>
          <w:noProof/>
        </w:rPr>
      </w:pPr>
      <w:r>
        <w:rPr>
          <w:noProof/>
        </w:rPr>
        <w:t>Table 6: Gravity Equation of Trade: Full Age Distribution</w:t>
      </w:r>
    </w:p>
    <w:tbl>
      <w:tblPr>
        <w:tblW w:w="0" w:type="auto"/>
        <w:jc w:val="center"/>
        <w:tblLayout w:type="fixed"/>
        <w:tblCellMar>
          <w:left w:w="0" w:type="dxa"/>
          <w:right w:w="0" w:type="dxa"/>
        </w:tblCellMar>
        <w:tblLook w:val="0000" w:firstRow="0" w:lastRow="0" w:firstColumn="0" w:lastColumn="0" w:noHBand="0" w:noVBand="0"/>
      </w:tblPr>
      <w:tblGrid>
        <w:gridCol w:w="2405"/>
        <w:gridCol w:w="1701"/>
        <w:gridCol w:w="1559"/>
        <w:gridCol w:w="1701"/>
        <w:gridCol w:w="1694"/>
      </w:tblGrid>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(1)</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(2)</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(3)</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(4)</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m:oMathPara>
              <m:oMath>
                <m:r>
                  <w:rPr>
                    <w:rFonts w:ascii="Cambria Math" w:hAnsi="Cambria Math"/>
                  </w:rPr>
                  <m:t>T</m:t>
                </m:r>
                <m:sSub>
                  <m:sSubPr>
                    <m:ctrlPr>
                      <w:rPr>
                        <w:rFonts w:ascii="Cambria Math" w:hAnsi="Cambria Math"/>
                      </w:rPr>
                    </m:ctrlPr>
                  </m:sSubPr>
                  <m:e>
                    <m:r>
                      <w:rPr>
                        <w:rFonts w:ascii="Cambria Math" w:hAnsi="Cambria Math"/>
                      </w:rPr>
                      <m:t>B</m:t>
                    </m:r>
                  </m:e>
                  <m:sub>
                    <m:r>
                      <w:rPr>
                        <w:rFonts w:ascii="Cambria Math" w:hAnsi="Cambria Math"/>
                      </w:rPr>
                      <m:t>GDP</m:t>
                    </m:r>
                  </m:sub>
                </m:sSub>
              </m:oMath>
            </m:oMathPara>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m:oMathPara>
              <m:oMath>
                <m:r>
                  <w:rPr>
                    <w:rFonts w:ascii="Cambria Math" w:hAnsi="Cambria Math"/>
                  </w:rPr>
                  <m:t>T</m:t>
                </m:r>
                <m:sSub>
                  <m:sSubPr>
                    <m:ctrlPr>
                      <w:rPr>
                        <w:rFonts w:ascii="Cambria Math" w:hAnsi="Cambria Math"/>
                      </w:rPr>
                    </m:ctrlPr>
                  </m:sSubPr>
                  <m:e>
                    <m:r>
                      <w:rPr>
                        <w:rFonts w:ascii="Cambria Math" w:hAnsi="Cambria Math"/>
                      </w:rPr>
                      <m:t>B</m:t>
                    </m:r>
                  </m:e>
                  <m:sub>
                    <m:r>
                      <w:rPr>
                        <w:rFonts w:ascii="Cambria Math" w:hAnsi="Cambria Math"/>
                      </w:rPr>
                      <m:t>GDP</m:t>
                    </m:r>
                  </m:sub>
                </m:sSub>
              </m:oMath>
            </m:oMathPara>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m:oMathPara>
              <m:oMath>
                <m:r>
                  <w:rPr>
                    <w:rFonts w:ascii="Cambria Math" w:hAnsi="Cambria Math"/>
                  </w:rPr>
                  <m:t>T</m:t>
                </m:r>
                <m:sSub>
                  <m:sSubPr>
                    <m:ctrlPr>
                      <w:rPr>
                        <w:rFonts w:ascii="Cambria Math" w:hAnsi="Cambria Math"/>
                      </w:rPr>
                    </m:ctrlPr>
                  </m:sSubPr>
                  <m:e>
                    <m:r>
                      <w:rPr>
                        <w:rFonts w:ascii="Cambria Math" w:hAnsi="Cambria Math"/>
                      </w:rPr>
                      <m:t>B</m:t>
                    </m:r>
                  </m:e>
                  <m:sub>
                    <m:r>
                      <w:rPr>
                        <w:rFonts w:ascii="Cambria Math" w:hAnsi="Cambria Math"/>
                      </w:rPr>
                      <m:t>GDP</m:t>
                    </m:r>
                  </m:sub>
                </m:sSub>
              </m:oMath>
            </m:oMathPara>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m:oMathPara>
              <m:oMath>
                <m:r>
                  <w:rPr>
                    <w:rFonts w:ascii="Cambria Math" w:hAnsi="Cambria Math"/>
                  </w:rPr>
                  <m:t>T</m:t>
                </m:r>
                <m:sSub>
                  <m:sSubPr>
                    <m:ctrlPr>
                      <w:rPr>
                        <w:rFonts w:ascii="Cambria Math" w:hAnsi="Cambria Math"/>
                      </w:rPr>
                    </m:ctrlPr>
                  </m:sSubPr>
                  <m:e>
                    <m:r>
                      <w:rPr>
                        <w:rFonts w:ascii="Cambria Math" w:hAnsi="Cambria Math"/>
                      </w:rPr>
                      <m:t>B</m:t>
                    </m:r>
                  </m:e>
                  <m:sub>
                    <m:r>
                      <w:rPr>
                        <w:rFonts w:ascii="Cambria Math" w:hAnsi="Cambria Math"/>
                      </w:rPr>
                      <m:t>GDP</m:t>
                    </m:r>
                  </m:sub>
                </m:sSub>
              </m:oMath>
            </m:oMathPara>
          </w:p>
        </w:tc>
      </w:tr>
      <w:tr w:rsidR="00006A4A" w:rsidTr="006E3788">
        <w:trPr>
          <w:trHeight w:val="564"/>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m:oMath>
              <m:r>
                <w:rPr>
                  <w:rFonts w:ascii="Cambria Math" w:hAnsi="Cambria Math"/>
                </w:rPr>
                <m:t>WA</m:t>
              </m:r>
              <m:sSub>
                <m:sSubPr>
                  <m:ctrlPr>
                    <w:rPr>
                      <w:rFonts w:ascii="Cambria Math" w:hAnsi="Cambria Math"/>
                    </w:rPr>
                  </m:ctrlPr>
                </m:sSubPr>
                <m:e>
                  <m:r>
                    <w:rPr>
                      <w:rFonts w:ascii="Cambria Math" w:hAnsi="Cambria Math"/>
                    </w:rPr>
                    <m:t>P</m:t>
                  </m:r>
                </m:e>
                <m:sub>
                  <m:r>
                    <w:rPr>
                      <w:rFonts w:ascii="Cambria Math" w:hAnsi="Cambria Math"/>
                    </w:rPr>
                    <m:t>ex</m:t>
                  </m:r>
                </m:sub>
              </m:sSub>
              <m:r>
                <w:rPr>
                  <w:rFonts w:ascii="Cambria Math" w:hAnsi="Cambria Math"/>
                </w:rPr>
                <m:t>-WA</m:t>
              </m:r>
              <m:sSub>
                <m:sSubPr>
                  <m:ctrlPr>
                    <w:rPr>
                      <w:rFonts w:ascii="Cambria Math" w:hAnsi="Cambria Math"/>
                    </w:rPr>
                  </m:ctrlPr>
                </m:sSubPr>
                <m:e>
                  <m:r>
                    <w:rPr>
                      <w:rFonts w:ascii="Cambria Math" w:hAnsi="Cambria Math"/>
                    </w:rPr>
                    <m:t>P</m:t>
                  </m:r>
                </m:e>
                <m:sub>
                  <m:r>
                    <w:rPr>
                      <w:rFonts w:ascii="Cambria Math" w:hAnsi="Cambria Math"/>
                    </w:rPr>
                    <m:t>im</m:t>
                  </m:r>
                </m:sub>
              </m:sSub>
            </m:oMath>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10D14">
            <w:pPr>
              <w:tabs>
                <w:tab w:val="center" w:pos="4800"/>
                <w:tab w:val="right" w:pos="9500"/>
              </w:tabs>
              <w:spacing w:line="240" w:lineRule="auto"/>
              <w:jc w:val="center"/>
            </w:pPr>
            <w:r>
              <w:t xml:space="preserve"> 0.44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10D14">
            <w:pPr>
              <w:tabs>
                <w:tab w:val="center" w:pos="4800"/>
                <w:tab w:val="right" w:pos="9500"/>
              </w:tabs>
              <w:spacing w:line="240" w:lineRule="auto"/>
              <w:jc w:val="center"/>
            </w:pPr>
            <w:r>
              <w:t xml:space="preserve"> 0.51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(0.09)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(0.09)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r>
      <w:tr w:rsidR="00006A4A" w:rsidTr="006E3788">
        <w:trPr>
          <w:trHeight w:val="564"/>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m:oMathPara>
              <m:oMath>
                <m:r>
                  <w:rPr>
                    <w:rFonts w:ascii="Cambria Math" w:hAnsi="Cambria Math"/>
                  </w:rPr>
                  <m:t>OldAg</m:t>
                </m:r>
                <m:sSub>
                  <m:sSubPr>
                    <m:ctrlPr>
                      <w:rPr>
                        <w:rFonts w:ascii="Cambria Math" w:hAnsi="Cambria Math"/>
                      </w:rPr>
                    </m:ctrlPr>
                  </m:sSubPr>
                  <m:e>
                    <m:r>
                      <w:rPr>
                        <w:rFonts w:ascii="Cambria Math" w:hAnsi="Cambria Math"/>
                      </w:rPr>
                      <m:t>e</m:t>
                    </m:r>
                  </m:e>
                  <m:sub>
                    <m:r>
                      <w:rPr>
                        <w:rFonts w:ascii="Cambria Math" w:hAnsi="Cambria Math"/>
                      </w:rPr>
                      <m:t>ex</m:t>
                    </m:r>
                  </m:sub>
                </m:sSub>
                <m:r>
                  <w:rPr>
                    <w:rFonts w:ascii="Cambria Math" w:hAnsi="Cambria Math"/>
                  </w:rPr>
                  <m:t>-OldAg</m:t>
                </m:r>
                <m:sSub>
                  <m:sSubPr>
                    <m:ctrlPr>
                      <w:rPr>
                        <w:rFonts w:ascii="Cambria Math" w:hAnsi="Cambria Math"/>
                      </w:rPr>
                    </m:ctrlPr>
                  </m:sSubPr>
                  <m:e>
                    <m:r>
                      <w:rPr>
                        <w:rFonts w:ascii="Cambria Math" w:hAnsi="Cambria Math"/>
                      </w:rPr>
                      <m:t>e</m:t>
                    </m:r>
                  </m:e>
                  <m:sub>
                    <m:r>
                      <w:rPr>
                        <w:rFonts w:ascii="Cambria Math" w:hAnsi="Cambria Math"/>
                      </w:rPr>
                      <m:t>im</m:t>
                    </m:r>
                  </m:sub>
                </m:sSub>
              </m:oMath>
            </m:oMathPara>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10D14">
            <w:pPr>
              <w:tabs>
                <w:tab w:val="center" w:pos="4800"/>
                <w:tab w:val="right" w:pos="9500"/>
              </w:tabs>
              <w:spacing w:line="240" w:lineRule="auto"/>
              <w:jc w:val="center"/>
            </w:pPr>
            <w:r>
              <w:t xml:space="preserve"> 1.02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10D14">
            <w:pPr>
              <w:tabs>
                <w:tab w:val="center" w:pos="4800"/>
                <w:tab w:val="right" w:pos="9500"/>
              </w:tabs>
              <w:spacing w:line="240" w:lineRule="auto"/>
              <w:jc w:val="center"/>
            </w:pPr>
            <w:r>
              <w:t xml:space="preserve"> 1.20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(0.25)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(0.21)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D1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10D14">
            <w:pPr>
              <w:tabs>
                <w:tab w:val="center" w:pos="4800"/>
                <w:tab w:val="right" w:pos="9500"/>
              </w:tabs>
              <w:spacing w:line="240" w:lineRule="auto"/>
              <w:jc w:val="center"/>
            </w:pPr>
            <w:r>
              <w:t xml:space="preserve"> -0.31 ^**</w:t>
            </w:r>
          </w:p>
        </w:tc>
      </w:tr>
      <w:tr w:rsidR="00006A4A" w:rsidTr="006E3788">
        <w:trPr>
          <w:trHeight w:val="301"/>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(0.13) </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D2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10D14">
            <w:pPr>
              <w:tabs>
                <w:tab w:val="center" w:pos="4800"/>
                <w:tab w:val="right" w:pos="9500"/>
              </w:tabs>
              <w:spacing w:line="240" w:lineRule="auto"/>
              <w:jc w:val="center"/>
            </w:pPr>
            <w:r>
              <w:t xml:space="preserve"> 0.75 ^***</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(0.22) </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D3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10D14">
            <w:pPr>
              <w:tabs>
                <w:tab w:val="center" w:pos="4800"/>
                <w:tab w:val="right" w:pos="9500"/>
              </w:tabs>
              <w:spacing w:line="240" w:lineRule="auto"/>
              <w:jc w:val="center"/>
            </w:pPr>
            <w:r>
              <w:t xml:space="preserve"> -0.36 ^***</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(0.10) </w:t>
            </w:r>
          </w:p>
        </w:tc>
      </w:tr>
      <w:tr w:rsidR="00006A4A" w:rsidTr="006E3788">
        <w:trPr>
          <w:trHeight w:val="301"/>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roofErr w:type="spellStart"/>
            <w:r>
              <w:t>Z_ijt</w:t>
            </w:r>
            <w:proofErr w:type="spellEnd"/>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X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X</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X</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X</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lastRenderedPageBreak/>
              <w:t xml:space="preserve">Pair FEs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X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X</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X</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X</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Year FEs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X</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X</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X</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X</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F-stat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30.75 </w:t>
            </w:r>
          </w:p>
        </w:tc>
      </w:tr>
      <w:tr w:rsidR="00006A4A" w:rsidTr="006E3788">
        <w:trPr>
          <w:trHeight w:val="301"/>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R2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0.33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0.33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0.33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0.33 </w:t>
            </w:r>
          </w:p>
        </w:tc>
      </w:tr>
      <w:tr w:rsidR="00006A4A" w:rsidTr="006E3788">
        <w:trPr>
          <w:trHeight w:val="288"/>
          <w:jc w:val="center"/>
        </w:trPr>
        <w:tc>
          <w:tcPr>
            <w:tcW w:w="2405"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N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749736 </w:t>
            </w:r>
          </w:p>
        </w:tc>
        <w:tc>
          <w:tcPr>
            <w:tcW w:w="1559"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749736 </w:t>
            </w:r>
          </w:p>
        </w:tc>
        <w:tc>
          <w:tcPr>
            <w:tcW w:w="1701"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749736 </w:t>
            </w:r>
          </w:p>
        </w:tc>
        <w:tc>
          <w:tcPr>
            <w:tcW w:w="1694" w:type="dxa"/>
            <w:tcBorders>
              <w:top w:val="single" w:sz="4" w:space="0" w:color="auto"/>
              <w:left w:val="single" w:sz="4" w:space="0" w:color="auto"/>
              <w:bottom w:val="single" w:sz="4" w:space="0" w:color="auto"/>
              <w:right w:val="single" w:sz="4" w:space="0" w:color="auto"/>
            </w:tcBorders>
          </w:tcPr>
          <w:p w:rsidR="00006A4A" w:rsidRDefault="00006A4A" w:rsidP="006E3788">
            <w:pPr>
              <w:tabs>
                <w:tab w:val="center" w:pos="4800"/>
                <w:tab w:val="right" w:pos="9500"/>
              </w:tabs>
              <w:spacing w:line="240" w:lineRule="auto"/>
              <w:jc w:val="center"/>
            </w:pPr>
            <w:r>
              <w:t xml:space="preserve"> 749736 </w:t>
            </w:r>
          </w:p>
        </w:tc>
      </w:tr>
    </w:tbl>
    <w:p w:rsidR="00006A4A" w:rsidRDefault="00006A4A" w:rsidP="00006A4A">
      <w:pPr>
        <w:tabs>
          <w:tab w:val="center" w:pos="4800"/>
          <w:tab w:val="right" w:pos="9500"/>
        </w:tabs>
        <w:spacing w:line="240" w:lineRule="auto"/>
        <w:jc w:val="center"/>
        <w:rPr>
          <w:rFonts w:ascii="Times New Roman" w:hAnsi="Times New Roman" w:cs="Times New Roman"/>
          <w:noProof/>
        </w:rPr>
      </w:pPr>
      <w:r>
        <w:t xml:space="preserve"> </w:t>
      </w:r>
      <w:r>
        <w:rPr>
          <w:noProof/>
          <w:sz w:val="16"/>
          <w:szCs w:val="16"/>
        </w:rPr>
        <w:t xml:space="preserve"> </w:t>
      </w:r>
    </w:p>
    <w:p w:rsidR="00006A4A" w:rsidRDefault="00006A4A" w:rsidP="00006A4A">
      <w:pPr>
        <w:tabs>
          <w:tab w:val="center" w:pos="4800"/>
          <w:tab w:val="right" w:pos="9500"/>
        </w:tabs>
        <w:spacing w:line="240" w:lineRule="auto"/>
        <w:rPr>
          <w:rFonts w:ascii="Times New Roman" w:hAnsi="Times New Roman" w:cs="Times New Roman"/>
          <w:noProof/>
        </w:rPr>
      </w:pPr>
      <w:r>
        <w:rPr>
          <w:noProof/>
        </w:rPr>
        <w:t xml:space="preserve"> </w:t>
      </w:r>
      <w:r>
        <w:rPr>
          <w:i/>
          <w:iCs/>
          <w:noProof/>
        </w:rPr>
        <w:t xml:space="preserve">Coefficients and standard errors for D2/D3 scaled by 10/100 respectively to improve readability. F-stat is the F statistic resulting from a test of joint significance of three demographic variables. </w:t>
      </w:r>
      <m:oMath>
        <m:sSub>
          <m:sSubPr>
            <m:ctrlPr>
              <w:rPr>
                <w:rFonts w:ascii="Cambria Math" w:hAnsi="Cambria Math"/>
              </w:rPr>
            </m:ctrlPr>
          </m:sSubPr>
          <m:e>
            <m:r>
              <w:rPr>
                <w:rFonts w:ascii="Cambria Math" w:hAnsi="Cambria Math"/>
                <w:noProof/>
              </w:rPr>
              <m:t>Z</m:t>
            </m:r>
          </m:e>
          <m:sub>
            <m:r>
              <w:rPr>
                <w:rFonts w:ascii="Cambria Math" w:hAnsi="Cambria Math"/>
                <w:noProof/>
              </w:rPr>
              <m:t>ijt</m:t>
            </m:r>
          </m:sub>
        </m:sSub>
      </m:oMath>
      <w:r>
        <w:rPr>
          <w:i/>
          <w:iCs/>
          <w:noProof/>
        </w:rPr>
        <w:t xml:space="preserve"> contains controls for GDP and GDP per capita for both countries as well as regional trade agreements between the country-pair. </w:t>
      </w:r>
      <w:r>
        <w:rPr>
          <w:noProof/>
        </w:rPr>
        <w:t xml:space="preserve"> </w:t>
      </w:r>
    </w:p>
    <w:p w:rsidR="00006A4A" w:rsidRDefault="00006A4A" w:rsidP="00006A4A">
      <w:pPr>
        <w:spacing w:after="0"/>
        <w:ind w:left="-2" w:right="58" w:firstLine="351"/>
      </w:pPr>
      <w:r>
        <w:t xml:space="preserve">The implication of the </w:t>
      </w:r>
      <w:r>
        <w:rPr>
          <w:color w:val="00007F"/>
        </w:rPr>
        <w:t xml:space="preserve">Fair and Dominguez </w:t>
      </w:r>
      <w:r>
        <w:t>(</w:t>
      </w:r>
      <w:r>
        <w:rPr>
          <w:color w:val="00007F"/>
        </w:rPr>
        <w:t>1991</w:t>
      </w:r>
      <w:r>
        <w:t xml:space="preserve">) style polynomial results are slightly different than when looking at the dollar value of trade flues. Results suggest that middle aged economies have strong positive trade balances, with younger trading partners tending to have </w:t>
      </w:r>
      <w:proofErr w:type="gramStart"/>
      <w:r>
        <w:t>a large deficits</w:t>
      </w:r>
      <w:proofErr w:type="gramEnd"/>
      <w:r>
        <w:t xml:space="preserve">. Older age groups now return to a noisily estimated negative coefficient only for the oldest group. Notably this shape is nearly identical to the current account relationship studied in </w:t>
      </w:r>
      <w:r>
        <w:rPr>
          <w:color w:val="00007F"/>
        </w:rPr>
        <w:t xml:space="preserve">Higgins </w:t>
      </w:r>
      <w:r>
        <w:t>(</w:t>
      </w:r>
      <w:r>
        <w:rPr>
          <w:color w:val="00007F"/>
        </w:rPr>
        <w:t>1998</w:t>
      </w:r>
      <w:r>
        <w:t xml:space="preserve">). This trade balance does not include other income and transfer flows in the current account, and is estimated on trading pairs rather than on net balances with the rest of the world as in </w:t>
      </w:r>
      <w:r>
        <w:rPr>
          <w:color w:val="00007F"/>
        </w:rPr>
        <w:t>Higgins (1998)</w:t>
      </w:r>
      <w:r>
        <w:t>, but likely is consistent with the broader financial picture of older middle-aged</w:t>
      </w:r>
    </w:p>
    <w:p w:rsidR="00006A4A" w:rsidRDefault="00006A4A" w:rsidP="00006A4A">
      <w:pPr>
        <w:spacing w:after="123" w:line="265" w:lineRule="auto"/>
        <w:ind w:left="10" w:right="93" w:hanging="10"/>
        <w:jc w:val="center"/>
      </w:pPr>
      <w:r>
        <w:rPr>
          <w:b/>
        </w:rPr>
        <w:t xml:space="preserve">Figure 8: </w:t>
      </w:r>
      <w:r>
        <w:rPr>
          <w:i/>
        </w:rPr>
        <w:t>Age Specific Coefficients</w:t>
      </w:r>
    </w:p>
    <w:p w:rsidR="00006A4A" w:rsidRDefault="00006A4A" w:rsidP="00006A4A">
      <w:pPr>
        <w:spacing w:after="123" w:line="259" w:lineRule="auto"/>
        <w:ind w:left="1165"/>
      </w:pPr>
      <w:r>
        <w:rPr>
          <w:noProof/>
          <w:lang w:eastAsia="en-IN"/>
        </w:rPr>
        <w:drawing>
          <wp:inline distT="0" distB="0" distL="0" distR="0" wp14:anchorId="78D61AC3" wp14:editId="48CD92B1">
            <wp:extent cx="4501896" cy="2712720"/>
            <wp:effectExtent l="0" t="0" r="0" b="0"/>
            <wp:docPr id="76118" name="Picture 76118"/>
            <wp:cNvGraphicFramePr/>
            <a:graphic xmlns:a="http://schemas.openxmlformats.org/drawingml/2006/main">
              <a:graphicData uri="http://schemas.openxmlformats.org/drawingml/2006/picture">
                <pic:pic xmlns:pic="http://schemas.openxmlformats.org/drawingml/2006/picture">
                  <pic:nvPicPr>
                    <pic:cNvPr id="76118" name="Picture 76118"/>
                    <pic:cNvPicPr/>
                  </pic:nvPicPr>
                  <pic:blipFill>
                    <a:blip r:embed="rId16"/>
                    <a:stretch>
                      <a:fillRect/>
                    </a:stretch>
                  </pic:blipFill>
                  <pic:spPr>
                    <a:xfrm>
                      <a:off x="0" y="0"/>
                      <a:ext cx="4501896" cy="2712720"/>
                    </a:xfrm>
                    <a:prstGeom prst="rect">
                      <a:avLst/>
                    </a:prstGeom>
                  </pic:spPr>
                </pic:pic>
              </a:graphicData>
            </a:graphic>
          </wp:inline>
        </w:drawing>
      </w:r>
    </w:p>
    <w:tbl>
      <w:tblPr>
        <w:tblStyle w:val="TableGrid"/>
        <w:tblW w:w="6631" w:type="dxa"/>
        <w:tblInd w:w="1548" w:type="dxa"/>
        <w:tblCellMar>
          <w:top w:w="99" w:type="dxa"/>
          <w:left w:w="76" w:type="dxa"/>
          <w:right w:w="4" w:type="dxa"/>
        </w:tblCellMar>
        <w:tblLook w:val="04A0" w:firstRow="1" w:lastRow="0" w:firstColumn="1" w:lastColumn="0" w:noHBand="0" w:noVBand="1"/>
      </w:tblPr>
      <w:tblGrid>
        <w:gridCol w:w="6631"/>
      </w:tblGrid>
      <w:tr w:rsidR="00006A4A" w:rsidTr="006E3788">
        <w:trPr>
          <w:trHeight w:val="606"/>
        </w:trPr>
        <w:tc>
          <w:tcPr>
            <w:tcW w:w="6631" w:type="dxa"/>
            <w:tcBorders>
              <w:top w:val="single" w:sz="4" w:space="0" w:color="000000"/>
              <w:left w:val="single" w:sz="4" w:space="0" w:color="000000"/>
              <w:bottom w:val="single" w:sz="4" w:space="0" w:color="000000"/>
              <w:right w:val="single" w:sz="4" w:space="0" w:color="000000"/>
            </w:tcBorders>
          </w:tcPr>
          <w:p w:rsidR="00006A4A" w:rsidRDefault="00006A4A" w:rsidP="006E3788">
            <w:pPr>
              <w:tabs>
                <w:tab w:val="center" w:pos="1846"/>
                <w:tab w:val="right" w:pos="6551"/>
              </w:tabs>
              <w:spacing w:after="36" w:line="259" w:lineRule="auto"/>
            </w:pPr>
            <w:r>
              <w:rPr>
                <w:noProof/>
                <w:lang w:eastAsia="en-IN"/>
              </w:rPr>
              <mc:AlternateContent>
                <mc:Choice Requires="wpg">
                  <w:drawing>
                    <wp:anchor distT="0" distB="0" distL="114300" distR="114300" simplePos="0" relativeHeight="251660288" behindDoc="0" locked="0" layoutInCell="1" allowOverlap="1" wp14:anchorId="2B67890C" wp14:editId="3E0158EB">
                      <wp:simplePos x="0" y="0"/>
                      <wp:positionH relativeFrom="column">
                        <wp:posOffset>48422</wp:posOffset>
                      </wp:positionH>
                      <wp:positionV relativeFrom="paragraph">
                        <wp:posOffset>18916</wp:posOffset>
                      </wp:positionV>
                      <wp:extent cx="420849" cy="226256"/>
                      <wp:effectExtent l="0" t="0" r="0" b="0"/>
                      <wp:wrapSquare wrapText="bothSides"/>
                      <wp:docPr id="68041" name="Group 68041"/>
                      <wp:cNvGraphicFramePr/>
                      <a:graphic xmlns:a="http://schemas.openxmlformats.org/drawingml/2006/main">
                        <a:graphicData uri="http://schemas.microsoft.com/office/word/2010/wordprocessingGroup">
                          <wpg:wgp>
                            <wpg:cNvGrpSpPr/>
                            <wpg:grpSpPr>
                              <a:xfrm>
                                <a:off x="0" y="0"/>
                                <a:ext cx="420849" cy="226256"/>
                                <a:chOff x="0" y="0"/>
                                <a:chExt cx="420849" cy="226256"/>
                              </a:xfrm>
                            </wpg:grpSpPr>
                            <wps:wsp>
                              <wps:cNvPr id="8404" name="Shape 8404"/>
                              <wps:cNvSpPr/>
                              <wps:spPr>
                                <a:xfrm>
                                  <a:off x="0" y="26461"/>
                                  <a:ext cx="420849" cy="0"/>
                                </a:xfrm>
                                <a:custGeom>
                                  <a:avLst/>
                                  <a:gdLst/>
                                  <a:ahLst/>
                                  <a:cxnLst/>
                                  <a:rect l="0" t="0" r="0" b="0"/>
                                  <a:pathLst>
                                    <a:path w="420849">
                                      <a:moveTo>
                                        <a:pt x="0" y="0"/>
                                      </a:moveTo>
                                      <a:lnTo>
                                        <a:pt x="420849" y="0"/>
                                      </a:lnTo>
                                    </a:path>
                                  </a:pathLst>
                                </a:custGeom>
                                <a:ln w="10379" cap="flat">
                                  <a:miter lim="127000"/>
                                </a:ln>
                              </wps:spPr>
                              <wps:style>
                                <a:lnRef idx="1">
                                  <a:srgbClr val="ADD8E6"/>
                                </a:lnRef>
                                <a:fillRef idx="0">
                                  <a:srgbClr val="000000">
                                    <a:alpha val="0"/>
                                  </a:srgbClr>
                                </a:fillRef>
                                <a:effectRef idx="0">
                                  <a:scrgbClr r="0" g="0" b="0"/>
                                </a:effectRef>
                                <a:fontRef idx="none"/>
                              </wps:style>
                              <wps:bodyPr/>
                            </wps:wsp>
                            <wps:wsp>
                              <wps:cNvPr id="8405" name="Shape 8405"/>
                              <wps:cNvSpPr/>
                              <wps:spPr>
                                <a:xfrm>
                                  <a:off x="0" y="0"/>
                                  <a:ext cx="0" cy="52922"/>
                                </a:xfrm>
                                <a:custGeom>
                                  <a:avLst/>
                                  <a:gdLst/>
                                  <a:ahLst/>
                                  <a:cxnLst/>
                                  <a:rect l="0" t="0" r="0" b="0"/>
                                  <a:pathLst>
                                    <a:path h="52922">
                                      <a:moveTo>
                                        <a:pt x="0" y="52922"/>
                                      </a:moveTo>
                                      <a:lnTo>
                                        <a:pt x="0" y="0"/>
                                      </a:lnTo>
                                    </a:path>
                                  </a:pathLst>
                                </a:custGeom>
                                <a:ln w="10379" cap="flat">
                                  <a:miter lim="127000"/>
                                </a:ln>
                              </wps:spPr>
                              <wps:style>
                                <a:lnRef idx="1">
                                  <a:srgbClr val="ADD8E6"/>
                                </a:lnRef>
                                <a:fillRef idx="0">
                                  <a:srgbClr val="000000">
                                    <a:alpha val="0"/>
                                  </a:srgbClr>
                                </a:fillRef>
                                <a:effectRef idx="0">
                                  <a:scrgbClr r="0" g="0" b="0"/>
                                </a:effectRef>
                                <a:fontRef idx="none"/>
                              </wps:style>
                              <wps:bodyPr/>
                            </wps:wsp>
                            <wps:wsp>
                              <wps:cNvPr id="8406" name="Shape 8406"/>
                              <wps:cNvSpPr/>
                              <wps:spPr>
                                <a:xfrm>
                                  <a:off x="420849" y="0"/>
                                  <a:ext cx="0" cy="52922"/>
                                </a:xfrm>
                                <a:custGeom>
                                  <a:avLst/>
                                  <a:gdLst/>
                                  <a:ahLst/>
                                  <a:cxnLst/>
                                  <a:rect l="0" t="0" r="0" b="0"/>
                                  <a:pathLst>
                                    <a:path h="52922">
                                      <a:moveTo>
                                        <a:pt x="0" y="52922"/>
                                      </a:moveTo>
                                      <a:lnTo>
                                        <a:pt x="0" y="0"/>
                                      </a:lnTo>
                                    </a:path>
                                  </a:pathLst>
                                </a:custGeom>
                                <a:ln w="10379" cap="flat">
                                  <a:miter lim="127000"/>
                                </a:ln>
                              </wps:spPr>
                              <wps:style>
                                <a:lnRef idx="1">
                                  <a:srgbClr val="ADD8E6"/>
                                </a:lnRef>
                                <a:fillRef idx="0">
                                  <a:srgbClr val="000000">
                                    <a:alpha val="0"/>
                                  </a:srgbClr>
                                </a:fillRef>
                                <a:effectRef idx="0">
                                  <a:scrgbClr r="0" g="0" b="0"/>
                                </a:effectRef>
                                <a:fontRef idx="none"/>
                              </wps:style>
                              <wps:bodyPr/>
                            </wps:wsp>
                            <wps:wsp>
                              <wps:cNvPr id="8410" name="Shape 8410"/>
                              <wps:cNvSpPr/>
                              <wps:spPr>
                                <a:xfrm>
                                  <a:off x="178835" y="162928"/>
                                  <a:ext cx="63328" cy="63328"/>
                                </a:xfrm>
                                <a:custGeom>
                                  <a:avLst/>
                                  <a:gdLst/>
                                  <a:ahLst/>
                                  <a:cxnLst/>
                                  <a:rect l="0" t="0" r="0" b="0"/>
                                  <a:pathLst>
                                    <a:path w="63328" h="63328">
                                      <a:moveTo>
                                        <a:pt x="31664" y="0"/>
                                      </a:moveTo>
                                      <a:cubicBezTo>
                                        <a:pt x="49143" y="0"/>
                                        <a:pt x="63328" y="14186"/>
                                        <a:pt x="63328" y="31664"/>
                                      </a:cubicBezTo>
                                      <a:cubicBezTo>
                                        <a:pt x="63328" y="49143"/>
                                        <a:pt x="49143" y="63328"/>
                                        <a:pt x="31664" y="63328"/>
                                      </a:cubicBezTo>
                                      <a:cubicBezTo>
                                        <a:pt x="14185" y="63328"/>
                                        <a:pt x="0" y="49143"/>
                                        <a:pt x="0" y="31664"/>
                                      </a:cubicBezTo>
                                      <a:cubicBezTo>
                                        <a:pt x="0" y="14186"/>
                                        <a:pt x="14185" y="0"/>
                                        <a:pt x="31664" y="0"/>
                                      </a:cubicBezTo>
                                      <a:close/>
                                    </a:path>
                                  </a:pathLst>
                                </a:custGeom>
                                <a:ln w="0" cap="flat">
                                  <a:miter lim="127000"/>
                                </a:ln>
                              </wps:spPr>
                              <wps:style>
                                <a:lnRef idx="0">
                                  <a:srgbClr val="000000">
                                    <a:alpha val="0"/>
                                  </a:srgbClr>
                                </a:lnRef>
                                <a:fillRef idx="1">
                                  <a:srgbClr val="0080FF"/>
                                </a:fillRef>
                                <a:effectRef idx="0">
                                  <a:scrgbClr r="0" g="0" b="0"/>
                                </a:effectRef>
                                <a:fontRef idx="none"/>
                              </wps:style>
                              <wps:bodyPr/>
                            </wps:wsp>
                            <wps:wsp>
                              <wps:cNvPr id="8411" name="Shape 8411"/>
                              <wps:cNvSpPr/>
                              <wps:spPr>
                                <a:xfrm>
                                  <a:off x="184024" y="168118"/>
                                  <a:ext cx="52949" cy="52949"/>
                                </a:xfrm>
                                <a:custGeom>
                                  <a:avLst/>
                                  <a:gdLst/>
                                  <a:ahLst/>
                                  <a:cxnLst/>
                                  <a:rect l="0" t="0" r="0" b="0"/>
                                  <a:pathLst>
                                    <a:path w="52949" h="52949">
                                      <a:moveTo>
                                        <a:pt x="0" y="26475"/>
                                      </a:moveTo>
                                      <a:cubicBezTo>
                                        <a:pt x="0" y="11861"/>
                                        <a:pt x="11861" y="0"/>
                                        <a:pt x="26475" y="0"/>
                                      </a:cubicBezTo>
                                      <a:cubicBezTo>
                                        <a:pt x="41089" y="0"/>
                                        <a:pt x="52949" y="11861"/>
                                        <a:pt x="52949" y="26475"/>
                                      </a:cubicBezTo>
                                      <a:cubicBezTo>
                                        <a:pt x="52949" y="41089"/>
                                        <a:pt x="41089" y="52949"/>
                                        <a:pt x="26475" y="52949"/>
                                      </a:cubicBezTo>
                                      <a:cubicBezTo>
                                        <a:pt x="11861" y="52949"/>
                                        <a:pt x="0" y="41089"/>
                                        <a:pt x="0" y="26475"/>
                                      </a:cubicBezTo>
                                    </a:path>
                                  </a:pathLst>
                                </a:custGeom>
                                <a:ln w="10379" cap="flat">
                                  <a:miter lim="127000"/>
                                </a:ln>
                              </wps:spPr>
                              <wps:style>
                                <a:lnRef idx="1">
                                  <a:srgbClr val="0080FF"/>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00940D" id="Group 68041" o:spid="_x0000_s1026" style="position:absolute;margin-left:3.8pt;margin-top:1.5pt;width:33.15pt;height:17.8pt;z-index:251660288" coordsize="420849,22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4hCRQQAAEkVAAAOAAAAZHJzL2Uyb0RvYy54bWzsWNtu4zYQfS/QfxD03liSFUUxYi/aZpOX&#10;orvobj+AoSlLgCQKJGM7/foOhxfd3MC7adMWmxeb17kccs4MdfPu2NTBnglZ8XYdxhdRGLCW8m3V&#10;7tbh75/vfsjDQCrSbknNW7YOn5gM322+/+7m0K1Ywkteb5kIQEgrV4duHZZKdavFQtKSNURe8I61&#10;MFlw0RAFXbFbbAU5gPSmXiRRlC0OXGw7wSmTEkZvzWS4QflFwaj6UBSSqaBeh2Cbwl+Bvw/6d7G5&#10;IaudIF1ZUWsG+QorGlK1oNSLuiWKBI+imolqKiq45IW6oLxZ8KKoKEMfwJs4mnhzL/hjh77sVodd&#10;52ECaCc4fbVY+uv+owiq7TrM8iiNw6AlDRwTag7MEEB06HYrWHkvuk/dR2EHdqanvT4WotH/4E9w&#10;RHCfPLjsqAIKg2kS5el1GFCYSpIsucwM+LSEE5rtouX7Z/ctnNKFts2bcujgGskeKfkypD6VpGN4&#10;AFL7b5HK0yh1QOGKAEcQFlznQZIrCXj9JUJJlmaxQeEUSng7vaNkRR+lumcckSb7X6Qyl3frWqR0&#10;LXpsXVNACDx7+Tui9D5tpG4GB39Ueqjhe/aZ46SaHBJY1s/W7XCVO2t3C2CpWQANrWRzYxuoGNpD&#10;1+pW2xBHyyt9WwiQQlEThdHVVArYoq4amE+uosghVLcgUZ+9gRtb6qlm2u66/Y0VcMPhCsYoRIrd&#10;w8+1CPYEOOHH29v8Pd5EtBGW6j1FVdd+VzTfBZq1cr2U1F1JjCxnjVWATlpJeiVDOpqKpdYaw0kQ&#10;2cBSjpnAJL8JzeKt8vtb4FN9d4zfxlvt+APfPmGM4gQEgw7f14mKy1lUXGoLtXqInnOjwpKyiwjA&#10;Q1PGZXKdJOivi/zxrfnnAqJ0yvUR9De+G8TD0Lh+xTgmwI+3cPimwiGbhQMSzdnhMGVRYAObE99i&#10;4i1FmOL1f5YiYri5psJ0hROMfEmKiK/yfAl5Bqg0ziAl5Hp3HxjZcglDmDBMUyfI104YUL1YOyB1&#10;mNap1LGMswzqyEFS6FMHfXyo6E/sj1FRdR2ny349VFKYgawqDUga57aonk4ZXQaMsexxb7ovRZ0I&#10;sZkyA9poj68zpPfHTwH0Y/njnhGpzTYn6vc5kSZnzowww1/mk9kzg6hXbssOY1PviyvqxpbTmktm&#10;4DyzngX9f2st+6KqFGtirCiHhe6J8jiK8ujuzpZd31Lyjv1T2BMVvtTOTt4xvAkTE95xlsfxhKig&#10;YnSPYdP8l4jK2mFqXLDoFFGZ0IHH6hWW8xDUzxOVDTUgI/u4tXGOA57vXIwbuX74LMpI4yiHx6Gj&#10;TifKOqOpcKq8nxr6MQnqE6Tb7zM6h1TojTCLBlO9T37qLL+M2dovv8/5ZkCdGTE/m6FPoPRMenql&#10;5/aIT06z0IuI7T9BUfhJCr7XYelhvy3qD4LDPr7b+y+gmz8BAAD//wMAUEsDBBQABgAIAAAAIQC6&#10;yeqc3AAAAAUBAAAPAAAAZHJzL2Rvd25yZXYueG1sTI9BS8NAFITvgv9heYI3u4nBtE2zKaWopyLY&#10;CuJtm31NQrNvQ3abpP/e58kehxlmvsnXk23FgL1vHCmIZxEIpNKZhioFX4e3pwUIHzQZ3TpCBVf0&#10;sC7u73KdGTfSJw77UAkuIZ9pBXUIXSalL2u02s9ch8TeyfVWB5Z9JU2vRy63rXyOolRa3RAv1LrD&#10;bY3leX+xCt5HPW6S+HXYnU/b68/h5eN7F6NSjw/TZgUi4BT+w/CHz+hQMNPRXch40SqYpxxUkPAh&#10;dufJEsSR5SIFWeTylr74BQAA//8DAFBLAQItABQABgAIAAAAIQC2gziS/gAAAOEBAAATAAAAAAAA&#10;AAAAAAAAAAAAAABbQ29udGVudF9UeXBlc10ueG1sUEsBAi0AFAAGAAgAAAAhADj9If/WAAAAlAEA&#10;AAsAAAAAAAAAAAAAAAAALwEAAF9yZWxzLy5yZWxzUEsBAi0AFAAGAAgAAAAhADojiEJFBAAASRUA&#10;AA4AAAAAAAAAAAAAAAAALgIAAGRycy9lMm9Eb2MueG1sUEsBAi0AFAAGAAgAAAAhALrJ6pzcAAAA&#10;BQEAAA8AAAAAAAAAAAAAAAAAnwYAAGRycy9kb3ducmV2LnhtbFBLBQYAAAAABAAEAPMAAACoBwAA&#10;AAA=&#10;">
                      <v:shape id="Shape 8404" o:spid="_x0000_s1027" style="position:absolute;top:26461;width:420849;height:0;visibility:visible;mso-wrap-style:square;v-text-anchor:top" coordsize="420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b//wwAAAN0AAAAPAAAAZHJzL2Rvd25yZXYueG1sRI9BawIx&#10;EIXvBf9DGKG3mliWVlajiCKKnroKXofNuFncTJZNum7/vSkUeny8ed+bt1gNrhE9daH2rGE6USCI&#10;S29qrjRczru3GYgQkQ02nknDDwVYLUcvC8yNf/AX9UWsRIJwyFGDjbHNpQylJYdh4lvi5N185zAm&#10;2VXSdPhIcNfId6U+pMOaU4PFljaWynvx7dIbx/2VTuHEhVHbzF8L7D/tUevX8bCeg4g0xP/jv/TB&#10;aJhlKoPfNQkBcvkEAAD//wMAUEsBAi0AFAAGAAgAAAAhANvh9svuAAAAhQEAABMAAAAAAAAAAAAA&#10;AAAAAAAAAFtDb250ZW50X1R5cGVzXS54bWxQSwECLQAUAAYACAAAACEAWvQsW78AAAAVAQAACwAA&#10;AAAAAAAAAAAAAAAfAQAAX3JlbHMvLnJlbHNQSwECLQAUAAYACAAAACEAlom//8MAAADdAAAADwAA&#10;AAAAAAAAAAAAAAAHAgAAZHJzL2Rvd25yZXYueG1sUEsFBgAAAAADAAMAtwAAAPcCAAAAAA==&#10;" path="m,l420849,e" filled="f" strokecolor="#a8d4e2" strokeweight=".28831mm">
                        <v:stroke miterlimit="83231f" joinstyle="miter"/>
                        <v:path arrowok="t" textboxrect="0,0,420849,0"/>
                      </v:shape>
                      <v:shape id="Shape 8405" o:spid="_x0000_s1028" style="position:absolute;width:0;height:52922;visibility:visible;mso-wrap-style:square;v-text-anchor:top" coordsize="0,5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aY9yAAAAN0AAAAPAAAAZHJzL2Rvd25yZXYueG1sRI9La8Mw&#10;EITvhf4HsYVeSiOnL4IbJYRSQw255EFIb4u1sUyslWqpsfPvo0Chx2FmvmGm88G24kRdaBwrGI8y&#10;EMSV0w3XCrab4nECIkRkja1jUnCmAPPZ7c0Uc+16XtFpHWuRIBxyVGBi9LmUoTJkMYycJ07ewXUW&#10;Y5JdLXWHfYLbVj5l2Zu02HBaMOjpw1B1XP9aBYvysHsuf47jYl/6zwdTfC/b3it1fzcs3kFEGuJ/&#10;+K/9pRVMXrJXuL5JT0DOLgAAAP//AwBQSwECLQAUAAYACAAAACEA2+H2y+4AAACFAQAAEwAAAAAA&#10;AAAAAAAAAAAAAAAAW0NvbnRlbnRfVHlwZXNdLnhtbFBLAQItABQABgAIAAAAIQBa9CxbvwAAABUB&#10;AAALAAAAAAAAAAAAAAAAAB8BAABfcmVscy8ucmVsc1BLAQItABQABgAIAAAAIQA5taY9yAAAAN0A&#10;AAAPAAAAAAAAAAAAAAAAAAcCAABkcnMvZG93bnJldi54bWxQSwUGAAAAAAMAAwC3AAAA/AIAAAAA&#10;" path="m,52922l,e" filled="f" strokecolor="#a8d4e2" strokeweight=".28831mm">
                        <v:stroke miterlimit="83231f" joinstyle="miter"/>
                        <v:path arrowok="t" textboxrect="0,0,0,52922"/>
                      </v:shape>
                      <v:shape id="Shape 8406" o:spid="_x0000_s1029" style="position:absolute;left:420849;width:0;height:52922;visibility:visible;mso-wrap-style:square;v-text-anchor:top" coordsize="0,5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hKyAAAAN0AAAAPAAAAZHJzL2Rvd25yZXYueG1sRI9BS8NA&#10;FITvgv9heYIXsZtaCSV2W4o0YKAXq4jeHtnXbGj27Ta7Num/7wpCj8PMfMMsVqPtxIn60DpWMJ1k&#10;IIhrp1tuFHx+lI9zECEia+wck4IzBVgtb28WWGg38DuddrERCcKhQAUmRl9IGWpDFsPEeeLk7V1v&#10;MSbZN1L3OCS47eRTluXSYstpwaCnV0P1YfdrFayr/desOh6m5XflNw+m/Nl2g1fq/m5cv4CINMZr&#10;+L/9phXMn7Mc/t6kJyCXFwAAAP//AwBQSwECLQAUAAYACAAAACEA2+H2y+4AAACFAQAAEwAAAAAA&#10;AAAAAAAAAAAAAAAAW0NvbnRlbnRfVHlwZXNdLnhtbFBLAQItABQABgAIAAAAIQBa9CxbvwAAABUB&#10;AAALAAAAAAAAAAAAAAAAAB8BAABfcmVscy8ucmVsc1BLAQItABQABgAIAAAAIQDJZzhKyAAAAN0A&#10;AAAPAAAAAAAAAAAAAAAAAAcCAABkcnMvZG93bnJldi54bWxQSwUGAAAAAAMAAwC3AAAA/AIAAAAA&#10;" path="m,52922l,e" filled="f" strokecolor="#a8d4e2" strokeweight=".28831mm">
                        <v:stroke miterlimit="83231f" joinstyle="miter"/>
                        <v:path arrowok="t" textboxrect="0,0,0,52922"/>
                      </v:shape>
                      <v:shape id="Shape 8410" o:spid="_x0000_s1030" style="position:absolute;left:178835;top:162928;width:63328;height:63328;visibility:visible;mso-wrap-style:square;v-text-anchor:top" coordsize="63328,6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oYswgAAAN0AAAAPAAAAZHJzL2Rvd25yZXYueG1sRE9Na8JA&#10;EL0X+h+WKXirG0UkpK5iWyo9iVXB9DZkxyQ0Oxt2t5r+e+cg9Ph434vV4Dp1oRBbzwYm4wwUceVt&#10;y7WB4+HjOQcVE7LFzjMZ+KMIq+XjwwIL66/8RZd9qpWEcCzQQJNSX2gdq4YcxrHviYU7++AwCQy1&#10;tgGvEu46Pc2yuXbYsjQ02NNbQ9XP/tdJSchPvOm+j2m78zMuX8vp+7Y0ZvQ0rF9AJRrSv/ju/rQG&#10;8tlE9ssbeQJ6eQMAAP//AwBQSwECLQAUAAYACAAAACEA2+H2y+4AAACFAQAAEwAAAAAAAAAAAAAA&#10;AAAAAAAAW0NvbnRlbnRfVHlwZXNdLnhtbFBLAQItABQABgAIAAAAIQBa9CxbvwAAABUBAAALAAAA&#10;AAAAAAAAAAAAAB8BAABfcmVscy8ucmVsc1BLAQItABQABgAIAAAAIQC9voYswgAAAN0AAAAPAAAA&#10;AAAAAAAAAAAAAAcCAABkcnMvZG93bnJldi54bWxQSwUGAAAAAAMAAwC3AAAA9gIAAAAA&#10;" path="m31664,c49143,,63328,14186,63328,31664v,17479,-14185,31664,-31664,31664c14185,63328,,49143,,31664,,14186,14185,,31664,xe" fillcolor="#0080ff" stroked="f" strokeweight="0">
                        <v:stroke miterlimit="83231f" joinstyle="miter"/>
                        <v:path arrowok="t" textboxrect="0,0,63328,63328"/>
                      </v:shape>
                      <v:shape id="Shape 8411" o:spid="_x0000_s1031" style="position:absolute;left:184024;top:168118;width:52949;height:52949;visibility:visible;mso-wrap-style:square;v-text-anchor:top" coordsize="52949,52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ExQAAAN0AAAAPAAAAZHJzL2Rvd25yZXYueG1sRI9Ba8JA&#10;FITvBf/D8oReSt1EbNDUVSRS6EWkau8v2dckmH0bdldN/70rFHocZuYbZrkeTCeu5HxrWUE6SUAQ&#10;V1a3XCs4HT9e5yB8QNbYWSYFv+RhvRo9LTHX9sZfdD2EWkQI+xwVNCH0uZS+asign9ieOHo/1hkM&#10;Ubpaaoe3CDednCZJJg22HBca7KloqDofLkbBy6LM3ordd4b+XJQL6fbldtgr9TweNu8gAg3hP/zX&#10;/tQK5rM0hceb+ATk6g4AAP//AwBQSwECLQAUAAYACAAAACEA2+H2y+4AAACFAQAAEwAAAAAAAAAA&#10;AAAAAAAAAAAAW0NvbnRlbnRfVHlwZXNdLnhtbFBLAQItABQABgAIAAAAIQBa9CxbvwAAABUBAAAL&#10;AAAAAAAAAAAAAAAAAB8BAABfcmVscy8ucmVsc1BLAQItABQABgAIAAAAIQDv+jJExQAAAN0AAAAP&#10;AAAAAAAAAAAAAAAAAAcCAABkcnMvZG93bnJldi54bWxQSwUGAAAAAAMAAwC3AAAA+QIAAAAA&#10;" path="m,26475c,11861,11861,,26475,,41089,,52949,11861,52949,26475v,14614,-11860,26474,-26474,26474c11861,52949,,41089,,26475e" filled="f" strokecolor="#007dff" strokeweight=".28831mm">
                        <v:stroke miterlimit="83231f" joinstyle="miter"/>
                        <v:path arrowok="t" textboxrect="0,0,52949,52949"/>
                      </v:shape>
                      <w10:wrap type="square"/>
                    </v:group>
                  </w:pict>
                </mc:Fallback>
              </mc:AlternateContent>
            </w:r>
            <w:r>
              <w:tab/>
            </w:r>
            <w:r>
              <w:rPr>
                <w:rFonts w:ascii="Arial" w:eastAsia="Arial" w:hAnsi="Arial" w:cs="Arial"/>
                <w:sz w:val="19"/>
              </w:rPr>
              <w:t>95% Confidence Intervals</w:t>
            </w:r>
            <w:r>
              <w:rPr>
                <w:rFonts w:ascii="Arial" w:eastAsia="Arial" w:hAnsi="Arial" w:cs="Arial"/>
                <w:sz w:val="19"/>
              </w:rPr>
              <w:tab/>
            </w:r>
            <w:r>
              <w:rPr>
                <w:noProof/>
                <w:lang w:eastAsia="en-IN"/>
              </w:rPr>
              <mc:AlternateContent>
                <mc:Choice Requires="wpg">
                  <w:drawing>
                    <wp:inline distT="0" distB="0" distL="0" distR="0" wp14:anchorId="54BCF4C1" wp14:editId="70067198">
                      <wp:extent cx="420700" cy="52922"/>
                      <wp:effectExtent l="0" t="0" r="0" b="0"/>
                      <wp:docPr id="68042" name="Group 68042"/>
                      <wp:cNvGraphicFramePr/>
                      <a:graphic xmlns:a="http://schemas.openxmlformats.org/drawingml/2006/main">
                        <a:graphicData uri="http://schemas.microsoft.com/office/word/2010/wordprocessingGroup">
                          <wpg:wgp>
                            <wpg:cNvGrpSpPr/>
                            <wpg:grpSpPr>
                              <a:xfrm>
                                <a:off x="0" y="0"/>
                                <a:ext cx="420700" cy="52922"/>
                                <a:chOff x="0" y="0"/>
                                <a:chExt cx="420700" cy="52922"/>
                              </a:xfrm>
                            </wpg:grpSpPr>
                            <wps:wsp>
                              <wps:cNvPr id="8407" name="Shape 8407"/>
                              <wps:cNvSpPr/>
                              <wps:spPr>
                                <a:xfrm>
                                  <a:off x="0" y="26461"/>
                                  <a:ext cx="420700" cy="0"/>
                                </a:xfrm>
                                <a:custGeom>
                                  <a:avLst/>
                                  <a:gdLst/>
                                  <a:ahLst/>
                                  <a:cxnLst/>
                                  <a:rect l="0" t="0" r="0" b="0"/>
                                  <a:pathLst>
                                    <a:path w="420700">
                                      <a:moveTo>
                                        <a:pt x="0" y="0"/>
                                      </a:moveTo>
                                      <a:lnTo>
                                        <a:pt x="420700" y="0"/>
                                      </a:lnTo>
                                    </a:path>
                                  </a:pathLst>
                                </a:custGeom>
                                <a:ln w="10379" cap="flat">
                                  <a:miter lim="127000"/>
                                </a:ln>
                              </wps:spPr>
                              <wps:style>
                                <a:lnRef idx="1">
                                  <a:srgbClr val="0080FF"/>
                                </a:lnRef>
                                <a:fillRef idx="0">
                                  <a:srgbClr val="000000">
                                    <a:alpha val="0"/>
                                  </a:srgbClr>
                                </a:fillRef>
                                <a:effectRef idx="0">
                                  <a:scrgbClr r="0" g="0" b="0"/>
                                </a:effectRef>
                                <a:fontRef idx="none"/>
                              </wps:style>
                              <wps:bodyPr/>
                            </wps:wsp>
                            <wps:wsp>
                              <wps:cNvPr id="8408" name="Shape 8408"/>
                              <wps:cNvSpPr/>
                              <wps:spPr>
                                <a:xfrm>
                                  <a:off x="0" y="0"/>
                                  <a:ext cx="0" cy="52922"/>
                                </a:xfrm>
                                <a:custGeom>
                                  <a:avLst/>
                                  <a:gdLst/>
                                  <a:ahLst/>
                                  <a:cxnLst/>
                                  <a:rect l="0" t="0" r="0" b="0"/>
                                  <a:pathLst>
                                    <a:path h="52922">
                                      <a:moveTo>
                                        <a:pt x="0" y="52922"/>
                                      </a:moveTo>
                                      <a:lnTo>
                                        <a:pt x="0" y="0"/>
                                      </a:lnTo>
                                    </a:path>
                                  </a:pathLst>
                                </a:custGeom>
                                <a:ln w="10379" cap="flat">
                                  <a:miter lim="127000"/>
                                </a:ln>
                              </wps:spPr>
                              <wps:style>
                                <a:lnRef idx="1">
                                  <a:srgbClr val="0080FF"/>
                                </a:lnRef>
                                <a:fillRef idx="0">
                                  <a:srgbClr val="000000">
                                    <a:alpha val="0"/>
                                  </a:srgbClr>
                                </a:fillRef>
                                <a:effectRef idx="0">
                                  <a:scrgbClr r="0" g="0" b="0"/>
                                </a:effectRef>
                                <a:fontRef idx="none"/>
                              </wps:style>
                              <wps:bodyPr/>
                            </wps:wsp>
                            <wps:wsp>
                              <wps:cNvPr id="8409" name="Shape 8409"/>
                              <wps:cNvSpPr/>
                              <wps:spPr>
                                <a:xfrm>
                                  <a:off x="420700" y="0"/>
                                  <a:ext cx="0" cy="52922"/>
                                </a:xfrm>
                                <a:custGeom>
                                  <a:avLst/>
                                  <a:gdLst/>
                                  <a:ahLst/>
                                  <a:cxnLst/>
                                  <a:rect l="0" t="0" r="0" b="0"/>
                                  <a:pathLst>
                                    <a:path h="52922">
                                      <a:moveTo>
                                        <a:pt x="0" y="52922"/>
                                      </a:moveTo>
                                      <a:lnTo>
                                        <a:pt x="0" y="0"/>
                                      </a:lnTo>
                                    </a:path>
                                  </a:pathLst>
                                </a:custGeom>
                                <a:ln w="10379" cap="flat">
                                  <a:miter lim="127000"/>
                                </a:ln>
                              </wps:spPr>
                              <wps:style>
                                <a:lnRef idx="1">
                                  <a:srgbClr val="0080FF"/>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F4A9C9" id="Group 68042" o:spid="_x0000_s1026" style="width:33.15pt;height:4.15pt;mso-position-horizontal-relative:char;mso-position-vertical-relative:line" coordsize="420700,52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6o80wIAAPsLAAAOAAAAZHJzL2Uyb0RvYy54bWzsVslu2zAQvRfoPxC615JV13YE2zk0tS9F&#10;GzTpBzAUtQAUSZC0Zf99h6PFqpIGbbpc6os0Ijnbm3kjrq6PlSAHbmyp5DqYTqKAcMlUWsp8HXy9&#10;375ZBsQ6KlMqlOTr4MRtcL15/WpV64THqlAi5YaAEWmTWq+DwjmdhKFlBa+onSjNJWxmylTUwafJ&#10;w9TQGqxXIoyjaB7WyqTaKMathdWbZjPYoP0s48x9zjLLHRHrAGJz+DT4fPDPcLOiSW6oLkrWhkFf&#10;EEVFSwlOe1M31FGyN+UjU1XJjLIqcxOmqlBlWck45gDZTKNRNjuj9hpzyZM61z1MAO0IpxebZZ8O&#10;t4aU6TqYL6NZHBBJKygTeibNEkBU6zyBkzuj7/StaRfy5stnfcxM5d+QDzkiuKceXH50hMHiLI4W&#10;EZSAwda7+CqOG+xZAQV6pMSKD8+phZ3L0EfWB1JraCJ7xsn+Hk53BdUc4bc++xan5SxadDDhCYIr&#10;CAqe6yGyiQW0fohPPJ/Npw0IT2GEvdknShO2t27HFeJMDx+ta1o37SRadBI7yk40QIBnW19T5/V8&#10;kF4kdV8ov1SpA79XuOlGNYLIzrtCDk91le56AI42B0DwTjarVkDHIA9TE9LHMI3eLq6gVyiMhExQ&#10;h9yqSgezQpQV7MfQSx1CQoJFX/sGbpTcSXAft5BfeAb9DQ04RSPW5A/vhSEH6idCtIy2W18DjBGO&#10;ep2sFKLXip7SAt/NOhW6oK2t1kzrAE22lrxRjsNobJa10TQTCXgNBOnmEoTUK2FYSrpeX8I0RYeD&#10;bL34oNITMhQBATJ48v4bVsCkb4ZHz4qlj9C7B/b8LCvakdwxYjwwAJRu2Ay75u8RouimlS/BueP1&#10;gA/9NIPgzie+5wTkcaHDf0UHGF8jOlz9Eh3GUxSmQftLvHDi8otorq5/6heB1yi4YeJPq70N+yvs&#10;8Bvk4Z198w0AAP//AwBQSwMEFAAGAAgAAAAhAIdFJTHaAAAAAgEAAA8AAABkcnMvZG93bnJldi54&#10;bWxMj0FrwkAQhe+F/odlCt7qJg0NkmYjIm1PUqgWSm9jdkyC2dmQXZP479160cvA4z3e+yZfTqYV&#10;A/WusawgnkcgiEurG64U/Ow+nhcgnEfW2FomBWdysCweH3LMtB35m4atr0QoYZehgtr7LpPSlTUZ&#10;dHPbEQfvYHuDPsi+krrHMZSbVr5EUSoNNhwWauxoXVN53J6Mgs8Rx1USvw+b42F9/tu9fv1uYlJq&#10;9jSt3kB4mvwtDP/4AR2KwLS3J9ZOtArCI/56g5emCYi9gkUCssjlPXpxAQAA//8DAFBLAQItABQA&#10;BgAIAAAAIQC2gziS/gAAAOEBAAATAAAAAAAAAAAAAAAAAAAAAABbQ29udGVudF9UeXBlc10ueG1s&#10;UEsBAi0AFAAGAAgAAAAhADj9If/WAAAAlAEAAAsAAAAAAAAAAAAAAAAALwEAAF9yZWxzLy5yZWxz&#10;UEsBAi0AFAAGAAgAAAAhAHfHqjzTAgAA+wsAAA4AAAAAAAAAAAAAAAAALgIAAGRycy9lMm9Eb2Mu&#10;eG1sUEsBAi0AFAAGAAgAAAAhAIdFJTHaAAAAAgEAAA8AAAAAAAAAAAAAAAAALQUAAGRycy9kb3du&#10;cmV2LnhtbFBLBQYAAAAABAAEAPMAAAA0BgAAAAA=&#10;">
                      <v:shape id="Shape 8407" o:spid="_x0000_s1027" style="position:absolute;top:26461;width:420700;height:0;visibility:visible;mso-wrap-style:square;v-text-anchor:top" coordsize="420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ewWxgAAAN0AAAAPAAAAZHJzL2Rvd25yZXYueG1sRI/RSgMx&#10;FETfBf8hXME3N7GIlm3TIlZFpFRd+wGXze0mdnOzbGJ3+/emIPRxmJkzzHw5+lYcqI8usIbbQoEg&#10;roNx3GjYfr/cTEHEhGywDUwajhRhubi8mGNpwsBfdKhSIzKEY4kabEpdKWWsLXmMReiIs7cLvceU&#10;Zd9I0+OQ4b6VE6XupUfHecFiR0+W6n316zWsjnbfvf6ozfv4sf70rnXD867S+vpqfJyBSDSmc/i/&#10;/WY0TO/UA5ze5CcgF38AAAD//wMAUEsBAi0AFAAGAAgAAAAhANvh9svuAAAAhQEAABMAAAAAAAAA&#10;AAAAAAAAAAAAAFtDb250ZW50X1R5cGVzXS54bWxQSwECLQAUAAYACAAAACEAWvQsW78AAAAVAQAA&#10;CwAAAAAAAAAAAAAAAAAfAQAAX3JlbHMvLnJlbHNQSwECLQAUAAYACAAAACEAjm3sFsYAAADdAAAA&#10;DwAAAAAAAAAAAAAAAAAHAgAAZHJzL2Rvd25yZXYueG1sUEsFBgAAAAADAAMAtwAAAPoCAAAAAA==&#10;" path="m,l420700,e" filled="f" strokecolor="#007dff" strokeweight=".28831mm">
                        <v:stroke miterlimit="83231f" joinstyle="miter"/>
                        <v:path arrowok="t" textboxrect="0,0,420700,0"/>
                      </v:shape>
                      <v:shape id="Shape 8408" o:spid="_x0000_s1028" style="position:absolute;width:0;height:52922;visibility:visible;mso-wrap-style:square;v-text-anchor:top" coordsize="0,5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S9wAAAAN0AAAAPAAAAZHJzL2Rvd25yZXYueG1sRE/NisIw&#10;EL4v+A5hFrytqSKi1ShFEDzIwnZ9gKEZk7rNpCRR69tvDoLHj+9/sxtcJ+4UYutZwXRSgCBuvG7Z&#10;KDj/Hr6WIGJC1th5JgVPirDbjj42WGr/4B+618mIHMKxRAU2pb6UMjaWHMaJ74kzd/HBYcowGKkD&#10;PnK46+SsKBbSYcu5wWJPe0vNX31zCqpq/72gVYinpjZXO3X6ZM4rpcafQ7UGkWhIb/HLfdQKlvMi&#10;z81v8hOQ238AAAD//wMAUEsBAi0AFAAGAAgAAAAhANvh9svuAAAAhQEAABMAAAAAAAAAAAAAAAAA&#10;AAAAAFtDb250ZW50X1R5cGVzXS54bWxQSwECLQAUAAYACAAAACEAWvQsW78AAAAVAQAACwAAAAAA&#10;AAAAAAAAAAAfAQAAX3JlbHMvLnJlbHNQSwECLQAUAAYACAAAACEAoD3kvcAAAADdAAAADwAAAAAA&#10;AAAAAAAAAAAHAgAAZHJzL2Rvd25yZXYueG1sUEsFBgAAAAADAAMAtwAAAPQCAAAAAA==&#10;" path="m,52922l,e" filled="f" strokecolor="#007dff" strokeweight=".28831mm">
                        <v:stroke miterlimit="83231f" joinstyle="miter"/>
                        <v:path arrowok="t" textboxrect="0,0,0,52922"/>
                      </v:shape>
                      <v:shape id="Shape 8409" o:spid="_x0000_s1029" style="position:absolute;left:420700;width:0;height:52922;visibility:visible;mso-wrap-style:square;v-text-anchor:top" coordsize="0,5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UEmwwAAAN0AAAAPAAAAZHJzL2Rvd25yZXYueG1sRI/RagIx&#10;FETfhf5DuAXfNGsRcbdGWYRCH0Rw6wdcNrfJtpubJUl1/XsjCH0cZuYMs9mNrhcXCrHzrGAxL0AQ&#10;t153bBScvz5maxAxIWvsPZOCG0XYbV8mG6y0v/KJLk0yIkM4VqjApjRUUsbWksM49wNx9r59cJiy&#10;DEbqgNcMd718K4qVdNhxXrA40N5S+9v8OQV1vT+uqAzx0Dbmxy6cPphzqdT0dazfQSQa03/42f7U&#10;CtbLooTHm/wE5PYOAAD//wMAUEsBAi0AFAAGAAgAAAAhANvh9svuAAAAhQEAABMAAAAAAAAAAAAA&#10;AAAAAAAAAFtDb250ZW50X1R5cGVzXS54bWxQSwECLQAUAAYACAAAACEAWvQsW78AAAAVAQAACwAA&#10;AAAAAAAAAAAAAAAfAQAAX3JlbHMvLnJlbHNQSwECLQAUAAYACAAAACEAz3FBJsMAAADdAAAADwAA&#10;AAAAAAAAAAAAAAAHAgAAZHJzL2Rvd25yZXYueG1sUEsFBgAAAAADAAMAtwAAAPcCAAAAAA==&#10;" path="m,52922l,e" filled="f" strokecolor="#007dff" strokeweight=".28831mm">
                        <v:stroke miterlimit="83231f" joinstyle="miter"/>
                        <v:path arrowok="t" textboxrect="0,0,0,52922"/>
                      </v:shape>
                      <w10:anchorlock/>
                    </v:group>
                  </w:pict>
                </mc:Fallback>
              </mc:AlternateContent>
            </w:r>
            <w:r>
              <w:rPr>
                <w:rFonts w:ascii="Arial" w:eastAsia="Arial" w:hAnsi="Arial" w:cs="Arial"/>
                <w:sz w:val="19"/>
              </w:rPr>
              <w:t xml:space="preserve"> 90% Confidence Interval</w:t>
            </w:r>
          </w:p>
          <w:p w:rsidR="00006A4A" w:rsidRDefault="00006A4A" w:rsidP="006E3788">
            <w:pPr>
              <w:spacing w:line="259" w:lineRule="auto"/>
              <w:ind w:left="769"/>
            </w:pPr>
            <w:r>
              <w:rPr>
                <w:rFonts w:ascii="Arial" w:eastAsia="Arial" w:hAnsi="Arial" w:cs="Arial"/>
                <w:sz w:val="19"/>
              </w:rPr>
              <w:t>Age Specific Coefficient Estimate</w:t>
            </w:r>
          </w:p>
        </w:tc>
      </w:tr>
    </w:tbl>
    <w:p w:rsidR="00006A4A" w:rsidRDefault="00006A4A" w:rsidP="00006A4A">
      <w:pPr>
        <w:spacing w:after="0"/>
        <w:ind w:left="-1" w:right="58"/>
      </w:pPr>
      <w:proofErr w:type="gramStart"/>
      <w:r>
        <w:t>countries</w:t>
      </w:r>
      <w:proofErr w:type="gramEnd"/>
      <w:r>
        <w:t xml:space="preserve"> running a larger surplus, which is a </w:t>
      </w:r>
      <w:proofErr w:type="spellStart"/>
      <w:r>
        <w:t>well documented</w:t>
      </w:r>
      <w:proofErr w:type="spellEnd"/>
      <w:r>
        <w:t xml:space="preserve"> relationship in this financial flows literature. This could be due to the direct impact of trade export patterns seen in </w:t>
      </w:r>
      <w:r>
        <w:rPr>
          <w:color w:val="00007F"/>
        </w:rPr>
        <w:t>Figure 3</w:t>
      </w:r>
      <w:r>
        <w:t xml:space="preserve">, which </w:t>
      </w:r>
      <w:r>
        <w:lastRenderedPageBreak/>
        <w:t>remain positive up until retirement, as well as other demand effects coming from savings and wealth, which peak around retirement.</w:t>
      </w:r>
    </w:p>
    <w:p w:rsidR="00006A4A" w:rsidRDefault="00006A4A" w:rsidP="00006A4A">
      <w:pPr>
        <w:spacing w:after="241"/>
        <w:ind w:left="-2" w:right="58" w:firstLine="351"/>
      </w:pPr>
      <w:r>
        <w:t xml:space="preserve">If accurate, these coefficients may represent some of the catching up of developing economies in terms of both their demographics and trade. Taking again as an example the Chinese-American trade relationship, consider the five-year demographic picture in </w:t>
      </w:r>
      <w:r>
        <w:rPr>
          <w:color w:val="00007F"/>
        </w:rPr>
        <w:t xml:space="preserve">Figure 1b </w:t>
      </w:r>
      <w:r>
        <w:t xml:space="preserve">and balance of trade relationship in </w:t>
      </w:r>
      <w:r>
        <w:rPr>
          <w:color w:val="00007F"/>
        </w:rPr>
        <w:t>Figure 2b</w:t>
      </w:r>
      <w:r>
        <w:t>. Early in the sample China, and many other developing economies had relatively large trade deficits with advanced economies, while having much smaller shares of middle-old age populations. As these economies experienced both rapid export led growth and improvements in longevity they saw increases in both these middle-age groups and their trade relationships. Though China still has fewer late-to-working age and old age individuals than the United States they, along with many other large exporters, have closed the gap rapidly.</w:t>
      </w:r>
    </w:p>
    <w:p w:rsidR="00006A4A" w:rsidRDefault="00006A4A" w:rsidP="00006A4A">
      <w:pPr>
        <w:spacing w:after="0" w:line="265" w:lineRule="auto"/>
        <w:ind w:left="10" w:right="93" w:hanging="10"/>
        <w:jc w:val="center"/>
      </w:pPr>
      <w:r>
        <w:rPr>
          <w:b/>
        </w:rPr>
        <w:t xml:space="preserve">Figure 9: </w:t>
      </w:r>
      <w:r>
        <w:rPr>
          <w:i/>
        </w:rPr>
        <w:t>Predicted Change in Trade Balance</w:t>
      </w:r>
    </w:p>
    <w:p w:rsidR="00006A4A" w:rsidRDefault="00006A4A" w:rsidP="00006A4A">
      <w:pPr>
        <w:spacing w:after="0" w:line="259" w:lineRule="auto"/>
        <w:ind w:left="7"/>
      </w:pPr>
      <w:r>
        <w:rPr>
          <w:noProof/>
          <w:lang w:eastAsia="en-IN"/>
        </w:rPr>
        <w:drawing>
          <wp:inline distT="0" distB="0" distL="0" distR="0" wp14:anchorId="7B681093" wp14:editId="6250D641">
            <wp:extent cx="5977128" cy="2447545"/>
            <wp:effectExtent l="0" t="0" r="0" b="0"/>
            <wp:docPr id="76120" name="Picture 76120"/>
            <wp:cNvGraphicFramePr/>
            <a:graphic xmlns:a="http://schemas.openxmlformats.org/drawingml/2006/main">
              <a:graphicData uri="http://schemas.openxmlformats.org/drawingml/2006/picture">
                <pic:pic xmlns:pic="http://schemas.openxmlformats.org/drawingml/2006/picture">
                  <pic:nvPicPr>
                    <pic:cNvPr id="76120" name="Picture 76120"/>
                    <pic:cNvPicPr/>
                  </pic:nvPicPr>
                  <pic:blipFill>
                    <a:blip r:embed="rId17"/>
                    <a:stretch>
                      <a:fillRect/>
                    </a:stretch>
                  </pic:blipFill>
                  <pic:spPr>
                    <a:xfrm>
                      <a:off x="0" y="0"/>
                      <a:ext cx="5977128" cy="2447545"/>
                    </a:xfrm>
                    <a:prstGeom prst="rect">
                      <a:avLst/>
                    </a:prstGeom>
                  </pic:spPr>
                </pic:pic>
              </a:graphicData>
            </a:graphic>
          </wp:inline>
        </w:drawing>
      </w:r>
    </w:p>
    <w:p w:rsidR="00006A4A" w:rsidRDefault="00006A4A" w:rsidP="00006A4A">
      <w:pPr>
        <w:spacing w:after="0" w:line="244" w:lineRule="auto"/>
        <w:ind w:left="-15" w:right="560" w:firstLine="3"/>
      </w:pPr>
      <w:r>
        <w:rPr>
          <w:i/>
          <w:color w:val="00007F"/>
          <w:sz w:val="20"/>
        </w:rPr>
        <w:t xml:space="preserve">Figure 4 </w:t>
      </w:r>
      <w:r>
        <w:rPr>
          <w:i/>
          <w:sz w:val="20"/>
        </w:rPr>
        <w:t xml:space="preserve">plots predicted change in trade balance using specification in Column 1 </w:t>
      </w:r>
      <w:r>
        <w:rPr>
          <w:i/>
          <w:color w:val="00007F"/>
          <w:sz w:val="20"/>
        </w:rPr>
        <w:t>Table 6</w:t>
      </w:r>
      <w:r>
        <w:rPr>
          <w:i/>
          <w:sz w:val="20"/>
        </w:rPr>
        <w:t>, holding non-demographic controls fixed. Values are reported as their change relative to final year of sample (2013). Note that since specifications are no longer identical on the RHS these are not perfect mirrors for symmetric country pairs (</w:t>
      </w:r>
      <w:proofErr w:type="spellStart"/>
      <w:r>
        <w:rPr>
          <w:i/>
          <w:sz w:val="20"/>
        </w:rPr>
        <w:t>eg</w:t>
      </w:r>
      <w:proofErr w:type="spellEnd"/>
      <w:r>
        <w:rPr>
          <w:i/>
          <w:sz w:val="20"/>
        </w:rPr>
        <w:t xml:space="preserve">: China and US). This is because the predicted end-of-sample trade balance is no longer identical (but opposite signed) as exporter </w:t>
      </w:r>
      <w:proofErr w:type="spellStart"/>
      <w:r>
        <w:rPr>
          <w:i/>
          <w:sz w:val="20"/>
        </w:rPr>
        <w:t>gdp</w:t>
      </w:r>
      <w:proofErr w:type="spellEnd"/>
      <w:r>
        <w:rPr>
          <w:i/>
          <w:sz w:val="20"/>
        </w:rPr>
        <w:t xml:space="preserve"> is not a predictor. The US has a small (less than one) trade balance with China which makes the point estimate particularly unstable as a share of this value.</w:t>
      </w:r>
      <w:bookmarkStart w:id="0" w:name="_GoBack"/>
      <w:bookmarkEnd w:id="0"/>
    </w:p>
    <w:sectPr w:rsidR="00006A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FE5" w:rsidRDefault="00F61FE5" w:rsidP="00006A4A">
      <w:pPr>
        <w:spacing w:after="0" w:line="240" w:lineRule="auto"/>
      </w:pPr>
      <w:r>
        <w:separator/>
      </w:r>
    </w:p>
  </w:endnote>
  <w:endnote w:type="continuationSeparator" w:id="0">
    <w:p w:rsidR="00F61FE5" w:rsidRDefault="00F61FE5" w:rsidP="00006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FE5" w:rsidRDefault="00F61FE5" w:rsidP="00006A4A">
      <w:pPr>
        <w:spacing w:after="0" w:line="240" w:lineRule="auto"/>
      </w:pPr>
      <w:r>
        <w:separator/>
      </w:r>
    </w:p>
  </w:footnote>
  <w:footnote w:type="continuationSeparator" w:id="0">
    <w:p w:rsidR="00F61FE5" w:rsidRDefault="00F61FE5" w:rsidP="00006A4A">
      <w:pPr>
        <w:spacing w:after="0" w:line="240" w:lineRule="auto"/>
      </w:pPr>
      <w:r>
        <w:continuationSeparator/>
      </w:r>
    </w:p>
  </w:footnote>
  <w:footnote w:id="1">
    <w:p w:rsidR="006E3788" w:rsidRDefault="006E3788" w:rsidP="00006A4A">
      <w:pPr>
        <w:pStyle w:val="footnotedescription"/>
        <w:spacing w:line="250" w:lineRule="auto"/>
      </w:pPr>
      <w:r>
        <w:rPr>
          <w:rStyle w:val="footnotemark"/>
        </w:rPr>
        <w:footnoteRef/>
      </w:r>
      <w:r>
        <w:t xml:space="preserve"> In all of my estimates I use the standard gravity variables used in </w:t>
      </w:r>
      <w:r>
        <w:rPr>
          <w:color w:val="00007F"/>
        </w:rPr>
        <w:t xml:space="preserve">Glick and Rose </w:t>
      </w:r>
      <w:r>
        <w:t>(</w:t>
      </w:r>
      <w:r>
        <w:rPr>
          <w:color w:val="00007F"/>
        </w:rPr>
        <w:t>2016</w:t>
      </w:r>
      <w:r>
        <w:t>) and easily accessible for replication on both the journal and Andrew Rose’s personal website.</w:t>
      </w:r>
    </w:p>
  </w:footnote>
  <w:footnote w:id="2">
    <w:p w:rsidR="006E3788" w:rsidRDefault="006E3788" w:rsidP="00006A4A">
      <w:pPr>
        <w:pStyle w:val="footnotedescription"/>
        <w:spacing w:line="293" w:lineRule="auto"/>
        <w:jc w:val="left"/>
      </w:pPr>
      <w:r>
        <w:rPr>
          <w:rStyle w:val="footnotemark"/>
        </w:rPr>
        <w:footnoteRef/>
      </w:r>
      <w:r>
        <w:t xml:space="preserve"> Their work appeals to similarities with a </w:t>
      </w:r>
      <w:proofErr w:type="spellStart"/>
      <w:r>
        <w:t>well studied</w:t>
      </w:r>
      <w:proofErr w:type="spellEnd"/>
      <w:r>
        <w:t xml:space="preserve"> problem of non-existence of maximum </w:t>
      </w:r>
      <w:proofErr w:type="spellStart"/>
      <w:r>
        <w:t>liklihood</w:t>
      </w:r>
      <w:proofErr w:type="spellEnd"/>
      <w:r>
        <w:t xml:space="preserve"> estimates in binary choice models, which is generally referred to as </w:t>
      </w:r>
      <w:r>
        <w:rPr>
          <w:i/>
        </w:rPr>
        <w:t>separation</w:t>
      </w:r>
      <w:r>
        <w:t>.</w:t>
      </w:r>
    </w:p>
  </w:footnote>
  <w:footnote w:id="3">
    <w:p w:rsidR="006E3788" w:rsidRDefault="006E3788" w:rsidP="00006A4A">
      <w:pPr>
        <w:pStyle w:val="footnotedescription"/>
        <w:spacing w:line="272" w:lineRule="auto"/>
      </w:pPr>
      <w:r>
        <w:rPr>
          <w:rStyle w:val="footnotemark"/>
        </w:rPr>
        <w:footnoteRef/>
      </w:r>
      <w:r>
        <w:t xml:space="preserve"> For example very young African countries that have underdeveloped trade networks with very old advanced economies for reasons unrelated to age structure.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4D53FD"/>
    <w:multiLevelType w:val="hybridMultilevel"/>
    <w:tmpl w:val="A1DAB2DA"/>
    <w:lvl w:ilvl="0" w:tplc="E0FCC234">
      <w:start w:val="1"/>
      <w:numFmt w:val="decimal"/>
      <w:lvlText w:val="%1."/>
      <w:lvlJc w:val="left"/>
      <w:pPr>
        <w:ind w:left="5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7EA1830">
      <w:start w:val="1"/>
      <w:numFmt w:val="lowerLetter"/>
      <w:lvlText w:val="%2"/>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B8A809C">
      <w:start w:val="1"/>
      <w:numFmt w:val="lowerRoman"/>
      <w:lvlText w:val="%3"/>
      <w:lvlJc w:val="left"/>
      <w:pPr>
        <w:ind w:left="20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03E4FFC">
      <w:start w:val="1"/>
      <w:numFmt w:val="decimal"/>
      <w:lvlText w:val="%4"/>
      <w:lvlJc w:val="left"/>
      <w:pPr>
        <w:ind w:left="2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A0FDDA">
      <w:start w:val="1"/>
      <w:numFmt w:val="lowerLetter"/>
      <w:lvlText w:val="%5"/>
      <w:lvlJc w:val="left"/>
      <w:pPr>
        <w:ind w:left="3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34D762">
      <w:start w:val="1"/>
      <w:numFmt w:val="lowerRoman"/>
      <w:lvlText w:val="%6"/>
      <w:lvlJc w:val="left"/>
      <w:pPr>
        <w:ind w:left="4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088BA0">
      <w:start w:val="1"/>
      <w:numFmt w:val="decimal"/>
      <w:lvlText w:val="%7"/>
      <w:lvlJc w:val="left"/>
      <w:pPr>
        <w:ind w:left="4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6242FE">
      <w:start w:val="1"/>
      <w:numFmt w:val="lowerLetter"/>
      <w:lvlText w:val="%8"/>
      <w:lvlJc w:val="left"/>
      <w:pPr>
        <w:ind w:left="5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0DA5EC2">
      <w:start w:val="1"/>
      <w:numFmt w:val="lowerRoman"/>
      <w:lvlText w:val="%9"/>
      <w:lvlJc w:val="left"/>
      <w:pPr>
        <w:ind w:left="6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D35"/>
    <w:rsid w:val="00006A4A"/>
    <w:rsid w:val="000D5BF0"/>
    <w:rsid w:val="0038218E"/>
    <w:rsid w:val="00422E80"/>
    <w:rsid w:val="005C213E"/>
    <w:rsid w:val="00610D14"/>
    <w:rsid w:val="0067127F"/>
    <w:rsid w:val="006E3788"/>
    <w:rsid w:val="00986B18"/>
    <w:rsid w:val="00DB3D35"/>
    <w:rsid w:val="00F61F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006A4A"/>
    <w:pPr>
      <w:keepNext/>
      <w:keepLines/>
      <w:spacing w:after="350" w:line="260" w:lineRule="auto"/>
      <w:ind w:left="10" w:right="173" w:hanging="10"/>
      <w:jc w:val="center"/>
      <w:outlineLvl w:val="0"/>
    </w:pPr>
    <w:rPr>
      <w:rFonts w:ascii="Calibri" w:eastAsia="Calibri" w:hAnsi="Calibri" w:cs="Calibri"/>
      <w:color w:val="000000"/>
      <w:sz w:val="23"/>
      <w:lang w:val="en-IE" w:eastAsia="en-IE"/>
    </w:rPr>
  </w:style>
  <w:style w:type="paragraph" w:styleId="Heading2">
    <w:name w:val="heading 2"/>
    <w:next w:val="Normal"/>
    <w:link w:val="Heading2Char"/>
    <w:uiPriority w:val="9"/>
    <w:unhideWhenUsed/>
    <w:qFormat/>
    <w:rsid w:val="00006A4A"/>
    <w:pPr>
      <w:keepNext/>
      <w:keepLines/>
      <w:spacing w:after="263" w:line="259" w:lineRule="auto"/>
      <w:ind w:left="10" w:right="100" w:hanging="10"/>
      <w:outlineLvl w:val="1"/>
    </w:pPr>
    <w:rPr>
      <w:rFonts w:ascii="Calibri" w:eastAsia="Calibri" w:hAnsi="Calibri" w:cs="Calibri"/>
      <w:color w:val="000000"/>
      <w:sz w:val="29"/>
      <w:lang w:val="en-IE" w:eastAsia="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3D35"/>
    <w:rPr>
      <w:color w:val="0000FF"/>
      <w:u w:val="single"/>
      <w:bdr w:val="none" w:sz="0" w:space="0" w:color="auto" w:frame="1"/>
    </w:rPr>
  </w:style>
  <w:style w:type="paragraph" w:customStyle="1" w:styleId="paragraph">
    <w:name w:val="paragraph"/>
    <w:basedOn w:val="Normal"/>
    <w:rsid w:val="00DB3D35"/>
    <w:pPr>
      <w:spacing w:after="120" w:line="240" w:lineRule="auto"/>
      <w:ind w:firstLine="288"/>
    </w:pPr>
    <w:rPr>
      <w:rFonts w:ascii="Times New Roman" w:eastAsiaTheme="minorEastAsia" w:hAnsi="Times New Roman" w:cs="Times New Roman"/>
      <w:sz w:val="24"/>
      <w:szCs w:val="24"/>
      <w:lang w:eastAsia="en-IN"/>
    </w:rPr>
  </w:style>
  <w:style w:type="character" w:customStyle="1" w:styleId="Heading1Char">
    <w:name w:val="Heading 1 Char"/>
    <w:basedOn w:val="DefaultParagraphFont"/>
    <w:link w:val="Heading1"/>
    <w:uiPriority w:val="9"/>
    <w:rsid w:val="00006A4A"/>
    <w:rPr>
      <w:rFonts w:ascii="Calibri" w:eastAsia="Calibri" w:hAnsi="Calibri" w:cs="Calibri"/>
      <w:color w:val="000000"/>
      <w:sz w:val="23"/>
      <w:lang w:val="en-IE" w:eastAsia="en-IE"/>
    </w:rPr>
  </w:style>
  <w:style w:type="character" w:customStyle="1" w:styleId="Heading2Char">
    <w:name w:val="Heading 2 Char"/>
    <w:basedOn w:val="DefaultParagraphFont"/>
    <w:link w:val="Heading2"/>
    <w:uiPriority w:val="9"/>
    <w:rsid w:val="00006A4A"/>
    <w:rPr>
      <w:rFonts w:ascii="Calibri" w:eastAsia="Calibri" w:hAnsi="Calibri" w:cs="Calibri"/>
      <w:color w:val="000000"/>
      <w:sz w:val="29"/>
      <w:lang w:val="en-IE" w:eastAsia="en-IE"/>
    </w:rPr>
  </w:style>
  <w:style w:type="paragraph" w:customStyle="1" w:styleId="footnotedescription">
    <w:name w:val="footnote description"/>
    <w:next w:val="Normal"/>
    <w:link w:val="footnotedescriptionChar"/>
    <w:hidden/>
    <w:rsid w:val="00006A4A"/>
    <w:pPr>
      <w:spacing w:after="0" w:line="266" w:lineRule="auto"/>
      <w:ind w:left="13" w:firstLine="334"/>
      <w:jc w:val="both"/>
    </w:pPr>
    <w:rPr>
      <w:rFonts w:ascii="Calibri" w:eastAsia="Calibri" w:hAnsi="Calibri" w:cs="Calibri"/>
      <w:color w:val="000000"/>
      <w:sz w:val="20"/>
      <w:lang w:val="en-IE" w:eastAsia="en-IE"/>
    </w:rPr>
  </w:style>
  <w:style w:type="character" w:customStyle="1" w:styleId="footnotedescriptionChar">
    <w:name w:val="footnote description Char"/>
    <w:link w:val="footnotedescription"/>
    <w:rsid w:val="00006A4A"/>
    <w:rPr>
      <w:rFonts w:ascii="Calibri" w:eastAsia="Calibri" w:hAnsi="Calibri" w:cs="Calibri"/>
      <w:color w:val="000000"/>
      <w:sz w:val="20"/>
      <w:lang w:val="en-IE" w:eastAsia="en-IE"/>
    </w:rPr>
  </w:style>
  <w:style w:type="character" w:customStyle="1" w:styleId="footnotemark">
    <w:name w:val="footnote mark"/>
    <w:hidden/>
    <w:rsid w:val="00006A4A"/>
    <w:rPr>
      <w:rFonts w:ascii="Calibri" w:eastAsia="Calibri" w:hAnsi="Calibri" w:cs="Calibri"/>
      <w:color w:val="000000"/>
      <w:sz w:val="20"/>
      <w:vertAlign w:val="superscript"/>
    </w:rPr>
  </w:style>
  <w:style w:type="table" w:customStyle="1" w:styleId="TableGrid">
    <w:name w:val="TableGrid"/>
    <w:rsid w:val="00006A4A"/>
    <w:pPr>
      <w:spacing w:after="0" w:line="240" w:lineRule="auto"/>
    </w:pPr>
    <w:rPr>
      <w:rFonts w:eastAsiaTheme="minorEastAsia"/>
      <w:lang w:val="en-IE" w:eastAsia="en-IE"/>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06A4A"/>
    <w:pPr>
      <w:spacing w:after="0" w:line="240" w:lineRule="auto"/>
      <w:ind w:left="6" w:right="60" w:hanging="1"/>
      <w:jc w:val="both"/>
    </w:pPr>
    <w:rPr>
      <w:rFonts w:ascii="Tahoma" w:eastAsia="Calibri" w:hAnsi="Tahoma" w:cs="Tahoma"/>
      <w:color w:val="000000"/>
      <w:sz w:val="16"/>
      <w:szCs w:val="16"/>
      <w:lang w:val="en-IE" w:eastAsia="en-IE"/>
    </w:rPr>
  </w:style>
  <w:style w:type="character" w:customStyle="1" w:styleId="BalloonTextChar">
    <w:name w:val="Balloon Text Char"/>
    <w:basedOn w:val="DefaultParagraphFont"/>
    <w:link w:val="BalloonText"/>
    <w:uiPriority w:val="99"/>
    <w:semiHidden/>
    <w:rsid w:val="00006A4A"/>
    <w:rPr>
      <w:rFonts w:ascii="Tahoma" w:eastAsia="Calibri" w:hAnsi="Tahoma" w:cs="Tahoma"/>
      <w:color w:val="000000"/>
      <w:sz w:val="16"/>
      <w:szCs w:val="16"/>
      <w:lang w:val="en-IE"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006A4A"/>
    <w:pPr>
      <w:keepNext/>
      <w:keepLines/>
      <w:spacing w:after="350" w:line="260" w:lineRule="auto"/>
      <w:ind w:left="10" w:right="173" w:hanging="10"/>
      <w:jc w:val="center"/>
      <w:outlineLvl w:val="0"/>
    </w:pPr>
    <w:rPr>
      <w:rFonts w:ascii="Calibri" w:eastAsia="Calibri" w:hAnsi="Calibri" w:cs="Calibri"/>
      <w:color w:val="000000"/>
      <w:sz w:val="23"/>
      <w:lang w:val="en-IE" w:eastAsia="en-IE"/>
    </w:rPr>
  </w:style>
  <w:style w:type="paragraph" w:styleId="Heading2">
    <w:name w:val="heading 2"/>
    <w:next w:val="Normal"/>
    <w:link w:val="Heading2Char"/>
    <w:uiPriority w:val="9"/>
    <w:unhideWhenUsed/>
    <w:qFormat/>
    <w:rsid w:val="00006A4A"/>
    <w:pPr>
      <w:keepNext/>
      <w:keepLines/>
      <w:spacing w:after="263" w:line="259" w:lineRule="auto"/>
      <w:ind w:left="10" w:right="100" w:hanging="10"/>
      <w:outlineLvl w:val="1"/>
    </w:pPr>
    <w:rPr>
      <w:rFonts w:ascii="Calibri" w:eastAsia="Calibri" w:hAnsi="Calibri" w:cs="Calibri"/>
      <w:color w:val="000000"/>
      <w:sz w:val="29"/>
      <w:lang w:val="en-IE" w:eastAsia="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3D35"/>
    <w:rPr>
      <w:color w:val="0000FF"/>
      <w:u w:val="single"/>
      <w:bdr w:val="none" w:sz="0" w:space="0" w:color="auto" w:frame="1"/>
    </w:rPr>
  </w:style>
  <w:style w:type="paragraph" w:customStyle="1" w:styleId="paragraph">
    <w:name w:val="paragraph"/>
    <w:basedOn w:val="Normal"/>
    <w:rsid w:val="00DB3D35"/>
    <w:pPr>
      <w:spacing w:after="120" w:line="240" w:lineRule="auto"/>
      <w:ind w:firstLine="288"/>
    </w:pPr>
    <w:rPr>
      <w:rFonts w:ascii="Times New Roman" w:eastAsiaTheme="minorEastAsia" w:hAnsi="Times New Roman" w:cs="Times New Roman"/>
      <w:sz w:val="24"/>
      <w:szCs w:val="24"/>
      <w:lang w:eastAsia="en-IN"/>
    </w:rPr>
  </w:style>
  <w:style w:type="character" w:customStyle="1" w:styleId="Heading1Char">
    <w:name w:val="Heading 1 Char"/>
    <w:basedOn w:val="DefaultParagraphFont"/>
    <w:link w:val="Heading1"/>
    <w:uiPriority w:val="9"/>
    <w:rsid w:val="00006A4A"/>
    <w:rPr>
      <w:rFonts w:ascii="Calibri" w:eastAsia="Calibri" w:hAnsi="Calibri" w:cs="Calibri"/>
      <w:color w:val="000000"/>
      <w:sz w:val="23"/>
      <w:lang w:val="en-IE" w:eastAsia="en-IE"/>
    </w:rPr>
  </w:style>
  <w:style w:type="character" w:customStyle="1" w:styleId="Heading2Char">
    <w:name w:val="Heading 2 Char"/>
    <w:basedOn w:val="DefaultParagraphFont"/>
    <w:link w:val="Heading2"/>
    <w:uiPriority w:val="9"/>
    <w:rsid w:val="00006A4A"/>
    <w:rPr>
      <w:rFonts w:ascii="Calibri" w:eastAsia="Calibri" w:hAnsi="Calibri" w:cs="Calibri"/>
      <w:color w:val="000000"/>
      <w:sz w:val="29"/>
      <w:lang w:val="en-IE" w:eastAsia="en-IE"/>
    </w:rPr>
  </w:style>
  <w:style w:type="paragraph" w:customStyle="1" w:styleId="footnotedescription">
    <w:name w:val="footnote description"/>
    <w:next w:val="Normal"/>
    <w:link w:val="footnotedescriptionChar"/>
    <w:hidden/>
    <w:rsid w:val="00006A4A"/>
    <w:pPr>
      <w:spacing w:after="0" w:line="266" w:lineRule="auto"/>
      <w:ind w:left="13" w:firstLine="334"/>
      <w:jc w:val="both"/>
    </w:pPr>
    <w:rPr>
      <w:rFonts w:ascii="Calibri" w:eastAsia="Calibri" w:hAnsi="Calibri" w:cs="Calibri"/>
      <w:color w:val="000000"/>
      <w:sz w:val="20"/>
      <w:lang w:val="en-IE" w:eastAsia="en-IE"/>
    </w:rPr>
  </w:style>
  <w:style w:type="character" w:customStyle="1" w:styleId="footnotedescriptionChar">
    <w:name w:val="footnote description Char"/>
    <w:link w:val="footnotedescription"/>
    <w:rsid w:val="00006A4A"/>
    <w:rPr>
      <w:rFonts w:ascii="Calibri" w:eastAsia="Calibri" w:hAnsi="Calibri" w:cs="Calibri"/>
      <w:color w:val="000000"/>
      <w:sz w:val="20"/>
      <w:lang w:val="en-IE" w:eastAsia="en-IE"/>
    </w:rPr>
  </w:style>
  <w:style w:type="character" w:customStyle="1" w:styleId="footnotemark">
    <w:name w:val="footnote mark"/>
    <w:hidden/>
    <w:rsid w:val="00006A4A"/>
    <w:rPr>
      <w:rFonts w:ascii="Calibri" w:eastAsia="Calibri" w:hAnsi="Calibri" w:cs="Calibri"/>
      <w:color w:val="000000"/>
      <w:sz w:val="20"/>
      <w:vertAlign w:val="superscript"/>
    </w:rPr>
  </w:style>
  <w:style w:type="table" w:customStyle="1" w:styleId="TableGrid">
    <w:name w:val="TableGrid"/>
    <w:rsid w:val="00006A4A"/>
    <w:pPr>
      <w:spacing w:after="0" w:line="240" w:lineRule="auto"/>
    </w:pPr>
    <w:rPr>
      <w:rFonts w:eastAsiaTheme="minorEastAsia"/>
      <w:lang w:val="en-IE" w:eastAsia="en-IE"/>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06A4A"/>
    <w:pPr>
      <w:spacing w:after="0" w:line="240" w:lineRule="auto"/>
      <w:ind w:left="6" w:right="60" w:hanging="1"/>
      <w:jc w:val="both"/>
    </w:pPr>
    <w:rPr>
      <w:rFonts w:ascii="Tahoma" w:eastAsia="Calibri" w:hAnsi="Tahoma" w:cs="Tahoma"/>
      <w:color w:val="000000"/>
      <w:sz w:val="16"/>
      <w:szCs w:val="16"/>
      <w:lang w:val="en-IE" w:eastAsia="en-IE"/>
    </w:rPr>
  </w:style>
  <w:style w:type="character" w:customStyle="1" w:styleId="BalloonTextChar">
    <w:name w:val="Balloon Text Char"/>
    <w:basedOn w:val="DefaultParagraphFont"/>
    <w:link w:val="BalloonText"/>
    <w:uiPriority w:val="99"/>
    <w:semiHidden/>
    <w:rsid w:val="00006A4A"/>
    <w:rPr>
      <w:rFonts w:ascii="Tahoma" w:eastAsia="Calibri" w:hAnsi="Tahoma" w:cs="Tahoma"/>
      <w:color w:val="000000"/>
      <w:sz w:val="16"/>
      <w:szCs w:val="16"/>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2855</Words>
  <Characters>16279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19912_ME</dc:creator>
  <cp:lastModifiedBy>16557_ME</cp:lastModifiedBy>
  <cp:revision>6</cp:revision>
  <dcterms:created xsi:type="dcterms:W3CDTF">2023-02-13T06:06:00Z</dcterms:created>
  <dcterms:modified xsi:type="dcterms:W3CDTF">2023-02-18T07:12:00Z</dcterms:modified>
</cp:coreProperties>
</file>