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751E63" w14:textId="0C1ECF82" w:rsidR="00FC16A5" w:rsidRPr="00FC46AD" w:rsidRDefault="002F0121" w:rsidP="00FC16A5">
      <w:pPr>
        <w:spacing w:line="276" w:lineRule="auto"/>
        <w:ind w:firstLine="0"/>
        <w:rPr>
          <w:b/>
          <w:bCs/>
          <w:sz w:val="24"/>
          <w:szCs w:val="24"/>
        </w:rPr>
      </w:pPr>
      <w:r w:rsidRPr="002F0121">
        <w:rPr>
          <w:b/>
          <w:bCs/>
          <w:sz w:val="24"/>
          <w:szCs w:val="24"/>
        </w:rPr>
        <w:t>Supplementary</w:t>
      </w:r>
      <w:r>
        <w:rPr>
          <w:b/>
          <w:bCs/>
          <w:sz w:val="24"/>
          <w:szCs w:val="24"/>
        </w:rPr>
        <w:t xml:space="preserve"> </w:t>
      </w:r>
      <w:r w:rsidR="00FC16A5" w:rsidRPr="00FC46AD">
        <w:rPr>
          <w:b/>
          <w:bCs/>
          <w:sz w:val="24"/>
          <w:szCs w:val="24"/>
        </w:rPr>
        <w:t xml:space="preserve">Table </w:t>
      </w:r>
      <w:r w:rsidR="00E27013">
        <w:rPr>
          <w:b/>
          <w:bCs/>
          <w:sz w:val="24"/>
          <w:szCs w:val="24"/>
        </w:rPr>
        <w:t>A1</w:t>
      </w:r>
      <w:r w:rsidR="00FC16A5" w:rsidRPr="00FC46AD">
        <w:rPr>
          <w:b/>
          <w:bCs/>
          <w:sz w:val="24"/>
          <w:szCs w:val="24"/>
        </w:rPr>
        <w:t xml:space="preserve">. </w:t>
      </w:r>
      <w:r w:rsidR="00FC16A5" w:rsidRPr="00FC46AD">
        <w:rPr>
          <w:sz w:val="24"/>
          <w:szCs w:val="24"/>
        </w:rPr>
        <w:t>Panel cross-section</w:t>
      </w:r>
      <w:r w:rsidR="002201B9">
        <w:rPr>
          <w:sz w:val="24"/>
          <w:szCs w:val="24"/>
        </w:rPr>
        <w:t>al</w:t>
      </w:r>
      <w:r w:rsidR="00FC16A5" w:rsidRPr="00FC46AD">
        <w:rPr>
          <w:sz w:val="24"/>
          <w:szCs w:val="24"/>
        </w:rPr>
        <w:t xml:space="preserve"> dependence </w:t>
      </w:r>
      <w:r w:rsidR="003555E8">
        <w:rPr>
          <w:sz w:val="24"/>
          <w:szCs w:val="24"/>
        </w:rPr>
        <w:t>test</w:t>
      </w:r>
      <w:r w:rsidR="00FC16A5" w:rsidRPr="00FC46AD">
        <w:rPr>
          <w:sz w:val="24"/>
          <w:szCs w:val="24"/>
        </w:rPr>
        <w:t>s</w:t>
      </w:r>
    </w:p>
    <w:tbl>
      <w:tblPr>
        <w:tblW w:w="0" w:type="auto"/>
        <w:tblLayout w:type="fixed"/>
        <w:tblLook w:val="04A0" w:firstRow="1" w:lastRow="0" w:firstColumn="1" w:lastColumn="0" w:noHBand="0" w:noVBand="1"/>
      </w:tblPr>
      <w:tblGrid>
        <w:gridCol w:w="870"/>
        <w:gridCol w:w="1450"/>
        <w:gridCol w:w="2216"/>
        <w:gridCol w:w="1418"/>
      </w:tblGrid>
      <w:tr w:rsidR="00FC16A5" w:rsidRPr="00FC46AD" w14:paraId="44E0DCD5" w14:textId="77777777" w:rsidTr="00150E13">
        <w:trPr>
          <w:trHeight w:val="610"/>
        </w:trPr>
        <w:tc>
          <w:tcPr>
            <w:tcW w:w="870" w:type="dxa"/>
            <w:tcBorders>
              <w:top w:val="single" w:sz="4" w:space="0" w:color="auto"/>
              <w:bottom w:val="single" w:sz="4" w:space="0" w:color="auto"/>
            </w:tcBorders>
            <w:vAlign w:val="center"/>
          </w:tcPr>
          <w:p w14:paraId="201BB26E" w14:textId="77777777" w:rsidR="00FC16A5" w:rsidRPr="00FC46AD" w:rsidRDefault="00FC16A5" w:rsidP="00150E13">
            <w:pPr>
              <w:tabs>
                <w:tab w:val="left" w:pos="2070"/>
              </w:tabs>
              <w:spacing w:line="276" w:lineRule="auto"/>
              <w:ind w:firstLine="0"/>
              <w:rPr>
                <w:b/>
                <w:color w:val="000000" w:themeColor="text1"/>
                <w:sz w:val="24"/>
                <w:szCs w:val="24"/>
              </w:rPr>
            </w:pPr>
            <w:r w:rsidRPr="00FC46AD">
              <w:rPr>
                <w:b/>
                <w:color w:val="000000" w:themeColor="text1"/>
                <w:sz w:val="24"/>
                <w:szCs w:val="24"/>
              </w:rPr>
              <w:t>Model</w:t>
            </w:r>
          </w:p>
        </w:tc>
        <w:tc>
          <w:tcPr>
            <w:tcW w:w="1450" w:type="dxa"/>
            <w:tcBorders>
              <w:top w:val="single" w:sz="4" w:space="0" w:color="auto"/>
              <w:bottom w:val="single" w:sz="4" w:space="0" w:color="auto"/>
            </w:tcBorders>
            <w:vAlign w:val="center"/>
          </w:tcPr>
          <w:p w14:paraId="6198E01B" w14:textId="77777777" w:rsidR="00FC16A5" w:rsidRPr="00FC46AD" w:rsidRDefault="00FC16A5" w:rsidP="00150E13">
            <w:pPr>
              <w:tabs>
                <w:tab w:val="left" w:pos="2070"/>
              </w:tabs>
              <w:spacing w:line="276" w:lineRule="auto"/>
              <w:ind w:firstLine="0"/>
              <w:rPr>
                <w:b/>
                <w:color w:val="000000" w:themeColor="text1"/>
                <w:sz w:val="24"/>
                <w:szCs w:val="24"/>
                <w:vertAlign w:val="subscript"/>
              </w:rPr>
            </w:pPr>
            <w:r w:rsidRPr="00FC46AD">
              <w:rPr>
                <w:b/>
                <w:color w:val="000000" w:themeColor="text1"/>
                <w:sz w:val="24"/>
                <w:szCs w:val="24"/>
              </w:rPr>
              <w:t>Pesaran CD</w:t>
            </w:r>
          </w:p>
        </w:tc>
        <w:tc>
          <w:tcPr>
            <w:tcW w:w="2216" w:type="dxa"/>
            <w:tcBorders>
              <w:top w:val="single" w:sz="4" w:space="0" w:color="auto"/>
              <w:bottom w:val="single" w:sz="4" w:space="0" w:color="auto"/>
            </w:tcBorders>
            <w:vAlign w:val="center"/>
          </w:tcPr>
          <w:p w14:paraId="40DA43DA" w14:textId="77777777" w:rsidR="00FC16A5" w:rsidRPr="00FC46AD" w:rsidRDefault="00FC16A5" w:rsidP="00150E13">
            <w:pPr>
              <w:tabs>
                <w:tab w:val="left" w:pos="2070"/>
              </w:tabs>
              <w:spacing w:line="276" w:lineRule="auto"/>
              <w:ind w:firstLine="0"/>
              <w:rPr>
                <w:b/>
                <w:color w:val="000000" w:themeColor="text1"/>
                <w:sz w:val="24"/>
                <w:szCs w:val="24"/>
              </w:rPr>
            </w:pPr>
            <w:r w:rsidRPr="00FC46AD">
              <w:rPr>
                <w:b/>
                <w:sz w:val="24"/>
                <w:szCs w:val="24"/>
              </w:rPr>
              <w:t>Frees</w:t>
            </w:r>
          </w:p>
        </w:tc>
        <w:tc>
          <w:tcPr>
            <w:tcW w:w="1418" w:type="dxa"/>
            <w:tcBorders>
              <w:top w:val="single" w:sz="4" w:space="0" w:color="auto"/>
              <w:bottom w:val="single" w:sz="4" w:space="0" w:color="auto"/>
            </w:tcBorders>
            <w:vAlign w:val="center"/>
          </w:tcPr>
          <w:p w14:paraId="1069C615" w14:textId="77777777" w:rsidR="00FC16A5" w:rsidRPr="00FC46AD" w:rsidRDefault="00FC16A5" w:rsidP="00150E13">
            <w:pPr>
              <w:tabs>
                <w:tab w:val="left" w:pos="2070"/>
              </w:tabs>
              <w:spacing w:line="276" w:lineRule="auto"/>
              <w:ind w:firstLine="0"/>
              <w:rPr>
                <w:b/>
                <w:color w:val="000000" w:themeColor="text1"/>
                <w:sz w:val="24"/>
                <w:szCs w:val="24"/>
              </w:rPr>
            </w:pPr>
            <w:r w:rsidRPr="00FC46AD">
              <w:rPr>
                <w:b/>
                <w:sz w:val="24"/>
                <w:szCs w:val="24"/>
              </w:rPr>
              <w:t xml:space="preserve">Friedman </w:t>
            </w:r>
          </w:p>
        </w:tc>
      </w:tr>
      <w:tr w:rsidR="00FC16A5" w:rsidRPr="00FC46AD" w14:paraId="7426CD3B" w14:textId="77777777" w:rsidTr="00150E13">
        <w:trPr>
          <w:trHeight w:val="1124"/>
        </w:trPr>
        <w:tc>
          <w:tcPr>
            <w:tcW w:w="870" w:type="dxa"/>
            <w:tcBorders>
              <w:top w:val="single" w:sz="4" w:space="0" w:color="auto"/>
              <w:bottom w:val="single" w:sz="4" w:space="0" w:color="auto"/>
            </w:tcBorders>
            <w:vAlign w:val="center"/>
          </w:tcPr>
          <w:p w14:paraId="0184C2FB"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FE</w:t>
            </w:r>
          </w:p>
        </w:tc>
        <w:tc>
          <w:tcPr>
            <w:tcW w:w="1450" w:type="dxa"/>
            <w:tcBorders>
              <w:top w:val="single" w:sz="4" w:space="0" w:color="auto"/>
              <w:bottom w:val="single" w:sz="4" w:space="0" w:color="auto"/>
            </w:tcBorders>
            <w:vAlign w:val="center"/>
          </w:tcPr>
          <w:p w14:paraId="5D38C45D"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12.706***</w:t>
            </w:r>
          </w:p>
          <w:p w14:paraId="65D211EE"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(0.000)</w:t>
            </w:r>
          </w:p>
        </w:tc>
        <w:tc>
          <w:tcPr>
            <w:tcW w:w="2216" w:type="dxa"/>
            <w:tcBorders>
              <w:top w:val="single" w:sz="4" w:space="0" w:color="auto"/>
              <w:bottom w:val="single" w:sz="4" w:space="0" w:color="auto"/>
            </w:tcBorders>
            <w:vAlign w:val="center"/>
          </w:tcPr>
          <w:p w14:paraId="4706BD37"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0.918***</w:t>
            </w:r>
          </w:p>
          <w:p w14:paraId="6895B414"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w:t>
            </w:r>
            <w:r w:rsidRPr="00FC46AD">
              <w:rPr>
                <w:sz w:val="24"/>
                <w:szCs w:val="24"/>
              </w:rPr>
              <w:t>α = 0.01:  0.213)</w:t>
            </w:r>
          </w:p>
        </w:tc>
        <w:tc>
          <w:tcPr>
            <w:tcW w:w="1418" w:type="dxa"/>
            <w:tcBorders>
              <w:top w:val="single" w:sz="4" w:space="0" w:color="auto"/>
              <w:bottom w:val="single" w:sz="4" w:space="0" w:color="auto"/>
            </w:tcBorders>
            <w:vAlign w:val="center"/>
          </w:tcPr>
          <w:p w14:paraId="522A5FF2"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71.503***</w:t>
            </w:r>
          </w:p>
          <w:p w14:paraId="3EAFAA58"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(0.000)</w:t>
            </w:r>
          </w:p>
        </w:tc>
      </w:tr>
      <w:tr w:rsidR="00FC16A5" w:rsidRPr="00FC46AD" w14:paraId="6C5867EB" w14:textId="77777777" w:rsidTr="00150E13">
        <w:trPr>
          <w:trHeight w:val="701"/>
        </w:trPr>
        <w:tc>
          <w:tcPr>
            <w:tcW w:w="870" w:type="dxa"/>
            <w:tcBorders>
              <w:top w:val="single" w:sz="4" w:space="0" w:color="auto"/>
              <w:bottom w:val="single" w:sz="4" w:space="0" w:color="auto"/>
            </w:tcBorders>
            <w:vAlign w:val="center"/>
          </w:tcPr>
          <w:p w14:paraId="0F9C336B"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RE</w:t>
            </w:r>
          </w:p>
        </w:tc>
        <w:tc>
          <w:tcPr>
            <w:tcW w:w="1450" w:type="dxa"/>
            <w:tcBorders>
              <w:top w:val="single" w:sz="4" w:space="0" w:color="auto"/>
              <w:bottom w:val="single" w:sz="4" w:space="0" w:color="auto"/>
            </w:tcBorders>
            <w:vAlign w:val="center"/>
          </w:tcPr>
          <w:p w14:paraId="766D4165"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12.532***</w:t>
            </w:r>
          </w:p>
          <w:p w14:paraId="5872C25D"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(0.000)</w:t>
            </w:r>
          </w:p>
        </w:tc>
        <w:tc>
          <w:tcPr>
            <w:tcW w:w="2216" w:type="dxa"/>
            <w:tcBorders>
              <w:top w:val="single" w:sz="4" w:space="0" w:color="auto"/>
              <w:bottom w:val="single" w:sz="4" w:space="0" w:color="auto"/>
            </w:tcBorders>
            <w:vAlign w:val="center"/>
          </w:tcPr>
          <w:p w14:paraId="45976198"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0.777***</w:t>
            </w:r>
          </w:p>
          <w:p w14:paraId="5B87EF11"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w:t>
            </w:r>
            <w:r w:rsidRPr="00FC46AD">
              <w:rPr>
                <w:sz w:val="24"/>
                <w:szCs w:val="24"/>
              </w:rPr>
              <w:t>α = 0.01:  0.213)</w:t>
            </w:r>
          </w:p>
        </w:tc>
        <w:tc>
          <w:tcPr>
            <w:tcW w:w="1418" w:type="dxa"/>
            <w:tcBorders>
              <w:top w:val="single" w:sz="4" w:space="0" w:color="auto"/>
              <w:bottom w:val="single" w:sz="4" w:space="0" w:color="auto"/>
            </w:tcBorders>
            <w:vAlign w:val="center"/>
          </w:tcPr>
          <w:p w14:paraId="08EB39C5"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66.516***</w:t>
            </w:r>
          </w:p>
          <w:p w14:paraId="4313DED5" w14:textId="77777777" w:rsidR="00FC16A5" w:rsidRPr="00FC46AD" w:rsidRDefault="00FC16A5" w:rsidP="00150E13">
            <w:pPr>
              <w:tabs>
                <w:tab w:val="left" w:pos="2070"/>
              </w:tabs>
              <w:spacing w:line="276" w:lineRule="auto"/>
              <w:ind w:firstLine="0"/>
              <w:rPr>
                <w:color w:val="000000" w:themeColor="text1"/>
                <w:sz w:val="24"/>
                <w:szCs w:val="24"/>
              </w:rPr>
            </w:pPr>
            <w:r w:rsidRPr="00FC46AD">
              <w:rPr>
                <w:color w:val="000000" w:themeColor="text1"/>
                <w:sz w:val="24"/>
                <w:szCs w:val="24"/>
              </w:rPr>
              <w:t>(0.000)</w:t>
            </w:r>
          </w:p>
        </w:tc>
      </w:tr>
    </w:tbl>
    <w:p w14:paraId="16979AB5" w14:textId="77777777" w:rsidR="00FC16A5" w:rsidRPr="00FC46AD" w:rsidRDefault="00FC16A5" w:rsidP="00FC16A5">
      <w:pPr>
        <w:spacing w:line="276" w:lineRule="auto"/>
        <w:ind w:right="1138" w:firstLine="0"/>
        <w:rPr>
          <w:iCs/>
          <w:color w:val="000000" w:themeColor="text1"/>
          <w:sz w:val="24"/>
          <w:szCs w:val="24"/>
        </w:rPr>
      </w:pPr>
      <w:r w:rsidRPr="00FC46AD">
        <w:rPr>
          <w:b/>
          <w:bCs/>
          <w:iCs/>
          <w:color w:val="000000" w:themeColor="text1"/>
          <w:sz w:val="24"/>
          <w:szCs w:val="24"/>
        </w:rPr>
        <w:t>Notes:</w:t>
      </w:r>
      <w:r w:rsidRPr="00FC46AD">
        <w:rPr>
          <w:iCs/>
          <w:color w:val="000000" w:themeColor="text1"/>
          <w:sz w:val="24"/>
          <w:szCs w:val="24"/>
        </w:rPr>
        <w:t xml:space="preserve"> Panel reports the Pesaran’s CD test, Frees’s test, and Friedman’s test for fixed effect and random effect models. *** denote statistical significance of the coefficients at 1% level.</w:t>
      </w:r>
    </w:p>
    <w:p w14:paraId="5116E0CD" w14:textId="77777777" w:rsidR="00FC16A5" w:rsidRDefault="00FC16A5" w:rsidP="00FC16A5">
      <w:pPr>
        <w:spacing w:line="276" w:lineRule="auto"/>
        <w:ind w:right="1138" w:firstLine="0"/>
        <w:rPr>
          <w:iCs/>
          <w:color w:val="000000" w:themeColor="text1"/>
          <w:sz w:val="24"/>
          <w:szCs w:val="24"/>
        </w:rPr>
      </w:pPr>
      <w:r w:rsidRPr="00FC46AD">
        <w:rPr>
          <w:b/>
          <w:bCs/>
          <w:iCs/>
          <w:color w:val="000000" w:themeColor="text1"/>
          <w:sz w:val="24"/>
          <w:szCs w:val="24"/>
        </w:rPr>
        <w:t>Source:</w:t>
      </w:r>
      <w:r w:rsidRPr="00FC46AD">
        <w:rPr>
          <w:iCs/>
          <w:color w:val="000000" w:themeColor="text1"/>
          <w:sz w:val="24"/>
          <w:szCs w:val="24"/>
        </w:rPr>
        <w:t xml:space="preserve"> Authors’ estimation</w:t>
      </w:r>
    </w:p>
    <w:p w14:paraId="24BF8C01" w14:textId="77777777" w:rsidR="00FC16A5" w:rsidRDefault="00FC16A5" w:rsidP="00FC16A5">
      <w:pPr>
        <w:spacing w:line="276" w:lineRule="auto"/>
        <w:ind w:right="1138" w:firstLine="0"/>
        <w:rPr>
          <w:iCs/>
          <w:color w:val="000000" w:themeColor="text1"/>
          <w:sz w:val="24"/>
          <w:szCs w:val="24"/>
        </w:rPr>
      </w:pPr>
    </w:p>
    <w:p w14:paraId="7B141C17" w14:textId="77777777" w:rsidR="00FC16A5" w:rsidRDefault="00FC16A5" w:rsidP="004049FE">
      <w:pPr>
        <w:spacing w:line="276" w:lineRule="auto"/>
        <w:ind w:firstLine="0"/>
        <w:rPr>
          <w:b/>
          <w:bCs/>
          <w:sz w:val="24"/>
          <w:szCs w:val="24"/>
        </w:rPr>
      </w:pPr>
    </w:p>
    <w:p w14:paraId="219FCA20" w14:textId="6E90C081" w:rsidR="00FC16A5" w:rsidRPr="00FC46AD" w:rsidRDefault="002F0121" w:rsidP="00FC16A5">
      <w:pPr>
        <w:spacing w:line="276" w:lineRule="auto"/>
        <w:ind w:firstLine="0"/>
        <w:rPr>
          <w:b/>
          <w:bCs/>
          <w:sz w:val="24"/>
          <w:szCs w:val="24"/>
        </w:rPr>
      </w:pPr>
      <w:r w:rsidRPr="002F0121">
        <w:rPr>
          <w:b/>
          <w:bCs/>
          <w:sz w:val="24"/>
          <w:szCs w:val="24"/>
        </w:rPr>
        <w:t>Supplementary</w:t>
      </w:r>
      <w:r w:rsidRPr="00FC46AD">
        <w:rPr>
          <w:b/>
          <w:bCs/>
          <w:sz w:val="24"/>
          <w:szCs w:val="24"/>
        </w:rPr>
        <w:t xml:space="preserve"> </w:t>
      </w:r>
      <w:r w:rsidR="00FC16A5" w:rsidRPr="00FC46AD">
        <w:rPr>
          <w:b/>
          <w:bCs/>
          <w:sz w:val="24"/>
          <w:szCs w:val="24"/>
        </w:rPr>
        <w:t xml:space="preserve">Table </w:t>
      </w:r>
      <w:r w:rsidR="00E27013">
        <w:rPr>
          <w:b/>
          <w:bCs/>
          <w:sz w:val="24"/>
          <w:szCs w:val="24"/>
        </w:rPr>
        <w:t>A</w:t>
      </w:r>
      <w:r w:rsidR="00FC16A5">
        <w:rPr>
          <w:b/>
          <w:bCs/>
          <w:sz w:val="24"/>
          <w:szCs w:val="24"/>
        </w:rPr>
        <w:t>2</w:t>
      </w:r>
      <w:r w:rsidR="00FC16A5" w:rsidRPr="00FC46AD">
        <w:rPr>
          <w:b/>
          <w:bCs/>
          <w:sz w:val="24"/>
          <w:szCs w:val="24"/>
        </w:rPr>
        <w:t xml:space="preserve">. </w:t>
      </w:r>
      <w:r w:rsidR="00FC16A5" w:rsidRPr="00FC46AD">
        <w:rPr>
          <w:sz w:val="24"/>
          <w:szCs w:val="24"/>
        </w:rPr>
        <w:t>Panel unit root test</w:t>
      </w:r>
      <w:r w:rsidR="00FF4947">
        <w:rPr>
          <w:sz w:val="24"/>
          <w:szCs w:val="24"/>
        </w:rPr>
        <w:t xml:space="preserve"> results</w:t>
      </w:r>
    </w:p>
    <w:tbl>
      <w:tblPr>
        <w:tblW w:w="7088" w:type="dxa"/>
        <w:tblLook w:val="04A0" w:firstRow="1" w:lastRow="0" w:firstColumn="1" w:lastColumn="0" w:noHBand="0" w:noVBand="1"/>
      </w:tblPr>
      <w:tblGrid>
        <w:gridCol w:w="1830"/>
        <w:gridCol w:w="2788"/>
        <w:gridCol w:w="2470"/>
      </w:tblGrid>
      <w:tr w:rsidR="00FC16A5" w:rsidRPr="00FC46AD" w14:paraId="021C8C77" w14:textId="77777777" w:rsidTr="00150E13">
        <w:trPr>
          <w:trHeight w:val="429"/>
        </w:trPr>
        <w:tc>
          <w:tcPr>
            <w:tcW w:w="1830" w:type="dxa"/>
            <w:vMerge w:val="restart"/>
            <w:tcBorders>
              <w:top w:val="single" w:sz="4" w:space="0" w:color="auto"/>
              <w:bottom w:val="single" w:sz="4" w:space="0" w:color="auto"/>
            </w:tcBorders>
            <w:vAlign w:val="center"/>
          </w:tcPr>
          <w:p w14:paraId="0A1A049F" w14:textId="77777777" w:rsidR="00FC16A5" w:rsidRPr="00FC46AD" w:rsidRDefault="00FC16A5" w:rsidP="00150E13">
            <w:pPr>
              <w:tabs>
                <w:tab w:val="left" w:pos="2070"/>
              </w:tabs>
              <w:spacing w:line="276" w:lineRule="auto"/>
              <w:rPr>
                <w:b/>
                <w:color w:val="000000" w:themeColor="text1"/>
                <w:sz w:val="24"/>
                <w:szCs w:val="24"/>
              </w:rPr>
            </w:pPr>
            <w:r w:rsidRPr="00FC46AD">
              <w:rPr>
                <w:b/>
                <w:color w:val="000000" w:themeColor="text1"/>
                <w:sz w:val="24"/>
                <w:szCs w:val="24"/>
              </w:rPr>
              <w:t>Variable</w:t>
            </w:r>
          </w:p>
        </w:tc>
        <w:tc>
          <w:tcPr>
            <w:tcW w:w="5258" w:type="dxa"/>
            <w:gridSpan w:val="2"/>
            <w:tcBorders>
              <w:top w:val="single" w:sz="4" w:space="0" w:color="auto"/>
              <w:bottom w:val="single" w:sz="4" w:space="0" w:color="auto"/>
            </w:tcBorders>
            <w:vAlign w:val="center"/>
          </w:tcPr>
          <w:p w14:paraId="232FF6D2" w14:textId="77777777" w:rsidR="00FC16A5" w:rsidRPr="00FC46AD" w:rsidRDefault="00FC16A5" w:rsidP="00150E13">
            <w:pPr>
              <w:tabs>
                <w:tab w:val="left" w:pos="2070"/>
              </w:tabs>
              <w:spacing w:line="276" w:lineRule="auto"/>
              <w:rPr>
                <w:b/>
                <w:sz w:val="24"/>
                <w:szCs w:val="24"/>
              </w:rPr>
            </w:pPr>
            <w:r w:rsidRPr="00FC46AD">
              <w:rPr>
                <w:b/>
                <w:color w:val="000000" w:themeColor="text1"/>
                <w:sz w:val="24"/>
                <w:szCs w:val="24"/>
              </w:rPr>
              <w:t>CIPS test</w:t>
            </w:r>
          </w:p>
        </w:tc>
      </w:tr>
      <w:tr w:rsidR="00FC16A5" w:rsidRPr="00FC46AD" w14:paraId="419F654B" w14:textId="77777777" w:rsidTr="00150E13">
        <w:trPr>
          <w:trHeight w:val="407"/>
        </w:trPr>
        <w:tc>
          <w:tcPr>
            <w:tcW w:w="1830" w:type="dxa"/>
            <w:vMerge/>
            <w:tcBorders>
              <w:top w:val="single" w:sz="4" w:space="0" w:color="auto"/>
              <w:bottom w:val="single" w:sz="4" w:space="0" w:color="auto"/>
            </w:tcBorders>
            <w:vAlign w:val="center"/>
          </w:tcPr>
          <w:p w14:paraId="1C457139" w14:textId="77777777" w:rsidR="00FC16A5" w:rsidRPr="00FC46AD" w:rsidRDefault="00FC16A5" w:rsidP="00150E13">
            <w:pPr>
              <w:tabs>
                <w:tab w:val="left" w:pos="2070"/>
              </w:tabs>
              <w:spacing w:line="276" w:lineRule="auto"/>
              <w:rPr>
                <w:b/>
                <w:color w:val="000000" w:themeColor="text1"/>
                <w:sz w:val="24"/>
                <w:szCs w:val="24"/>
              </w:rPr>
            </w:pPr>
          </w:p>
        </w:tc>
        <w:tc>
          <w:tcPr>
            <w:tcW w:w="2788" w:type="dxa"/>
            <w:tcBorders>
              <w:top w:val="single" w:sz="4" w:space="0" w:color="auto"/>
              <w:bottom w:val="single" w:sz="4" w:space="0" w:color="auto"/>
            </w:tcBorders>
            <w:vAlign w:val="center"/>
          </w:tcPr>
          <w:p w14:paraId="2F154FD5" w14:textId="77777777" w:rsidR="00FC16A5" w:rsidRPr="00FC46AD" w:rsidRDefault="00FC16A5" w:rsidP="00150E13">
            <w:pPr>
              <w:tabs>
                <w:tab w:val="left" w:pos="2070"/>
              </w:tabs>
              <w:spacing w:line="276" w:lineRule="auto"/>
              <w:rPr>
                <w:b/>
                <w:color w:val="000000" w:themeColor="text1"/>
                <w:sz w:val="24"/>
                <w:szCs w:val="24"/>
                <w:vertAlign w:val="subscript"/>
              </w:rPr>
            </w:pPr>
            <w:r w:rsidRPr="00FC46AD">
              <w:rPr>
                <w:b/>
                <w:color w:val="000000" w:themeColor="text1"/>
                <w:sz w:val="24"/>
                <w:szCs w:val="24"/>
              </w:rPr>
              <w:t>Level</w:t>
            </w:r>
          </w:p>
        </w:tc>
        <w:tc>
          <w:tcPr>
            <w:tcW w:w="2470" w:type="dxa"/>
            <w:tcBorders>
              <w:top w:val="single" w:sz="4" w:space="0" w:color="auto"/>
              <w:bottom w:val="single" w:sz="4" w:space="0" w:color="auto"/>
            </w:tcBorders>
            <w:vAlign w:val="center"/>
          </w:tcPr>
          <w:p w14:paraId="5FA46ABB" w14:textId="77777777" w:rsidR="00FC16A5" w:rsidRPr="00FC46AD" w:rsidRDefault="00FC16A5" w:rsidP="00150E13">
            <w:pPr>
              <w:tabs>
                <w:tab w:val="left" w:pos="2070"/>
              </w:tabs>
              <w:spacing w:line="276" w:lineRule="auto"/>
              <w:ind w:firstLine="0"/>
              <w:rPr>
                <w:b/>
                <w:color w:val="000000" w:themeColor="text1"/>
                <w:sz w:val="24"/>
                <w:szCs w:val="24"/>
              </w:rPr>
            </w:pPr>
            <w:r w:rsidRPr="00FC46AD">
              <w:rPr>
                <w:b/>
                <w:sz w:val="24"/>
                <w:szCs w:val="24"/>
              </w:rPr>
              <w:t>First difference</w:t>
            </w:r>
          </w:p>
        </w:tc>
      </w:tr>
      <w:tr w:rsidR="00FC16A5" w:rsidRPr="00FC46AD" w14:paraId="371155B1" w14:textId="77777777" w:rsidTr="00150E13">
        <w:trPr>
          <w:trHeight w:val="667"/>
        </w:trPr>
        <w:tc>
          <w:tcPr>
            <w:tcW w:w="1830" w:type="dxa"/>
            <w:tcBorders>
              <w:top w:val="single" w:sz="4" w:space="0" w:color="auto"/>
            </w:tcBorders>
            <w:vAlign w:val="center"/>
          </w:tcPr>
          <w:p w14:paraId="1AFDD487" w14:textId="77777777" w:rsidR="00FC16A5" w:rsidRPr="00FC46AD" w:rsidRDefault="00FC16A5" w:rsidP="00150E13">
            <w:pPr>
              <w:tabs>
                <w:tab w:val="left" w:pos="2070"/>
              </w:tabs>
              <w:spacing w:line="276" w:lineRule="auto"/>
              <w:rPr>
                <w:color w:val="000000" w:themeColor="text1"/>
                <w:sz w:val="24"/>
                <w:szCs w:val="24"/>
              </w:rPr>
            </w:pPr>
            <w:r w:rsidRPr="00FC46AD">
              <w:rPr>
                <w:color w:val="000000" w:themeColor="text1"/>
                <w:sz w:val="24"/>
                <w:szCs w:val="24"/>
              </w:rPr>
              <w:t>GDP</w:t>
            </w:r>
          </w:p>
        </w:tc>
        <w:tc>
          <w:tcPr>
            <w:tcW w:w="2788" w:type="dxa"/>
            <w:tcBorders>
              <w:top w:val="single" w:sz="4" w:space="0" w:color="auto"/>
            </w:tcBorders>
            <w:vAlign w:val="center"/>
          </w:tcPr>
          <w:p w14:paraId="16CEF033" w14:textId="77777777" w:rsidR="00FC16A5" w:rsidRPr="00FC46AD" w:rsidRDefault="00FC16A5" w:rsidP="00150E13">
            <w:pPr>
              <w:tabs>
                <w:tab w:val="left" w:pos="2070"/>
              </w:tabs>
              <w:spacing w:line="276" w:lineRule="auto"/>
              <w:ind w:left="624"/>
              <w:rPr>
                <w:color w:val="000000" w:themeColor="text1"/>
                <w:sz w:val="24"/>
                <w:szCs w:val="24"/>
              </w:rPr>
            </w:pPr>
            <w:r w:rsidRPr="00FC46AD">
              <w:rPr>
                <w:color w:val="000000" w:themeColor="text1"/>
                <w:sz w:val="24"/>
                <w:szCs w:val="24"/>
              </w:rPr>
              <w:t>-4.269***</w:t>
            </w:r>
          </w:p>
        </w:tc>
        <w:tc>
          <w:tcPr>
            <w:tcW w:w="2470" w:type="dxa"/>
            <w:tcBorders>
              <w:top w:val="single" w:sz="4" w:space="0" w:color="auto"/>
            </w:tcBorders>
            <w:vAlign w:val="center"/>
          </w:tcPr>
          <w:p w14:paraId="1BE18E00" w14:textId="77777777" w:rsidR="00FC16A5" w:rsidRPr="00FC46AD" w:rsidRDefault="00FC16A5" w:rsidP="00150E13">
            <w:pPr>
              <w:tabs>
                <w:tab w:val="left" w:pos="2070"/>
              </w:tabs>
              <w:spacing w:line="276" w:lineRule="auto"/>
              <w:ind w:left="624" w:firstLine="0"/>
              <w:rPr>
                <w:color w:val="000000" w:themeColor="text1"/>
                <w:sz w:val="24"/>
                <w:szCs w:val="24"/>
              </w:rPr>
            </w:pPr>
            <w:r w:rsidRPr="00FC46AD">
              <w:rPr>
                <w:color w:val="000000" w:themeColor="text1"/>
                <w:sz w:val="24"/>
                <w:szCs w:val="24"/>
              </w:rPr>
              <w:t>-5.748***</w:t>
            </w:r>
          </w:p>
        </w:tc>
      </w:tr>
      <w:tr w:rsidR="00FC16A5" w:rsidRPr="00FC46AD" w14:paraId="1EAA8273" w14:textId="77777777" w:rsidTr="00150E13">
        <w:trPr>
          <w:trHeight w:val="667"/>
        </w:trPr>
        <w:tc>
          <w:tcPr>
            <w:tcW w:w="1830" w:type="dxa"/>
            <w:vAlign w:val="center"/>
          </w:tcPr>
          <w:p w14:paraId="2F1129EA" w14:textId="77777777" w:rsidR="00FC16A5" w:rsidRPr="00FC46AD" w:rsidRDefault="00FC16A5" w:rsidP="00150E13">
            <w:pPr>
              <w:tabs>
                <w:tab w:val="left" w:pos="2070"/>
              </w:tabs>
              <w:spacing w:line="276" w:lineRule="auto"/>
              <w:rPr>
                <w:color w:val="000000" w:themeColor="text1"/>
                <w:sz w:val="24"/>
                <w:szCs w:val="24"/>
              </w:rPr>
            </w:pPr>
            <w:r w:rsidRPr="00FC46AD">
              <w:rPr>
                <w:color w:val="000000" w:themeColor="text1"/>
                <w:sz w:val="24"/>
                <w:szCs w:val="24"/>
              </w:rPr>
              <w:t>ES</w:t>
            </w:r>
          </w:p>
        </w:tc>
        <w:tc>
          <w:tcPr>
            <w:tcW w:w="2788" w:type="dxa"/>
            <w:vAlign w:val="center"/>
          </w:tcPr>
          <w:p w14:paraId="4081BBD7" w14:textId="77777777" w:rsidR="00FC16A5" w:rsidRPr="00FC46AD" w:rsidRDefault="00FC16A5" w:rsidP="00150E13">
            <w:pPr>
              <w:tabs>
                <w:tab w:val="left" w:pos="2070"/>
              </w:tabs>
              <w:spacing w:line="276" w:lineRule="auto"/>
              <w:ind w:left="624"/>
              <w:rPr>
                <w:color w:val="000000" w:themeColor="text1"/>
                <w:sz w:val="24"/>
                <w:szCs w:val="24"/>
              </w:rPr>
            </w:pPr>
            <w:r w:rsidRPr="00FC46AD">
              <w:rPr>
                <w:color w:val="000000" w:themeColor="text1"/>
                <w:sz w:val="24"/>
                <w:szCs w:val="24"/>
              </w:rPr>
              <w:t>-3.265***</w:t>
            </w:r>
          </w:p>
        </w:tc>
        <w:tc>
          <w:tcPr>
            <w:tcW w:w="2470" w:type="dxa"/>
            <w:vAlign w:val="center"/>
          </w:tcPr>
          <w:p w14:paraId="4C100C09" w14:textId="77777777" w:rsidR="00FC16A5" w:rsidRPr="00FC46AD" w:rsidRDefault="00FC16A5" w:rsidP="00150E13">
            <w:pPr>
              <w:tabs>
                <w:tab w:val="left" w:pos="2070"/>
              </w:tabs>
              <w:spacing w:line="276" w:lineRule="auto"/>
              <w:ind w:left="624" w:firstLine="0"/>
              <w:rPr>
                <w:color w:val="000000" w:themeColor="text1"/>
                <w:sz w:val="24"/>
                <w:szCs w:val="24"/>
              </w:rPr>
            </w:pPr>
            <w:r w:rsidRPr="00FC46AD">
              <w:rPr>
                <w:color w:val="000000" w:themeColor="text1"/>
                <w:sz w:val="24"/>
                <w:szCs w:val="24"/>
              </w:rPr>
              <w:t>-5.531***</w:t>
            </w:r>
          </w:p>
        </w:tc>
      </w:tr>
      <w:tr w:rsidR="00FC16A5" w:rsidRPr="00FC46AD" w14:paraId="7A793B32" w14:textId="77777777" w:rsidTr="00150E13">
        <w:trPr>
          <w:trHeight w:val="667"/>
        </w:trPr>
        <w:tc>
          <w:tcPr>
            <w:tcW w:w="1830" w:type="dxa"/>
            <w:vAlign w:val="center"/>
          </w:tcPr>
          <w:p w14:paraId="0E5B2CB4" w14:textId="77777777" w:rsidR="00FC16A5" w:rsidRPr="00FC46AD" w:rsidRDefault="00FC16A5" w:rsidP="00150E13">
            <w:pPr>
              <w:tabs>
                <w:tab w:val="left" w:pos="2070"/>
              </w:tabs>
              <w:spacing w:line="276" w:lineRule="auto"/>
              <w:rPr>
                <w:color w:val="000000" w:themeColor="text1"/>
                <w:sz w:val="24"/>
                <w:szCs w:val="24"/>
              </w:rPr>
            </w:pPr>
            <w:r w:rsidRPr="00FC46AD">
              <w:rPr>
                <w:color w:val="000000" w:themeColor="text1"/>
                <w:sz w:val="24"/>
                <w:szCs w:val="24"/>
              </w:rPr>
              <w:t>EE</w:t>
            </w:r>
          </w:p>
        </w:tc>
        <w:tc>
          <w:tcPr>
            <w:tcW w:w="2788" w:type="dxa"/>
            <w:vAlign w:val="center"/>
          </w:tcPr>
          <w:p w14:paraId="5ACEAE56" w14:textId="77777777" w:rsidR="00FC16A5" w:rsidRPr="00FC46AD" w:rsidRDefault="00FC16A5" w:rsidP="00150E13">
            <w:pPr>
              <w:tabs>
                <w:tab w:val="left" w:pos="2070"/>
              </w:tabs>
              <w:spacing w:line="276" w:lineRule="auto"/>
              <w:ind w:left="624"/>
              <w:rPr>
                <w:color w:val="000000" w:themeColor="text1"/>
                <w:sz w:val="24"/>
                <w:szCs w:val="24"/>
              </w:rPr>
            </w:pPr>
            <w:r w:rsidRPr="00FC46AD">
              <w:rPr>
                <w:color w:val="000000" w:themeColor="text1"/>
                <w:sz w:val="24"/>
                <w:szCs w:val="24"/>
              </w:rPr>
              <w:t>-2.904***</w:t>
            </w:r>
          </w:p>
        </w:tc>
        <w:tc>
          <w:tcPr>
            <w:tcW w:w="2470" w:type="dxa"/>
            <w:vAlign w:val="center"/>
          </w:tcPr>
          <w:p w14:paraId="4602F4E1" w14:textId="77777777" w:rsidR="00FC16A5" w:rsidRPr="00FC46AD" w:rsidRDefault="00FC16A5" w:rsidP="00150E13">
            <w:pPr>
              <w:tabs>
                <w:tab w:val="left" w:pos="2070"/>
              </w:tabs>
              <w:spacing w:line="276" w:lineRule="auto"/>
              <w:ind w:left="624" w:firstLine="0"/>
              <w:rPr>
                <w:color w:val="000000" w:themeColor="text1"/>
                <w:sz w:val="24"/>
                <w:szCs w:val="24"/>
              </w:rPr>
            </w:pPr>
            <w:r w:rsidRPr="00FC46AD">
              <w:rPr>
                <w:color w:val="000000" w:themeColor="text1"/>
                <w:sz w:val="24"/>
                <w:szCs w:val="24"/>
              </w:rPr>
              <w:t>-5.308***</w:t>
            </w:r>
          </w:p>
        </w:tc>
      </w:tr>
      <w:tr w:rsidR="00FC16A5" w:rsidRPr="00FC46AD" w14:paraId="1DBD1B18" w14:textId="77777777" w:rsidTr="00150E13">
        <w:trPr>
          <w:trHeight w:val="667"/>
        </w:trPr>
        <w:tc>
          <w:tcPr>
            <w:tcW w:w="1830" w:type="dxa"/>
            <w:vAlign w:val="center"/>
          </w:tcPr>
          <w:p w14:paraId="17E0D6BE" w14:textId="77777777" w:rsidR="00FC16A5" w:rsidRPr="00FC46AD" w:rsidRDefault="00FC16A5" w:rsidP="00150E13">
            <w:pPr>
              <w:tabs>
                <w:tab w:val="left" w:pos="2070"/>
              </w:tabs>
              <w:spacing w:line="276" w:lineRule="auto"/>
              <w:rPr>
                <w:color w:val="000000" w:themeColor="text1"/>
                <w:sz w:val="24"/>
                <w:szCs w:val="24"/>
              </w:rPr>
            </w:pPr>
            <w:r w:rsidRPr="00FC46AD">
              <w:rPr>
                <w:color w:val="000000" w:themeColor="text1"/>
                <w:sz w:val="24"/>
                <w:szCs w:val="24"/>
              </w:rPr>
              <w:t>ENS</w:t>
            </w:r>
          </w:p>
        </w:tc>
        <w:tc>
          <w:tcPr>
            <w:tcW w:w="2788" w:type="dxa"/>
            <w:vAlign w:val="center"/>
          </w:tcPr>
          <w:p w14:paraId="279AE7F4" w14:textId="77777777" w:rsidR="00FC16A5" w:rsidRPr="00FC46AD" w:rsidRDefault="00FC16A5" w:rsidP="00150E13">
            <w:pPr>
              <w:tabs>
                <w:tab w:val="left" w:pos="2070"/>
              </w:tabs>
              <w:spacing w:line="276" w:lineRule="auto"/>
              <w:ind w:left="624"/>
              <w:rPr>
                <w:color w:val="000000" w:themeColor="text1"/>
                <w:sz w:val="24"/>
                <w:szCs w:val="24"/>
              </w:rPr>
            </w:pPr>
            <w:r w:rsidRPr="00FC46AD">
              <w:rPr>
                <w:color w:val="000000" w:themeColor="text1"/>
                <w:sz w:val="24"/>
                <w:szCs w:val="24"/>
              </w:rPr>
              <w:t>-1.906</w:t>
            </w:r>
          </w:p>
        </w:tc>
        <w:tc>
          <w:tcPr>
            <w:tcW w:w="2470" w:type="dxa"/>
            <w:vAlign w:val="center"/>
          </w:tcPr>
          <w:p w14:paraId="7CC14691" w14:textId="77777777" w:rsidR="00FC16A5" w:rsidRPr="00FC46AD" w:rsidRDefault="00FC16A5" w:rsidP="00150E13">
            <w:pPr>
              <w:tabs>
                <w:tab w:val="left" w:pos="2070"/>
              </w:tabs>
              <w:spacing w:line="276" w:lineRule="auto"/>
              <w:ind w:left="624" w:firstLine="0"/>
              <w:rPr>
                <w:color w:val="000000" w:themeColor="text1"/>
                <w:sz w:val="24"/>
                <w:szCs w:val="24"/>
              </w:rPr>
            </w:pPr>
            <w:r w:rsidRPr="00FC46AD">
              <w:rPr>
                <w:color w:val="000000" w:themeColor="text1"/>
                <w:sz w:val="24"/>
                <w:szCs w:val="24"/>
              </w:rPr>
              <w:t>-4.024***</w:t>
            </w:r>
          </w:p>
        </w:tc>
      </w:tr>
      <w:tr w:rsidR="00FC16A5" w:rsidRPr="00FC46AD" w14:paraId="678C7983" w14:textId="77777777" w:rsidTr="00150E13">
        <w:trPr>
          <w:trHeight w:val="667"/>
        </w:trPr>
        <w:tc>
          <w:tcPr>
            <w:tcW w:w="1830" w:type="dxa"/>
            <w:vAlign w:val="center"/>
          </w:tcPr>
          <w:p w14:paraId="7AC52947" w14:textId="77777777" w:rsidR="00FC16A5" w:rsidRPr="00FC46AD" w:rsidRDefault="00FC16A5" w:rsidP="00150E13">
            <w:pPr>
              <w:tabs>
                <w:tab w:val="left" w:pos="2070"/>
              </w:tabs>
              <w:spacing w:line="276" w:lineRule="auto"/>
              <w:rPr>
                <w:color w:val="000000" w:themeColor="text1"/>
                <w:sz w:val="24"/>
                <w:szCs w:val="24"/>
              </w:rPr>
            </w:pPr>
            <w:r w:rsidRPr="00FC46AD">
              <w:rPr>
                <w:color w:val="000000" w:themeColor="text1"/>
                <w:sz w:val="24"/>
                <w:szCs w:val="24"/>
              </w:rPr>
              <w:t>POP</w:t>
            </w:r>
          </w:p>
        </w:tc>
        <w:tc>
          <w:tcPr>
            <w:tcW w:w="2788" w:type="dxa"/>
            <w:vAlign w:val="center"/>
          </w:tcPr>
          <w:p w14:paraId="78CD8685" w14:textId="77777777" w:rsidR="00FC16A5" w:rsidRPr="00FC46AD" w:rsidRDefault="00FC16A5" w:rsidP="00150E13">
            <w:pPr>
              <w:tabs>
                <w:tab w:val="left" w:pos="2070"/>
              </w:tabs>
              <w:spacing w:line="276" w:lineRule="auto"/>
              <w:ind w:left="624"/>
              <w:rPr>
                <w:color w:val="000000" w:themeColor="text1"/>
                <w:sz w:val="24"/>
                <w:szCs w:val="24"/>
              </w:rPr>
            </w:pPr>
            <w:r w:rsidRPr="00FC46AD">
              <w:rPr>
                <w:color w:val="000000" w:themeColor="text1"/>
                <w:sz w:val="24"/>
                <w:szCs w:val="24"/>
              </w:rPr>
              <w:t>-0.622</w:t>
            </w:r>
          </w:p>
        </w:tc>
        <w:tc>
          <w:tcPr>
            <w:tcW w:w="2470" w:type="dxa"/>
            <w:vAlign w:val="center"/>
          </w:tcPr>
          <w:p w14:paraId="7FAE94B9" w14:textId="77777777" w:rsidR="00FC16A5" w:rsidRPr="00FC46AD" w:rsidRDefault="00FC16A5" w:rsidP="00150E13">
            <w:pPr>
              <w:tabs>
                <w:tab w:val="left" w:pos="2070"/>
              </w:tabs>
              <w:spacing w:line="276" w:lineRule="auto"/>
              <w:ind w:left="624" w:firstLine="0"/>
              <w:rPr>
                <w:color w:val="000000" w:themeColor="text1"/>
                <w:sz w:val="24"/>
                <w:szCs w:val="24"/>
              </w:rPr>
            </w:pPr>
            <w:r w:rsidRPr="00FC46AD">
              <w:rPr>
                <w:color w:val="000000" w:themeColor="text1"/>
                <w:sz w:val="24"/>
                <w:szCs w:val="24"/>
              </w:rPr>
              <w:t>-2.881***</w:t>
            </w:r>
          </w:p>
        </w:tc>
      </w:tr>
      <w:tr w:rsidR="00FC16A5" w:rsidRPr="00FC46AD" w14:paraId="14BC8170" w14:textId="77777777" w:rsidTr="00150E13">
        <w:trPr>
          <w:trHeight w:val="667"/>
        </w:trPr>
        <w:tc>
          <w:tcPr>
            <w:tcW w:w="1830" w:type="dxa"/>
            <w:tcBorders>
              <w:bottom w:val="single" w:sz="4" w:space="0" w:color="auto"/>
            </w:tcBorders>
            <w:vAlign w:val="center"/>
          </w:tcPr>
          <w:p w14:paraId="131E7D9F" w14:textId="77777777" w:rsidR="00FC16A5" w:rsidRPr="00FC46AD" w:rsidRDefault="00FC16A5" w:rsidP="00150E13">
            <w:pPr>
              <w:tabs>
                <w:tab w:val="left" w:pos="2070"/>
              </w:tabs>
              <w:spacing w:line="276" w:lineRule="auto"/>
              <w:rPr>
                <w:color w:val="000000" w:themeColor="text1"/>
                <w:sz w:val="24"/>
                <w:szCs w:val="24"/>
              </w:rPr>
            </w:pPr>
            <w:r w:rsidRPr="00FC46AD">
              <w:rPr>
                <w:color w:val="000000" w:themeColor="text1"/>
                <w:sz w:val="24"/>
                <w:szCs w:val="24"/>
              </w:rPr>
              <w:t>TRADE</w:t>
            </w:r>
          </w:p>
        </w:tc>
        <w:tc>
          <w:tcPr>
            <w:tcW w:w="2788" w:type="dxa"/>
            <w:tcBorders>
              <w:bottom w:val="single" w:sz="4" w:space="0" w:color="auto"/>
            </w:tcBorders>
            <w:vAlign w:val="center"/>
          </w:tcPr>
          <w:p w14:paraId="13C5E6E0" w14:textId="77777777" w:rsidR="00FC16A5" w:rsidRPr="00FC46AD" w:rsidRDefault="00FC16A5" w:rsidP="00150E13">
            <w:pPr>
              <w:tabs>
                <w:tab w:val="left" w:pos="2070"/>
              </w:tabs>
              <w:spacing w:line="276" w:lineRule="auto"/>
              <w:ind w:left="624"/>
              <w:rPr>
                <w:color w:val="000000" w:themeColor="text1"/>
                <w:sz w:val="24"/>
                <w:szCs w:val="24"/>
              </w:rPr>
            </w:pPr>
            <w:r w:rsidRPr="00FC46AD">
              <w:rPr>
                <w:color w:val="000000" w:themeColor="text1"/>
                <w:sz w:val="24"/>
                <w:szCs w:val="24"/>
              </w:rPr>
              <w:t>-1.255</w:t>
            </w:r>
          </w:p>
        </w:tc>
        <w:tc>
          <w:tcPr>
            <w:tcW w:w="2470" w:type="dxa"/>
            <w:tcBorders>
              <w:bottom w:val="single" w:sz="4" w:space="0" w:color="auto"/>
            </w:tcBorders>
            <w:vAlign w:val="center"/>
          </w:tcPr>
          <w:p w14:paraId="2A36D600" w14:textId="77777777" w:rsidR="00FC16A5" w:rsidRPr="00FC46AD" w:rsidRDefault="00FC16A5" w:rsidP="00150E13">
            <w:pPr>
              <w:tabs>
                <w:tab w:val="left" w:pos="2070"/>
              </w:tabs>
              <w:spacing w:line="276" w:lineRule="auto"/>
              <w:ind w:left="624" w:firstLine="0"/>
              <w:rPr>
                <w:color w:val="000000" w:themeColor="text1"/>
                <w:sz w:val="24"/>
                <w:szCs w:val="24"/>
              </w:rPr>
            </w:pPr>
            <w:r w:rsidRPr="00FC46AD">
              <w:rPr>
                <w:color w:val="000000" w:themeColor="text1"/>
                <w:sz w:val="24"/>
                <w:szCs w:val="24"/>
              </w:rPr>
              <w:t>-3.816***</w:t>
            </w:r>
          </w:p>
        </w:tc>
      </w:tr>
    </w:tbl>
    <w:p w14:paraId="21065595" w14:textId="65D9EBE0" w:rsidR="009E7BCF" w:rsidRPr="009E7BCF" w:rsidRDefault="009E7BCF" w:rsidP="00FC16A5">
      <w:pPr>
        <w:spacing w:line="276" w:lineRule="auto"/>
        <w:ind w:right="1565" w:firstLine="0"/>
        <w:rPr>
          <w:iCs/>
          <w:color w:val="000000" w:themeColor="text1"/>
          <w:spacing w:val="-6"/>
          <w:sz w:val="24"/>
          <w:szCs w:val="24"/>
        </w:rPr>
      </w:pPr>
      <w:r w:rsidRPr="009E7BCF">
        <w:rPr>
          <w:b/>
          <w:bCs/>
          <w:iCs/>
          <w:color w:val="000000" w:themeColor="text1"/>
          <w:spacing w:val="-6"/>
          <w:sz w:val="24"/>
          <w:szCs w:val="24"/>
        </w:rPr>
        <w:t>Notes:</w:t>
      </w:r>
      <w:r w:rsidRPr="009E7BCF">
        <w:rPr>
          <w:iCs/>
          <w:color w:val="000000" w:themeColor="text1"/>
          <w:spacing w:val="-6"/>
          <w:sz w:val="24"/>
          <w:szCs w:val="24"/>
        </w:rPr>
        <w:t xml:space="preserve"> *** denote statistical significance at 1% level.</w:t>
      </w:r>
    </w:p>
    <w:p w14:paraId="0A2CD261" w14:textId="047BEB81" w:rsidR="00FC16A5" w:rsidRPr="00FC46AD" w:rsidRDefault="00FC16A5" w:rsidP="00FC16A5">
      <w:pPr>
        <w:spacing w:line="276" w:lineRule="auto"/>
        <w:ind w:right="1565" w:firstLine="0"/>
        <w:rPr>
          <w:iCs/>
          <w:color w:val="000000" w:themeColor="text1"/>
          <w:sz w:val="24"/>
          <w:szCs w:val="24"/>
        </w:rPr>
      </w:pPr>
      <w:r w:rsidRPr="00FC46AD">
        <w:rPr>
          <w:b/>
          <w:bCs/>
          <w:iCs/>
          <w:color w:val="000000" w:themeColor="text1"/>
          <w:sz w:val="24"/>
          <w:szCs w:val="24"/>
        </w:rPr>
        <w:t>Source:</w:t>
      </w:r>
      <w:r w:rsidRPr="00FC46AD">
        <w:rPr>
          <w:iCs/>
          <w:color w:val="000000" w:themeColor="text1"/>
          <w:sz w:val="24"/>
          <w:szCs w:val="24"/>
        </w:rPr>
        <w:t xml:space="preserve"> Authors’ estimation</w:t>
      </w:r>
    </w:p>
    <w:p w14:paraId="3FD9CD25" w14:textId="77777777" w:rsidR="00FC16A5" w:rsidRDefault="00FC16A5" w:rsidP="004049FE">
      <w:pPr>
        <w:spacing w:line="276" w:lineRule="auto"/>
        <w:ind w:firstLine="0"/>
        <w:rPr>
          <w:b/>
          <w:bCs/>
          <w:sz w:val="24"/>
          <w:szCs w:val="24"/>
        </w:rPr>
      </w:pPr>
    </w:p>
    <w:p w14:paraId="7683E26A" w14:textId="2BBF8DCB" w:rsidR="009E7BCF" w:rsidRPr="00FC46AD" w:rsidRDefault="002F0121" w:rsidP="009E7BCF">
      <w:pPr>
        <w:tabs>
          <w:tab w:val="left" w:pos="2070"/>
        </w:tabs>
        <w:spacing w:line="276" w:lineRule="auto"/>
        <w:ind w:firstLine="0"/>
        <w:rPr>
          <w:b/>
          <w:color w:val="000000" w:themeColor="text1"/>
          <w:sz w:val="24"/>
          <w:szCs w:val="24"/>
        </w:rPr>
      </w:pPr>
      <w:r w:rsidRPr="002F0121">
        <w:rPr>
          <w:b/>
          <w:bCs/>
          <w:sz w:val="24"/>
          <w:szCs w:val="24"/>
        </w:rPr>
        <w:t>Supplementary</w:t>
      </w:r>
      <w:r w:rsidRPr="00FC46AD">
        <w:rPr>
          <w:b/>
          <w:color w:val="000000" w:themeColor="text1"/>
          <w:sz w:val="24"/>
          <w:szCs w:val="24"/>
        </w:rPr>
        <w:t xml:space="preserve"> </w:t>
      </w:r>
      <w:r w:rsidR="009E7BCF" w:rsidRPr="00FC46AD">
        <w:rPr>
          <w:b/>
          <w:color w:val="000000" w:themeColor="text1"/>
          <w:sz w:val="24"/>
          <w:szCs w:val="24"/>
        </w:rPr>
        <w:t xml:space="preserve">Table </w:t>
      </w:r>
      <w:r w:rsidR="00E27013">
        <w:rPr>
          <w:b/>
          <w:color w:val="000000" w:themeColor="text1"/>
          <w:sz w:val="24"/>
          <w:szCs w:val="24"/>
        </w:rPr>
        <w:t>A</w:t>
      </w:r>
      <w:r w:rsidR="009E7BCF">
        <w:rPr>
          <w:b/>
          <w:color w:val="000000" w:themeColor="text1"/>
          <w:sz w:val="24"/>
          <w:szCs w:val="24"/>
        </w:rPr>
        <w:t>3</w:t>
      </w:r>
      <w:r w:rsidR="009E7BCF" w:rsidRPr="00FC46AD">
        <w:rPr>
          <w:b/>
          <w:color w:val="000000" w:themeColor="text1"/>
          <w:sz w:val="24"/>
          <w:szCs w:val="24"/>
        </w:rPr>
        <w:t xml:space="preserve">. </w:t>
      </w:r>
      <w:r w:rsidR="009E7BCF" w:rsidRPr="00FC46AD">
        <w:rPr>
          <w:bCs/>
          <w:color w:val="000000" w:themeColor="text1"/>
          <w:sz w:val="24"/>
          <w:szCs w:val="24"/>
        </w:rPr>
        <w:t>Westerlund panel cointegration test results</w:t>
      </w:r>
    </w:p>
    <w:tbl>
      <w:tblPr>
        <w:tblW w:w="7376" w:type="dxa"/>
        <w:tblBorders>
          <w:top w:val="single" w:sz="4" w:space="0" w:color="auto"/>
          <w:bottom w:val="single" w:sz="4" w:space="0" w:color="auto"/>
        </w:tblBorders>
        <w:tblLook w:val="04A0" w:firstRow="1" w:lastRow="0" w:firstColumn="1" w:lastColumn="0" w:noHBand="0" w:noVBand="1"/>
      </w:tblPr>
      <w:tblGrid>
        <w:gridCol w:w="1985"/>
        <w:gridCol w:w="1276"/>
        <w:gridCol w:w="1275"/>
        <w:gridCol w:w="1276"/>
        <w:gridCol w:w="1564"/>
      </w:tblGrid>
      <w:tr w:rsidR="009E7BCF" w:rsidRPr="00FC46AD" w14:paraId="2A7191D3" w14:textId="77777777" w:rsidTr="00150E13">
        <w:trPr>
          <w:trHeight w:val="485"/>
        </w:trPr>
        <w:tc>
          <w:tcPr>
            <w:tcW w:w="1985" w:type="dxa"/>
            <w:tcBorders>
              <w:top w:val="single" w:sz="4" w:space="0" w:color="auto"/>
              <w:bottom w:val="single" w:sz="4" w:space="0" w:color="auto"/>
            </w:tcBorders>
          </w:tcPr>
          <w:p w14:paraId="3C91FA76" w14:textId="77777777" w:rsidR="009E7BCF" w:rsidRPr="00FC46AD" w:rsidRDefault="009E7BCF" w:rsidP="00150E13">
            <w:pPr>
              <w:tabs>
                <w:tab w:val="left" w:pos="2070"/>
              </w:tabs>
              <w:spacing w:line="276" w:lineRule="auto"/>
              <w:rPr>
                <w:b/>
                <w:color w:val="000000" w:themeColor="text1"/>
                <w:sz w:val="24"/>
                <w:szCs w:val="24"/>
              </w:rPr>
            </w:pPr>
          </w:p>
        </w:tc>
        <w:tc>
          <w:tcPr>
            <w:tcW w:w="1276" w:type="dxa"/>
            <w:tcBorders>
              <w:top w:val="single" w:sz="4" w:space="0" w:color="auto"/>
              <w:bottom w:val="single" w:sz="4" w:space="0" w:color="auto"/>
            </w:tcBorders>
          </w:tcPr>
          <w:p w14:paraId="474267BE" w14:textId="77777777" w:rsidR="009E7BCF" w:rsidRPr="00FC46AD" w:rsidRDefault="009E7BCF" w:rsidP="00150E13">
            <w:pPr>
              <w:tabs>
                <w:tab w:val="left" w:pos="2070"/>
              </w:tabs>
              <w:spacing w:line="276" w:lineRule="auto"/>
              <w:ind w:firstLine="0"/>
              <w:rPr>
                <w:b/>
                <w:color w:val="000000" w:themeColor="text1"/>
                <w:sz w:val="24"/>
                <w:szCs w:val="24"/>
                <w:vertAlign w:val="subscript"/>
              </w:rPr>
            </w:pPr>
            <w:r w:rsidRPr="00FC46AD">
              <w:rPr>
                <w:b/>
                <w:color w:val="000000" w:themeColor="text1"/>
                <w:sz w:val="24"/>
                <w:szCs w:val="24"/>
              </w:rPr>
              <w:t>G</w:t>
            </w:r>
            <w:r w:rsidRPr="00FC46AD">
              <w:rPr>
                <w:b/>
                <w:color w:val="000000" w:themeColor="text1"/>
                <w:sz w:val="24"/>
                <w:szCs w:val="24"/>
                <w:vertAlign w:val="subscript"/>
              </w:rPr>
              <w:t>t</w:t>
            </w:r>
          </w:p>
        </w:tc>
        <w:tc>
          <w:tcPr>
            <w:tcW w:w="1275" w:type="dxa"/>
            <w:tcBorders>
              <w:top w:val="single" w:sz="4" w:space="0" w:color="auto"/>
              <w:bottom w:val="single" w:sz="4" w:space="0" w:color="auto"/>
            </w:tcBorders>
          </w:tcPr>
          <w:p w14:paraId="5992CCEC" w14:textId="77777777" w:rsidR="009E7BCF" w:rsidRPr="00FC46AD" w:rsidRDefault="009E7BCF" w:rsidP="00150E13">
            <w:pPr>
              <w:tabs>
                <w:tab w:val="left" w:pos="2070"/>
              </w:tabs>
              <w:spacing w:line="276" w:lineRule="auto"/>
              <w:ind w:firstLine="0"/>
              <w:rPr>
                <w:b/>
                <w:color w:val="000000" w:themeColor="text1"/>
                <w:sz w:val="24"/>
                <w:szCs w:val="24"/>
              </w:rPr>
            </w:pPr>
            <w:r w:rsidRPr="00FC46AD">
              <w:rPr>
                <w:b/>
                <w:color w:val="000000" w:themeColor="text1"/>
                <w:sz w:val="24"/>
                <w:szCs w:val="24"/>
              </w:rPr>
              <w:t>G</w:t>
            </w:r>
            <w:r w:rsidRPr="00FC46AD">
              <w:rPr>
                <w:b/>
                <w:color w:val="000000" w:themeColor="text1"/>
                <w:sz w:val="24"/>
                <w:szCs w:val="24"/>
                <w:vertAlign w:val="subscript"/>
              </w:rPr>
              <w:t>a</w:t>
            </w:r>
          </w:p>
        </w:tc>
        <w:tc>
          <w:tcPr>
            <w:tcW w:w="1276" w:type="dxa"/>
            <w:tcBorders>
              <w:top w:val="single" w:sz="4" w:space="0" w:color="auto"/>
              <w:bottom w:val="single" w:sz="4" w:space="0" w:color="auto"/>
            </w:tcBorders>
          </w:tcPr>
          <w:p w14:paraId="6FCC5EF6" w14:textId="77777777" w:rsidR="009E7BCF" w:rsidRPr="00FC46AD" w:rsidRDefault="009E7BCF" w:rsidP="00150E13">
            <w:pPr>
              <w:tabs>
                <w:tab w:val="left" w:pos="2070"/>
              </w:tabs>
              <w:spacing w:line="276" w:lineRule="auto"/>
              <w:ind w:firstLine="0"/>
              <w:rPr>
                <w:b/>
                <w:color w:val="000000" w:themeColor="text1"/>
                <w:sz w:val="24"/>
                <w:szCs w:val="24"/>
              </w:rPr>
            </w:pPr>
            <w:r w:rsidRPr="00FC46AD">
              <w:rPr>
                <w:b/>
                <w:color w:val="000000" w:themeColor="text1"/>
                <w:sz w:val="24"/>
                <w:szCs w:val="24"/>
              </w:rPr>
              <w:t>P</w:t>
            </w:r>
            <w:r w:rsidRPr="00FC46AD">
              <w:rPr>
                <w:b/>
                <w:color w:val="000000" w:themeColor="text1"/>
                <w:sz w:val="24"/>
                <w:szCs w:val="24"/>
                <w:vertAlign w:val="subscript"/>
              </w:rPr>
              <w:t>t</w:t>
            </w:r>
          </w:p>
        </w:tc>
        <w:tc>
          <w:tcPr>
            <w:tcW w:w="1564" w:type="dxa"/>
            <w:tcBorders>
              <w:top w:val="single" w:sz="4" w:space="0" w:color="auto"/>
              <w:bottom w:val="single" w:sz="4" w:space="0" w:color="auto"/>
            </w:tcBorders>
          </w:tcPr>
          <w:p w14:paraId="0E63EC6C" w14:textId="77777777" w:rsidR="009E7BCF" w:rsidRPr="00FC46AD" w:rsidRDefault="009E7BCF" w:rsidP="00150E13">
            <w:pPr>
              <w:tabs>
                <w:tab w:val="left" w:pos="2070"/>
              </w:tabs>
              <w:spacing w:line="276" w:lineRule="auto"/>
              <w:ind w:firstLine="0"/>
              <w:rPr>
                <w:b/>
                <w:color w:val="000000" w:themeColor="text1"/>
                <w:sz w:val="24"/>
                <w:szCs w:val="24"/>
              </w:rPr>
            </w:pPr>
            <w:r w:rsidRPr="00FC46AD">
              <w:rPr>
                <w:b/>
                <w:color w:val="000000" w:themeColor="text1"/>
                <w:sz w:val="24"/>
                <w:szCs w:val="24"/>
              </w:rPr>
              <w:t>P</w:t>
            </w:r>
            <w:r w:rsidRPr="00FC46AD">
              <w:rPr>
                <w:b/>
                <w:color w:val="000000" w:themeColor="text1"/>
                <w:sz w:val="24"/>
                <w:szCs w:val="24"/>
                <w:vertAlign w:val="subscript"/>
              </w:rPr>
              <w:t>a</w:t>
            </w:r>
          </w:p>
        </w:tc>
      </w:tr>
      <w:tr w:rsidR="009E7BCF" w:rsidRPr="00FC46AD" w14:paraId="6C7C4D73" w14:textId="77777777" w:rsidTr="00150E13">
        <w:trPr>
          <w:trHeight w:val="726"/>
        </w:trPr>
        <w:tc>
          <w:tcPr>
            <w:tcW w:w="1985" w:type="dxa"/>
            <w:tcBorders>
              <w:top w:val="single" w:sz="4" w:space="0" w:color="auto"/>
              <w:bottom w:val="single" w:sz="4" w:space="0" w:color="auto"/>
            </w:tcBorders>
          </w:tcPr>
          <w:p w14:paraId="61F41408"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Statistic Value</w:t>
            </w:r>
          </w:p>
        </w:tc>
        <w:tc>
          <w:tcPr>
            <w:tcW w:w="1276" w:type="dxa"/>
            <w:tcBorders>
              <w:top w:val="single" w:sz="4" w:space="0" w:color="auto"/>
              <w:bottom w:val="single" w:sz="4" w:space="0" w:color="auto"/>
            </w:tcBorders>
          </w:tcPr>
          <w:p w14:paraId="6BB16293"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-3.604***</w:t>
            </w:r>
          </w:p>
        </w:tc>
        <w:tc>
          <w:tcPr>
            <w:tcW w:w="1275" w:type="dxa"/>
            <w:tcBorders>
              <w:top w:val="single" w:sz="4" w:space="0" w:color="auto"/>
              <w:bottom w:val="single" w:sz="4" w:space="0" w:color="auto"/>
            </w:tcBorders>
          </w:tcPr>
          <w:p w14:paraId="0F1FA248"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-8.934**</w:t>
            </w:r>
          </w:p>
        </w:tc>
        <w:tc>
          <w:tcPr>
            <w:tcW w:w="1276" w:type="dxa"/>
            <w:tcBorders>
              <w:top w:val="single" w:sz="4" w:space="0" w:color="auto"/>
              <w:bottom w:val="single" w:sz="4" w:space="0" w:color="auto"/>
            </w:tcBorders>
          </w:tcPr>
          <w:p w14:paraId="4BA167D1"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-7.780**</w:t>
            </w:r>
          </w:p>
        </w:tc>
        <w:tc>
          <w:tcPr>
            <w:tcW w:w="1564" w:type="dxa"/>
            <w:tcBorders>
              <w:top w:val="single" w:sz="4" w:space="0" w:color="auto"/>
              <w:bottom w:val="single" w:sz="4" w:space="0" w:color="auto"/>
            </w:tcBorders>
          </w:tcPr>
          <w:p w14:paraId="0A189798"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-9.626**</w:t>
            </w:r>
          </w:p>
        </w:tc>
      </w:tr>
      <w:tr w:rsidR="009E7BCF" w:rsidRPr="00FC46AD" w14:paraId="4773C5D7" w14:textId="77777777" w:rsidTr="00150E13">
        <w:trPr>
          <w:trHeight w:val="726"/>
        </w:trPr>
        <w:tc>
          <w:tcPr>
            <w:tcW w:w="1985" w:type="dxa"/>
            <w:tcBorders>
              <w:top w:val="single" w:sz="4" w:space="0" w:color="auto"/>
              <w:bottom w:val="single" w:sz="4" w:space="0" w:color="auto"/>
            </w:tcBorders>
          </w:tcPr>
          <w:p w14:paraId="77B42D8F"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lastRenderedPageBreak/>
              <w:t>Z- value</w:t>
            </w:r>
          </w:p>
        </w:tc>
        <w:tc>
          <w:tcPr>
            <w:tcW w:w="1276" w:type="dxa"/>
            <w:tcBorders>
              <w:top w:val="single" w:sz="4" w:space="0" w:color="auto"/>
              <w:bottom w:val="single" w:sz="4" w:space="0" w:color="auto"/>
            </w:tcBorders>
          </w:tcPr>
          <w:p w14:paraId="5644BFA8"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-3.655</w:t>
            </w:r>
          </w:p>
        </w:tc>
        <w:tc>
          <w:tcPr>
            <w:tcW w:w="1275" w:type="dxa"/>
            <w:tcBorders>
              <w:top w:val="single" w:sz="4" w:space="0" w:color="auto"/>
              <w:bottom w:val="single" w:sz="4" w:space="0" w:color="auto"/>
            </w:tcBorders>
          </w:tcPr>
          <w:p w14:paraId="267981D9"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0.961</w:t>
            </w:r>
          </w:p>
        </w:tc>
        <w:tc>
          <w:tcPr>
            <w:tcW w:w="1276" w:type="dxa"/>
            <w:tcBorders>
              <w:top w:val="single" w:sz="4" w:space="0" w:color="auto"/>
              <w:bottom w:val="single" w:sz="4" w:space="0" w:color="auto"/>
            </w:tcBorders>
          </w:tcPr>
          <w:p w14:paraId="1E77384D"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-2.293</w:t>
            </w:r>
          </w:p>
        </w:tc>
        <w:tc>
          <w:tcPr>
            <w:tcW w:w="1564" w:type="dxa"/>
            <w:tcBorders>
              <w:top w:val="single" w:sz="4" w:space="0" w:color="auto"/>
              <w:bottom w:val="single" w:sz="4" w:space="0" w:color="auto"/>
            </w:tcBorders>
          </w:tcPr>
          <w:p w14:paraId="5EB7ACF9"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-0.530</w:t>
            </w:r>
          </w:p>
        </w:tc>
      </w:tr>
      <w:tr w:rsidR="009E7BCF" w:rsidRPr="00FC46AD" w14:paraId="7BD806C4" w14:textId="77777777" w:rsidTr="00150E13">
        <w:trPr>
          <w:trHeight w:val="883"/>
        </w:trPr>
        <w:tc>
          <w:tcPr>
            <w:tcW w:w="1985" w:type="dxa"/>
            <w:tcBorders>
              <w:top w:val="single" w:sz="4" w:space="0" w:color="auto"/>
            </w:tcBorders>
          </w:tcPr>
          <w:p w14:paraId="3F79ACD6"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Bootstrap  p-value</w:t>
            </w:r>
          </w:p>
        </w:tc>
        <w:tc>
          <w:tcPr>
            <w:tcW w:w="1276" w:type="dxa"/>
            <w:tcBorders>
              <w:top w:val="single" w:sz="4" w:space="0" w:color="auto"/>
            </w:tcBorders>
          </w:tcPr>
          <w:p w14:paraId="39E85E84"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0.002</w:t>
            </w:r>
          </w:p>
        </w:tc>
        <w:tc>
          <w:tcPr>
            <w:tcW w:w="1275" w:type="dxa"/>
            <w:tcBorders>
              <w:top w:val="single" w:sz="4" w:space="0" w:color="auto"/>
            </w:tcBorders>
          </w:tcPr>
          <w:p w14:paraId="227EC074"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0.032</w:t>
            </w:r>
          </w:p>
        </w:tc>
        <w:tc>
          <w:tcPr>
            <w:tcW w:w="1276" w:type="dxa"/>
            <w:tcBorders>
              <w:top w:val="single" w:sz="4" w:space="0" w:color="auto"/>
            </w:tcBorders>
          </w:tcPr>
          <w:p w14:paraId="73A9D517"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0.028</w:t>
            </w:r>
          </w:p>
        </w:tc>
        <w:tc>
          <w:tcPr>
            <w:tcW w:w="1564" w:type="dxa"/>
            <w:tcBorders>
              <w:top w:val="single" w:sz="4" w:space="0" w:color="auto"/>
            </w:tcBorders>
          </w:tcPr>
          <w:p w14:paraId="5560C0F9" w14:textId="77777777" w:rsidR="009E7BCF" w:rsidRPr="00FC46AD" w:rsidRDefault="009E7BCF" w:rsidP="00150E13">
            <w:pPr>
              <w:tabs>
                <w:tab w:val="left" w:pos="2070"/>
              </w:tabs>
              <w:spacing w:line="276" w:lineRule="auto"/>
              <w:ind w:firstLine="0"/>
              <w:rPr>
                <w:color w:val="000000" w:themeColor="text1"/>
                <w:sz w:val="24"/>
                <w:szCs w:val="24"/>
              </w:rPr>
            </w:pPr>
            <w:r w:rsidRPr="00FC46AD">
              <w:rPr>
                <w:color w:val="000000" w:themeColor="text1"/>
                <w:sz w:val="24"/>
                <w:szCs w:val="24"/>
              </w:rPr>
              <w:t>0.012</w:t>
            </w:r>
          </w:p>
        </w:tc>
      </w:tr>
    </w:tbl>
    <w:p w14:paraId="29888624" w14:textId="77777777" w:rsidR="009E7BCF" w:rsidRPr="00FC46AD" w:rsidRDefault="009E7BCF" w:rsidP="009E7BCF">
      <w:pPr>
        <w:spacing w:line="276" w:lineRule="auto"/>
        <w:ind w:right="737" w:firstLine="0"/>
        <w:rPr>
          <w:sz w:val="24"/>
          <w:szCs w:val="24"/>
        </w:rPr>
      </w:pPr>
      <w:r w:rsidRPr="00FC46AD">
        <w:rPr>
          <w:b/>
          <w:bCs/>
          <w:sz w:val="24"/>
          <w:szCs w:val="24"/>
        </w:rPr>
        <w:t>Notes:</w:t>
      </w:r>
      <w:r w:rsidRPr="00FC46AD">
        <w:rPr>
          <w:sz w:val="24"/>
          <w:szCs w:val="24"/>
        </w:rPr>
        <w:t xml:space="preserve"> The bootstrap p-value is simulated with 500 steps. ***, ** denote significance at 1% and 5% levels, respectively. Bartlett-Kernel Window width is set based on 4 (T/100) 2/9 ≈ 3; The test was performed with the xtwest command in Stata according to Persyn and Westerlund (2008).</w:t>
      </w:r>
    </w:p>
    <w:p w14:paraId="758ECD25" w14:textId="77777777" w:rsidR="009E7BCF" w:rsidRPr="00FC46AD" w:rsidRDefault="009E7BCF" w:rsidP="009E7BCF">
      <w:pPr>
        <w:spacing w:line="276" w:lineRule="auto"/>
        <w:ind w:right="737" w:firstLine="0"/>
        <w:rPr>
          <w:i/>
          <w:iCs/>
          <w:sz w:val="24"/>
          <w:szCs w:val="24"/>
        </w:rPr>
      </w:pPr>
      <w:r w:rsidRPr="00FC46AD">
        <w:rPr>
          <w:b/>
          <w:bCs/>
          <w:sz w:val="24"/>
          <w:szCs w:val="24"/>
        </w:rPr>
        <w:t>Source:</w:t>
      </w:r>
      <w:r w:rsidRPr="00FC46AD">
        <w:rPr>
          <w:sz w:val="24"/>
          <w:szCs w:val="24"/>
        </w:rPr>
        <w:t xml:space="preserve"> Authors’ estimation</w:t>
      </w:r>
    </w:p>
    <w:p w14:paraId="377F06F6" w14:textId="77777777" w:rsidR="004049FE" w:rsidRDefault="004049FE" w:rsidP="004049FE">
      <w:pPr>
        <w:spacing w:line="276" w:lineRule="auto"/>
        <w:ind w:firstLine="0"/>
        <w:rPr>
          <w:b/>
          <w:bCs/>
          <w:sz w:val="24"/>
          <w:szCs w:val="24"/>
        </w:rPr>
      </w:pPr>
    </w:p>
    <w:p w14:paraId="687448BB" w14:textId="77777777" w:rsidR="004049FE" w:rsidRDefault="004049FE" w:rsidP="004049FE">
      <w:pPr>
        <w:spacing w:line="276" w:lineRule="auto"/>
        <w:ind w:firstLine="0"/>
        <w:rPr>
          <w:b/>
          <w:bCs/>
          <w:sz w:val="24"/>
          <w:szCs w:val="24"/>
        </w:rPr>
      </w:pPr>
    </w:p>
    <w:p w14:paraId="5E590ABB" w14:textId="6718B13A" w:rsidR="004049FE" w:rsidRPr="00FC46AD" w:rsidRDefault="002F0121" w:rsidP="004049FE">
      <w:pPr>
        <w:spacing w:after="120" w:line="276" w:lineRule="auto"/>
        <w:ind w:firstLine="0"/>
        <w:rPr>
          <w:b/>
          <w:bCs/>
          <w:sz w:val="24"/>
          <w:szCs w:val="24"/>
        </w:rPr>
      </w:pPr>
      <w:r w:rsidRPr="002F0121">
        <w:rPr>
          <w:b/>
          <w:bCs/>
          <w:sz w:val="24"/>
          <w:szCs w:val="24"/>
        </w:rPr>
        <w:t>Supplementary</w:t>
      </w:r>
      <w:r w:rsidRPr="00FC46AD">
        <w:rPr>
          <w:b/>
          <w:bCs/>
          <w:sz w:val="24"/>
          <w:szCs w:val="24"/>
        </w:rPr>
        <w:t xml:space="preserve"> </w:t>
      </w:r>
      <w:r w:rsidR="004049FE" w:rsidRPr="00FC46AD">
        <w:rPr>
          <w:b/>
          <w:bCs/>
          <w:sz w:val="24"/>
          <w:szCs w:val="24"/>
        </w:rPr>
        <w:t xml:space="preserve">Appendix A: </w:t>
      </w:r>
      <w:r w:rsidR="004049FE" w:rsidRPr="00FC46AD">
        <w:rPr>
          <w:rFonts w:eastAsia="Aptos"/>
          <w:b/>
          <w:bCs/>
          <w:color w:val="081B3A"/>
          <w:spacing w:val="3"/>
          <w:sz w:val="24"/>
          <w:szCs w:val="24"/>
          <w:shd w:val="clear" w:color="auto" w:fill="FFFFFF"/>
        </w:rPr>
        <w:t>Variable definition</w:t>
      </w:r>
    </w:p>
    <w:tbl>
      <w:tblPr>
        <w:tblStyle w:val="TableGrid"/>
        <w:tblW w:w="8441" w:type="dxa"/>
        <w:tblInd w:w="-289" w:type="dxa"/>
        <w:tblLook w:val="04A0" w:firstRow="1" w:lastRow="0" w:firstColumn="1" w:lastColumn="0" w:noHBand="0" w:noVBand="1"/>
      </w:tblPr>
      <w:tblGrid>
        <w:gridCol w:w="1534"/>
        <w:gridCol w:w="1208"/>
        <w:gridCol w:w="3961"/>
        <w:gridCol w:w="1738"/>
      </w:tblGrid>
      <w:tr w:rsidR="004049FE" w:rsidRPr="00FC46AD" w14:paraId="39778323" w14:textId="77777777" w:rsidTr="003555E8">
        <w:trPr>
          <w:trHeight w:val="380"/>
        </w:trPr>
        <w:tc>
          <w:tcPr>
            <w:tcW w:w="1505" w:type="dxa"/>
          </w:tcPr>
          <w:p w14:paraId="18FD9D59" w14:textId="77777777" w:rsidR="004049FE" w:rsidRPr="00FC46AD" w:rsidRDefault="004049FE" w:rsidP="003555E8">
            <w:pPr>
              <w:spacing w:line="276" w:lineRule="auto"/>
              <w:ind w:firstLine="0"/>
              <w:jc w:val="center"/>
              <w:rPr>
                <w:rFonts w:eastAsia="Aptos"/>
                <w:b/>
                <w:bCs/>
                <w:color w:val="081B3A"/>
                <w:spacing w:val="3"/>
                <w:shd w:val="clear" w:color="auto" w:fill="FFFFFF"/>
              </w:rPr>
            </w:pPr>
            <w:r w:rsidRPr="00FC46AD">
              <w:rPr>
                <w:rFonts w:eastAsia="Aptos"/>
                <w:b/>
                <w:bCs/>
                <w:color w:val="081B3A"/>
                <w:spacing w:val="3"/>
                <w:shd w:val="clear" w:color="auto" w:fill="FFFFFF"/>
              </w:rPr>
              <w:t>Type</w:t>
            </w:r>
          </w:p>
        </w:tc>
        <w:tc>
          <w:tcPr>
            <w:tcW w:w="1185" w:type="dxa"/>
          </w:tcPr>
          <w:p w14:paraId="548A2B02" w14:textId="77777777" w:rsidR="004049FE" w:rsidRPr="00FC46AD" w:rsidRDefault="004049FE" w:rsidP="003555E8">
            <w:pPr>
              <w:spacing w:line="276" w:lineRule="auto"/>
              <w:ind w:firstLine="0"/>
              <w:jc w:val="center"/>
              <w:rPr>
                <w:rFonts w:eastAsia="Aptos"/>
                <w:b/>
                <w:bCs/>
                <w:color w:val="081B3A"/>
                <w:spacing w:val="3"/>
                <w:shd w:val="clear" w:color="auto" w:fill="FFFFFF"/>
              </w:rPr>
            </w:pPr>
            <w:r w:rsidRPr="00FC46AD">
              <w:rPr>
                <w:rFonts w:eastAsia="Aptos"/>
                <w:b/>
                <w:bCs/>
                <w:color w:val="081B3A"/>
                <w:spacing w:val="3"/>
                <w:shd w:val="clear" w:color="auto" w:fill="FFFFFF"/>
              </w:rPr>
              <w:t>Variable</w:t>
            </w:r>
          </w:p>
        </w:tc>
        <w:tc>
          <w:tcPr>
            <w:tcW w:w="4010" w:type="dxa"/>
          </w:tcPr>
          <w:p w14:paraId="53A0D719" w14:textId="77777777" w:rsidR="004049FE" w:rsidRPr="00FC46AD" w:rsidRDefault="004049FE" w:rsidP="003555E8">
            <w:pPr>
              <w:spacing w:line="276" w:lineRule="auto"/>
              <w:ind w:firstLine="0"/>
              <w:jc w:val="center"/>
              <w:rPr>
                <w:rFonts w:eastAsia="Aptos"/>
                <w:b/>
                <w:bCs/>
                <w:color w:val="081B3A"/>
                <w:spacing w:val="3"/>
                <w:shd w:val="clear" w:color="auto" w:fill="FFFFFF"/>
              </w:rPr>
            </w:pPr>
            <w:r w:rsidRPr="00FC46AD">
              <w:rPr>
                <w:rFonts w:eastAsia="Aptos"/>
                <w:b/>
                <w:bCs/>
                <w:color w:val="081B3A"/>
                <w:spacing w:val="3"/>
                <w:shd w:val="clear" w:color="auto" w:fill="FFFFFF"/>
              </w:rPr>
              <w:t>Variable definition</w:t>
            </w:r>
          </w:p>
        </w:tc>
        <w:tc>
          <w:tcPr>
            <w:tcW w:w="1741" w:type="dxa"/>
          </w:tcPr>
          <w:p w14:paraId="5C68BF15" w14:textId="77777777" w:rsidR="004049FE" w:rsidRPr="00FC46AD" w:rsidRDefault="004049FE" w:rsidP="003555E8">
            <w:pPr>
              <w:spacing w:line="276" w:lineRule="auto"/>
              <w:ind w:firstLine="0"/>
              <w:jc w:val="center"/>
              <w:rPr>
                <w:rFonts w:eastAsia="Aptos"/>
                <w:b/>
                <w:bCs/>
                <w:color w:val="081B3A"/>
                <w:spacing w:val="3"/>
                <w:shd w:val="clear" w:color="auto" w:fill="FFFFFF"/>
              </w:rPr>
            </w:pPr>
            <w:r w:rsidRPr="00FC46AD">
              <w:rPr>
                <w:rFonts w:eastAsia="Aptos"/>
                <w:b/>
                <w:bCs/>
                <w:color w:val="081B3A"/>
                <w:spacing w:val="3"/>
                <w:shd w:val="clear" w:color="auto" w:fill="FFFFFF"/>
              </w:rPr>
              <w:t>Source</w:t>
            </w:r>
          </w:p>
        </w:tc>
      </w:tr>
      <w:tr w:rsidR="004049FE" w:rsidRPr="00FC46AD" w14:paraId="70EC314E" w14:textId="77777777" w:rsidTr="003555E8">
        <w:trPr>
          <w:trHeight w:val="769"/>
        </w:trPr>
        <w:tc>
          <w:tcPr>
            <w:tcW w:w="1505" w:type="dxa"/>
          </w:tcPr>
          <w:p w14:paraId="38EEAEE1"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Dependent variable</w:t>
            </w:r>
          </w:p>
        </w:tc>
        <w:tc>
          <w:tcPr>
            <w:tcW w:w="1185" w:type="dxa"/>
          </w:tcPr>
          <w:p w14:paraId="37B7CD6C"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GDP</w:t>
            </w:r>
          </w:p>
        </w:tc>
        <w:tc>
          <w:tcPr>
            <w:tcW w:w="4010" w:type="dxa"/>
          </w:tcPr>
          <w:p w14:paraId="2150805A" w14:textId="77777777" w:rsidR="004049FE" w:rsidRPr="00FC46AD" w:rsidRDefault="004049FE" w:rsidP="003555E8">
            <w:pPr>
              <w:spacing w:line="276" w:lineRule="auto"/>
              <w:ind w:firstLine="0"/>
              <w:rPr>
                <w:rFonts w:eastAsia="Aptos"/>
                <w:color w:val="081B3A"/>
                <w:spacing w:val="3"/>
                <w:shd w:val="clear" w:color="auto" w:fill="FFFFFF"/>
              </w:rPr>
            </w:pPr>
            <w:r w:rsidRPr="00FC46AD">
              <w:rPr>
                <w:rFonts w:eastAsia="Aptos"/>
                <w:color w:val="081B3A"/>
                <w:spacing w:val="3"/>
                <w:shd w:val="clear" w:color="auto" w:fill="FFFFFF"/>
              </w:rPr>
              <w:t>GDP growth is annual percentage growth rate of GDP at market prices based on constant local currency</w:t>
            </w:r>
          </w:p>
        </w:tc>
        <w:tc>
          <w:tcPr>
            <w:tcW w:w="1741" w:type="dxa"/>
          </w:tcPr>
          <w:p w14:paraId="2858C78D"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spacing w:val="-1"/>
              </w:rPr>
              <w:t>World Development Indicators</w:t>
            </w:r>
          </w:p>
        </w:tc>
      </w:tr>
      <w:tr w:rsidR="004049FE" w:rsidRPr="00FC46AD" w14:paraId="7C3A1A5A" w14:textId="77777777" w:rsidTr="003555E8">
        <w:trPr>
          <w:trHeight w:val="769"/>
        </w:trPr>
        <w:tc>
          <w:tcPr>
            <w:tcW w:w="1505" w:type="dxa"/>
            <w:vMerge w:val="restart"/>
          </w:tcPr>
          <w:p w14:paraId="302C694F"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32D0CBCC"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0F27319F"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6DA75270"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47127CF0"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2B4FCC8B"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2F66C3AB"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146D426D"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Independent variables</w:t>
            </w:r>
          </w:p>
        </w:tc>
        <w:tc>
          <w:tcPr>
            <w:tcW w:w="1185" w:type="dxa"/>
          </w:tcPr>
          <w:p w14:paraId="3E9A1821"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389C7D3C"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667D3911"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EE</w:t>
            </w:r>
          </w:p>
        </w:tc>
        <w:tc>
          <w:tcPr>
            <w:tcW w:w="4010" w:type="dxa"/>
          </w:tcPr>
          <w:p w14:paraId="6D032BF2" w14:textId="77777777" w:rsidR="004049FE" w:rsidRPr="00FC46AD" w:rsidRDefault="004049FE" w:rsidP="003555E8">
            <w:pPr>
              <w:spacing w:line="276" w:lineRule="auto"/>
              <w:ind w:firstLine="0"/>
              <w:rPr>
                <w:rFonts w:eastAsia="Aptos"/>
                <w:color w:val="081B3A"/>
                <w:spacing w:val="3"/>
                <w:shd w:val="clear" w:color="auto" w:fill="FFFFFF"/>
              </w:rPr>
            </w:pPr>
            <w:r w:rsidRPr="00FC46AD">
              <w:t>Energy equity assesses a country’s ability to provide universal access to affordable, fairly priced and abundant energy for domestic and commercial use</w:t>
            </w:r>
          </w:p>
        </w:tc>
        <w:tc>
          <w:tcPr>
            <w:tcW w:w="1741" w:type="dxa"/>
          </w:tcPr>
          <w:p w14:paraId="2DB9DCE6" w14:textId="77777777" w:rsidR="004049FE" w:rsidRPr="00FC46AD" w:rsidRDefault="004049FE" w:rsidP="003555E8">
            <w:pPr>
              <w:spacing w:line="276" w:lineRule="auto"/>
              <w:ind w:firstLine="0"/>
              <w:jc w:val="center"/>
            </w:pPr>
          </w:p>
          <w:p w14:paraId="4E5C324E" w14:textId="77777777" w:rsidR="004049FE" w:rsidRPr="00FC46AD" w:rsidRDefault="004049FE" w:rsidP="003555E8">
            <w:pPr>
              <w:spacing w:line="276" w:lineRule="auto"/>
              <w:ind w:firstLine="0"/>
              <w:jc w:val="center"/>
            </w:pPr>
          </w:p>
          <w:p w14:paraId="4202B081" w14:textId="77777777" w:rsidR="004049FE" w:rsidRPr="00FC46AD" w:rsidRDefault="004049FE" w:rsidP="003555E8">
            <w:pPr>
              <w:spacing w:line="276" w:lineRule="auto"/>
              <w:ind w:firstLine="0"/>
              <w:jc w:val="center"/>
            </w:pPr>
            <w:r w:rsidRPr="00FC46AD">
              <w:t>World Energy Council</w:t>
            </w:r>
          </w:p>
        </w:tc>
      </w:tr>
      <w:tr w:rsidR="004049FE" w:rsidRPr="00FC46AD" w14:paraId="0C07E35B" w14:textId="77777777" w:rsidTr="003555E8">
        <w:trPr>
          <w:trHeight w:val="132"/>
        </w:trPr>
        <w:tc>
          <w:tcPr>
            <w:tcW w:w="1505" w:type="dxa"/>
            <w:vMerge/>
          </w:tcPr>
          <w:p w14:paraId="5C11F890" w14:textId="77777777" w:rsidR="004049FE" w:rsidRPr="00FC46AD" w:rsidRDefault="004049FE" w:rsidP="003555E8">
            <w:pPr>
              <w:spacing w:line="276" w:lineRule="auto"/>
              <w:ind w:firstLine="0"/>
              <w:jc w:val="center"/>
              <w:rPr>
                <w:rFonts w:eastAsia="Aptos"/>
                <w:color w:val="081B3A"/>
                <w:spacing w:val="3"/>
                <w:shd w:val="clear" w:color="auto" w:fill="FFFFFF"/>
              </w:rPr>
            </w:pPr>
          </w:p>
        </w:tc>
        <w:tc>
          <w:tcPr>
            <w:tcW w:w="1185" w:type="dxa"/>
          </w:tcPr>
          <w:p w14:paraId="38798E8B"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2A5E495B"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7E31003F"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ES</w:t>
            </w:r>
          </w:p>
        </w:tc>
        <w:tc>
          <w:tcPr>
            <w:tcW w:w="4010" w:type="dxa"/>
          </w:tcPr>
          <w:p w14:paraId="38E36913" w14:textId="77777777" w:rsidR="004049FE" w:rsidRPr="00FC46AD" w:rsidRDefault="004049FE" w:rsidP="003555E8">
            <w:pPr>
              <w:spacing w:line="276" w:lineRule="auto"/>
              <w:ind w:firstLine="0"/>
            </w:pPr>
            <w:r w:rsidRPr="00FC46AD">
              <w:t>Energy security measures reflect a nation’s ability to meet current and future energy demands reliably, withstand and bounce back swiftly from system shocks with minimal disruption to supplies</w:t>
            </w:r>
          </w:p>
        </w:tc>
        <w:tc>
          <w:tcPr>
            <w:tcW w:w="1741" w:type="dxa"/>
          </w:tcPr>
          <w:p w14:paraId="0742BEDE" w14:textId="77777777" w:rsidR="004049FE" w:rsidRPr="00FC46AD" w:rsidRDefault="004049FE" w:rsidP="003555E8">
            <w:pPr>
              <w:spacing w:line="276" w:lineRule="auto"/>
              <w:ind w:firstLine="0"/>
              <w:jc w:val="center"/>
            </w:pPr>
          </w:p>
          <w:p w14:paraId="26A110A2" w14:textId="77777777" w:rsidR="004049FE" w:rsidRPr="00FC46AD" w:rsidRDefault="004049FE" w:rsidP="003555E8">
            <w:pPr>
              <w:spacing w:line="276" w:lineRule="auto"/>
              <w:ind w:firstLine="0"/>
              <w:jc w:val="center"/>
            </w:pPr>
            <w:r w:rsidRPr="00FC46AD">
              <w:t>World Energy Council</w:t>
            </w:r>
          </w:p>
        </w:tc>
      </w:tr>
      <w:tr w:rsidR="004049FE" w:rsidRPr="00FC46AD" w14:paraId="1851CAD1" w14:textId="77777777" w:rsidTr="003555E8">
        <w:trPr>
          <w:trHeight w:val="132"/>
        </w:trPr>
        <w:tc>
          <w:tcPr>
            <w:tcW w:w="1505" w:type="dxa"/>
            <w:vMerge/>
          </w:tcPr>
          <w:p w14:paraId="25A9DEFF" w14:textId="77777777" w:rsidR="004049FE" w:rsidRPr="00FC46AD" w:rsidRDefault="004049FE" w:rsidP="003555E8">
            <w:pPr>
              <w:spacing w:line="276" w:lineRule="auto"/>
              <w:ind w:firstLine="0"/>
              <w:jc w:val="center"/>
              <w:rPr>
                <w:rFonts w:eastAsia="Aptos"/>
                <w:color w:val="081B3A"/>
                <w:spacing w:val="3"/>
                <w:shd w:val="clear" w:color="auto" w:fill="FFFFFF"/>
              </w:rPr>
            </w:pPr>
          </w:p>
        </w:tc>
        <w:tc>
          <w:tcPr>
            <w:tcW w:w="1185" w:type="dxa"/>
          </w:tcPr>
          <w:p w14:paraId="00DC9450"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293272F7"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0F714686"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ENS</w:t>
            </w:r>
          </w:p>
        </w:tc>
        <w:tc>
          <w:tcPr>
            <w:tcW w:w="4010" w:type="dxa"/>
          </w:tcPr>
          <w:p w14:paraId="07AB4B07" w14:textId="77777777" w:rsidR="004049FE" w:rsidRPr="00FC46AD" w:rsidRDefault="004049FE" w:rsidP="003555E8">
            <w:pPr>
              <w:spacing w:line="276" w:lineRule="auto"/>
              <w:ind w:firstLine="0"/>
              <w:rPr>
                <w:rFonts w:eastAsia="Aptos"/>
                <w:color w:val="081B3A"/>
                <w:spacing w:val="3"/>
                <w:shd w:val="clear" w:color="auto" w:fill="FFFFFF"/>
              </w:rPr>
            </w:pPr>
            <w:r w:rsidRPr="00FC46AD">
              <w:t>Environmental Sustainability represents the transition of a country’s energy system toward mitigating and avoiding potential environmental harm and climate change impacts</w:t>
            </w:r>
          </w:p>
        </w:tc>
        <w:tc>
          <w:tcPr>
            <w:tcW w:w="1741" w:type="dxa"/>
          </w:tcPr>
          <w:p w14:paraId="5169FA2F" w14:textId="77777777" w:rsidR="004049FE" w:rsidRPr="00FC46AD" w:rsidRDefault="004049FE" w:rsidP="003555E8">
            <w:pPr>
              <w:spacing w:line="276" w:lineRule="auto"/>
              <w:ind w:firstLine="0"/>
              <w:jc w:val="center"/>
            </w:pPr>
          </w:p>
          <w:p w14:paraId="69AFCCD4" w14:textId="77777777" w:rsidR="004049FE" w:rsidRPr="00FC46AD" w:rsidRDefault="004049FE" w:rsidP="003555E8">
            <w:pPr>
              <w:spacing w:line="276" w:lineRule="auto"/>
              <w:ind w:firstLine="0"/>
              <w:jc w:val="center"/>
            </w:pPr>
            <w:r w:rsidRPr="00FC46AD">
              <w:t>World Energy Council</w:t>
            </w:r>
          </w:p>
        </w:tc>
      </w:tr>
      <w:tr w:rsidR="004049FE" w:rsidRPr="00FC46AD" w14:paraId="59859ABE" w14:textId="77777777" w:rsidTr="003555E8">
        <w:trPr>
          <w:trHeight w:val="132"/>
        </w:trPr>
        <w:tc>
          <w:tcPr>
            <w:tcW w:w="1505" w:type="dxa"/>
            <w:vMerge w:val="restart"/>
          </w:tcPr>
          <w:p w14:paraId="14DE79B0"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35EF0C89"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2EC0B511" w14:textId="77777777" w:rsidR="004049FE" w:rsidRPr="00FC46AD" w:rsidRDefault="004049FE" w:rsidP="003555E8">
            <w:pPr>
              <w:spacing w:line="276" w:lineRule="auto"/>
              <w:ind w:firstLine="0"/>
              <w:rPr>
                <w:rFonts w:eastAsia="Aptos"/>
                <w:color w:val="081B3A"/>
                <w:spacing w:val="3"/>
                <w:shd w:val="clear" w:color="auto" w:fill="FFFFFF"/>
              </w:rPr>
            </w:pPr>
          </w:p>
          <w:p w14:paraId="31EF2A17"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Control variables</w:t>
            </w:r>
          </w:p>
        </w:tc>
        <w:tc>
          <w:tcPr>
            <w:tcW w:w="1185" w:type="dxa"/>
          </w:tcPr>
          <w:p w14:paraId="3F2E70D3"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73AB1887"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POP</w:t>
            </w:r>
          </w:p>
        </w:tc>
        <w:tc>
          <w:tcPr>
            <w:tcW w:w="4010" w:type="dxa"/>
          </w:tcPr>
          <w:p w14:paraId="05D8F6FF" w14:textId="77777777" w:rsidR="004049FE" w:rsidRPr="00FC46AD" w:rsidRDefault="004049FE" w:rsidP="003555E8">
            <w:pPr>
              <w:spacing w:line="276" w:lineRule="auto"/>
              <w:ind w:firstLine="0"/>
              <w:rPr>
                <w:rFonts w:eastAsia="Aptos"/>
                <w:color w:val="081B3A"/>
                <w:spacing w:val="3"/>
                <w:shd w:val="clear" w:color="auto" w:fill="FFFFFF"/>
              </w:rPr>
            </w:pPr>
            <w:r w:rsidRPr="00FC46AD">
              <w:t xml:space="preserve">Population growth </w:t>
            </w:r>
            <w:r w:rsidRPr="00FC46AD">
              <w:rPr>
                <w:spacing w:val="-1"/>
              </w:rPr>
              <w:t>is measured as the exponential rate of growth of the population from year t-1 to t</w:t>
            </w:r>
          </w:p>
        </w:tc>
        <w:tc>
          <w:tcPr>
            <w:tcW w:w="1741" w:type="dxa"/>
          </w:tcPr>
          <w:p w14:paraId="6F88432A" w14:textId="77777777" w:rsidR="004049FE" w:rsidRPr="00FC46AD" w:rsidRDefault="004049FE" w:rsidP="003555E8">
            <w:pPr>
              <w:spacing w:line="276" w:lineRule="auto"/>
              <w:ind w:firstLine="0"/>
              <w:jc w:val="center"/>
              <w:rPr>
                <w:rFonts w:eastAsia="Aptos"/>
              </w:rPr>
            </w:pPr>
            <w:r w:rsidRPr="00FC46AD">
              <w:rPr>
                <w:spacing w:val="-1"/>
              </w:rPr>
              <w:t>World Development Indicators</w:t>
            </w:r>
          </w:p>
        </w:tc>
      </w:tr>
      <w:tr w:rsidR="004049FE" w:rsidRPr="00FC46AD" w14:paraId="5CB38028" w14:textId="77777777" w:rsidTr="003555E8">
        <w:trPr>
          <w:trHeight w:val="132"/>
        </w:trPr>
        <w:tc>
          <w:tcPr>
            <w:tcW w:w="1505" w:type="dxa"/>
            <w:vMerge/>
          </w:tcPr>
          <w:p w14:paraId="758E47DB" w14:textId="77777777" w:rsidR="004049FE" w:rsidRPr="00FC46AD" w:rsidRDefault="004049FE" w:rsidP="003555E8">
            <w:pPr>
              <w:spacing w:line="276" w:lineRule="auto"/>
              <w:ind w:firstLine="0"/>
              <w:jc w:val="center"/>
              <w:rPr>
                <w:rFonts w:eastAsia="Aptos"/>
                <w:color w:val="081B3A"/>
                <w:spacing w:val="3"/>
                <w:shd w:val="clear" w:color="auto" w:fill="FFFFFF"/>
              </w:rPr>
            </w:pPr>
          </w:p>
        </w:tc>
        <w:tc>
          <w:tcPr>
            <w:tcW w:w="1185" w:type="dxa"/>
          </w:tcPr>
          <w:p w14:paraId="6E679EC8" w14:textId="77777777" w:rsidR="004049FE" w:rsidRPr="00FC46AD" w:rsidRDefault="004049FE" w:rsidP="003555E8">
            <w:pPr>
              <w:spacing w:line="276" w:lineRule="auto"/>
              <w:ind w:firstLine="0"/>
              <w:jc w:val="center"/>
              <w:rPr>
                <w:rFonts w:eastAsia="Aptos"/>
                <w:color w:val="081B3A"/>
                <w:spacing w:val="3"/>
                <w:shd w:val="clear" w:color="auto" w:fill="FFFFFF"/>
              </w:rPr>
            </w:pPr>
          </w:p>
          <w:p w14:paraId="1843532C" w14:textId="77777777" w:rsidR="004049FE" w:rsidRPr="00FC46AD" w:rsidRDefault="004049FE" w:rsidP="003555E8">
            <w:pPr>
              <w:spacing w:line="276" w:lineRule="auto"/>
              <w:ind w:firstLine="0"/>
              <w:jc w:val="center"/>
              <w:rPr>
                <w:rFonts w:eastAsia="Aptos"/>
                <w:color w:val="081B3A"/>
                <w:spacing w:val="3"/>
                <w:shd w:val="clear" w:color="auto" w:fill="FFFFFF"/>
              </w:rPr>
            </w:pPr>
            <w:r w:rsidRPr="00FC46AD">
              <w:rPr>
                <w:rFonts w:eastAsia="Aptos"/>
                <w:color w:val="081B3A"/>
                <w:spacing w:val="3"/>
                <w:shd w:val="clear" w:color="auto" w:fill="FFFFFF"/>
              </w:rPr>
              <w:t>TRADE</w:t>
            </w:r>
          </w:p>
        </w:tc>
        <w:tc>
          <w:tcPr>
            <w:tcW w:w="4010" w:type="dxa"/>
          </w:tcPr>
          <w:p w14:paraId="69DA83D7" w14:textId="77777777" w:rsidR="004049FE" w:rsidRPr="00FC46AD" w:rsidRDefault="004049FE" w:rsidP="003555E8">
            <w:pPr>
              <w:spacing w:line="276" w:lineRule="auto"/>
              <w:ind w:firstLine="0"/>
              <w:rPr>
                <w:rFonts w:eastAsia="Aptos"/>
                <w:color w:val="081B3A"/>
                <w:spacing w:val="3"/>
                <w:shd w:val="clear" w:color="auto" w:fill="FFFFFF"/>
              </w:rPr>
            </w:pPr>
            <w:r w:rsidRPr="00FC46AD">
              <w:rPr>
                <w:rFonts w:eastAsia="Aptos"/>
                <w:color w:val="081B3A"/>
                <w:spacing w:val="3"/>
                <w:shd w:val="clear" w:color="auto" w:fill="FFFFFF"/>
              </w:rPr>
              <w:t>Trade openness is the sum of exports and imports of goods and services measured as a share of gross domestic product.</w:t>
            </w:r>
          </w:p>
        </w:tc>
        <w:tc>
          <w:tcPr>
            <w:tcW w:w="1741" w:type="dxa"/>
          </w:tcPr>
          <w:p w14:paraId="7F00CC88" w14:textId="77777777" w:rsidR="004049FE" w:rsidRPr="00FC46AD" w:rsidRDefault="004049FE" w:rsidP="003555E8">
            <w:pPr>
              <w:spacing w:line="276" w:lineRule="auto"/>
              <w:ind w:firstLine="0"/>
              <w:jc w:val="center"/>
              <w:rPr>
                <w:rFonts w:eastAsia="Aptos"/>
              </w:rPr>
            </w:pPr>
            <w:r w:rsidRPr="00FC46AD">
              <w:rPr>
                <w:spacing w:val="-1"/>
              </w:rPr>
              <w:t>World Development Indicators</w:t>
            </w:r>
          </w:p>
        </w:tc>
      </w:tr>
    </w:tbl>
    <w:p w14:paraId="6D485705" w14:textId="77777777" w:rsidR="004049FE" w:rsidRPr="00FC46AD" w:rsidRDefault="004049FE" w:rsidP="004049FE">
      <w:pPr>
        <w:spacing w:line="240" w:lineRule="auto"/>
        <w:ind w:firstLine="0"/>
        <w:rPr>
          <w:b/>
          <w:bCs/>
          <w:color w:val="000000"/>
          <w:sz w:val="24"/>
          <w:szCs w:val="24"/>
          <w:lang/>
        </w:rPr>
      </w:pPr>
    </w:p>
    <w:p w14:paraId="0B3F4884" w14:textId="6266421B" w:rsidR="004049FE" w:rsidRPr="00FC46AD" w:rsidRDefault="002F0121" w:rsidP="004049FE">
      <w:pPr>
        <w:spacing w:after="120" w:line="240" w:lineRule="auto"/>
        <w:ind w:firstLine="0"/>
        <w:rPr>
          <w:b/>
          <w:bCs/>
          <w:color w:val="000000"/>
          <w:sz w:val="24"/>
          <w:szCs w:val="24"/>
          <w:lang/>
        </w:rPr>
      </w:pPr>
      <w:r w:rsidRPr="002F0121">
        <w:rPr>
          <w:b/>
          <w:bCs/>
          <w:sz w:val="24"/>
          <w:szCs w:val="24"/>
        </w:rPr>
        <w:t>Supplementary</w:t>
      </w:r>
      <w:r w:rsidRPr="00FC46AD">
        <w:rPr>
          <w:b/>
          <w:bCs/>
          <w:color w:val="000000"/>
          <w:sz w:val="24"/>
          <w:szCs w:val="24"/>
          <w:lang/>
        </w:rPr>
        <w:t xml:space="preserve"> </w:t>
      </w:r>
      <w:r w:rsidR="004049FE" w:rsidRPr="00FC46AD">
        <w:rPr>
          <w:b/>
          <w:bCs/>
          <w:color w:val="000000"/>
          <w:sz w:val="24"/>
          <w:szCs w:val="24"/>
          <w:lang/>
        </w:rPr>
        <w:t xml:space="preserve">Appendix B. </w:t>
      </w:r>
      <w:r w:rsidR="004049FE" w:rsidRPr="00FC46AD">
        <w:rPr>
          <w:b/>
          <w:bCs/>
          <w:color w:val="222222"/>
          <w:sz w:val="24"/>
          <w:szCs w:val="24"/>
          <w:shd w:val="clear" w:color="auto" w:fill="FFFFFF"/>
        </w:rPr>
        <w:t>Robustness and Stability Diagnostics for the PMG–ARDL Model</w:t>
      </w:r>
    </w:p>
    <w:p w14:paraId="15CDA06F" w14:textId="77777777" w:rsidR="004049FE" w:rsidRPr="00FC46AD" w:rsidRDefault="004049FE" w:rsidP="004049FE">
      <w:pPr>
        <w:spacing w:line="240" w:lineRule="auto"/>
        <w:ind w:firstLine="709"/>
        <w:rPr>
          <w:color w:val="000000"/>
          <w:sz w:val="24"/>
          <w:szCs w:val="24"/>
          <w:lang/>
        </w:rPr>
      </w:pPr>
      <w:r w:rsidRPr="00FC46AD">
        <w:rPr>
          <w:color w:val="000000"/>
          <w:sz w:val="24"/>
          <w:szCs w:val="24"/>
          <w:lang/>
        </w:rPr>
        <w:t xml:space="preserve">This appendix provides additional diagnostic evidence to verify the stability and robustness of the PMG–ARDL model. Following </w:t>
      </w:r>
      <w:r w:rsidRPr="00FC46AD">
        <w:rPr>
          <w:color w:val="000000"/>
          <w:sz w:val="24"/>
          <w:szCs w:val="24"/>
        </w:rPr>
        <w:t xml:space="preserve">standard </w:t>
      </w:r>
      <w:r w:rsidRPr="00FC46AD">
        <w:rPr>
          <w:color w:val="000000"/>
          <w:sz w:val="24"/>
          <w:szCs w:val="24"/>
          <w:lang/>
        </w:rPr>
        <w:t>practices in applied econometrics and aligned with Emerald’s academic style, the residual behaviour is examined using Histogram and Q–Q plots for all seven ASEAN countries. These graphical diagnostics are essential for assessing the adequacy of dynamic panel models and the validity of inference (Wilk and Gnanadesikan, 1968; Thode, 2002; Gujarati and Porter, 2009).</w:t>
      </w:r>
    </w:p>
    <w:p w14:paraId="0C9089CF" w14:textId="77777777" w:rsidR="004049FE" w:rsidRPr="00FC46AD" w:rsidRDefault="004049FE" w:rsidP="004049FE">
      <w:pPr>
        <w:spacing w:line="240" w:lineRule="auto"/>
        <w:ind w:firstLine="709"/>
        <w:rPr>
          <w:color w:val="000000"/>
          <w:sz w:val="24"/>
          <w:szCs w:val="24"/>
          <w:lang/>
        </w:rPr>
      </w:pPr>
      <w:r w:rsidRPr="00FC46AD">
        <w:rPr>
          <w:color w:val="000000"/>
          <w:sz w:val="24"/>
          <w:szCs w:val="24"/>
          <w:lang/>
        </w:rPr>
        <w:t xml:space="preserve">The histogram results </w:t>
      </w:r>
      <w:r w:rsidRPr="00FC46AD">
        <w:rPr>
          <w:color w:val="000000"/>
          <w:sz w:val="24"/>
          <w:szCs w:val="24"/>
        </w:rPr>
        <w:t xml:space="preserve">presented in Figure B1 </w:t>
      </w:r>
      <w:r w:rsidRPr="00FC46AD">
        <w:rPr>
          <w:color w:val="000000"/>
          <w:sz w:val="24"/>
          <w:szCs w:val="24"/>
          <w:lang/>
        </w:rPr>
        <w:t>show that the residuals are distributed approximately symmetrically around zero and closely follow the fitted normal density curves. None of the countries exhibits substantial skewness, multimodality, or irregular peaks. Minor deviations at the tails—observed particularly in Malaysia and Singapore—are typical of macroeconomic data and do not indicate misspecification. These patterns suggest that the residuals behave randomly and do not reflect omitted-variable biases or an incorrect functional form.</w:t>
      </w:r>
    </w:p>
    <w:p w14:paraId="2003889E" w14:textId="77777777" w:rsidR="004049FE" w:rsidRPr="00FC46AD" w:rsidRDefault="004049FE" w:rsidP="004049FE">
      <w:pPr>
        <w:spacing w:line="240" w:lineRule="auto"/>
        <w:ind w:firstLine="709"/>
        <w:rPr>
          <w:color w:val="000000"/>
          <w:sz w:val="24"/>
          <w:szCs w:val="24"/>
          <w:lang/>
        </w:rPr>
      </w:pPr>
      <w:r w:rsidRPr="00FC46AD">
        <w:rPr>
          <w:color w:val="000000"/>
          <w:sz w:val="24"/>
          <w:szCs w:val="24"/>
          <w:lang/>
        </w:rPr>
        <w:t xml:space="preserve">The Q–Q plots </w:t>
      </w:r>
      <w:r w:rsidRPr="00FC46AD">
        <w:rPr>
          <w:color w:val="000000"/>
          <w:sz w:val="24"/>
          <w:szCs w:val="24"/>
        </w:rPr>
        <w:t xml:space="preserve">in Figure B2 </w:t>
      </w:r>
      <w:r w:rsidRPr="00FC46AD">
        <w:rPr>
          <w:color w:val="000000"/>
          <w:sz w:val="24"/>
          <w:szCs w:val="24"/>
          <w:lang/>
        </w:rPr>
        <w:t>reinforce this conclusion. Most empirical quantiles align closely with the 45-degree theoretical line representing the normal distribution. Cambodia, Indonesia, Thailand and Vietnam display particularly strong linear conformity, while slight departures at the extreme tails in some countries remain within acceptable limits and do not impair inferential reliability. Such behaviour is consistent with the expectations for the PMG estimator, which relies on approximate normality and dynamic stability of residuals for accurate long-run estimation (Pesaran, Shin and Smith, 1999; Blackburne and Frank, 2007).</w:t>
      </w:r>
    </w:p>
    <w:p w14:paraId="429CD4A3" w14:textId="77777777" w:rsidR="004049FE" w:rsidRPr="00FC46AD" w:rsidRDefault="004049FE" w:rsidP="004049FE">
      <w:pPr>
        <w:spacing w:line="240" w:lineRule="auto"/>
        <w:ind w:firstLine="709"/>
        <w:rPr>
          <w:color w:val="000000"/>
          <w:sz w:val="24"/>
          <w:szCs w:val="24"/>
          <w:lang/>
        </w:rPr>
      </w:pPr>
      <w:r w:rsidRPr="00FC46AD">
        <w:rPr>
          <w:color w:val="000000"/>
          <w:sz w:val="24"/>
          <w:szCs w:val="24"/>
          <w:lang/>
        </w:rPr>
        <w:t>The overall consistency between the histogram and Q–Q plot diagnostics confirms that the PMG–ARDL model is well specified and exhibits stable residual properties. No evidence of structural distortions, problematic outliers, or distributional violations is detected. This strengthens confidence in the model’s dynamic structure and supports the robustness of both short-run and long-run coefficient estimates reported in the main analysis.</w:t>
      </w:r>
    </w:p>
    <w:p w14:paraId="159656BF" w14:textId="77777777" w:rsidR="004049FE" w:rsidRDefault="004049FE" w:rsidP="004049FE">
      <w:pPr>
        <w:spacing w:line="240" w:lineRule="auto"/>
        <w:ind w:firstLine="709"/>
        <w:rPr>
          <w:color w:val="000000"/>
          <w:sz w:val="24"/>
          <w:szCs w:val="24"/>
        </w:rPr>
      </w:pPr>
      <w:r w:rsidRPr="00FC46AD">
        <w:rPr>
          <w:color w:val="000000"/>
          <w:sz w:val="24"/>
          <w:szCs w:val="24"/>
        </w:rPr>
        <w:t>In summary, the diagnostic results indicate that the PMG–ARDL model is stable and adequately specified. This supports the credibility and robustness of the empirical findings for ASEAN countries.</w:t>
      </w:r>
    </w:p>
    <w:p w14:paraId="716C5B27" w14:textId="77777777" w:rsidR="004049FE" w:rsidRPr="00FC46AD" w:rsidRDefault="004049FE" w:rsidP="004049FE">
      <w:pPr>
        <w:spacing w:line="240" w:lineRule="auto"/>
        <w:ind w:firstLine="709"/>
        <w:rPr>
          <w:color w:val="000000"/>
          <w:sz w:val="24"/>
          <w:szCs w:val="24"/>
          <w:lang/>
        </w:rPr>
      </w:pPr>
    </w:p>
    <w:p w14:paraId="438A9595" w14:textId="77777777" w:rsidR="004049FE" w:rsidRPr="00FC46AD" w:rsidRDefault="004049FE" w:rsidP="004049FE">
      <w:pPr>
        <w:spacing w:line="240" w:lineRule="auto"/>
        <w:ind w:firstLine="709"/>
        <w:rPr>
          <w:color w:val="000000"/>
          <w:sz w:val="24"/>
          <w:szCs w:val="24"/>
          <w:lang/>
        </w:rPr>
      </w:pPr>
      <w:r w:rsidRPr="00FC46AD">
        <w:rPr>
          <w:noProof/>
          <w:color w:val="000000"/>
          <w:sz w:val="24"/>
          <w:szCs w:val="24"/>
          <w:lang/>
        </w:rPr>
        <w:lastRenderedPageBreak/>
        <w:drawing>
          <wp:inline distT="0" distB="0" distL="0" distR="0" wp14:anchorId="68727E5E" wp14:editId="0B66D4DD">
            <wp:extent cx="3960000" cy="2586486"/>
            <wp:effectExtent l="0" t="0" r="2540" b="4445"/>
            <wp:docPr id="12403154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0315401" name="Picture 1240315401"/>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60000" cy="2586486"/>
                    </a:xfrm>
                    <a:prstGeom prst="rect">
                      <a:avLst/>
                    </a:prstGeom>
                  </pic:spPr>
                </pic:pic>
              </a:graphicData>
            </a:graphic>
          </wp:inline>
        </w:drawing>
      </w:r>
    </w:p>
    <w:p w14:paraId="369957CF" w14:textId="77777777" w:rsidR="004049FE" w:rsidRPr="00FC46AD" w:rsidRDefault="004049FE" w:rsidP="004049FE">
      <w:pPr>
        <w:spacing w:line="240" w:lineRule="auto"/>
        <w:ind w:firstLine="709"/>
        <w:rPr>
          <w:b/>
          <w:bCs/>
          <w:color w:val="000000"/>
          <w:sz w:val="24"/>
          <w:szCs w:val="24"/>
          <w:lang/>
        </w:rPr>
      </w:pPr>
      <w:r w:rsidRPr="00FC46AD">
        <w:rPr>
          <w:b/>
          <w:bCs/>
          <w:color w:val="000000"/>
          <w:sz w:val="24"/>
          <w:szCs w:val="24"/>
        </w:rPr>
        <w:t>Figure B1. Histogram of residuals for ASEAN countries</w:t>
      </w:r>
    </w:p>
    <w:p w14:paraId="33CA8282" w14:textId="77777777" w:rsidR="004049FE" w:rsidRPr="00FC46AD" w:rsidRDefault="004049FE" w:rsidP="004049FE">
      <w:pPr>
        <w:spacing w:line="240" w:lineRule="auto"/>
        <w:ind w:firstLine="709"/>
        <w:rPr>
          <w:color w:val="000000"/>
          <w:sz w:val="24"/>
          <w:szCs w:val="24"/>
          <w:lang/>
        </w:rPr>
      </w:pPr>
      <w:r w:rsidRPr="00FC46AD">
        <w:rPr>
          <w:noProof/>
          <w:color w:val="000000"/>
          <w:sz w:val="24"/>
          <w:szCs w:val="24"/>
          <w:lang/>
        </w:rPr>
        <w:drawing>
          <wp:inline distT="0" distB="0" distL="0" distR="0" wp14:anchorId="0300C74E" wp14:editId="4FEAA479">
            <wp:extent cx="3960000" cy="2773197"/>
            <wp:effectExtent l="0" t="0" r="2540" b="8255"/>
            <wp:docPr id="15632800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328002" name="Picture 156328002"/>
                    <pic:cNvPicPr/>
                  </pic:nvPicPr>
                  <pic:blipFill>
                    <a:blip r:embed="rId7" cstate="print">
                      <a:extLst>
                        <a:ext uri="{28A0092B-C50C-407E-A947-70E740481C1C}">
                          <a14:useLocalDpi xmlns:a14="http://schemas.microsoft.com/office/drawing/2010/main" val="0"/>
                        </a:ext>
                      </a:extLst>
                    </a:blip>
                    <a:stretch>
                      <a:fillRect/>
                    </a:stretch>
                  </pic:blipFill>
                  <pic:spPr>
                    <a:xfrm>
                      <a:off x="0" y="0"/>
                      <a:ext cx="3960000" cy="2773197"/>
                    </a:xfrm>
                    <a:prstGeom prst="rect">
                      <a:avLst/>
                    </a:prstGeom>
                  </pic:spPr>
                </pic:pic>
              </a:graphicData>
            </a:graphic>
          </wp:inline>
        </w:drawing>
      </w:r>
    </w:p>
    <w:p w14:paraId="7AFD74B0" w14:textId="77777777" w:rsidR="004049FE" w:rsidRPr="002D1115" w:rsidRDefault="004049FE" w:rsidP="004049FE">
      <w:pPr>
        <w:spacing w:line="240" w:lineRule="auto"/>
        <w:ind w:left="709" w:hanging="709"/>
        <w:rPr>
          <w:b/>
          <w:bCs/>
          <w:color w:val="000000"/>
          <w:sz w:val="24"/>
          <w:szCs w:val="24"/>
          <w:lang w:val="vi-VN"/>
        </w:rPr>
      </w:pPr>
      <w:r w:rsidRPr="00FC46AD">
        <w:rPr>
          <w:color w:val="000000"/>
          <w:sz w:val="24"/>
          <w:szCs w:val="24"/>
        </w:rPr>
        <w:t xml:space="preserve">            </w:t>
      </w:r>
      <w:r w:rsidRPr="00FC46AD">
        <w:rPr>
          <w:b/>
          <w:bCs/>
          <w:color w:val="000000"/>
          <w:sz w:val="24"/>
          <w:szCs w:val="24"/>
        </w:rPr>
        <w:t>Figure B2. Q–Q plot of residuals for ASEAN countries</w:t>
      </w:r>
    </w:p>
    <w:p w14:paraId="4F485B00" w14:textId="77777777" w:rsidR="00CE260B" w:rsidRPr="004049FE" w:rsidRDefault="00CE260B">
      <w:pPr>
        <w:rPr>
          <w:lang w:val="vi-VN"/>
        </w:rPr>
      </w:pPr>
    </w:p>
    <w:sectPr w:rsidR="00CE260B" w:rsidRPr="004049FE" w:rsidSect="004049FE">
      <w:footerReference w:type="default" r:id="rId8"/>
      <w:pgSz w:w="10773" w:h="15026"/>
      <w:pgMar w:top="1134" w:right="1134" w:bottom="1134" w:left="170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2655D1A" w14:textId="77777777" w:rsidR="00E64E71" w:rsidRDefault="00E64E71">
      <w:pPr>
        <w:spacing w:line="240" w:lineRule="auto"/>
      </w:pPr>
      <w:r>
        <w:separator/>
      </w:r>
    </w:p>
  </w:endnote>
  <w:endnote w:type="continuationSeparator" w:id="0">
    <w:p w14:paraId="782D7A06" w14:textId="77777777" w:rsidR="00E64E71" w:rsidRDefault="00E64E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7B48515" w14:textId="77777777" w:rsidR="004049FE" w:rsidRDefault="004049FE">
    <w:pPr>
      <w:pBdr>
        <w:top w:val="nil"/>
        <w:left w:val="nil"/>
        <w:bottom w:val="nil"/>
        <w:right w:val="nil"/>
        <w:between w:val="nil"/>
      </w:pBdr>
      <w:tabs>
        <w:tab w:val="center" w:pos="4680"/>
        <w:tab w:val="right" w:pos="9360"/>
      </w:tabs>
      <w:spacing w:line="240" w:lineRule="auto"/>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Pr>
        <w:noProof/>
        <w:color w:val="000000"/>
        <w:sz w:val="24"/>
        <w:szCs w:val="24"/>
      </w:rPr>
      <w:t>1</w:t>
    </w:r>
    <w:r>
      <w:rPr>
        <w:color w:val="000000"/>
        <w:sz w:val="24"/>
        <w:szCs w:val="24"/>
      </w:rPr>
      <w:fldChar w:fldCharType="end"/>
    </w:r>
  </w:p>
  <w:p w14:paraId="63626047" w14:textId="77777777" w:rsidR="004049FE" w:rsidRDefault="004049FE">
    <w:pPr>
      <w:pBdr>
        <w:top w:val="nil"/>
        <w:left w:val="nil"/>
        <w:bottom w:val="nil"/>
        <w:right w:val="nil"/>
        <w:between w:val="nil"/>
      </w:pBdr>
      <w:tabs>
        <w:tab w:val="center" w:pos="4680"/>
        <w:tab w:val="right" w:pos="9360"/>
      </w:tabs>
      <w:spacing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0A45AE0" w14:textId="77777777" w:rsidR="00E64E71" w:rsidRDefault="00E64E71">
      <w:pPr>
        <w:spacing w:line="240" w:lineRule="auto"/>
      </w:pPr>
      <w:r>
        <w:separator/>
      </w:r>
    </w:p>
  </w:footnote>
  <w:footnote w:type="continuationSeparator" w:id="0">
    <w:p w14:paraId="692E9CBB" w14:textId="77777777" w:rsidR="00E64E71" w:rsidRDefault="00E64E71">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5"/>
  <w:defaultTabStop w:val="720"/>
  <w:evenAndOddHeaders/>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49FE"/>
    <w:rsid w:val="000B2E30"/>
    <w:rsid w:val="001B379E"/>
    <w:rsid w:val="001E6E54"/>
    <w:rsid w:val="002201B9"/>
    <w:rsid w:val="002F0121"/>
    <w:rsid w:val="003555E8"/>
    <w:rsid w:val="003E4AAA"/>
    <w:rsid w:val="004049FE"/>
    <w:rsid w:val="00610EAF"/>
    <w:rsid w:val="007F5538"/>
    <w:rsid w:val="009D2438"/>
    <w:rsid w:val="009E7BCF"/>
    <w:rsid w:val="00B66A26"/>
    <w:rsid w:val="00CB31C6"/>
    <w:rsid w:val="00CE260B"/>
    <w:rsid w:val="00DA04BD"/>
    <w:rsid w:val="00DB7B2A"/>
    <w:rsid w:val="00DD1EB8"/>
    <w:rsid w:val="00E27013"/>
    <w:rsid w:val="00E64E71"/>
    <w:rsid w:val="00F959E7"/>
    <w:rsid w:val="00FC16A5"/>
    <w:rsid w:val="00FF494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6CB88E"/>
  <w15:chartTrackingRefBased/>
  <w15:docId w15:val="{FCD21C49-90F2-48E0-9B87-9D8CBBA6F3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49FE"/>
    <w:pPr>
      <w:spacing w:after="0" w:line="480" w:lineRule="auto"/>
      <w:ind w:firstLine="720"/>
      <w:jc w:val="both"/>
    </w:pPr>
    <w:rPr>
      <w:rFonts w:ascii="Times New Roman" w:eastAsia="Times New Roman" w:hAnsi="Times New Roman" w:cs="Times New Roman"/>
      <w:kern w:val="0"/>
      <w:sz w:val="26"/>
      <w:szCs w:val="26"/>
      <w:lang w:val="en-US"/>
      <w14:ligatures w14:val="none"/>
    </w:rPr>
  </w:style>
  <w:style w:type="paragraph" w:styleId="Heading1">
    <w:name w:val="heading 1"/>
    <w:basedOn w:val="Normal"/>
    <w:next w:val="Normal"/>
    <w:link w:val="Heading1Char"/>
    <w:uiPriority w:val="9"/>
    <w:qFormat/>
    <w:rsid w:val="004049FE"/>
    <w:pPr>
      <w:keepNext/>
      <w:keepLines/>
      <w:spacing w:before="360" w:after="80" w:line="259" w:lineRule="auto"/>
      <w:ind w:firstLine="0"/>
      <w:jc w:val="left"/>
      <w:outlineLvl w:val="0"/>
    </w:pPr>
    <w:rPr>
      <w:rFonts w:asciiTheme="majorHAnsi" w:eastAsiaTheme="majorEastAsia" w:hAnsiTheme="majorHAnsi" w:cstheme="majorBidi"/>
      <w:color w:val="2F5496" w:themeColor="accent1" w:themeShade="BF"/>
      <w:kern w:val="2"/>
      <w:sz w:val="40"/>
      <w:szCs w:val="40"/>
      <w:lang/>
      <w14:ligatures w14:val="standardContextual"/>
    </w:rPr>
  </w:style>
  <w:style w:type="paragraph" w:styleId="Heading2">
    <w:name w:val="heading 2"/>
    <w:basedOn w:val="Normal"/>
    <w:next w:val="Normal"/>
    <w:link w:val="Heading2Char"/>
    <w:uiPriority w:val="9"/>
    <w:semiHidden/>
    <w:unhideWhenUsed/>
    <w:qFormat/>
    <w:rsid w:val="004049FE"/>
    <w:pPr>
      <w:keepNext/>
      <w:keepLines/>
      <w:spacing w:before="160" w:after="80" w:line="259" w:lineRule="auto"/>
      <w:ind w:firstLine="0"/>
      <w:jc w:val="left"/>
      <w:outlineLvl w:val="1"/>
    </w:pPr>
    <w:rPr>
      <w:rFonts w:asciiTheme="majorHAnsi" w:eastAsiaTheme="majorEastAsia" w:hAnsiTheme="majorHAnsi" w:cstheme="majorBidi"/>
      <w:color w:val="2F5496" w:themeColor="accent1" w:themeShade="BF"/>
      <w:kern w:val="2"/>
      <w:sz w:val="32"/>
      <w:szCs w:val="32"/>
      <w:lang/>
      <w14:ligatures w14:val="standardContextual"/>
    </w:rPr>
  </w:style>
  <w:style w:type="paragraph" w:styleId="Heading3">
    <w:name w:val="heading 3"/>
    <w:basedOn w:val="Normal"/>
    <w:next w:val="Normal"/>
    <w:link w:val="Heading3Char"/>
    <w:uiPriority w:val="9"/>
    <w:semiHidden/>
    <w:unhideWhenUsed/>
    <w:qFormat/>
    <w:rsid w:val="004049FE"/>
    <w:pPr>
      <w:keepNext/>
      <w:keepLines/>
      <w:spacing w:before="160" w:after="80" w:line="259" w:lineRule="auto"/>
      <w:ind w:firstLine="0"/>
      <w:jc w:val="left"/>
      <w:outlineLvl w:val="2"/>
    </w:pPr>
    <w:rPr>
      <w:rFonts w:asciiTheme="minorHAnsi" w:eastAsiaTheme="majorEastAsia" w:hAnsiTheme="minorHAnsi" w:cstheme="majorBidi"/>
      <w:color w:val="2F5496" w:themeColor="accent1" w:themeShade="BF"/>
      <w:kern w:val="2"/>
      <w:sz w:val="28"/>
      <w:szCs w:val="28"/>
      <w:lang/>
      <w14:ligatures w14:val="standardContextual"/>
    </w:rPr>
  </w:style>
  <w:style w:type="paragraph" w:styleId="Heading4">
    <w:name w:val="heading 4"/>
    <w:basedOn w:val="Normal"/>
    <w:next w:val="Normal"/>
    <w:link w:val="Heading4Char"/>
    <w:uiPriority w:val="9"/>
    <w:semiHidden/>
    <w:unhideWhenUsed/>
    <w:qFormat/>
    <w:rsid w:val="004049FE"/>
    <w:pPr>
      <w:keepNext/>
      <w:keepLines/>
      <w:spacing w:before="80" w:after="40" w:line="259" w:lineRule="auto"/>
      <w:ind w:firstLine="0"/>
      <w:jc w:val="left"/>
      <w:outlineLvl w:val="3"/>
    </w:pPr>
    <w:rPr>
      <w:rFonts w:asciiTheme="minorHAnsi" w:eastAsiaTheme="majorEastAsia" w:hAnsiTheme="minorHAnsi" w:cstheme="majorBidi"/>
      <w:i/>
      <w:iCs/>
      <w:color w:val="2F5496" w:themeColor="accent1" w:themeShade="BF"/>
      <w:kern w:val="2"/>
      <w:sz w:val="22"/>
      <w:szCs w:val="22"/>
      <w:lang/>
      <w14:ligatures w14:val="standardContextual"/>
    </w:rPr>
  </w:style>
  <w:style w:type="paragraph" w:styleId="Heading5">
    <w:name w:val="heading 5"/>
    <w:basedOn w:val="Normal"/>
    <w:next w:val="Normal"/>
    <w:link w:val="Heading5Char"/>
    <w:uiPriority w:val="9"/>
    <w:semiHidden/>
    <w:unhideWhenUsed/>
    <w:qFormat/>
    <w:rsid w:val="004049FE"/>
    <w:pPr>
      <w:keepNext/>
      <w:keepLines/>
      <w:spacing w:before="80" w:after="40" w:line="259" w:lineRule="auto"/>
      <w:ind w:firstLine="0"/>
      <w:jc w:val="left"/>
      <w:outlineLvl w:val="4"/>
    </w:pPr>
    <w:rPr>
      <w:rFonts w:asciiTheme="minorHAnsi" w:eastAsiaTheme="majorEastAsia" w:hAnsiTheme="minorHAnsi" w:cstheme="majorBidi"/>
      <w:color w:val="2F5496" w:themeColor="accent1" w:themeShade="BF"/>
      <w:kern w:val="2"/>
      <w:sz w:val="22"/>
      <w:szCs w:val="22"/>
      <w:lang/>
      <w14:ligatures w14:val="standardContextual"/>
    </w:rPr>
  </w:style>
  <w:style w:type="paragraph" w:styleId="Heading6">
    <w:name w:val="heading 6"/>
    <w:basedOn w:val="Normal"/>
    <w:next w:val="Normal"/>
    <w:link w:val="Heading6Char"/>
    <w:uiPriority w:val="9"/>
    <w:semiHidden/>
    <w:unhideWhenUsed/>
    <w:qFormat/>
    <w:rsid w:val="004049FE"/>
    <w:pPr>
      <w:keepNext/>
      <w:keepLines/>
      <w:spacing w:before="40" w:line="259" w:lineRule="auto"/>
      <w:ind w:firstLine="0"/>
      <w:jc w:val="left"/>
      <w:outlineLvl w:val="5"/>
    </w:pPr>
    <w:rPr>
      <w:rFonts w:asciiTheme="minorHAnsi" w:eastAsiaTheme="majorEastAsia" w:hAnsiTheme="minorHAnsi" w:cstheme="majorBidi"/>
      <w:i/>
      <w:iCs/>
      <w:color w:val="595959" w:themeColor="text1" w:themeTint="A6"/>
      <w:kern w:val="2"/>
      <w:sz w:val="22"/>
      <w:szCs w:val="22"/>
      <w:lang/>
      <w14:ligatures w14:val="standardContextual"/>
    </w:rPr>
  </w:style>
  <w:style w:type="paragraph" w:styleId="Heading7">
    <w:name w:val="heading 7"/>
    <w:basedOn w:val="Normal"/>
    <w:next w:val="Normal"/>
    <w:link w:val="Heading7Char"/>
    <w:uiPriority w:val="9"/>
    <w:semiHidden/>
    <w:unhideWhenUsed/>
    <w:qFormat/>
    <w:rsid w:val="004049FE"/>
    <w:pPr>
      <w:keepNext/>
      <w:keepLines/>
      <w:spacing w:before="40" w:line="259" w:lineRule="auto"/>
      <w:ind w:firstLine="0"/>
      <w:jc w:val="left"/>
      <w:outlineLvl w:val="6"/>
    </w:pPr>
    <w:rPr>
      <w:rFonts w:asciiTheme="minorHAnsi" w:eastAsiaTheme="majorEastAsia" w:hAnsiTheme="minorHAnsi" w:cstheme="majorBidi"/>
      <w:color w:val="595959" w:themeColor="text1" w:themeTint="A6"/>
      <w:kern w:val="2"/>
      <w:sz w:val="22"/>
      <w:szCs w:val="22"/>
      <w:lang/>
      <w14:ligatures w14:val="standardContextual"/>
    </w:rPr>
  </w:style>
  <w:style w:type="paragraph" w:styleId="Heading8">
    <w:name w:val="heading 8"/>
    <w:basedOn w:val="Normal"/>
    <w:next w:val="Normal"/>
    <w:link w:val="Heading8Char"/>
    <w:uiPriority w:val="9"/>
    <w:semiHidden/>
    <w:unhideWhenUsed/>
    <w:qFormat/>
    <w:rsid w:val="004049FE"/>
    <w:pPr>
      <w:keepNext/>
      <w:keepLines/>
      <w:spacing w:line="259" w:lineRule="auto"/>
      <w:ind w:firstLine="0"/>
      <w:jc w:val="left"/>
      <w:outlineLvl w:val="7"/>
    </w:pPr>
    <w:rPr>
      <w:rFonts w:asciiTheme="minorHAnsi" w:eastAsiaTheme="majorEastAsia" w:hAnsiTheme="minorHAnsi" w:cstheme="majorBidi"/>
      <w:i/>
      <w:iCs/>
      <w:color w:val="272727" w:themeColor="text1" w:themeTint="D8"/>
      <w:kern w:val="2"/>
      <w:sz w:val="22"/>
      <w:szCs w:val="22"/>
      <w:lang/>
      <w14:ligatures w14:val="standardContextual"/>
    </w:rPr>
  </w:style>
  <w:style w:type="paragraph" w:styleId="Heading9">
    <w:name w:val="heading 9"/>
    <w:basedOn w:val="Normal"/>
    <w:next w:val="Normal"/>
    <w:link w:val="Heading9Char"/>
    <w:uiPriority w:val="9"/>
    <w:semiHidden/>
    <w:unhideWhenUsed/>
    <w:qFormat/>
    <w:rsid w:val="004049FE"/>
    <w:pPr>
      <w:keepNext/>
      <w:keepLines/>
      <w:spacing w:line="259" w:lineRule="auto"/>
      <w:ind w:firstLine="0"/>
      <w:jc w:val="left"/>
      <w:outlineLvl w:val="8"/>
    </w:pPr>
    <w:rPr>
      <w:rFonts w:asciiTheme="minorHAnsi" w:eastAsiaTheme="majorEastAsia" w:hAnsiTheme="minorHAnsi" w:cstheme="majorBidi"/>
      <w:color w:val="272727" w:themeColor="text1" w:themeTint="D8"/>
      <w:kern w:val="2"/>
      <w:sz w:val="22"/>
      <w:szCs w:val="22"/>
      <w:lang/>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049F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049F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049F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49F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049F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049F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049F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049F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049FE"/>
    <w:rPr>
      <w:rFonts w:eastAsiaTheme="majorEastAsia" w:cstheme="majorBidi"/>
      <w:color w:val="272727" w:themeColor="text1" w:themeTint="D8"/>
    </w:rPr>
  </w:style>
  <w:style w:type="paragraph" w:styleId="Title">
    <w:name w:val="Title"/>
    <w:basedOn w:val="Normal"/>
    <w:next w:val="Normal"/>
    <w:link w:val="TitleChar"/>
    <w:uiPriority w:val="10"/>
    <w:qFormat/>
    <w:rsid w:val="004049FE"/>
    <w:pPr>
      <w:spacing w:after="80" w:line="240" w:lineRule="auto"/>
      <w:ind w:firstLine="0"/>
      <w:contextualSpacing/>
      <w:jc w:val="left"/>
    </w:pPr>
    <w:rPr>
      <w:rFonts w:asciiTheme="majorHAnsi" w:eastAsiaTheme="majorEastAsia" w:hAnsiTheme="majorHAnsi" w:cstheme="majorBidi"/>
      <w:spacing w:val="-10"/>
      <w:kern w:val="28"/>
      <w:sz w:val="56"/>
      <w:szCs w:val="56"/>
      <w:lang/>
      <w14:ligatures w14:val="standardContextual"/>
    </w:rPr>
  </w:style>
  <w:style w:type="character" w:customStyle="1" w:styleId="TitleChar">
    <w:name w:val="Title Char"/>
    <w:basedOn w:val="DefaultParagraphFont"/>
    <w:link w:val="Title"/>
    <w:uiPriority w:val="10"/>
    <w:rsid w:val="004049F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049FE"/>
    <w:pPr>
      <w:numPr>
        <w:ilvl w:val="1"/>
      </w:numPr>
      <w:spacing w:after="160" w:line="259" w:lineRule="auto"/>
      <w:ind w:firstLine="720"/>
      <w:jc w:val="left"/>
    </w:pPr>
    <w:rPr>
      <w:rFonts w:asciiTheme="minorHAnsi" w:eastAsiaTheme="majorEastAsia" w:hAnsiTheme="minorHAnsi" w:cstheme="majorBidi"/>
      <w:color w:val="595959" w:themeColor="text1" w:themeTint="A6"/>
      <w:spacing w:val="15"/>
      <w:kern w:val="2"/>
      <w:sz w:val="28"/>
      <w:szCs w:val="28"/>
      <w:lang/>
      <w14:ligatures w14:val="standardContextual"/>
    </w:rPr>
  </w:style>
  <w:style w:type="character" w:customStyle="1" w:styleId="SubtitleChar">
    <w:name w:val="Subtitle Char"/>
    <w:basedOn w:val="DefaultParagraphFont"/>
    <w:link w:val="Subtitle"/>
    <w:uiPriority w:val="11"/>
    <w:rsid w:val="004049F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049FE"/>
    <w:pPr>
      <w:spacing w:before="160" w:after="160" w:line="259" w:lineRule="auto"/>
      <w:ind w:firstLine="0"/>
      <w:jc w:val="center"/>
    </w:pPr>
    <w:rPr>
      <w:rFonts w:asciiTheme="minorHAnsi" w:eastAsiaTheme="minorHAnsi" w:hAnsiTheme="minorHAnsi" w:cstheme="minorBidi"/>
      <w:i/>
      <w:iCs/>
      <w:color w:val="404040" w:themeColor="text1" w:themeTint="BF"/>
      <w:kern w:val="2"/>
      <w:sz w:val="22"/>
      <w:szCs w:val="22"/>
      <w:lang/>
      <w14:ligatures w14:val="standardContextual"/>
    </w:rPr>
  </w:style>
  <w:style w:type="character" w:customStyle="1" w:styleId="QuoteChar">
    <w:name w:val="Quote Char"/>
    <w:basedOn w:val="DefaultParagraphFont"/>
    <w:link w:val="Quote"/>
    <w:uiPriority w:val="29"/>
    <w:rsid w:val="004049FE"/>
    <w:rPr>
      <w:i/>
      <w:iCs/>
      <w:color w:val="404040" w:themeColor="text1" w:themeTint="BF"/>
    </w:rPr>
  </w:style>
  <w:style w:type="paragraph" w:styleId="ListParagraph">
    <w:name w:val="List Paragraph"/>
    <w:basedOn w:val="Normal"/>
    <w:uiPriority w:val="34"/>
    <w:qFormat/>
    <w:rsid w:val="004049FE"/>
    <w:pPr>
      <w:spacing w:after="160" w:line="259" w:lineRule="auto"/>
      <w:ind w:left="720" w:firstLine="0"/>
      <w:contextualSpacing/>
      <w:jc w:val="left"/>
    </w:pPr>
    <w:rPr>
      <w:rFonts w:asciiTheme="minorHAnsi" w:eastAsiaTheme="minorHAnsi" w:hAnsiTheme="minorHAnsi" w:cstheme="minorBidi"/>
      <w:kern w:val="2"/>
      <w:sz w:val="22"/>
      <w:szCs w:val="22"/>
      <w:lang/>
      <w14:ligatures w14:val="standardContextual"/>
    </w:rPr>
  </w:style>
  <w:style w:type="character" w:styleId="IntenseEmphasis">
    <w:name w:val="Intense Emphasis"/>
    <w:basedOn w:val="DefaultParagraphFont"/>
    <w:uiPriority w:val="21"/>
    <w:qFormat/>
    <w:rsid w:val="004049FE"/>
    <w:rPr>
      <w:i/>
      <w:iCs/>
      <w:color w:val="2F5496" w:themeColor="accent1" w:themeShade="BF"/>
    </w:rPr>
  </w:style>
  <w:style w:type="paragraph" w:styleId="IntenseQuote">
    <w:name w:val="Intense Quote"/>
    <w:basedOn w:val="Normal"/>
    <w:next w:val="Normal"/>
    <w:link w:val="IntenseQuoteChar"/>
    <w:uiPriority w:val="30"/>
    <w:qFormat/>
    <w:rsid w:val="004049FE"/>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eastAsiaTheme="minorHAnsi" w:hAnsiTheme="minorHAnsi" w:cstheme="minorBidi"/>
      <w:i/>
      <w:iCs/>
      <w:color w:val="2F5496" w:themeColor="accent1" w:themeShade="BF"/>
      <w:kern w:val="2"/>
      <w:sz w:val="22"/>
      <w:szCs w:val="22"/>
      <w:lang/>
      <w14:ligatures w14:val="standardContextual"/>
    </w:rPr>
  </w:style>
  <w:style w:type="character" w:customStyle="1" w:styleId="IntenseQuoteChar">
    <w:name w:val="Intense Quote Char"/>
    <w:basedOn w:val="DefaultParagraphFont"/>
    <w:link w:val="IntenseQuote"/>
    <w:uiPriority w:val="30"/>
    <w:rsid w:val="004049FE"/>
    <w:rPr>
      <w:i/>
      <w:iCs/>
      <w:color w:val="2F5496" w:themeColor="accent1" w:themeShade="BF"/>
    </w:rPr>
  </w:style>
  <w:style w:type="character" w:styleId="IntenseReference">
    <w:name w:val="Intense Reference"/>
    <w:basedOn w:val="DefaultParagraphFont"/>
    <w:uiPriority w:val="32"/>
    <w:qFormat/>
    <w:rsid w:val="004049FE"/>
    <w:rPr>
      <w:b/>
      <w:bCs/>
      <w:smallCaps/>
      <w:color w:val="2F5496" w:themeColor="accent1" w:themeShade="BF"/>
      <w:spacing w:val="5"/>
    </w:rPr>
  </w:style>
  <w:style w:type="table" w:styleId="TableGrid">
    <w:name w:val="Table Grid"/>
    <w:basedOn w:val="TableNormal"/>
    <w:uiPriority w:val="39"/>
    <w:rsid w:val="004049FE"/>
    <w:pPr>
      <w:spacing w:after="0" w:line="240" w:lineRule="auto"/>
      <w:ind w:firstLine="720"/>
      <w:jc w:val="both"/>
    </w:pPr>
    <w:rPr>
      <w:rFonts w:ascii="Times New Roman" w:eastAsia="Calibri" w:hAnsi="Times New Roman" w:cs="Calibri Light"/>
      <w:kern w:val="0"/>
      <w:sz w:val="24"/>
      <w:szCs w:val="24"/>
      <w:lang w:val="vi-VN" w:eastAsia="ja-JP"/>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.~WRD2317</Template>
  <TotalTime>10</TotalTime>
  <Pages>4</Pages>
  <Words>750</Words>
  <Characters>4280</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Huỳnh Thị Thúy Vy</dc:creator>
  <cp:keywords/>
  <dc:description/>
  <cp:lastModifiedBy>Phạm Thị Ngọc Dung</cp:lastModifiedBy>
  <cp:revision>6</cp:revision>
  <dcterms:created xsi:type="dcterms:W3CDTF">2025-12-22T03:26:00Z</dcterms:created>
  <dcterms:modified xsi:type="dcterms:W3CDTF">2025-12-26T13:21:00Z</dcterms:modified>
</cp:coreProperties>
</file>