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FA" w:rsidRDefault="00F165A4" w:rsidP="00CC5CFA">
      <w:pPr>
        <w:jc w:val="center"/>
        <w:rPr>
          <w:rFonts w:ascii="Georgia" w:eastAsia="Times New Roman" w:hAnsi="Georgia" w:cs="Times New Roman"/>
          <w:b/>
          <w:bCs/>
          <w:iCs/>
          <w:szCs w:val="24"/>
        </w:rPr>
      </w:pPr>
      <w:r>
        <w:rPr>
          <w:rFonts w:ascii="Georgia" w:eastAsia="Times New Roman" w:hAnsi="Georgia" w:cs="Times New Roman"/>
          <w:b/>
          <w:bCs/>
          <w:iCs/>
          <w:szCs w:val="24"/>
        </w:rPr>
        <w:t>APP</w:t>
      </w:r>
      <w:r w:rsidR="00CC5CFA">
        <w:rPr>
          <w:rFonts w:ascii="Georgia" w:eastAsia="Times New Roman" w:hAnsi="Georgia" w:cs="Times New Roman"/>
          <w:b/>
          <w:bCs/>
          <w:iCs/>
          <w:szCs w:val="24"/>
        </w:rPr>
        <w:t>ENDICES</w:t>
      </w:r>
      <w:bookmarkStart w:id="0" w:name="_GoBack"/>
      <w:bookmarkEnd w:id="0"/>
    </w:p>
    <w:p w:rsidR="00CC5CFA" w:rsidRDefault="00CC5CFA" w:rsidP="00CC5CFA">
      <w:pPr>
        <w:jc w:val="center"/>
        <w:rPr>
          <w:rFonts w:ascii="Georgia" w:eastAsia="Times New Roman" w:hAnsi="Georgia" w:cs="Times New Roman"/>
          <w:b/>
          <w:bCs/>
          <w:iCs/>
          <w:szCs w:val="24"/>
        </w:rPr>
      </w:pPr>
      <w:r>
        <w:rPr>
          <w:rFonts w:ascii="Georgia" w:eastAsia="Times New Roman" w:hAnsi="Georgia" w:cs="Times New Roman"/>
          <w:b/>
          <w:bCs/>
          <w:iCs/>
          <w:szCs w:val="24"/>
        </w:rPr>
        <w:t>Appendix 1: Literature Matrix</w:t>
      </w: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080"/>
        <w:gridCol w:w="2460"/>
        <w:gridCol w:w="3200"/>
        <w:gridCol w:w="4440"/>
      </w:tblGrid>
      <w:tr w:rsidR="00CC5CFA" w:rsidRPr="000A6D05" w:rsidTr="0027522D">
        <w:trPr>
          <w:trHeight w:val="620"/>
        </w:trPr>
        <w:tc>
          <w:tcPr>
            <w:tcW w:w="2840" w:type="dxa"/>
            <w:vAlign w:val="center"/>
            <w:hideMark/>
          </w:tcPr>
          <w:p w:rsidR="00CC5CFA" w:rsidRPr="000A6D05" w:rsidRDefault="00CC5CFA" w:rsidP="0027522D">
            <w:pPr>
              <w:spacing w:after="0" w:line="240" w:lineRule="auto"/>
              <w:jc w:val="center"/>
              <w:rPr>
                <w:rFonts w:ascii="Georgia" w:eastAsia="Times New Roman" w:hAnsi="Georgia"/>
                <w:b/>
                <w:bCs/>
                <w:color w:val="000000"/>
              </w:rPr>
            </w:pPr>
            <w:r w:rsidRPr="000A6D05">
              <w:rPr>
                <w:rFonts w:ascii="Georgia" w:eastAsia="Times New Roman" w:hAnsi="Georgia"/>
                <w:b/>
                <w:bCs/>
                <w:color w:val="000000"/>
              </w:rPr>
              <w:t>Authors (year)</w:t>
            </w:r>
          </w:p>
        </w:tc>
        <w:tc>
          <w:tcPr>
            <w:tcW w:w="2080" w:type="dxa"/>
            <w:vAlign w:val="center"/>
            <w:hideMark/>
          </w:tcPr>
          <w:p w:rsidR="00CC5CFA" w:rsidRPr="000A6D05" w:rsidRDefault="00CC5CFA" w:rsidP="0027522D">
            <w:pPr>
              <w:spacing w:after="0" w:line="240" w:lineRule="auto"/>
              <w:jc w:val="center"/>
              <w:rPr>
                <w:rFonts w:ascii="Georgia" w:eastAsia="Times New Roman" w:hAnsi="Georgia"/>
                <w:b/>
                <w:bCs/>
                <w:color w:val="000000"/>
              </w:rPr>
            </w:pPr>
            <w:r w:rsidRPr="000A6D05">
              <w:rPr>
                <w:rFonts w:ascii="Georgia" w:eastAsia="Times New Roman" w:hAnsi="Georgia"/>
                <w:b/>
                <w:bCs/>
                <w:color w:val="000000"/>
              </w:rPr>
              <w:t>Method</w:t>
            </w:r>
          </w:p>
        </w:tc>
        <w:tc>
          <w:tcPr>
            <w:tcW w:w="2460" w:type="dxa"/>
            <w:vAlign w:val="center"/>
            <w:hideMark/>
          </w:tcPr>
          <w:p w:rsidR="00CC5CFA" w:rsidRPr="000A6D05" w:rsidRDefault="00CC5CFA" w:rsidP="0027522D">
            <w:pPr>
              <w:spacing w:after="0" w:line="240" w:lineRule="auto"/>
              <w:jc w:val="center"/>
              <w:rPr>
                <w:rFonts w:ascii="Georgia" w:eastAsia="Times New Roman" w:hAnsi="Georgia"/>
                <w:b/>
                <w:bCs/>
                <w:color w:val="000000"/>
              </w:rPr>
            </w:pPr>
            <w:r w:rsidRPr="00294006">
              <w:rPr>
                <w:rFonts w:ascii="Georgia" w:eastAsia="Times New Roman" w:hAnsi="Georgia"/>
                <w:b/>
                <w:bCs/>
                <w:color w:val="000000"/>
              </w:rPr>
              <w:t>Outcome</w:t>
            </w:r>
          </w:p>
        </w:tc>
        <w:tc>
          <w:tcPr>
            <w:tcW w:w="3200" w:type="dxa"/>
            <w:vAlign w:val="center"/>
            <w:hideMark/>
          </w:tcPr>
          <w:p w:rsidR="00CC5CFA" w:rsidRPr="000A6D05" w:rsidRDefault="00CC5CFA" w:rsidP="0027522D">
            <w:pPr>
              <w:spacing w:after="0" w:line="240" w:lineRule="auto"/>
              <w:jc w:val="center"/>
              <w:rPr>
                <w:rFonts w:ascii="Georgia" w:eastAsia="Times New Roman" w:hAnsi="Georgia"/>
                <w:b/>
                <w:bCs/>
                <w:color w:val="000000"/>
              </w:rPr>
            </w:pPr>
            <w:r w:rsidRPr="000A6D05">
              <w:rPr>
                <w:rFonts w:ascii="Georgia" w:eastAsia="Times New Roman" w:hAnsi="Georgia"/>
                <w:b/>
                <w:bCs/>
                <w:color w:val="000000"/>
              </w:rPr>
              <w:t>Key explanatory variables</w:t>
            </w:r>
          </w:p>
        </w:tc>
        <w:tc>
          <w:tcPr>
            <w:tcW w:w="4440" w:type="dxa"/>
            <w:vAlign w:val="center"/>
            <w:hideMark/>
          </w:tcPr>
          <w:p w:rsidR="00CC5CFA" w:rsidRPr="000A6D05" w:rsidRDefault="00CC5CFA" w:rsidP="0027522D">
            <w:pPr>
              <w:spacing w:after="0" w:line="240" w:lineRule="auto"/>
              <w:jc w:val="center"/>
              <w:rPr>
                <w:rFonts w:ascii="Georgia" w:eastAsia="Times New Roman" w:hAnsi="Georgia"/>
                <w:b/>
                <w:bCs/>
                <w:color w:val="000000"/>
              </w:rPr>
            </w:pPr>
            <w:r w:rsidRPr="000A6D05">
              <w:rPr>
                <w:rFonts w:ascii="Georgia" w:eastAsia="Times New Roman" w:hAnsi="Georgia"/>
                <w:b/>
                <w:bCs/>
                <w:color w:val="000000"/>
              </w:rPr>
              <w:t>Main findings</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Buch</w:t>
            </w:r>
            <w:proofErr w:type="spellEnd"/>
            <w:r w:rsidRPr="000A6D05">
              <w:rPr>
                <w:rFonts w:ascii="Georgia" w:eastAsia="Times New Roman" w:hAnsi="Georgia"/>
                <w:color w:val="000000"/>
              </w:rPr>
              <w:t xml:space="preserve"> &amp; </w:t>
            </w:r>
            <w:proofErr w:type="spellStart"/>
            <w:r w:rsidRPr="000A6D05">
              <w:rPr>
                <w:rFonts w:ascii="Georgia" w:eastAsia="Times New Roman" w:hAnsi="Georgia"/>
                <w:color w:val="000000"/>
              </w:rPr>
              <w:t>Piazolo</w:t>
            </w:r>
            <w:proofErr w:type="spellEnd"/>
            <w:r w:rsidRPr="000A6D05">
              <w:rPr>
                <w:rFonts w:ascii="Georgia" w:eastAsia="Times New Roman" w:hAnsi="Georgia"/>
                <w:color w:val="000000"/>
              </w:rPr>
              <w:t xml:space="preserve"> (2001)</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Gravity</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Trade flows</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Integration dummies</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Integration fosters flows</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Ravishankar</w:t>
            </w:r>
            <w:proofErr w:type="spellEnd"/>
            <w:r w:rsidRPr="000A6D05">
              <w:rPr>
                <w:rFonts w:ascii="Georgia" w:eastAsia="Times New Roman" w:hAnsi="Georgia"/>
                <w:color w:val="000000"/>
              </w:rPr>
              <w:t xml:space="preserve"> &amp; Stack (2014)</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SFA</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Trade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Regional/FTA dummies</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Regional integration improves efficiency</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 xml:space="preserve">Anderson &amp; </w:t>
            </w:r>
            <w:proofErr w:type="spellStart"/>
            <w:r w:rsidRPr="000A6D05">
              <w:rPr>
                <w:rFonts w:ascii="Georgia" w:eastAsia="Times New Roman" w:hAnsi="Georgia"/>
                <w:color w:val="000000"/>
              </w:rPr>
              <w:t>Yotov</w:t>
            </w:r>
            <w:proofErr w:type="spellEnd"/>
            <w:r w:rsidRPr="000A6D05">
              <w:rPr>
                <w:rFonts w:ascii="Georgia" w:eastAsia="Times New Roman" w:hAnsi="Georgia"/>
                <w:color w:val="000000"/>
              </w:rPr>
              <w:t xml:space="preserve"> (2016)</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Structural gravity</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Trade &amp; efficiency effects</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FTA membership</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FTAs increase trade and global efficiency</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Hai &amp; Thang (2017)</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SFA</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Trade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AFTA dummy</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AFTA improves Vietnam’s trade efficiency</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Doan &amp; Xing (2018)</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SFA (trade efficiency)</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Export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 xml:space="preserve">FTA dummies; </w:t>
            </w:r>
            <w:proofErr w:type="spellStart"/>
            <w:r w:rsidRPr="000A6D05">
              <w:rPr>
                <w:rFonts w:ascii="Georgia" w:eastAsia="Times New Roman" w:hAnsi="Georgia"/>
                <w:color w:val="000000"/>
              </w:rPr>
              <w:t>RoO</w:t>
            </w:r>
            <w:proofErr w:type="spellEnd"/>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 xml:space="preserve">FTAs raise trade efficiency; </w:t>
            </w:r>
            <w:proofErr w:type="spellStart"/>
            <w:r w:rsidRPr="000A6D05">
              <w:rPr>
                <w:rFonts w:ascii="Georgia" w:eastAsia="Times New Roman" w:hAnsi="Georgia"/>
                <w:color w:val="000000"/>
              </w:rPr>
              <w:t>RoO</w:t>
            </w:r>
            <w:proofErr w:type="spellEnd"/>
            <w:r w:rsidRPr="000A6D05">
              <w:rPr>
                <w:rFonts w:ascii="Georgia" w:eastAsia="Times New Roman" w:hAnsi="Georgia"/>
                <w:color w:val="000000"/>
              </w:rPr>
              <w:t xml:space="preserve"> may constrain gains</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Doanh</w:t>
            </w:r>
            <w:proofErr w:type="spellEnd"/>
            <w:r w:rsidRPr="000A6D05">
              <w:rPr>
                <w:rFonts w:ascii="Georgia" w:eastAsia="Times New Roman" w:hAnsi="Georgia"/>
                <w:color w:val="000000"/>
              </w:rPr>
              <w:t xml:space="preserve"> et al. (2020)</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SFA + panel</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Trade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Institutions, culture</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Institutions and culture affect efficiency</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Kaushal</w:t>
            </w:r>
            <w:proofErr w:type="spellEnd"/>
            <w:r w:rsidRPr="000A6D05">
              <w:rPr>
                <w:rFonts w:ascii="Georgia" w:eastAsia="Times New Roman" w:hAnsi="Georgia"/>
                <w:color w:val="000000"/>
              </w:rPr>
              <w:t xml:space="preserve"> (2021)</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SFA</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Export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SAFTA, MERCOSUR, APTA</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FTAs raise export efficiency;</w:t>
            </w:r>
            <w:r>
              <w:rPr>
                <w:rFonts w:ascii="Georgia" w:eastAsia="Times New Roman" w:hAnsi="Georgia"/>
                <w:color w:val="000000"/>
              </w:rPr>
              <w:t xml:space="preserve"> </w:t>
            </w:r>
            <w:r w:rsidRPr="000A6D05">
              <w:rPr>
                <w:rFonts w:ascii="Georgia" w:eastAsia="Times New Roman" w:hAnsi="Georgia"/>
                <w:color w:val="000000"/>
              </w:rPr>
              <w:t>heterogeneous across FTAs</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Obeng</w:t>
            </w:r>
            <w:proofErr w:type="spellEnd"/>
            <w:r w:rsidRPr="000A6D05">
              <w:rPr>
                <w:rFonts w:ascii="Georgia" w:eastAsia="Times New Roman" w:hAnsi="Georgia"/>
                <w:color w:val="000000"/>
              </w:rPr>
              <w:t xml:space="preserve"> et al. (2023)</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Panel (efficiency)</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Export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Deep PTA, institutions</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Deep agreements and institutions matter</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Ayesu</w:t>
            </w:r>
            <w:proofErr w:type="spellEnd"/>
            <w:r w:rsidRPr="000A6D05">
              <w:rPr>
                <w:rFonts w:ascii="Georgia" w:eastAsia="Times New Roman" w:hAnsi="Georgia"/>
                <w:color w:val="000000"/>
              </w:rPr>
              <w:t xml:space="preserve"> (2023)</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Panel gravity/efficiency</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Trade efficiency (bilateral exports)</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Maritime connectivity (LSCI, LSBCI); RTA; common currency</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RTA improves trade efficiency; higher maritime connectivity significantly raises exports.</w:t>
            </w:r>
          </w:p>
        </w:tc>
      </w:tr>
      <w:tr w:rsidR="00CC5CFA" w:rsidRPr="000A6D05" w:rsidTr="0027522D">
        <w:trPr>
          <w:trHeight w:val="620"/>
        </w:trPr>
        <w:tc>
          <w:tcPr>
            <w:tcW w:w="2840" w:type="dxa"/>
            <w:vAlign w:val="center"/>
            <w:hideMark/>
          </w:tcPr>
          <w:p w:rsidR="00CC5CFA" w:rsidRPr="000A6D05" w:rsidRDefault="00CC5CFA" w:rsidP="0027522D">
            <w:pPr>
              <w:spacing w:after="0" w:line="240" w:lineRule="auto"/>
              <w:rPr>
                <w:rFonts w:ascii="Georgia" w:eastAsia="Times New Roman" w:hAnsi="Georgia"/>
                <w:color w:val="000000"/>
              </w:rPr>
            </w:pPr>
            <w:proofErr w:type="spellStart"/>
            <w:r w:rsidRPr="000A6D05">
              <w:rPr>
                <w:rFonts w:ascii="Georgia" w:eastAsia="Times New Roman" w:hAnsi="Georgia"/>
                <w:color w:val="000000"/>
              </w:rPr>
              <w:t>Masunda</w:t>
            </w:r>
            <w:proofErr w:type="spellEnd"/>
            <w:r w:rsidRPr="000A6D05">
              <w:rPr>
                <w:rFonts w:ascii="Georgia" w:eastAsia="Times New Roman" w:hAnsi="Georgia"/>
                <w:color w:val="000000"/>
              </w:rPr>
              <w:t xml:space="preserve"> &amp; </w:t>
            </w:r>
            <w:proofErr w:type="spellStart"/>
            <w:r w:rsidRPr="000A6D05">
              <w:rPr>
                <w:rFonts w:ascii="Georgia" w:eastAsia="Times New Roman" w:hAnsi="Georgia"/>
                <w:color w:val="000000"/>
              </w:rPr>
              <w:t>Mhonyera</w:t>
            </w:r>
            <w:proofErr w:type="spellEnd"/>
            <w:r w:rsidRPr="000A6D05">
              <w:rPr>
                <w:rFonts w:ascii="Georgia" w:eastAsia="Times New Roman" w:hAnsi="Georgia"/>
                <w:color w:val="000000"/>
              </w:rPr>
              <w:t xml:space="preserve"> (2024)</w:t>
            </w:r>
          </w:p>
        </w:tc>
        <w:tc>
          <w:tcPr>
            <w:tcW w:w="208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SFA</w:t>
            </w:r>
          </w:p>
        </w:tc>
        <w:tc>
          <w:tcPr>
            <w:tcW w:w="246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Export efficiency</w:t>
            </w:r>
          </w:p>
        </w:tc>
        <w:tc>
          <w:tcPr>
            <w:tcW w:w="320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FTA/regional variables</w:t>
            </w:r>
          </w:p>
        </w:tc>
        <w:tc>
          <w:tcPr>
            <w:tcW w:w="4440" w:type="dxa"/>
            <w:vAlign w:val="center"/>
            <w:hideMark/>
          </w:tcPr>
          <w:p w:rsidR="00CC5CFA" w:rsidRPr="000A6D05" w:rsidRDefault="00CC5CFA" w:rsidP="0027522D">
            <w:pPr>
              <w:spacing w:after="0" w:line="240" w:lineRule="auto"/>
              <w:rPr>
                <w:rFonts w:ascii="Georgia" w:eastAsia="Times New Roman" w:hAnsi="Georgia"/>
                <w:color w:val="000000"/>
              </w:rPr>
            </w:pPr>
            <w:r w:rsidRPr="000A6D05">
              <w:rPr>
                <w:rFonts w:ascii="Georgia" w:eastAsia="Times New Roman" w:hAnsi="Georgia"/>
                <w:color w:val="000000"/>
              </w:rPr>
              <w:t>FTAs improve efficiency</w:t>
            </w:r>
          </w:p>
        </w:tc>
      </w:tr>
    </w:tbl>
    <w:p w:rsidR="00CC5CFA" w:rsidRPr="00890E78" w:rsidRDefault="00CC5CFA" w:rsidP="00CC5CFA">
      <w:pPr>
        <w:widowControl w:val="0"/>
        <w:spacing w:before="120" w:after="120"/>
        <w:ind w:firstLine="562"/>
        <w:rPr>
          <w:rFonts w:ascii="Georgia" w:eastAsia="Times New Roman" w:hAnsi="Georgia" w:cs="Times New Roman"/>
          <w:bCs/>
          <w:szCs w:val="24"/>
          <w:highlight w:val="yellow"/>
        </w:rPr>
      </w:pPr>
      <w:r w:rsidRPr="00890E78">
        <w:rPr>
          <w:rFonts w:ascii="Georgia" w:eastAsia="Times New Roman" w:hAnsi="Georgia" w:cs="Times New Roman"/>
          <w:bCs/>
          <w:szCs w:val="24"/>
          <w:highlight w:val="yellow"/>
        </w:rPr>
        <w:t>Source: created by authors</w:t>
      </w:r>
    </w:p>
    <w:p w:rsidR="00CC5CFA" w:rsidRDefault="00CC5CFA" w:rsidP="00CC5CFA">
      <w:pPr>
        <w:rPr>
          <w:rFonts w:ascii="Georgia" w:eastAsia="Times New Roman" w:hAnsi="Georgia" w:cs="Times New Roman"/>
          <w:b/>
          <w:bCs/>
          <w:iCs/>
          <w:szCs w:val="24"/>
        </w:rPr>
        <w:sectPr w:rsidR="00CC5CFA" w:rsidSect="00C21810">
          <w:pgSz w:w="16834" w:h="11909" w:orient="landscape" w:code="9"/>
          <w:pgMar w:top="1871" w:right="1151" w:bottom="1151" w:left="1151" w:header="720" w:footer="720" w:gutter="0"/>
          <w:pgNumType w:start="20"/>
          <w:cols w:space="720"/>
        </w:sectPr>
      </w:pPr>
    </w:p>
    <w:p w:rsidR="00CC5CFA" w:rsidRDefault="00CC5CFA" w:rsidP="00CC5CFA">
      <w:pPr>
        <w:widowControl w:val="0"/>
        <w:tabs>
          <w:tab w:val="center" w:pos="4252"/>
          <w:tab w:val="right" w:pos="8504"/>
        </w:tabs>
        <w:spacing w:after="0"/>
        <w:ind w:right="65"/>
        <w:jc w:val="center"/>
        <w:rPr>
          <w:rFonts w:ascii="Georgia" w:eastAsia="Times New Roman" w:hAnsi="Georgia" w:cs="Times New Roman"/>
          <w:b/>
          <w:bCs/>
          <w:iCs/>
          <w:szCs w:val="24"/>
        </w:rPr>
      </w:pPr>
      <w:r>
        <w:rPr>
          <w:rFonts w:ascii="Georgia" w:eastAsia="Times New Roman" w:hAnsi="Georgia" w:cs="Times New Roman"/>
          <w:b/>
          <w:bCs/>
          <w:iCs/>
          <w:szCs w:val="24"/>
        </w:rPr>
        <w:lastRenderedPageBreak/>
        <w:t>Appendix 2: List of countries in the sample</w:t>
      </w:r>
    </w:p>
    <w:p w:rsidR="00CC5CFA" w:rsidRDefault="00CC5CFA" w:rsidP="00CC5CFA">
      <w:pPr>
        <w:widowControl w:val="0"/>
        <w:tabs>
          <w:tab w:val="center" w:pos="4252"/>
          <w:tab w:val="right" w:pos="8504"/>
        </w:tabs>
        <w:spacing w:after="0"/>
        <w:ind w:right="65"/>
        <w:rPr>
          <w:rFonts w:ascii="Georgia" w:eastAsia="Times New Roman" w:hAnsi="Georgia" w:cs="Times New Roman"/>
          <w:iCs/>
          <w:szCs w:val="24"/>
        </w:rPr>
      </w:pPr>
    </w:p>
    <w:p w:rsidR="00CC5CFA" w:rsidRPr="00685A27" w:rsidRDefault="00CC5CFA" w:rsidP="00CC5CFA">
      <w:pPr>
        <w:widowControl w:val="0"/>
        <w:tabs>
          <w:tab w:val="center" w:pos="4252"/>
          <w:tab w:val="right" w:pos="8504"/>
        </w:tabs>
        <w:spacing w:after="0"/>
        <w:ind w:right="65"/>
        <w:rPr>
          <w:rFonts w:ascii="Georgia" w:eastAsia="Times New Roman" w:hAnsi="Georgia" w:cs="Times New Roman"/>
          <w:iCs/>
          <w:szCs w:val="24"/>
        </w:rPr>
      </w:pPr>
      <w:r w:rsidRPr="00685A27">
        <w:rPr>
          <w:rFonts w:ascii="Georgia" w:eastAsia="Times New Roman" w:hAnsi="Georgia" w:cs="Times New Roman"/>
          <w:iCs/>
          <w:szCs w:val="24"/>
        </w:rPr>
        <w:t xml:space="preserve">Algeria, Angola, Argentina, Australia, Austria, Belgium, Brazil, Bulgaria, Cambodia, Cameroon, Canada, Chile, China, Colombia, Costa Rica, Croatia, Cyprus, </w:t>
      </w:r>
      <w:proofErr w:type="spellStart"/>
      <w:r w:rsidRPr="00685A27">
        <w:rPr>
          <w:rFonts w:ascii="Georgia" w:eastAsia="Times New Roman" w:hAnsi="Georgia" w:cs="Times New Roman"/>
          <w:iCs/>
          <w:szCs w:val="24"/>
        </w:rPr>
        <w:t>Czechia</w:t>
      </w:r>
      <w:proofErr w:type="spellEnd"/>
      <w:r w:rsidRPr="00685A27">
        <w:rPr>
          <w:rFonts w:ascii="Georgia" w:eastAsia="Times New Roman" w:hAnsi="Georgia" w:cs="Times New Roman"/>
          <w:iCs/>
          <w:szCs w:val="24"/>
        </w:rPr>
        <w:t xml:space="preserve">, Denmark, Egypt, Arab Rep., Estonia, Finland, France, Germany, Ghana, Greece, Hong Kong SAR, China, Hungary, India, Indonesia, Ireland, Italy, Japan, Kazakhstan, Korea, Rep., Kuwait, Lao PDR, Latvia, Lithuania, Luxembourg, Malaysia, Mexico, Netherlands, New Zealand, Nigeria, Norway, Panama, Paraguay, Peru, Philippines, Poland, Portugal, Qatar, Russian Federation, Saudi Arabia, Singapore, Slovak Republic, Slovenia, South Africa, Spain, Sweden, Switzerland, Thailand, Togo, </w:t>
      </w:r>
      <w:proofErr w:type="spellStart"/>
      <w:r w:rsidRPr="00685A27">
        <w:rPr>
          <w:rFonts w:ascii="Georgia" w:eastAsia="Times New Roman" w:hAnsi="Georgia" w:cs="Times New Roman"/>
          <w:iCs/>
          <w:szCs w:val="24"/>
        </w:rPr>
        <w:t>Turkiye</w:t>
      </w:r>
      <w:proofErr w:type="spellEnd"/>
      <w:r w:rsidRPr="00685A27">
        <w:rPr>
          <w:rFonts w:ascii="Georgia" w:eastAsia="Times New Roman" w:hAnsi="Georgia" w:cs="Times New Roman"/>
          <w:iCs/>
          <w:szCs w:val="24"/>
        </w:rPr>
        <w:t>, Ukraine, United Arab Emirates, United Kingdom, United States, Uruguay, Uzbekistan</w:t>
      </w:r>
    </w:p>
    <w:p w:rsidR="00CC5CFA" w:rsidRDefault="00CC5CFA" w:rsidP="00CC5CFA">
      <w:pPr>
        <w:widowControl w:val="0"/>
        <w:tabs>
          <w:tab w:val="center" w:pos="4252"/>
          <w:tab w:val="right" w:pos="8504"/>
        </w:tabs>
        <w:spacing w:after="0"/>
        <w:ind w:right="65"/>
        <w:rPr>
          <w:rFonts w:ascii="Georgia" w:eastAsia="Times New Roman" w:hAnsi="Georgia" w:cs="Times New Roman"/>
          <w:b/>
          <w:bCs/>
          <w:iCs/>
          <w:szCs w:val="24"/>
        </w:rPr>
      </w:pPr>
    </w:p>
    <w:p w:rsidR="00F24236" w:rsidRDefault="00F24236"/>
    <w:sectPr w:rsidR="00F242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FA"/>
    <w:rsid w:val="00A64878"/>
    <w:rsid w:val="00CC5CFA"/>
    <w:rsid w:val="00CE350E"/>
    <w:rsid w:val="00F165A4"/>
    <w:rsid w:val="00F242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89DF"/>
  <w15:docId w15:val="{A8BA6D43-A176-44BB-8C32-733420F6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22463</dc:creator>
  <cp:lastModifiedBy>Eswari S.</cp:lastModifiedBy>
  <cp:revision>2</cp:revision>
  <dcterms:created xsi:type="dcterms:W3CDTF">2025-10-23T05:39:00Z</dcterms:created>
  <dcterms:modified xsi:type="dcterms:W3CDTF">2025-10-23T05:59:00Z</dcterms:modified>
</cp:coreProperties>
</file>