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ab/>
        <w:t xml:space="preserve"> </w:t>
        <w:tab/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ab/>
        <w:t xml:space="preserve"> </w:t>
        <w:tab/>
        <w:t xml:space="preserve"> </w:t>
        <w:tab/>
        <w:t xml:space="preserve"> </w:t>
        <w:tab/>
      </w:r>
    </w:p>
    <w:p w:rsidR="00000000" w:rsidDel="00000000" w:rsidP="00000000" w:rsidRDefault="00000000" w:rsidRPr="00000000" w14:paraId="00000003">
      <w:pPr>
        <w:spacing w:after="280" w:before="280" w:line="360" w:lineRule="auto"/>
        <w:jc w:val="both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Appendix — Pseudocode for the Physics-Informed Neural Network (PINN) Framework</w:t>
      </w:r>
    </w:p>
    <w:p w:rsidR="00000000" w:rsidDel="00000000" w:rsidP="00000000" w:rsidRDefault="00000000" w:rsidRPr="00000000" w14:paraId="00000004">
      <w:pPr>
        <w:spacing w:after="280" w:before="280" w:line="36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This appendix summarizes the complete workflow implemented in the final training script, including synthetic data generation, PINN formulation, physics enforcement, and post-processing. The pseudocode mirrors the actual implementation while remaining concise and architecture-agnostic.</w:t>
      </w:r>
    </w:p>
    <w:p w:rsidR="00000000" w:rsidDel="00000000" w:rsidP="00000000" w:rsidRDefault="00000000" w:rsidRPr="00000000" w14:paraId="00000005">
      <w:pPr>
        <w:spacing w:after="280" w:before="280" w:line="36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A.1 Synthetic Dataset Generation</w:t>
      </w:r>
    </w:p>
    <w:p w:rsidR="00000000" w:rsidDel="00000000" w:rsidP="00000000" w:rsidRDefault="00000000" w:rsidRPr="00000000" w14:paraId="00000006">
      <w:pPr>
        <w:spacing w:after="160" w:before="24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Inputs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sz w:val="20"/>
          <w:szCs w:val="20"/>
          <w:rtl w:val="0"/>
        </w:rPr>
        <w:t xml:space="preserve">Temperature levels:</w:t>
        <w:br w:type="textWrapping"/>
        <w:t xml:space="preserve"> , expressed in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Depth range: mm</w:t>
        <w:br w:type="textWrapping"/>
        <w:t xml:space="preserve"> Time range: days</w:t>
        <w:br w:type="textWrapping"/>
        <w:t xml:space="preserve"> Relative humidity:</w:t>
        <w:br w:type="textWrapping"/>
        <w:t xml:space="preserve"> Reference parameters:</w:t>
      </w:r>
    </w:p>
    <w:p w:rsidR="00000000" w:rsidDel="00000000" w:rsidP="00000000" w:rsidRDefault="00000000" w:rsidRPr="00000000" w14:paraId="00000007">
      <w:pPr>
        <w:spacing w:after="280" w:before="280" w:line="36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Procedure</w:t>
      </w:r>
    </w:p>
    <w:p w:rsidR="00000000" w:rsidDel="00000000" w:rsidP="00000000" w:rsidRDefault="00000000" w:rsidRPr="00000000" w14:paraId="00000008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FOR each temperature :</w:t>
        <w:br w:type="textWrapping"/>
        <w:t xml:space="preserve">  Convert to Kelvin</w:t>
      </w:r>
    </w:p>
    <w:p w:rsidR="00000000" w:rsidDel="00000000" w:rsidP="00000000" w:rsidRDefault="00000000" w:rsidRPr="00000000" w14:paraId="00000009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Compute kinetic rate:</w:t>
        <w:br w:type="textWrapping"/>
        <w:t xml:space="preserve">   </w:t>
      </w:r>
    </w:p>
    <w:p w:rsidR="00000000" w:rsidDel="00000000" w:rsidP="00000000" w:rsidRDefault="00000000" w:rsidRPr="00000000" w14:paraId="0000000A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Compute diffusion coefficient:</w:t>
        <w:br w:type="textWrapping"/>
        <w:t xml:space="preserve">   </w:t>
      </w:r>
    </w:p>
    <w:p w:rsidR="00000000" w:rsidDel="00000000" w:rsidP="00000000" w:rsidRDefault="00000000" w:rsidRPr="00000000" w14:paraId="0000000B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FOR each humidity RH:</w:t>
        <w:br w:type="textWrapping"/>
        <w:t xml:space="preserve">   FOR each time :</w:t>
      </w:r>
    </w:p>
    <w:p w:rsidR="00000000" w:rsidDel="00000000" w:rsidP="00000000" w:rsidRDefault="00000000" w:rsidRPr="00000000" w14:paraId="0000000C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   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Compute penetration depth:</w:t>
        <w:br w:type="textWrapping"/>
        <w:t xml:space="preserve">     </w:t>
      </w:r>
    </w:p>
    <w:p w:rsidR="00000000" w:rsidDel="00000000" w:rsidP="00000000" w:rsidRDefault="00000000" w:rsidRPr="00000000" w14:paraId="0000000D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   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Compute surface concentration:</w:t>
        <w:br w:type="textWrapping"/>
        <w:t xml:space="preserve">     </w:t>
      </w:r>
    </w:p>
    <w:p w:rsidR="00000000" w:rsidDel="00000000" w:rsidP="00000000" w:rsidRDefault="00000000" w:rsidRPr="00000000" w14:paraId="0000000E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   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FOR each depth :</w:t>
        <w:br w:type="textWrapping"/>
        <w:t xml:space="preserve">     Compute oxidative concentration:</w:t>
        <w:br w:type="textWrapping"/>
        <w:t xml:space="preserve">      </w:t>
      </w:r>
    </w:p>
    <w:p w:rsidR="00000000" w:rsidDel="00000000" w:rsidP="00000000" w:rsidRDefault="00000000" w:rsidRPr="00000000" w14:paraId="0000000F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    </w:t>
      </w:r>
      <w:r w:rsidDel="00000000" w:rsidR="00000000" w:rsidRPr="00000000">
        <w:rPr>
          <w:rFonts w:ascii="Cardo" w:cs="Cardo" w:eastAsia="Cardo" w:hAnsi="Cardo"/>
          <w:sz w:val="20"/>
          <w:szCs w:val="20"/>
          <w:rtl w:val="0"/>
        </w:rPr>
        <w:t xml:space="preserve">Add Gaussian noise →</w:t>
      </w:r>
    </w:p>
    <w:p w:rsidR="00000000" w:rsidDel="00000000" w:rsidP="00000000" w:rsidRDefault="00000000" w:rsidRPr="00000000" w14:paraId="00000010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    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Compute property retention:</w:t>
        <w:br w:type="textWrapping"/>
        <w:t xml:space="preserve">      </w:t>
      </w:r>
    </w:p>
    <w:p w:rsidR="00000000" w:rsidDel="00000000" w:rsidP="00000000" w:rsidRDefault="00000000" w:rsidRPr="00000000" w14:paraId="00000011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    </w:t>
      </w:r>
      <w:r w:rsidDel="00000000" w:rsidR="00000000" w:rsidRPr="00000000">
        <w:rPr>
          <w:rFonts w:ascii="Cardo" w:cs="Cardo" w:eastAsia="Cardo" w:hAnsi="Cardo"/>
          <w:sz w:val="20"/>
          <w:szCs w:val="20"/>
          <w:rtl w:val="0"/>
        </w:rPr>
        <w:t xml:space="preserve">Add Gaussian noise →</w:t>
      </w:r>
    </w:p>
    <w:p w:rsidR="00000000" w:rsidDel="00000000" w:rsidP="00000000" w:rsidRDefault="00000000" w:rsidRPr="00000000" w14:paraId="00000012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STORE all rows in synthetic_peek.csv</w:t>
      </w:r>
    </w:p>
    <w:p w:rsidR="00000000" w:rsidDel="00000000" w:rsidP="00000000" w:rsidRDefault="00000000" w:rsidRPr="00000000" w14:paraId="00000013">
      <w:pPr>
        <w:spacing w:after="280" w:before="280" w:line="36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A.2 Data Normalization</w:t>
      </w:r>
    </w:p>
    <w:p w:rsidR="00000000" w:rsidDel="00000000" w:rsidP="00000000" w:rsidRDefault="00000000" w:rsidRPr="00000000" w14:paraId="00000014">
      <w:pPr>
        <w:spacing w:after="280" w:before="28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Normalize input variables:</w:t>
        <w:br w:type="textWrapping"/>
      </w:r>
    </w:p>
    <w:p w:rsidR="00000000" w:rsidDel="00000000" w:rsidP="00000000" w:rsidRDefault="00000000" w:rsidRPr="00000000" w14:paraId="00000015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Relative humidity is used directly.</w:t>
        <w:br w:type="textWrapping"/>
        <w:t xml:space="preserve"> Convert all normalized variables to PyTorch tensors.</w:t>
      </w:r>
    </w:p>
    <w:p w:rsidR="00000000" w:rsidDel="00000000" w:rsidP="00000000" w:rsidRDefault="00000000" w:rsidRPr="00000000" w14:paraId="00000016">
      <w:pPr>
        <w:spacing w:after="280" w:before="280" w:line="36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A.3 PINN Model Definition</w:t>
      </w:r>
    </w:p>
    <w:p w:rsidR="00000000" w:rsidDel="00000000" w:rsidP="00000000" w:rsidRDefault="00000000" w:rsidRPr="00000000" w14:paraId="00000017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Neural network:</w:t>
        <w:br w:type="textWrapping"/>
        <w:t xml:space="preserve"> Fully connected feed-forward architecture</w:t>
        <w:br w:type="textWrapping"/>
        <w:t xml:space="preserve"> Layer structure:</w:t>
        <w:br w:type="textWrapping"/>
        <w:t xml:space="preserve"> Activation: Tanh (hidden layers)</w:t>
      </w:r>
    </w:p>
    <w:p w:rsidR="00000000" w:rsidDel="00000000" w:rsidP="00000000" w:rsidRDefault="00000000" w:rsidRPr="00000000" w14:paraId="00000018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Network outputs:</w:t>
        <w:br w:type="textWrapping"/>
        <w:t xml:space="preserve"> Oxidative concentration:</w:t>
        <w:br w:type="textWrapping"/>
        <w:t xml:space="preserve"> Property retention:</w:t>
        <w:br w:type="textWrapping"/>
        <w:t xml:space="preserve"> (enforces )</w:t>
      </w:r>
    </w:p>
    <w:p w:rsidR="00000000" w:rsidDel="00000000" w:rsidP="00000000" w:rsidRDefault="00000000" w:rsidRPr="00000000" w14:paraId="00000019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Trainable physical parameters:</w:t>
        <w:br w:type="textWrapping"/>
        <w:t xml:space="preserve"> — Arrhenius prefactor</w:t>
        <w:br w:type="textWrapping"/>
        <w:t xml:space="preserve"> — activation energy</w:t>
        <w:br w:type="textWrapping"/>
        <w:t xml:space="preserve"> — diffusion coefficient</w:t>
      </w:r>
    </w:p>
    <w:p w:rsidR="00000000" w:rsidDel="00000000" w:rsidP="00000000" w:rsidRDefault="00000000" w:rsidRPr="00000000" w14:paraId="0000001A">
      <w:pPr>
        <w:spacing w:after="280" w:before="280" w:line="36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A.4 Reaction–Diffusion PDE Enforcement</w:t>
      </w:r>
    </w:p>
    <w:p w:rsidR="00000000" w:rsidDel="00000000" w:rsidP="00000000" w:rsidRDefault="00000000" w:rsidRPr="00000000" w14:paraId="0000001B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Governing equation:</w:t>
      </w:r>
    </w:p>
    <w:p w:rsidR="00000000" w:rsidDel="00000000" w:rsidP="00000000" w:rsidRDefault="00000000" w:rsidRPr="00000000" w14:paraId="0000001C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FUNCTION PDE_Residual(t, x, T, RH):</w:t>
      </w:r>
    </w:p>
    <w:p w:rsidR="00000000" w:rsidDel="00000000" w:rsidP="00000000" w:rsidRDefault="00000000" w:rsidRPr="00000000" w14:paraId="0000001D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Enable automatic differentiation for</w:t>
      </w:r>
    </w:p>
    <w:p w:rsidR="00000000" w:rsidDel="00000000" w:rsidP="00000000" w:rsidRDefault="00000000" w:rsidRPr="00000000" w14:paraId="0000001E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Predict</w:t>
      </w:r>
    </w:p>
    <w:p w:rsidR="00000000" w:rsidDel="00000000" w:rsidP="00000000" w:rsidRDefault="00000000" w:rsidRPr="00000000" w14:paraId="0000001F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Compute derivatives:</w:t>
        <w:br w:type="textWrapping"/>
        <w:t xml:space="preserve">   </w:t>
        <w:br w:type="textWrapping"/>
        <w:t xml:space="preserve">   </w:t>
        <w:br w:type="textWrapping"/>
        <w:t xml:space="preserve">   </w:t>
      </w:r>
    </w:p>
    <w:p w:rsidR="00000000" w:rsidDel="00000000" w:rsidP="00000000" w:rsidRDefault="00000000" w:rsidRPr="00000000" w14:paraId="00000020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Recover physical parameters:</w:t>
        <w:br w:type="textWrapping"/>
        <w:t xml:space="preserve">   </w:t>
        <w:br w:type="textWrapping"/>
        <w:t xml:space="preserve">   </w:t>
        <w:br w:type="textWrapping"/>
        <w:t xml:space="preserve">   </w:t>
      </w:r>
    </w:p>
    <w:p w:rsidR="00000000" w:rsidDel="00000000" w:rsidP="00000000" w:rsidRDefault="00000000" w:rsidRPr="00000000" w14:paraId="00000021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Compute reaction rate:</w:t>
        <w:br w:type="textWrapping"/>
        <w:t xml:space="preserve">   </w:t>
      </w:r>
    </w:p>
    <w:p w:rsidR="00000000" w:rsidDel="00000000" w:rsidP="00000000" w:rsidRDefault="00000000" w:rsidRPr="00000000" w14:paraId="00000022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Compute residual:</w:t>
        <w:br w:type="textWrapping"/>
        <w:t xml:space="preserve">   </w:t>
      </w:r>
    </w:p>
    <w:p w:rsidR="00000000" w:rsidDel="00000000" w:rsidP="00000000" w:rsidRDefault="00000000" w:rsidRPr="00000000" w14:paraId="00000023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RETURN</w:t>
      </w:r>
    </w:p>
    <w:p w:rsidR="00000000" w:rsidDel="00000000" w:rsidP="00000000" w:rsidRDefault="00000000" w:rsidRPr="00000000" w14:paraId="00000024">
      <w:pPr>
        <w:spacing w:after="280" w:before="280" w:line="36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A.5 Boundary and Initial Conditions</w:t>
      </w:r>
    </w:p>
    <w:p w:rsidR="00000000" w:rsidDel="00000000" w:rsidP="00000000" w:rsidRDefault="00000000" w:rsidRPr="00000000" w14:paraId="00000025">
      <w:pPr>
        <w:spacing w:after="280" w:before="28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Initial condition:</w:t>
        <w:br w:type="textWrapping"/>
      </w:r>
    </w:p>
    <w:p w:rsidR="00000000" w:rsidDel="00000000" w:rsidP="00000000" w:rsidRDefault="00000000" w:rsidRPr="00000000" w14:paraId="00000026">
      <w:pPr>
        <w:spacing w:after="280" w:before="28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Surface boundary:</w:t>
        <w:br w:type="textWrapping"/>
      </w:r>
    </w:p>
    <w:p w:rsidR="00000000" w:rsidDel="00000000" w:rsidP="00000000" w:rsidRDefault="00000000" w:rsidRPr="00000000" w14:paraId="00000027">
      <w:pPr>
        <w:spacing w:after="280" w:before="28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No-flux boundary:</w:t>
        <w:br w:type="textWrapping"/>
      </w:r>
    </w:p>
    <w:p w:rsidR="00000000" w:rsidDel="00000000" w:rsidP="00000000" w:rsidRDefault="00000000" w:rsidRPr="00000000" w14:paraId="00000028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FUNCTION BC_IC_Loss():</w:t>
      </w:r>
    </w:p>
    <w:p w:rsidR="00000000" w:rsidDel="00000000" w:rsidP="00000000" w:rsidRDefault="00000000" w:rsidRPr="00000000" w14:paraId="00000029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Sample points at , ,</w:t>
      </w:r>
    </w:p>
    <w:p w:rsidR="00000000" w:rsidDel="00000000" w:rsidP="00000000" w:rsidRDefault="00000000" w:rsidRPr="00000000" w14:paraId="0000002A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Compute losses:</w:t>
        <w:br w:type="textWrapping"/>
        <w:t xml:space="preserve">   Initial condition loss</w:t>
        <w:br w:type="textWrapping"/>
        <w:t xml:space="preserve">   Surface boundary loss</w:t>
        <w:br w:type="textWrapping"/>
        <w:t xml:space="preserve">   No-flux boundary loss</w:t>
      </w:r>
    </w:p>
    <w:p w:rsidR="00000000" w:rsidDel="00000000" w:rsidP="00000000" w:rsidRDefault="00000000" w:rsidRPr="00000000" w14:paraId="0000002B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RETURN sum of losses</w:t>
      </w:r>
    </w:p>
    <w:p w:rsidR="00000000" w:rsidDel="00000000" w:rsidP="00000000" w:rsidRDefault="00000000" w:rsidRPr="00000000" w14:paraId="0000002C">
      <w:pPr>
        <w:spacing w:after="280" w:before="280" w:line="36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A.6 Loss Function</w:t>
      </w:r>
    </w:p>
    <w:p w:rsidR="00000000" w:rsidDel="00000000" w:rsidP="00000000" w:rsidRDefault="00000000" w:rsidRPr="00000000" w14:paraId="0000002D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Total loss:</w:t>
      </w:r>
    </w:p>
    <w:p w:rsidR="00000000" w:rsidDel="00000000" w:rsidP="00000000" w:rsidRDefault="00000000" w:rsidRPr="00000000" w14:paraId="0000002E">
      <w:pPr>
        <w:spacing w:after="280" w:before="28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Data loss:</w:t>
        <w:br w:type="textWrapping"/>
      </w:r>
    </w:p>
    <w:p w:rsidR="00000000" w:rsidDel="00000000" w:rsidP="00000000" w:rsidRDefault="00000000" w:rsidRPr="00000000" w14:paraId="0000002F">
      <w:pPr>
        <w:spacing w:after="280" w:before="28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PDE loss:</w:t>
        <w:br w:type="textWrapping"/>
      </w:r>
    </w:p>
    <w:p w:rsidR="00000000" w:rsidDel="00000000" w:rsidP="00000000" w:rsidRDefault="00000000" w:rsidRPr="00000000" w14:paraId="00000030">
      <w:pPr>
        <w:spacing w:after="280" w:before="280" w:line="360" w:lineRule="auto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Weights:</w:t>
        <w:br w:type="textWrapping"/>
      </w:r>
    </w:p>
    <w:p w:rsidR="00000000" w:rsidDel="00000000" w:rsidP="00000000" w:rsidRDefault="00000000" w:rsidRPr="00000000" w14:paraId="00000031">
      <w:pPr>
        <w:spacing w:after="280" w:before="280" w:line="36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A.7 Training Loop</w:t>
      </w:r>
    </w:p>
    <w:p w:rsidR="00000000" w:rsidDel="00000000" w:rsidP="00000000" w:rsidRDefault="00000000" w:rsidRPr="00000000" w14:paraId="00000032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FOR epoch to :</w:t>
      </w:r>
    </w:p>
    <w:p w:rsidR="00000000" w:rsidDel="00000000" w:rsidP="00000000" w:rsidRDefault="00000000" w:rsidRPr="00000000" w14:paraId="00000033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Sample collocation points</w:t>
      </w:r>
    </w:p>
    <w:p w:rsidR="00000000" w:rsidDel="00000000" w:rsidP="00000000" w:rsidRDefault="00000000" w:rsidRPr="00000000" w14:paraId="00000034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Compute:</w:t>
        <w:br w:type="textWrapping"/>
        <w:t xml:space="preserve">   </w:t>
        <w:br w:type="textWrapping"/>
        <w:t xml:space="preserve">   </w:t>
        <w:br w:type="textWrapping"/>
        <w:t xml:space="preserve">   </w:t>
      </w:r>
    </w:p>
    <w:p w:rsidR="00000000" w:rsidDel="00000000" w:rsidP="00000000" w:rsidRDefault="00000000" w:rsidRPr="00000000" w14:paraId="00000035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Compute total loss</w:t>
      </w:r>
    </w:p>
    <w:p w:rsidR="00000000" w:rsidDel="00000000" w:rsidP="00000000" w:rsidRDefault="00000000" w:rsidRPr="00000000" w14:paraId="00000036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Backpropagate and update:</w:t>
        <w:br w:type="textWrapping"/>
        <w:t xml:space="preserve">   Network weights</w:t>
        <w:br w:type="textWrapping"/>
        <w:t xml:space="preserve">   </w:t>
      </w:r>
    </w:p>
    <w:p w:rsidR="00000000" w:rsidDel="00000000" w:rsidP="00000000" w:rsidRDefault="00000000" w:rsidRPr="00000000" w14:paraId="00000037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Clamp</w:t>
      </w:r>
    </w:p>
    <w:p w:rsidR="00000000" w:rsidDel="00000000" w:rsidP="00000000" w:rsidRDefault="00000000" w:rsidRPr="00000000" w14:paraId="00000038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  <w:t xml:space="preserve"> 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Store loss history</w:t>
      </w:r>
    </w:p>
    <w:p w:rsidR="00000000" w:rsidDel="00000000" w:rsidP="00000000" w:rsidRDefault="00000000" w:rsidRPr="00000000" w14:paraId="00000039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END FOR</w:t>
      </w:r>
    </w:p>
    <w:p w:rsidR="00000000" w:rsidDel="00000000" w:rsidP="00000000" w:rsidRDefault="00000000" w:rsidRPr="00000000" w14:paraId="0000003A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Save trained model and parameters.</w:t>
      </w:r>
    </w:p>
    <w:p w:rsidR="00000000" w:rsidDel="00000000" w:rsidP="00000000" w:rsidRDefault="00000000" w:rsidRPr="00000000" w14:paraId="0000003B">
      <w:pPr>
        <w:spacing w:after="280" w:before="280" w:line="360" w:lineRule="auto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A.8 Post-processing and Evaluation</w:t>
      </w:r>
    </w:p>
    <w:p w:rsidR="00000000" w:rsidDel="00000000" w:rsidP="00000000" w:rsidRDefault="00000000" w:rsidRPr="00000000" w14:paraId="0000003C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Short-term evaluation:</w:t>
        <w:br w:type="textWrapping"/>
        <w:t xml:space="preserve"> Predict and on test set</w:t>
        <w:br w:type="textWrapping"/>
        <w:t xml:space="preserve"> Compute RMSE and</w:t>
      </w:r>
    </w:p>
    <w:p w:rsidR="00000000" w:rsidDel="00000000" w:rsidP="00000000" w:rsidRDefault="00000000" w:rsidRPr="00000000" w14:paraId="0000003D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Long-horizon inference:</w:t>
        <w:br w:type="textWrapping"/>
        <w:t xml:space="preserve"> FOR up to 10 years:</w:t>
        <w:br w:type="textWrapping"/>
        <w:t xml:space="preserve">  Predict over depth</w:t>
        <w:br w:type="textWrapping"/>
        <w:t xml:space="preserve">  Compute volume-averaged property</w:t>
      </w:r>
    </w:p>
    <w:p w:rsidR="00000000" w:rsidDel="00000000" w:rsidP="00000000" w:rsidRDefault="00000000" w:rsidRPr="00000000" w14:paraId="0000003E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PDE residual analysis:</w:t>
        <w:br w:type="textWrapping"/>
        <w:t xml:space="preserve"> Generate grid</w:t>
        <w:br w:type="textWrapping"/>
        <w:t xml:space="preserve"> Compute residual magnitude</w:t>
      </w:r>
    </w:p>
    <w:p w:rsidR="00000000" w:rsidDel="00000000" w:rsidP="00000000" w:rsidRDefault="00000000" w:rsidRPr="00000000" w14:paraId="0000003F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Generate figures:</w:t>
        <w:br w:type="textWrapping"/>
        <w:t xml:space="preserve"> Training loss history</w:t>
        <w:br w:type="textWrapping"/>
        <w:t xml:space="preserve"> Short-term fit and parity plots</w:t>
        <w:br w:type="textWrapping"/>
        <w:t xml:space="preserve"> Error distributions</w:t>
        <w:br w:type="textWrapping"/>
        <w:t xml:space="preserve"> Learned Arrhenius curve</w:t>
        <w:br w:type="textWrapping"/>
        <w:t xml:space="preserve"> Depth-resolved concentration profiles</w:t>
        <w:br w:type="textWrapping"/>
        <w:t xml:space="preserve"> PDE residual heatmap</w:t>
        <w:br w:type="textWrapping"/>
        <w:t xml:space="preserve"> Long-horizon degradation curves</w:t>
        <w:br w:type="textWrapping"/>
        <w:t xml:space="preserve"> Parameter comparison</w:t>
      </w:r>
    </w:p>
    <w:p w:rsidR="00000000" w:rsidDel="00000000" w:rsidP="00000000" w:rsidRDefault="00000000" w:rsidRPr="00000000" w14:paraId="00000040">
      <w:pPr>
        <w:spacing w:after="280" w:before="28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Store all outputs in results/.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rd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ardo-regular.ttf"/><Relationship Id="rId2" Type="http://schemas.openxmlformats.org/officeDocument/2006/relationships/font" Target="fonts/Cardo-bold.ttf"/><Relationship Id="rId3" Type="http://schemas.openxmlformats.org/officeDocument/2006/relationships/font" Target="fonts/Cardo-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