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48" w:rsidRDefault="00CC3148"/>
    <w:p w:rsidR="00C22038" w:rsidRDefault="00C22038"/>
    <w:p w:rsidR="00C22038" w:rsidRDefault="00C22038"/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3410E">
        <w:rPr>
          <w:rFonts w:asciiTheme="majorBidi" w:hAnsiTheme="majorBidi" w:cstheme="majorBidi"/>
          <w:b/>
          <w:bCs/>
          <w:sz w:val="24"/>
          <w:szCs w:val="24"/>
        </w:rPr>
        <w:t>Supplemental Material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13410E">
        <w:rPr>
          <w:rFonts w:asciiTheme="majorBidi" w:hAnsiTheme="majorBidi" w:cstheme="majorBidi"/>
          <w:sz w:val="24"/>
          <w:szCs w:val="24"/>
        </w:rPr>
        <w:t>Supplementary Table S1.</w:t>
      </w:r>
      <w:proofErr w:type="gramEnd"/>
      <w:r w:rsidRPr="0013410E">
        <w:rPr>
          <w:rFonts w:asciiTheme="majorBidi" w:hAnsiTheme="majorBidi" w:cstheme="majorBidi"/>
          <w:sz w:val="24"/>
          <w:szCs w:val="24"/>
        </w:rPr>
        <w:t xml:space="preserve"> List of REITs Targeted by This Study</w:t>
      </w:r>
    </w:p>
    <w:tbl>
      <w:tblPr>
        <w:tblW w:w="8080" w:type="dxa"/>
        <w:tblInd w:w="99" w:type="dxa"/>
        <w:tblLayout w:type="fixed"/>
        <w:tblLook w:val="0400" w:firstRow="0" w:lastRow="0" w:firstColumn="0" w:lastColumn="0" w:noHBand="0" w:noVBand="1"/>
      </w:tblPr>
      <w:tblGrid>
        <w:gridCol w:w="552"/>
        <w:gridCol w:w="5500"/>
        <w:gridCol w:w="2028"/>
      </w:tblGrid>
      <w:tr w:rsidR="00C22038" w:rsidRPr="0013410E" w:rsidTr="00285370">
        <w:trPr>
          <w:trHeight w:val="330"/>
        </w:trPr>
        <w:tc>
          <w:tcPr>
            <w:tcW w:w="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No.</w:t>
            </w:r>
          </w:p>
        </w:tc>
        <w:tc>
          <w:tcPr>
            <w:tcW w:w="5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Name of J-REIT</w:t>
            </w:r>
          </w:p>
        </w:tc>
        <w:tc>
          <w:tcPr>
            <w:tcW w:w="20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Property Type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Nippon Building Fund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Office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Japan Real Estate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Office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Japan Metropolitan Fund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77"/>
                <w:id w:val="7258434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ORIX JREIT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79"/>
                <w:id w:val="7258435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Japan Prime Realty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81"/>
                <w:id w:val="7258436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6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NTT UD REIT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83"/>
                <w:id w:val="7258437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7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United Urban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85"/>
                <w:id w:val="7258438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8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Frontier Real Estate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Retail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9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HEIWA REAL ESTATE REIT,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87"/>
                <w:id w:val="7258439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Japan Logistics Fund,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Logistics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Fukuoka REIT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89"/>
                <w:id w:val="7258440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Invincible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Hotel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13410E">
              <w:rPr>
                <w:rFonts w:ascii="Times New Roman" w:eastAsia="Times New Roman" w:hAnsi="Times New Roman" w:cs="Times New Roman"/>
                <w:lang w:val="en-GB"/>
              </w:rPr>
              <w:t>Ichigo</w:t>
            </w:r>
            <w:proofErr w:type="spellEnd"/>
            <w:r w:rsidRPr="0013410E">
              <w:rPr>
                <w:rFonts w:ascii="Times New Roman" w:eastAsia="Times New Roman" w:hAnsi="Times New Roman" w:cs="Times New Roman"/>
                <w:lang w:val="en-GB"/>
              </w:rPr>
              <w:t xml:space="preserve"> Office REIT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Office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14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 xml:space="preserve">Hankyu Hanshin REIT, Inc.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91"/>
                <w:id w:val="7258441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Daiwa House REIT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93"/>
                <w:id w:val="7258442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16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Japan Hotel REIT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Hotel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17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Daiwa Securities Living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95"/>
                <w:id w:val="7258443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18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Advance Residence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Residential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19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GLP J-REIT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Logistics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Daiwa Office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Office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Japan Excellent,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Office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Nippon Accommodations Fund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Residential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Comforia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 xml:space="preserve"> Residential REIT</w:t>
            </w:r>
            <w:r w:rsidRPr="0013410E">
              <w:rPr>
                <w:rFonts w:ascii="Times New Roman" w:eastAsia="Times New Roman" w:hAnsi="Times New Roman" w:cs="Times New Roman"/>
                <w:lang w:val="en-GB"/>
              </w:rPr>
              <w:t>,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Residential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24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Industrial &amp; Infrastructure Fund Investment Corporation.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197"/>
                <w:id w:val="7258444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13410E">
              <w:rPr>
                <w:rFonts w:ascii="Times New Roman" w:eastAsia="Times New Roman" w:hAnsi="Times New Roman" w:cs="Times New Roman"/>
                <w:lang w:val="en-GB"/>
              </w:rPr>
              <w:t>Activia</w:t>
            </w:r>
            <w:proofErr w:type="spellEnd"/>
            <w:r w:rsidRPr="0013410E">
              <w:rPr>
                <w:rFonts w:ascii="Times New Roman" w:eastAsia="Times New Roman" w:hAnsi="Times New Roman" w:cs="Times New Roman"/>
                <w:lang w:val="en-GB"/>
              </w:rPr>
              <w:t xml:space="preserve"> Properties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200"/>
                <w:id w:val="7258445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26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AEON REIT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Retail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27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 xml:space="preserve">Nippon </w:t>
            </w:r>
            <w:proofErr w:type="spellStart"/>
            <w:r w:rsidRPr="0013410E">
              <w:rPr>
                <w:rFonts w:ascii="Times New Roman" w:eastAsia="Times New Roman" w:hAnsi="Times New Roman" w:cs="Times New Roman"/>
                <w:lang w:val="en-GB"/>
              </w:rPr>
              <w:t>Prologis</w:t>
            </w:r>
            <w:proofErr w:type="spellEnd"/>
            <w:r w:rsidRPr="0013410E">
              <w:rPr>
                <w:rFonts w:ascii="Times New Roman" w:eastAsia="Times New Roman" w:hAnsi="Times New Roman" w:cs="Times New Roman"/>
                <w:lang w:val="en-GB"/>
              </w:rPr>
              <w:t xml:space="preserve"> REIT,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Logistics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28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Starts Proceed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Residential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29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Hoshino Resorts REIT,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Hotel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30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 xml:space="preserve">MORI TRUST REIT, Inc.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202"/>
                <w:id w:val="7258446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31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TOKYU REIT, Inc.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204"/>
                <w:id w:val="7258447"/>
              </w:sdtPr>
              <w:sdtContent>
                <w:r w:rsidRPr="0013410E">
                  <w:rPr>
                    <w:rFonts w:ascii="Times New Roman" w:eastAsia="Times New Roman" w:hAnsi="Times New Roman" w:cs="Times New Roman"/>
                    <w:lang w:val="en-GB"/>
                  </w:rPr>
                  <w:t>Diversified</w:t>
                </w:r>
              </w:sdtContent>
            </w:sdt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32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Global One Real Estate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Office</w:t>
            </w:r>
          </w:p>
        </w:tc>
      </w:tr>
      <w:tr w:rsidR="00C22038" w:rsidRPr="0013410E" w:rsidTr="00285370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33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Mori Hills REIT Investment Corporation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Office</w:t>
            </w:r>
          </w:p>
        </w:tc>
      </w:tr>
    </w:tbl>
    <w:p w:rsidR="00C22038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13410E">
        <w:rPr>
          <w:rFonts w:asciiTheme="majorBidi" w:hAnsiTheme="majorBidi" w:cstheme="majorBidi"/>
          <w:i/>
          <w:iCs/>
          <w:sz w:val="24"/>
          <w:szCs w:val="24"/>
          <w:lang w:val="en-US"/>
        </w:rPr>
        <w:t>This table lists the 33 J-REITs in the sample, including name and primary property type.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E2527">
        <w:rPr>
          <w:rFonts w:asciiTheme="majorBidi" w:hAnsiTheme="majorBidi" w:cstheme="majorBidi"/>
          <w:sz w:val="24"/>
          <w:szCs w:val="24"/>
          <w:lang w:val="en-US"/>
        </w:rPr>
        <w:t>Source: Authors' own creation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13410E">
        <w:rPr>
          <w:rFonts w:asciiTheme="majorBidi" w:hAnsiTheme="majorBidi" w:cstheme="majorBidi"/>
          <w:i/>
          <w:iCs/>
          <w:sz w:val="24"/>
          <w:szCs w:val="24"/>
        </w:rPr>
        <w:t>Supplementary Table S</w:t>
      </w:r>
      <w:r w:rsidRPr="0013410E">
        <w:rPr>
          <w:rFonts w:asciiTheme="majorBidi" w:hAnsiTheme="majorBidi" w:cstheme="majorBidi" w:hint="eastAsia"/>
          <w:i/>
          <w:iCs/>
          <w:sz w:val="24"/>
          <w:szCs w:val="24"/>
        </w:rPr>
        <w:t>2</w:t>
      </w:r>
      <w:r w:rsidRPr="0013410E">
        <w:rPr>
          <w:rFonts w:asciiTheme="majorBidi" w:hAnsiTheme="majorBidi" w:cstheme="majorBidi"/>
          <w:i/>
          <w:iCs/>
          <w:sz w:val="24"/>
          <w:szCs w:val="24"/>
        </w:rPr>
        <w:t>.</w:t>
      </w:r>
      <w:proofErr w:type="gram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 Basic Statistics of Variables</w:t>
      </w:r>
    </w:p>
    <w:tbl>
      <w:tblPr>
        <w:tblW w:w="8440" w:type="dxa"/>
        <w:tblInd w:w="98" w:type="dxa"/>
        <w:tblLook w:val="04A0" w:firstRow="1" w:lastRow="0" w:firstColumn="1" w:lastColumn="0" w:noHBand="0" w:noVBand="1"/>
      </w:tblPr>
      <w:tblGrid>
        <w:gridCol w:w="511"/>
        <w:gridCol w:w="3059"/>
        <w:gridCol w:w="1218"/>
        <w:gridCol w:w="1217"/>
        <w:gridCol w:w="1217"/>
        <w:gridCol w:w="1218"/>
      </w:tblGrid>
      <w:tr w:rsidR="00C22038" w:rsidRPr="0013410E" w:rsidTr="00285370">
        <w:trPr>
          <w:trHeight w:val="540"/>
        </w:trPr>
        <w:tc>
          <w:tcPr>
            <w:tcW w:w="5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No.</w:t>
            </w:r>
          </w:p>
        </w:tc>
        <w:tc>
          <w:tcPr>
            <w:tcW w:w="30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Variable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Minimum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Max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Mean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Standard</w:t>
            </w: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br/>
              <w:t>Deviation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</w:t>
            </w:r>
          </w:p>
        </w:tc>
        <w:tc>
          <w:tcPr>
            <w:tcW w:w="30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Foreign Ownership Ratio (%)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3.80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48.63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20.33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8.35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Market Cap (LN, million JPY)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9.70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13.96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12.38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0.72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ROA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-1.18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9.35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2.99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0.76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4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Gearing Ratio (%)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30.77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149.13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97.67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15.26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Nikkei Stock Average (JPY)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15162.10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33464.17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23153.95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5141.70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6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 xml:space="preserve">Japan’s Interest Rate (%)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-0.08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-0.03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0.04</w:t>
            </w:r>
          </w:p>
        </w:tc>
      </w:tr>
      <w:tr w:rsidR="00C22038" w:rsidRPr="0013410E" w:rsidTr="00285370">
        <w:trPr>
          <w:trHeight w:val="540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Bank of Japan's J-REIT purchase volume (100 million JPY)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790.00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269.45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213.50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8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Global REITs Index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1609.95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2363.86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1972.38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172.76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Tokyo Stock Exchange REIT Index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1598.27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2150.73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1846.23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148.05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Foreign Exchange Rate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101.36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144.99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117.07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12.46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Foreign Co.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0.37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Real Estate Co.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1.00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0.58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0.49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Keiretsu Co.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0.00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1.00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0.36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0.48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14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Office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0.41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Residential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0.33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16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Retail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0.24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Hotel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0.29</w:t>
            </w:r>
          </w:p>
        </w:tc>
      </w:tr>
      <w:tr w:rsidR="00C22038" w:rsidRPr="0013410E" w:rsidTr="00285370">
        <w:trPr>
          <w:trHeight w:val="276"/>
        </w:trPr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18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Logistics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1.00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2038" w:rsidRPr="0013410E" w:rsidRDefault="00C22038" w:rsidP="0028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</w:pPr>
            <w:r w:rsidRPr="001341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he-IL"/>
              </w:rPr>
              <w:t>0.29</w:t>
            </w:r>
          </w:p>
        </w:tc>
      </w:tr>
    </w:tbl>
    <w:p w:rsidR="00C22038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3410E">
        <w:rPr>
          <w:rFonts w:asciiTheme="majorBidi" w:hAnsiTheme="majorBidi" w:cstheme="majorBidi"/>
          <w:sz w:val="24"/>
          <w:szCs w:val="24"/>
        </w:rPr>
        <w:t>Note: N = 660 semi-annual firm-period observations (33 J-REITs, 2014–2023).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E2527">
        <w:rPr>
          <w:rFonts w:asciiTheme="majorBidi" w:hAnsiTheme="majorBidi" w:cstheme="majorBidi"/>
          <w:sz w:val="24"/>
          <w:szCs w:val="24"/>
        </w:rPr>
        <w:t>Source: Authors' own work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3410E">
        <w:rPr>
          <w:rFonts w:asciiTheme="majorBidi" w:hAnsiTheme="majorBidi" w:cstheme="majorBidi"/>
          <w:i/>
          <w:iCs/>
          <w:sz w:val="24"/>
          <w:szCs w:val="24"/>
        </w:rPr>
        <w:t>This table reports descriptive statistics (minimum, maximum, mean, and standard deviation for continuous variables, and proportions for dummy variables) across 660 semi-annual firm–period observations.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13410E">
        <w:rPr>
          <w:rFonts w:asciiTheme="majorBidi" w:hAnsiTheme="majorBidi" w:cstheme="majorBidi"/>
          <w:i/>
          <w:iCs/>
          <w:sz w:val="24"/>
          <w:szCs w:val="24"/>
        </w:rPr>
        <w:lastRenderedPageBreak/>
        <w:t>Supplementary Table S</w:t>
      </w:r>
      <w:r w:rsidRPr="0013410E">
        <w:rPr>
          <w:rFonts w:asciiTheme="majorBidi" w:hAnsiTheme="majorBidi" w:cstheme="majorBidi" w:hint="eastAsia"/>
          <w:i/>
          <w:iCs/>
          <w:sz w:val="24"/>
          <w:szCs w:val="24"/>
        </w:rPr>
        <w:t>3</w:t>
      </w:r>
      <w:r w:rsidRPr="0013410E">
        <w:rPr>
          <w:rFonts w:asciiTheme="majorBidi" w:hAnsiTheme="majorBidi" w:cstheme="majorBidi"/>
          <w:i/>
          <w:iCs/>
          <w:sz w:val="24"/>
          <w:szCs w:val="24"/>
        </w:rPr>
        <w:t>.</w:t>
      </w:r>
      <w:proofErr w:type="gram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 VIFs of Variables</w:t>
      </w:r>
    </w:p>
    <w:tbl>
      <w:tblPr>
        <w:tblW w:w="4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1060"/>
      </w:tblGrid>
      <w:tr w:rsidR="00C22038" w:rsidRPr="0013410E" w:rsidTr="00285370">
        <w:trPr>
          <w:trHeight w:val="450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Market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1.451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ROA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1.111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Gearing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1.931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Nikkei Stock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2.819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Japan’s Interest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1.730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Bank of Japan's J-REIT purchase volume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2.260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Global REITs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3.044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Tokyo Stock Exchange REIT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3.503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Foreign Exchange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1.966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Foreign Co.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2.410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Real Estate Co.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1.835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Keiretsu Co.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1.739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1.253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Residential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1.293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Retail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1.331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2.941</w:t>
            </w:r>
          </w:p>
        </w:tc>
      </w:tr>
      <w:tr w:rsidR="00C22038" w:rsidRPr="0013410E" w:rsidTr="0028537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Logistics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22038" w:rsidRPr="0013410E" w:rsidRDefault="00C22038" w:rsidP="0028537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410E">
              <w:rPr>
                <w:rFonts w:ascii="Times New Roman" w:hAnsi="Times New Roman" w:cs="Times New Roman"/>
                <w:sz w:val="20"/>
                <w:szCs w:val="20"/>
              </w:rPr>
              <w:t>2.110</w:t>
            </w:r>
          </w:p>
        </w:tc>
      </w:tr>
    </w:tbl>
    <w:p w:rsidR="00C22038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3410E">
        <w:rPr>
          <w:rFonts w:asciiTheme="majorBidi" w:hAnsiTheme="majorBidi" w:cstheme="majorBidi"/>
          <w:noProof/>
          <w:sz w:val="24"/>
          <w:szCs w:val="24"/>
          <w:lang w:val="en-US" w:bidi="he-IL"/>
        </w:rPr>
        <w:t xml:space="preserve"> </w:t>
      </w:r>
      <w:r w:rsidRPr="0013410E">
        <w:rPr>
          <w:rFonts w:asciiTheme="majorBidi" w:hAnsiTheme="majorBidi" w:cstheme="majorBidi"/>
          <w:sz w:val="24"/>
          <w:szCs w:val="24"/>
        </w:rPr>
        <w:t xml:space="preserve"> 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E2527">
        <w:rPr>
          <w:rFonts w:asciiTheme="majorBidi" w:hAnsiTheme="majorBidi" w:cstheme="majorBidi"/>
          <w:sz w:val="24"/>
          <w:szCs w:val="24"/>
        </w:rPr>
        <w:t>Source: Authors' own work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This table reports </w:t>
      </w:r>
      <w:proofErr w:type="spellStart"/>
      <w:r w:rsidRPr="0013410E">
        <w:rPr>
          <w:rFonts w:asciiTheme="majorBidi" w:hAnsiTheme="majorBidi" w:cstheme="majorBidi"/>
          <w:i/>
          <w:iCs/>
          <w:sz w:val="24"/>
          <w:szCs w:val="24"/>
        </w:rPr>
        <w:t>multicollinearity</w:t>
      </w:r>
      <w:proofErr w:type="spell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 diagnostics for all explanatory variables. All VIF values were well below the conventional threshold of 10, indicating no </w:t>
      </w:r>
      <w:proofErr w:type="spellStart"/>
      <w:r w:rsidRPr="0013410E">
        <w:rPr>
          <w:rFonts w:asciiTheme="majorBidi" w:hAnsiTheme="majorBidi" w:cstheme="majorBidi"/>
          <w:i/>
          <w:iCs/>
          <w:sz w:val="24"/>
          <w:szCs w:val="24"/>
        </w:rPr>
        <w:t>multicollinearity</w:t>
      </w:r>
      <w:proofErr w:type="spell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 concerns.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13410E">
        <w:rPr>
          <w:rFonts w:asciiTheme="majorBidi" w:hAnsiTheme="majorBidi" w:cstheme="majorBidi"/>
          <w:i/>
          <w:iCs/>
          <w:sz w:val="24"/>
          <w:szCs w:val="24"/>
        </w:rPr>
        <w:t>Supplementary Table S</w:t>
      </w:r>
      <w:r w:rsidRPr="0013410E">
        <w:rPr>
          <w:rFonts w:asciiTheme="majorBidi" w:hAnsiTheme="majorBidi" w:cstheme="majorBidi" w:hint="eastAsia"/>
          <w:i/>
          <w:iCs/>
          <w:sz w:val="24"/>
          <w:szCs w:val="24"/>
        </w:rPr>
        <w:t>4</w:t>
      </w:r>
      <w:r w:rsidRPr="0013410E">
        <w:rPr>
          <w:rFonts w:asciiTheme="majorBidi" w:hAnsiTheme="majorBidi" w:cstheme="majorBidi"/>
          <w:i/>
          <w:iCs/>
          <w:sz w:val="24"/>
          <w:szCs w:val="24"/>
        </w:rPr>
        <w:t>.</w:t>
      </w:r>
      <w:proofErr w:type="gram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 T-test for Foreign Ownership Ratios Before and After Inclusion in the FTSE EPRA/NAREIT Global Index</w:t>
      </w:r>
    </w:p>
    <w:tbl>
      <w:tblPr>
        <w:tblW w:w="6740" w:type="dxa"/>
        <w:tblInd w:w="99" w:type="dxa"/>
        <w:tblLayout w:type="fixed"/>
        <w:tblLook w:val="0400" w:firstRow="0" w:lastRow="0" w:firstColumn="0" w:lastColumn="0" w:noHBand="0" w:noVBand="1"/>
      </w:tblPr>
      <w:tblGrid>
        <w:gridCol w:w="1996"/>
        <w:gridCol w:w="2348"/>
        <w:gridCol w:w="2396"/>
      </w:tblGrid>
      <w:tr w:rsidR="00C22038" w:rsidRPr="0013410E" w:rsidTr="00285370">
        <w:trPr>
          <w:trHeight w:val="645"/>
        </w:trPr>
        <w:tc>
          <w:tcPr>
            <w:tcW w:w="199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249"/>
                <w:id w:val="1132739"/>
              </w:sdtPr>
              <w:sdtContent>
                <w:r w:rsidRPr="0013410E">
                  <w:rPr>
                    <w:rFonts w:ascii="MS Mincho" w:eastAsia="MS Mincho" w:hAnsi="MS Mincho" w:cs="MS Mincho"/>
                    <w:lang w:val="en-GB"/>
                  </w:rPr>
                  <w:t xml:space="preserve">　</w:t>
                </w:r>
              </w:sdtContent>
            </w:sdt>
          </w:p>
        </w:tc>
        <w:tc>
          <w:tcPr>
            <w:tcW w:w="234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 xml:space="preserve">Change after </w:t>
            </w:r>
            <w:r w:rsidRPr="0013410E">
              <w:rPr>
                <w:rFonts w:ascii="Times New Roman" w:hAnsi="Times New Roman" w:cs="Times New Roman"/>
                <w:lang w:val="en-GB"/>
              </w:rPr>
              <w:t>inclusion in</w:t>
            </w:r>
            <w:r w:rsidRPr="0013410E">
              <w:rPr>
                <w:rFonts w:ascii="Times New Roman" w:eastAsia="Times New Roman" w:hAnsi="Times New Roman" w:cs="Times New Roman"/>
                <w:lang w:val="en-GB"/>
              </w:rPr>
              <w:t xml:space="preserve"> global index</w:t>
            </w:r>
          </w:p>
        </w:tc>
        <w:tc>
          <w:tcPr>
            <w:tcW w:w="239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The others</w:t>
            </w:r>
          </w:p>
        </w:tc>
      </w:tr>
      <w:tr w:rsidR="00C22038" w:rsidRPr="0013410E" w:rsidTr="00285370">
        <w:trPr>
          <w:trHeight w:val="375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Mean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4.074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0.025</w:t>
            </w:r>
          </w:p>
        </w:tc>
      </w:tr>
      <w:tr w:rsidR="00C22038" w:rsidRPr="0013410E" w:rsidTr="00285370">
        <w:trPr>
          <w:trHeight w:val="375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Variance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8.206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5.227</w:t>
            </w:r>
          </w:p>
        </w:tc>
      </w:tr>
      <w:tr w:rsidR="00C22038" w:rsidRPr="0013410E" w:rsidTr="00285370">
        <w:trPr>
          <w:trHeight w:val="375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Observations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614</w:t>
            </w:r>
          </w:p>
        </w:tc>
      </w:tr>
      <w:tr w:rsidR="00C22038" w:rsidRPr="0013410E" w:rsidTr="00285370">
        <w:trPr>
          <w:trHeight w:val="375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13410E">
              <w:rPr>
                <w:rFonts w:ascii="Times New Roman" w:eastAsia="Times New Roman" w:hAnsi="Times New Roman" w:cs="Times New Roman"/>
                <w:lang w:val="en-GB"/>
              </w:rPr>
              <w:t>df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250"/>
                <w:id w:val="1132740"/>
              </w:sdtPr>
              <w:sdtContent>
                <w:r w:rsidRPr="0013410E">
                  <w:rPr>
                    <w:rFonts w:ascii="MS Mincho" w:eastAsia="MS Mincho" w:hAnsi="MS Mincho" w:cs="MS Mincho"/>
                    <w:lang w:val="en-GB"/>
                  </w:rPr>
                  <w:t xml:space="preserve">　</w:t>
                </w:r>
              </w:sdtContent>
            </w:sdt>
          </w:p>
        </w:tc>
      </w:tr>
      <w:tr w:rsidR="00C22038" w:rsidRPr="0013410E" w:rsidTr="00285370">
        <w:trPr>
          <w:trHeight w:val="375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t Stat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-5.062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251"/>
                <w:id w:val="1132741"/>
              </w:sdtPr>
              <w:sdtContent>
                <w:r w:rsidRPr="0013410E">
                  <w:rPr>
                    <w:rFonts w:ascii="MS Mincho" w:eastAsia="MS Mincho" w:hAnsi="MS Mincho" w:cs="MS Mincho"/>
                    <w:lang w:val="en-GB"/>
                  </w:rPr>
                  <w:t xml:space="preserve">　</w:t>
                </w:r>
              </w:sdtContent>
            </w:sdt>
          </w:p>
        </w:tc>
      </w:tr>
      <w:tr w:rsidR="00C22038" w:rsidRPr="0013410E" w:rsidTr="00285370">
        <w:trPr>
          <w:trHeight w:val="375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P(T&lt;=t) two-tail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252"/>
                <w:id w:val="1132742"/>
              </w:sdtPr>
              <w:sdtContent>
                <w:r w:rsidRPr="0013410E">
                  <w:rPr>
                    <w:rFonts w:ascii="MS Mincho" w:eastAsia="MS Mincho" w:hAnsi="MS Mincho" w:cs="MS Mincho"/>
                    <w:lang w:val="en-GB"/>
                  </w:rPr>
                  <w:t xml:space="preserve">　</w:t>
                </w:r>
              </w:sdtContent>
            </w:sdt>
          </w:p>
        </w:tc>
      </w:tr>
      <w:tr w:rsidR="00C22038" w:rsidRPr="0013410E" w:rsidTr="00285370">
        <w:trPr>
          <w:trHeight w:val="375"/>
        </w:trPr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t Critical two-tail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13410E">
              <w:rPr>
                <w:rFonts w:ascii="Times New Roman" w:eastAsia="Times New Roman" w:hAnsi="Times New Roman" w:cs="Times New Roman"/>
                <w:lang w:val="en-GB"/>
              </w:rPr>
              <w:t>2.179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C22038" w:rsidRPr="0013410E" w:rsidRDefault="00C22038" w:rsidP="00285370">
            <w:pPr>
              <w:pStyle w:val="1"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sdt>
              <w:sdtPr>
                <w:rPr>
                  <w:lang w:val="en-GB"/>
                </w:rPr>
                <w:tag w:val="goog_rdk_253"/>
                <w:id w:val="1132743"/>
              </w:sdtPr>
              <w:sdtContent>
                <w:r w:rsidRPr="0013410E">
                  <w:rPr>
                    <w:rFonts w:ascii="MS Mincho" w:eastAsia="MS Mincho" w:hAnsi="MS Mincho" w:cs="MS Mincho"/>
                    <w:lang w:val="en-GB"/>
                  </w:rPr>
                  <w:t xml:space="preserve">　</w:t>
                </w:r>
              </w:sdtContent>
            </w:sdt>
          </w:p>
        </w:tc>
      </w:tr>
    </w:tbl>
    <w:p w:rsidR="00C22038" w:rsidRDefault="00C22038" w:rsidP="00C22038">
      <w:pPr>
        <w:spacing w:line="360" w:lineRule="auto"/>
        <w:rPr>
          <w:rFonts w:asciiTheme="majorBidi" w:cstheme="majorBidi"/>
          <w:i/>
          <w:iCs/>
          <w:sz w:val="24"/>
          <w:szCs w:val="24"/>
        </w:rPr>
      </w:pPr>
    </w:p>
    <w:p w:rsidR="00C22038" w:rsidRDefault="00C22038" w:rsidP="00C22038">
      <w:pPr>
        <w:spacing w:line="360" w:lineRule="auto"/>
        <w:rPr>
          <w:rFonts w:asciiTheme="majorBidi" w:cstheme="majorBidi"/>
          <w:i/>
          <w:iCs/>
          <w:sz w:val="24"/>
          <w:szCs w:val="24"/>
        </w:rPr>
      </w:pPr>
      <w:bookmarkStart w:id="0" w:name="_Hlk210855869"/>
      <w:r w:rsidRPr="001E2527">
        <w:rPr>
          <w:rFonts w:asciiTheme="majorBidi" w:cstheme="majorBidi"/>
          <w:i/>
          <w:iCs/>
          <w:sz w:val="24"/>
          <w:szCs w:val="24"/>
        </w:rPr>
        <w:t>Source: Authors' own work</w:t>
      </w:r>
    </w:p>
    <w:bookmarkEnd w:id="0"/>
    <w:p w:rsidR="00C22038" w:rsidRPr="0013410E" w:rsidRDefault="00C22038" w:rsidP="00C22038">
      <w:pPr>
        <w:spacing w:line="360" w:lineRule="auto"/>
        <w:rPr>
          <w:rFonts w:asciiTheme="majorBidi" w:cstheme="majorBidi"/>
          <w:i/>
          <w:iCs/>
          <w:sz w:val="24"/>
          <w:szCs w:val="24"/>
        </w:rPr>
      </w:pPr>
      <w:r w:rsidRPr="0013410E">
        <w:rPr>
          <w:rFonts w:asciiTheme="majorBidi" w:cstheme="majorBidi"/>
          <w:i/>
          <w:iCs/>
          <w:sz w:val="24"/>
          <w:szCs w:val="24"/>
        </w:rPr>
        <w:t>This table shows the results of the t-test comparing changes in foreign ownership ratios during inclusion events versus other periods, confirming a statistically significant positive effect at the 1% level.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>
        <w:rPr>
          <w:rFonts w:asciiTheme="majorBidi" w:hAnsiTheme="majorBidi" w:cstheme="majorBidi"/>
          <w:i/>
          <w:iCs/>
          <w:sz w:val="24"/>
          <w:szCs w:val="24"/>
        </w:rPr>
        <w:t>Supplementary Figure S1.</w:t>
      </w:r>
      <w:proofErr w:type="gram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 Investment Corporation (</w:t>
      </w:r>
      <w:proofErr w:type="spellStart"/>
      <w:r w:rsidRPr="0013410E">
        <w:rPr>
          <w:rFonts w:asciiTheme="majorBidi" w:hAnsiTheme="majorBidi" w:cstheme="majorBidi"/>
          <w:i/>
          <w:iCs/>
          <w:sz w:val="24"/>
          <w:szCs w:val="24"/>
        </w:rPr>
        <w:t>Toshi-Hojin</w:t>
      </w:r>
      <w:proofErr w:type="spellEnd"/>
      <w:r w:rsidRPr="0013410E">
        <w:rPr>
          <w:rFonts w:asciiTheme="majorBidi" w:hAnsiTheme="majorBidi" w:cstheme="majorBidi"/>
          <w:i/>
          <w:iCs/>
          <w:sz w:val="24"/>
          <w:szCs w:val="24"/>
        </w:rPr>
        <w:t>) Structure</w:t>
      </w:r>
    </w:p>
    <w:p w:rsidR="00C22038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 wp14:anchorId="3B48DDC6" wp14:editId="7570BF8E">
            <wp:extent cx="5940425" cy="1876072"/>
            <wp:effectExtent l="0" t="0" r="0" b="0"/>
            <wp:docPr id="473562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190" cy="189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E2527">
        <w:rPr>
          <w:rFonts w:asciiTheme="majorBidi" w:hAnsiTheme="majorBidi" w:cstheme="majorBidi"/>
          <w:sz w:val="24"/>
          <w:szCs w:val="24"/>
        </w:rPr>
        <w:t xml:space="preserve">Source: Figure </w:t>
      </w:r>
      <w:r>
        <w:rPr>
          <w:rFonts w:asciiTheme="majorBidi" w:hAnsiTheme="majorBidi" w:cstheme="majorBidi"/>
          <w:sz w:val="24"/>
          <w:szCs w:val="24"/>
        </w:rPr>
        <w:t xml:space="preserve">author’s illustration based on the J-REITs structure diagram published by </w:t>
      </w:r>
      <w:r w:rsidRPr="0013410E">
        <w:rPr>
          <w:rFonts w:asciiTheme="majorBidi" w:hAnsiTheme="majorBidi" w:cstheme="majorBidi"/>
          <w:sz w:val="24"/>
          <w:szCs w:val="24"/>
        </w:rPr>
        <w:t>The Association for Real Estate Securitization</w:t>
      </w:r>
      <w:r>
        <w:rPr>
          <w:rFonts w:asciiTheme="majorBidi" w:hAnsiTheme="majorBidi" w:cstheme="majorBidi"/>
          <w:sz w:val="24"/>
          <w:szCs w:val="24"/>
        </w:rPr>
        <w:t xml:space="preserve"> (ARES), 2025</w:t>
      </w:r>
      <w:r w:rsidRPr="0013410E">
        <w:rPr>
          <w:rFonts w:asciiTheme="majorBidi" w:hAnsiTheme="majorBidi" w:cstheme="majorBidi"/>
          <w:sz w:val="24"/>
          <w:szCs w:val="24"/>
        </w:rPr>
        <w:t xml:space="preserve"> 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3410E">
        <w:rPr>
          <w:rFonts w:asciiTheme="majorBidi" w:hAnsiTheme="majorBidi" w:cstheme="majorBidi"/>
          <w:i/>
          <w:iCs/>
          <w:sz w:val="24"/>
          <w:szCs w:val="24"/>
        </w:rPr>
        <w:t>This figure illustrates the basic structure of a Japanese Real Estate Investment Trust (J-REIT), which is organized as an investment corporation (</w:t>
      </w:r>
      <w:proofErr w:type="spellStart"/>
      <w:r w:rsidRPr="0013410E">
        <w:rPr>
          <w:rFonts w:asciiTheme="majorBidi" w:hAnsiTheme="majorBidi" w:cstheme="majorBidi"/>
          <w:i/>
          <w:iCs/>
          <w:sz w:val="24"/>
          <w:szCs w:val="24"/>
        </w:rPr>
        <w:t>Toshi-Hojin</w:t>
      </w:r>
      <w:proofErr w:type="spell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). It shows the relationships between the </w:t>
      </w:r>
      <w:proofErr w:type="gramStart"/>
      <w:r w:rsidRPr="0013410E">
        <w:rPr>
          <w:rFonts w:asciiTheme="majorBidi" w:hAnsiTheme="majorBidi" w:cstheme="majorBidi"/>
          <w:i/>
          <w:iCs/>
          <w:sz w:val="24"/>
          <w:szCs w:val="24"/>
        </w:rPr>
        <w:t>investment corporation</w:t>
      </w:r>
      <w:proofErr w:type="gram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, asset management company, custodians, and </w:t>
      </w:r>
      <w:proofErr w:type="spellStart"/>
      <w:r w:rsidRPr="0013410E">
        <w:rPr>
          <w:rFonts w:asciiTheme="majorBidi" w:hAnsiTheme="majorBidi" w:cstheme="majorBidi"/>
          <w:i/>
          <w:iCs/>
          <w:sz w:val="24"/>
          <w:szCs w:val="24"/>
        </w:rPr>
        <w:t>unitholders</w:t>
      </w:r>
      <w:proofErr w:type="spellEnd"/>
      <w:r w:rsidRPr="0013410E">
        <w:rPr>
          <w:rFonts w:asciiTheme="majorBidi" w:hAnsiTheme="majorBidi" w:cstheme="majorBidi"/>
          <w:i/>
          <w:iCs/>
          <w:sz w:val="24"/>
          <w:szCs w:val="24"/>
        </w:rPr>
        <w:t>, as regulated under the Investment Trust Law.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13410E">
        <w:rPr>
          <w:rFonts w:asciiTheme="majorBidi" w:hAnsiTheme="majorBidi" w:cstheme="majorBidi"/>
          <w:i/>
          <w:iCs/>
          <w:sz w:val="24"/>
          <w:szCs w:val="24"/>
        </w:rPr>
        <w:t>Supplementary Figure S2.</w:t>
      </w:r>
      <w:proofErr w:type="gram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 Semi-annual trend in the Foreign Ownership Ratio of J-REITs (2014-2023)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3410E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171A77F" wp14:editId="00335ED3">
            <wp:extent cx="5815895" cy="3430656"/>
            <wp:effectExtent l="0" t="0" r="0" b="0"/>
            <wp:docPr id="29" name="image10.png" descr="グラフ, 折れ線グラフ&#10;&#10;AI によって生成されたコンテンツは間違っている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グラフ, 折れ線グラフ&#10;&#10;AI によって生成されたコンテンツは間違っている可能性があります。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5895" cy="3430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2038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E2527">
        <w:rPr>
          <w:rFonts w:asciiTheme="majorBidi" w:hAnsiTheme="majorBidi" w:cstheme="majorBidi"/>
          <w:i/>
          <w:iCs/>
          <w:sz w:val="24"/>
          <w:szCs w:val="24"/>
        </w:rPr>
        <w:t>Source: Authors' own work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3410E">
        <w:rPr>
          <w:rFonts w:asciiTheme="majorBidi" w:hAnsiTheme="majorBidi" w:cstheme="majorBidi"/>
          <w:i/>
          <w:iCs/>
          <w:sz w:val="24"/>
          <w:szCs w:val="24"/>
        </w:rPr>
        <w:t>This figure presents the aggregated foreign ownership ratio across 33 J-REITs over the study period. The average ratio fluctuates between 20% and 25%, with a modest upward trajectory. The narrowing gap between maximum and minimum values indicates reduced dispersion across firms.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13410E">
        <w:rPr>
          <w:rFonts w:asciiTheme="majorBidi" w:hAnsiTheme="majorBidi" w:cstheme="majorBidi"/>
          <w:i/>
          <w:iCs/>
          <w:sz w:val="24"/>
          <w:szCs w:val="24"/>
        </w:rPr>
        <w:t>Supplementary Figure S3.</w:t>
      </w:r>
      <w:proofErr w:type="gram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 Trend in average market capitalization owned by foreign investors in J-REITs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3410E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DC97428" wp14:editId="447A0E04">
            <wp:extent cx="5789505" cy="3718263"/>
            <wp:effectExtent l="0" t="0" r="0" b="0"/>
            <wp:docPr id="30" name="image7.png" descr="グラフ, 折れ線グラフ&#10;&#10;AI によって生成されたコンテンツは間違っている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グラフ, 折れ線グラフ&#10;&#10;AI によって生成されたコンテンツは間違っている可能性があります。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9505" cy="3718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2038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E2527">
        <w:rPr>
          <w:rFonts w:asciiTheme="majorBidi" w:hAnsiTheme="majorBidi" w:cstheme="majorBidi"/>
          <w:i/>
          <w:iCs/>
          <w:sz w:val="24"/>
          <w:szCs w:val="24"/>
        </w:rPr>
        <w:t>Source: Authors' own work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3410E">
        <w:rPr>
          <w:rFonts w:asciiTheme="majorBidi" w:hAnsiTheme="majorBidi" w:cstheme="majorBidi"/>
          <w:i/>
          <w:iCs/>
          <w:sz w:val="24"/>
          <w:szCs w:val="24"/>
        </w:rPr>
        <w:t>This figure tracks the growth of market capitalization held by foreign investors relative to overall J-REIT market capitalization. Between 2014 and 2023, foreign-held capitalization increased 1.85 times, slightly outpacing total market growth of 1.76 times.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Supplementary Figure </w:t>
      </w:r>
      <w:proofErr w:type="gramStart"/>
      <w:r w:rsidRPr="0013410E">
        <w:rPr>
          <w:rFonts w:asciiTheme="majorBidi" w:hAnsiTheme="majorBidi" w:cstheme="majorBidi"/>
          <w:i/>
          <w:iCs/>
          <w:sz w:val="24"/>
          <w:szCs w:val="24"/>
        </w:rPr>
        <w:t>S4 .</w:t>
      </w:r>
      <w:proofErr w:type="gramEnd"/>
      <w:r w:rsidRPr="0013410E">
        <w:rPr>
          <w:rFonts w:asciiTheme="majorBidi" w:hAnsiTheme="majorBidi" w:cstheme="majorBidi"/>
          <w:i/>
          <w:iCs/>
          <w:sz w:val="24"/>
          <w:szCs w:val="24"/>
        </w:rPr>
        <w:t xml:space="preserve"> Trend in average market capitalization and number of foreign investors in J-REITs</w:t>
      </w:r>
    </w:p>
    <w:p w:rsidR="00C22038" w:rsidRPr="0013410E" w:rsidRDefault="00C22038" w:rsidP="00C2203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3410E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978779D" wp14:editId="3D917270">
            <wp:extent cx="5782245" cy="3527135"/>
            <wp:effectExtent l="0" t="0" r="0" b="0"/>
            <wp:docPr id="31" name="image1.png" descr="グラフ, 棒グラフ, ヒストグラム&#10;&#10;AI によって生成されたコンテンツは間違っている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グラフ, 棒グラフ, ヒストグラム&#10;&#10;AI によって生成されたコンテンツは間違っている可能性があります。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2245" cy="3527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2038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E2527">
        <w:rPr>
          <w:rFonts w:asciiTheme="majorBidi" w:hAnsiTheme="majorBidi" w:cstheme="majorBidi"/>
          <w:i/>
          <w:iCs/>
          <w:sz w:val="24"/>
          <w:szCs w:val="24"/>
        </w:rPr>
        <w:t>Source: Authors' own work</w:t>
      </w:r>
    </w:p>
    <w:p w:rsidR="00C22038" w:rsidRPr="006776F0" w:rsidRDefault="00C22038" w:rsidP="00C22038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3410E">
        <w:rPr>
          <w:rFonts w:asciiTheme="majorBidi" w:hAnsiTheme="majorBidi" w:cstheme="majorBidi"/>
          <w:i/>
          <w:iCs/>
          <w:sz w:val="24"/>
          <w:szCs w:val="24"/>
        </w:rPr>
        <w:t>This figure shows the combined growth in average market capitalization held by foreign investors and the number of foreign investors per J-REIT. The number of foreign investors nearly doubled during the study period, indicating broadening participation alongside rising market capitalization.</w:t>
      </w:r>
    </w:p>
    <w:p w:rsidR="00C22038" w:rsidRDefault="00C22038">
      <w:bookmarkStart w:id="1" w:name="_GoBack"/>
      <w:bookmarkEnd w:id="1"/>
    </w:p>
    <w:sectPr w:rsidR="00C22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38"/>
    <w:rsid w:val="00C22038"/>
    <w:rsid w:val="00CC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038"/>
    <w:rPr>
      <w:rFonts w:eastAsiaTheme="minorEastAsia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標準1"/>
    <w:rsid w:val="00C22038"/>
    <w:pPr>
      <w:spacing w:after="0"/>
      <w:jc w:val="both"/>
    </w:pPr>
    <w:rPr>
      <w:rFonts w:ascii="Palatino Linotype" w:eastAsiaTheme="minorEastAsia" w:hAnsi="Palatino Linotype" w:cs="Palatino Linotype"/>
      <w:sz w:val="20"/>
      <w:szCs w:val="20"/>
      <w:lang w:val="en-US" w:eastAsia="ja-JP" w:bidi="he-IL"/>
    </w:rPr>
  </w:style>
  <w:style w:type="paragraph" w:styleId="NoSpacing">
    <w:name w:val="No Spacing"/>
    <w:uiPriority w:val="1"/>
    <w:qFormat/>
    <w:rsid w:val="00C22038"/>
    <w:pPr>
      <w:spacing w:after="0" w:line="240" w:lineRule="auto"/>
    </w:pPr>
    <w:rPr>
      <w:rFonts w:eastAsiaTheme="minorEastAsia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038"/>
    <w:rPr>
      <w:rFonts w:ascii="Tahoma" w:eastAsiaTheme="minorEastAsia" w:hAnsi="Tahoma" w:cs="Tahoma"/>
      <w:sz w:val="16"/>
      <w:szCs w:val="16"/>
      <w:lang w:val="en-GB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038"/>
    <w:rPr>
      <w:rFonts w:eastAsiaTheme="minorEastAsia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標準1"/>
    <w:rsid w:val="00C22038"/>
    <w:pPr>
      <w:spacing w:after="0"/>
      <w:jc w:val="both"/>
    </w:pPr>
    <w:rPr>
      <w:rFonts w:ascii="Palatino Linotype" w:eastAsiaTheme="minorEastAsia" w:hAnsi="Palatino Linotype" w:cs="Palatino Linotype"/>
      <w:sz w:val="20"/>
      <w:szCs w:val="20"/>
      <w:lang w:val="en-US" w:eastAsia="ja-JP" w:bidi="he-IL"/>
    </w:rPr>
  </w:style>
  <w:style w:type="paragraph" w:styleId="NoSpacing">
    <w:name w:val="No Spacing"/>
    <w:uiPriority w:val="1"/>
    <w:qFormat/>
    <w:rsid w:val="00C22038"/>
    <w:pPr>
      <w:spacing w:after="0" w:line="240" w:lineRule="auto"/>
    </w:pPr>
    <w:rPr>
      <w:rFonts w:eastAsiaTheme="minorEastAsia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038"/>
    <w:rPr>
      <w:rFonts w:ascii="Tahoma" w:eastAsiaTheme="minorEastAsia" w:hAnsi="Tahoma" w:cs="Tahoma"/>
      <w:sz w:val="16"/>
      <w:szCs w:val="16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Suryalakshmi B</dc:creator>
  <cp:lastModifiedBy>Suryalakshmi B</cp:lastModifiedBy>
  <cp:revision>1</cp:revision>
  <dcterms:created xsi:type="dcterms:W3CDTF">2025-10-28T13:49:00Z</dcterms:created>
  <dcterms:modified xsi:type="dcterms:W3CDTF">2025-10-28T13:50:00Z</dcterms:modified>
</cp:coreProperties>
</file>