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7F4D8" w14:textId="71945AAC" w:rsidR="004B2A46" w:rsidRPr="004B2A46" w:rsidRDefault="004B2A46" w:rsidP="004B2A46">
      <w:pPr>
        <w:rPr>
          <w:rFonts w:ascii="Times New Roman" w:hAnsi="Times New Roman" w:cs="Times New Roman"/>
          <w:color w:val="000000" w:themeColor="text1"/>
          <w:lang w:val="en-US"/>
        </w:rPr>
      </w:pPr>
      <w:r w:rsidRPr="004B2A46">
        <w:rPr>
          <w:rFonts w:ascii="Times New Roman" w:hAnsi="Times New Roman" w:cs="Times New Roman"/>
          <w:b/>
          <w:color w:val="000000" w:themeColor="text1"/>
          <w:lang w:val="en-US"/>
        </w:rPr>
        <w:t>Supplementary Material</w:t>
      </w:r>
    </w:p>
    <w:p w14:paraId="2F8DEAF4" w14:textId="77777777" w:rsidR="005134C7" w:rsidRDefault="004B2A46" w:rsidP="004B2A46">
      <w:pPr>
        <w:rPr>
          <w:rFonts w:ascii="Times New Roman" w:hAnsi="Times New Roman" w:cs="Times New Roman"/>
          <w:color w:val="000000" w:themeColor="text1"/>
          <w:lang w:val="en-US"/>
        </w:rPr>
      </w:pPr>
      <w:r w:rsidRPr="004B2A46">
        <w:rPr>
          <w:rFonts w:ascii="Times New Roman" w:hAnsi="Times New Roman" w:cs="Times New Roman"/>
          <w:b/>
          <w:color w:val="000000" w:themeColor="text1"/>
          <w:lang w:val="en-US"/>
        </w:rPr>
        <w:t xml:space="preserve">Manuscript ID: </w:t>
      </w:r>
      <w:r w:rsidRPr="004B2A46">
        <w:rPr>
          <w:rFonts w:ascii="Times New Roman" w:hAnsi="Times New Roman" w:cs="Times New Roman"/>
          <w:color w:val="000000" w:themeColor="text1"/>
          <w:lang w:val="en-US"/>
        </w:rPr>
        <w:t>JPIF-05-2026-0092</w:t>
      </w:r>
      <w:r w:rsidR="005134C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B2A46">
        <w:rPr>
          <w:rFonts w:ascii="Times New Roman" w:hAnsi="Times New Roman" w:cs="Times New Roman"/>
          <w:color w:val="000000" w:themeColor="text1"/>
          <w:lang w:val="en-US"/>
        </w:rPr>
        <w:br/>
      </w:r>
      <w:r w:rsidRPr="004B2A46">
        <w:rPr>
          <w:rFonts w:ascii="Times New Roman" w:hAnsi="Times New Roman" w:cs="Times New Roman"/>
          <w:b/>
          <w:color w:val="000000" w:themeColor="text1"/>
          <w:lang w:val="en-US"/>
        </w:rPr>
        <w:t xml:space="preserve">Title (Part I): </w:t>
      </w:r>
      <w:r w:rsidRPr="004B2A46">
        <w:rPr>
          <w:rFonts w:ascii="Times New Roman" w:hAnsi="Times New Roman" w:cs="Times New Roman"/>
          <w:color w:val="000000" w:themeColor="text1"/>
          <w:lang w:val="en-US"/>
        </w:rPr>
        <w:t>Data-Driven Real Estate Valuation, Part I: Foundations, Pipeline and Model Families of Automated Valuation Models</w:t>
      </w:r>
    </w:p>
    <w:p w14:paraId="69A90631" w14:textId="23ECA5D2" w:rsidR="004B2A46" w:rsidRPr="004B2A46" w:rsidRDefault="005134C7" w:rsidP="004B2A46">
      <w:pPr>
        <w:rPr>
          <w:rFonts w:ascii="Times New Roman" w:hAnsi="Times New Roman" w:cs="Times New Roman"/>
          <w:color w:val="000000" w:themeColor="text1"/>
          <w:lang w:val="en-US"/>
        </w:rPr>
      </w:pPr>
      <w:r w:rsidRPr="004B2A46">
        <w:rPr>
          <w:rFonts w:ascii="Times New Roman" w:hAnsi="Times New Roman" w:cs="Times New Roman"/>
          <w:b/>
          <w:color w:val="000000" w:themeColor="text1"/>
          <w:lang w:val="en-US"/>
        </w:rPr>
        <w:t xml:space="preserve">Manuscript ID: </w:t>
      </w:r>
      <w:r>
        <w:rPr>
          <w:rFonts w:ascii="Times New Roman" w:hAnsi="Times New Roman" w:cs="Times New Roman"/>
          <w:color w:val="000000" w:themeColor="text1"/>
          <w:lang w:val="en-US"/>
        </w:rPr>
        <w:t>TBA</w:t>
      </w:r>
      <w:r w:rsidR="004B2A46" w:rsidRPr="004B2A46">
        <w:rPr>
          <w:rFonts w:ascii="Times New Roman" w:hAnsi="Times New Roman" w:cs="Times New Roman"/>
          <w:color w:val="000000" w:themeColor="text1"/>
          <w:lang w:val="en-US"/>
        </w:rPr>
        <w:br/>
      </w:r>
      <w:r w:rsidR="004B2A46" w:rsidRPr="004B2A46">
        <w:rPr>
          <w:rFonts w:ascii="Times New Roman" w:hAnsi="Times New Roman" w:cs="Times New Roman"/>
          <w:b/>
          <w:color w:val="000000" w:themeColor="text1"/>
          <w:lang w:val="en-US"/>
        </w:rPr>
        <w:t xml:space="preserve">Title (Part II): </w:t>
      </w:r>
      <w:r w:rsidR="004B2A46" w:rsidRPr="004B2A46">
        <w:rPr>
          <w:rFonts w:ascii="Times New Roman" w:hAnsi="Times New Roman" w:cs="Times New Roman"/>
          <w:color w:val="000000" w:themeColor="text1"/>
          <w:lang w:val="en-US"/>
        </w:rPr>
        <w:t xml:space="preserve">Data-Driven Real Estate Valuation, Part II: Data, Uncertainty and Governance for Reliable </w:t>
      </w:r>
      <w:r w:rsidR="00431860" w:rsidRPr="00431860">
        <w:rPr>
          <w:rFonts w:ascii="Times New Roman" w:hAnsi="Times New Roman" w:cs="Times New Roman"/>
          <w:color w:val="000000" w:themeColor="text1"/>
          <w:lang w:val="en-US"/>
        </w:rPr>
        <w:t>Automated Valuation Models</w:t>
      </w:r>
      <w:r w:rsidR="00431860" w:rsidRPr="00431860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4B2A46" w:rsidRPr="004B2A46">
        <w:rPr>
          <w:rFonts w:ascii="Times New Roman" w:hAnsi="Times New Roman" w:cs="Times New Roman"/>
          <w:color w:val="000000" w:themeColor="text1"/>
          <w:lang w:val="en-US"/>
        </w:rPr>
        <w:t>in Practice</w:t>
      </w:r>
    </w:p>
    <w:p w14:paraId="145F6C3B" w14:textId="77777777" w:rsidR="004B2A46" w:rsidRPr="004B2A46" w:rsidRDefault="004B2A46" w:rsidP="004B2A46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BC7D286" w14:textId="77777777" w:rsidR="004B2A46" w:rsidRPr="00967DD5" w:rsidRDefault="004B2A46" w:rsidP="004B2A46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967DD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1. Search Protocol</w:t>
      </w:r>
    </w:p>
    <w:p w14:paraId="2BE43646" w14:textId="1B75513B" w:rsidR="004B2A46" w:rsidRPr="004B2A46" w:rsidRDefault="004B2A46" w:rsidP="004B2A46">
      <w:pPr>
        <w:rPr>
          <w:rFonts w:ascii="Times New Roman" w:hAnsi="Times New Roman" w:cs="Times New Roman"/>
          <w:color w:val="000000" w:themeColor="text1"/>
          <w:lang w:val="en-US"/>
        </w:rPr>
      </w:pPr>
      <w:r w:rsidRPr="004B2A46">
        <w:rPr>
          <w:rFonts w:ascii="Times New Roman" w:hAnsi="Times New Roman" w:cs="Times New Roman"/>
          <w:color w:val="000000" w:themeColor="text1"/>
          <w:lang w:val="en-US"/>
        </w:rPr>
        <w:t xml:space="preserve">This review follows a </w:t>
      </w:r>
      <w:r w:rsidRPr="004B2A46">
        <w:rPr>
          <w:rFonts w:ascii="Times New Roman" w:hAnsi="Times New Roman" w:cs="Times New Roman"/>
          <w:b/>
          <w:color w:val="000000" w:themeColor="text1"/>
          <w:lang w:val="en-US"/>
        </w:rPr>
        <w:t>narrative, expert informed approach</w:t>
      </w:r>
      <w:r w:rsidRPr="004B2A46">
        <w:rPr>
          <w:rFonts w:ascii="Times New Roman" w:hAnsi="Times New Roman" w:cs="Times New Roman"/>
          <w:color w:val="000000" w:themeColor="text1"/>
          <w:lang w:val="en-US"/>
        </w:rPr>
        <w:t xml:space="preserve"> rather than a formal systematic protocol. </w:t>
      </w:r>
      <w:r w:rsidR="00AF2AA7" w:rsidRPr="00AF2AA7">
        <w:rPr>
          <w:rFonts w:ascii="Times New Roman" w:hAnsi="Times New Roman" w:cs="Times New Roman"/>
          <w:color w:val="000000" w:themeColor="text1"/>
          <w:lang w:val="en-US"/>
        </w:rPr>
        <w:t xml:space="preserve">The search was iterative and supplemented by snowballing (forward and backward citation tracking) </w:t>
      </w:r>
      <w:r w:rsidR="00215FC4">
        <w:rPr>
          <w:rFonts w:ascii="Times New Roman" w:hAnsi="Times New Roman" w:cs="Times New Roman"/>
          <w:color w:val="000000" w:themeColor="text1"/>
          <w:lang w:val="en-US"/>
        </w:rPr>
        <w:t xml:space="preserve">with predominantly coverage period 2000-2026 </w:t>
      </w:r>
      <w:r w:rsidR="00AF2AA7" w:rsidRPr="00AF2AA7">
        <w:rPr>
          <w:rFonts w:ascii="Times New Roman" w:hAnsi="Times New Roman" w:cs="Times New Roman"/>
          <w:color w:val="000000" w:themeColor="text1"/>
          <w:lang w:val="en-US"/>
        </w:rPr>
        <w:t>and expert knowledge of the field.</w:t>
      </w:r>
      <w:r w:rsidR="00AF2AA7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Pr="004B2A46">
        <w:rPr>
          <w:rFonts w:ascii="Times New Roman" w:hAnsi="Times New Roman" w:cs="Times New Roman"/>
          <w:color w:val="000000" w:themeColor="text1"/>
          <w:lang w:val="en-US"/>
        </w:rPr>
        <w:t xml:space="preserve">The table below </w:t>
      </w:r>
      <w:proofErr w:type="spellStart"/>
      <w:r w:rsidRPr="004B2A46">
        <w:rPr>
          <w:rFonts w:ascii="Times New Roman" w:hAnsi="Times New Roman" w:cs="Times New Roman"/>
          <w:color w:val="000000" w:themeColor="text1"/>
          <w:lang w:val="en-US"/>
        </w:rPr>
        <w:t>summarises</w:t>
      </w:r>
      <w:proofErr w:type="spellEnd"/>
      <w:r w:rsidRPr="004B2A46">
        <w:rPr>
          <w:rFonts w:ascii="Times New Roman" w:hAnsi="Times New Roman" w:cs="Times New Roman"/>
          <w:color w:val="000000" w:themeColor="text1"/>
          <w:lang w:val="en-US"/>
        </w:rPr>
        <w:t xml:space="preserve"> the search strategy used to identify peer-reviewed literature.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34"/>
        <w:gridCol w:w="5036"/>
      </w:tblGrid>
      <w:tr w:rsidR="004B2A46" w:rsidRPr="004B2A46" w14:paraId="6C77D830" w14:textId="77777777" w:rsidTr="0005436B">
        <w:tc>
          <w:tcPr>
            <w:tcW w:w="5040" w:type="dxa"/>
          </w:tcPr>
          <w:p w14:paraId="6D02DBDE" w14:textId="77777777" w:rsidR="004B2A46" w:rsidRPr="00FE14BA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E14BA">
              <w:rPr>
                <w:rFonts w:ascii="Times New Roman" w:hAnsi="Times New Roman" w:cs="Times New Roman"/>
                <w:color w:val="000000" w:themeColor="text1"/>
                <w:lang w:val="en-US"/>
              </w:rPr>
              <w:t>Element</w:t>
            </w:r>
          </w:p>
        </w:tc>
        <w:tc>
          <w:tcPr>
            <w:tcW w:w="5040" w:type="dxa"/>
          </w:tcPr>
          <w:p w14:paraId="21B9B595" w14:textId="77777777" w:rsidR="004B2A46" w:rsidRPr="00FE14BA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E14BA">
              <w:rPr>
                <w:rFonts w:ascii="Times New Roman" w:hAnsi="Times New Roman" w:cs="Times New Roman"/>
                <w:color w:val="000000" w:themeColor="text1"/>
                <w:lang w:val="en-US"/>
              </w:rPr>
              <w:t>Description</w:t>
            </w:r>
          </w:p>
        </w:tc>
      </w:tr>
      <w:tr w:rsidR="004B2A46" w:rsidRPr="0005436B" w14:paraId="5305288B" w14:textId="77777777" w:rsidTr="0005436B">
        <w:tc>
          <w:tcPr>
            <w:tcW w:w="5040" w:type="dxa"/>
          </w:tcPr>
          <w:p w14:paraId="4CAD9915" w14:textId="77777777" w:rsidR="004B2A46" w:rsidRPr="00FE14BA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E14BA">
              <w:rPr>
                <w:rFonts w:ascii="Times New Roman" w:hAnsi="Times New Roman" w:cs="Times New Roman"/>
                <w:color w:val="000000" w:themeColor="text1"/>
                <w:lang w:val="en-US"/>
              </w:rPr>
              <w:t>Databases</w:t>
            </w:r>
          </w:p>
        </w:tc>
        <w:tc>
          <w:tcPr>
            <w:tcW w:w="5040" w:type="dxa"/>
          </w:tcPr>
          <w:p w14:paraId="3AD686FB" w14:textId="0185FE40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Web of Science, Google Scholar</w:t>
            </w:r>
          </w:p>
        </w:tc>
      </w:tr>
      <w:tr w:rsidR="004B2A46" w:rsidRPr="0005436B" w14:paraId="61285E3F" w14:textId="77777777" w:rsidTr="0005436B">
        <w:tc>
          <w:tcPr>
            <w:tcW w:w="5040" w:type="dxa"/>
          </w:tcPr>
          <w:p w14:paraId="07F142C7" w14:textId="77777777" w:rsidR="004B2A46" w:rsidRPr="00FE14BA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E14BA">
              <w:rPr>
                <w:rFonts w:ascii="Times New Roman" w:hAnsi="Times New Roman" w:cs="Times New Roman"/>
                <w:color w:val="000000" w:themeColor="text1"/>
                <w:lang w:val="en-US"/>
              </w:rPr>
              <w:t>Search terms</w:t>
            </w:r>
          </w:p>
        </w:tc>
        <w:tc>
          <w:tcPr>
            <w:tcW w:w="5040" w:type="dxa"/>
          </w:tcPr>
          <w:p w14:paraId="4D9B7D72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"</w:t>
            </w:r>
            <w:proofErr w:type="gramStart"/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automated</w:t>
            </w:r>
            <w:proofErr w:type="gramEnd"/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valuation model" OR "AVM" OR "mass appraisal"; "hedonic regression" OR "hedonic pricing"; "spatial econometrics" OR "geographically weighted regression"; "machine learning" AND ("real estate" OR "property valuation"); "explainable AI" OR "XAI" OR "SHAP"; "foundation models" OR "large language models" AND "real estate"</w:t>
            </w:r>
          </w:p>
        </w:tc>
      </w:tr>
      <w:tr w:rsidR="004B2A46" w:rsidRPr="0005436B" w14:paraId="1255CD18" w14:textId="77777777" w:rsidTr="0005436B">
        <w:tc>
          <w:tcPr>
            <w:tcW w:w="5040" w:type="dxa"/>
          </w:tcPr>
          <w:p w14:paraId="64B47CF0" w14:textId="77777777" w:rsidR="004B2A46" w:rsidRPr="00FE14BA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E14BA">
              <w:rPr>
                <w:rFonts w:ascii="Times New Roman" w:hAnsi="Times New Roman" w:cs="Times New Roman"/>
                <w:color w:val="000000" w:themeColor="text1"/>
                <w:lang w:val="en-US"/>
              </w:rPr>
              <w:t>Time horizon</w:t>
            </w:r>
          </w:p>
        </w:tc>
        <w:tc>
          <w:tcPr>
            <w:tcW w:w="5040" w:type="dxa"/>
          </w:tcPr>
          <w:p w14:paraId="7B29EC29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No fixed cut-off; recent work predominantly from 2015–2026, supplemented by foundational contributions (e.g., Rosen, 1974; </w:t>
            </w:r>
            <w:proofErr w:type="spellStart"/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Breiman</w:t>
            </w:r>
            <w:proofErr w:type="spellEnd"/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, 1996; Friedman, 2001)</w:t>
            </w:r>
          </w:p>
        </w:tc>
      </w:tr>
      <w:tr w:rsidR="004B2A46" w:rsidRPr="0005436B" w14:paraId="0CB982F4" w14:textId="77777777" w:rsidTr="0005436B">
        <w:tc>
          <w:tcPr>
            <w:tcW w:w="5040" w:type="dxa"/>
          </w:tcPr>
          <w:p w14:paraId="00A9D04A" w14:textId="77777777" w:rsidR="004B2A46" w:rsidRPr="00FE14BA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E14BA">
              <w:rPr>
                <w:rFonts w:ascii="Times New Roman" w:hAnsi="Times New Roman" w:cs="Times New Roman"/>
                <w:color w:val="000000" w:themeColor="text1"/>
                <w:lang w:val="en-US"/>
              </w:rPr>
              <w:t>Inclusion criteria</w:t>
            </w:r>
          </w:p>
        </w:tc>
        <w:tc>
          <w:tcPr>
            <w:tcW w:w="5040" w:type="dxa"/>
          </w:tcPr>
          <w:p w14:paraId="0DA84DB3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Peer-reviewed journal articles, working papers, regulatory frameworks (EU, UK, US), professional standards (RICS, IVSC, </w:t>
            </w:r>
            <w:proofErr w:type="spellStart"/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TEGoVA</w:t>
            </w:r>
            <w:proofErr w:type="spellEnd"/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, IAAO), publicly available commercial documentation</w:t>
            </w:r>
          </w:p>
        </w:tc>
      </w:tr>
      <w:tr w:rsidR="004B2A46" w:rsidRPr="0005436B" w14:paraId="5BAB68B3" w14:textId="77777777" w:rsidTr="0005436B">
        <w:tc>
          <w:tcPr>
            <w:tcW w:w="5040" w:type="dxa"/>
          </w:tcPr>
          <w:p w14:paraId="43E18F16" w14:textId="77777777" w:rsidR="004B2A46" w:rsidRPr="00FE14BA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E14BA">
              <w:rPr>
                <w:rFonts w:ascii="Times New Roman" w:hAnsi="Times New Roman" w:cs="Times New Roman"/>
                <w:color w:val="000000" w:themeColor="text1"/>
                <w:lang w:val="en-US"/>
              </w:rPr>
              <w:t>Exclusion criteria</w:t>
            </w:r>
          </w:p>
        </w:tc>
        <w:tc>
          <w:tcPr>
            <w:tcW w:w="5040" w:type="dxa"/>
          </w:tcPr>
          <w:p w14:paraId="3F3B2947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Conference abstracts without full papers; non-English sources (except where regulatory frameworks required it); purely descriptive real estate market reports without methodological content</w:t>
            </w:r>
          </w:p>
        </w:tc>
      </w:tr>
      <w:tr w:rsidR="004B2A46" w:rsidRPr="0005436B" w14:paraId="7440192F" w14:textId="77777777" w:rsidTr="0005436B">
        <w:tc>
          <w:tcPr>
            <w:tcW w:w="5040" w:type="dxa"/>
          </w:tcPr>
          <w:p w14:paraId="59DC880C" w14:textId="77777777" w:rsidR="004B2A46" w:rsidRPr="00FE14BA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E14BA">
              <w:rPr>
                <w:rFonts w:ascii="Times New Roman" w:hAnsi="Times New Roman" w:cs="Times New Roman"/>
                <w:color w:val="000000" w:themeColor="text1"/>
                <w:lang w:val="en-US"/>
              </w:rPr>
              <w:t>Geographical scope</w:t>
            </w:r>
          </w:p>
        </w:tc>
        <w:tc>
          <w:tcPr>
            <w:tcW w:w="5040" w:type="dxa"/>
          </w:tcPr>
          <w:p w14:paraId="7C5C1936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Global, with emphasis on EU, UK, US markets (declared bias: authors' exposure to DACH region)</w:t>
            </w:r>
          </w:p>
        </w:tc>
      </w:tr>
      <w:tr w:rsidR="004B2A46" w:rsidRPr="0005436B" w14:paraId="15B76057" w14:textId="77777777" w:rsidTr="0005436B">
        <w:tc>
          <w:tcPr>
            <w:tcW w:w="5040" w:type="dxa"/>
          </w:tcPr>
          <w:p w14:paraId="5A1327EB" w14:textId="77777777" w:rsidR="004B2A46" w:rsidRPr="00FE14BA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E14BA">
              <w:rPr>
                <w:rFonts w:ascii="Times New Roman" w:hAnsi="Times New Roman" w:cs="Times New Roman"/>
                <w:color w:val="000000" w:themeColor="text1"/>
                <w:lang w:val="en-US"/>
              </w:rPr>
              <w:t>Grey literature</w:t>
            </w:r>
          </w:p>
        </w:tc>
        <w:tc>
          <w:tcPr>
            <w:tcW w:w="5040" w:type="dxa"/>
          </w:tcPr>
          <w:p w14:paraId="2BEF485A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Included where authoritative: EBA Guidelines, EU AI Act, US Interagency Final Rule, RICS/IVSC/</w:t>
            </w:r>
            <w:proofErr w:type="spellStart"/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TEGoVA</w:t>
            </w:r>
            <w:proofErr w:type="spellEnd"/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standards, central bank supervisory statements, Freddie Mac/Fannie Mae research notes</w:t>
            </w:r>
          </w:p>
        </w:tc>
      </w:tr>
      <w:tr w:rsidR="004B2A46" w:rsidRPr="0005436B" w14:paraId="23667A90" w14:textId="77777777" w:rsidTr="0005436B">
        <w:tc>
          <w:tcPr>
            <w:tcW w:w="5040" w:type="dxa"/>
          </w:tcPr>
          <w:p w14:paraId="36F7B390" w14:textId="77777777" w:rsidR="004B2A46" w:rsidRPr="00FE14BA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E14BA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Commercial evidence</w:t>
            </w:r>
          </w:p>
        </w:tc>
        <w:tc>
          <w:tcPr>
            <w:tcW w:w="5040" w:type="dxa"/>
          </w:tcPr>
          <w:p w14:paraId="57B05980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Limited to publicly available product documentation, vendor white papers, and secondary literature; no access to proprietary validation datasets</w:t>
            </w:r>
          </w:p>
        </w:tc>
      </w:tr>
    </w:tbl>
    <w:p w14:paraId="2D78B1D7" w14:textId="77777777" w:rsidR="004B2A46" w:rsidRPr="004B2A46" w:rsidRDefault="004B2A46" w:rsidP="004B2A46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303713D0" w14:textId="77777777" w:rsidR="004B2A46" w:rsidRDefault="004B2A46" w:rsidP="004B2A46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09103562" w14:textId="0FC914FE" w:rsidR="004B2A46" w:rsidRPr="00967DD5" w:rsidRDefault="004B2A46" w:rsidP="004B2A46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967DD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2. Source Classification</w:t>
      </w:r>
    </w:p>
    <w:p w14:paraId="4DDC9DA2" w14:textId="0CAD5B14" w:rsidR="004B2A46" w:rsidRPr="004B2A46" w:rsidRDefault="004B2A46" w:rsidP="004B2A46">
      <w:pPr>
        <w:rPr>
          <w:rFonts w:ascii="Times New Roman" w:hAnsi="Times New Roman" w:cs="Times New Roman"/>
          <w:color w:val="000000" w:themeColor="text1"/>
          <w:lang w:val="en-US"/>
        </w:rPr>
      </w:pPr>
      <w:r w:rsidRPr="004B2A46">
        <w:rPr>
          <w:rFonts w:ascii="Times New Roman" w:hAnsi="Times New Roman" w:cs="Times New Roman"/>
          <w:color w:val="000000" w:themeColor="text1"/>
          <w:lang w:val="en-US"/>
        </w:rPr>
        <w:t>The table below classifies the main sources cited in Part I and Part II by type</w:t>
      </w:r>
      <w:r w:rsidR="00E35408">
        <w:rPr>
          <w:rFonts w:ascii="Times New Roman" w:hAnsi="Times New Roman" w:cs="Times New Roman"/>
          <w:color w:val="000000" w:themeColor="text1"/>
          <w:lang w:val="en-US"/>
        </w:rPr>
        <w:t xml:space="preserve"> </w:t>
      </w:r>
      <w:r w:rsidR="00E35408" w:rsidRPr="00E35408">
        <w:rPr>
          <w:rFonts w:ascii="Times New Roman" w:hAnsi="Times New Roman" w:cs="Times New Roman"/>
          <w:color w:val="000000" w:themeColor="text1"/>
          <w:lang w:val="en-US"/>
        </w:rPr>
        <w:t>(representative examples)</w:t>
      </w:r>
      <w:r w:rsidRPr="00E35408">
        <w:rPr>
          <w:rFonts w:ascii="Times New Roman" w:hAnsi="Times New Roman" w:cs="Times New Roman"/>
          <w:color w:val="000000" w:themeColor="text1"/>
          <w:lang w:val="en-US"/>
        </w:rPr>
        <w:t>.</w:t>
      </w:r>
      <w:r w:rsidRPr="004B2A46">
        <w:rPr>
          <w:rFonts w:ascii="Times New Roman" w:hAnsi="Times New Roman" w:cs="Times New Roman"/>
          <w:color w:val="000000" w:themeColor="text1"/>
          <w:lang w:val="en-US"/>
        </w:rPr>
        <w:t xml:space="preserve"> This supports transparency regarding the evidence base and helps readers distinguish between peer-reviewed research, grey literature, commercial sources, and regulatory frameworks.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4B2A46" w:rsidRPr="004B2A46" w14:paraId="29F1F54B" w14:textId="77777777" w:rsidTr="0005436B">
        <w:tc>
          <w:tcPr>
            <w:tcW w:w="3360" w:type="dxa"/>
          </w:tcPr>
          <w:p w14:paraId="23983010" w14:textId="77777777" w:rsidR="004B2A46" w:rsidRPr="00FE14BA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E14BA">
              <w:rPr>
                <w:rFonts w:ascii="Times New Roman" w:hAnsi="Times New Roman" w:cs="Times New Roman"/>
                <w:color w:val="000000" w:themeColor="text1"/>
                <w:lang w:val="en-US"/>
              </w:rPr>
              <w:t>Source</w:t>
            </w:r>
          </w:p>
        </w:tc>
        <w:tc>
          <w:tcPr>
            <w:tcW w:w="3360" w:type="dxa"/>
          </w:tcPr>
          <w:p w14:paraId="207891FB" w14:textId="77777777" w:rsidR="004B2A46" w:rsidRPr="00FE14BA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E14BA">
              <w:rPr>
                <w:rFonts w:ascii="Times New Roman" w:hAnsi="Times New Roman" w:cs="Times New Roman"/>
                <w:color w:val="000000" w:themeColor="text1"/>
                <w:lang w:val="en-US"/>
              </w:rPr>
              <w:t>Type</w:t>
            </w:r>
          </w:p>
        </w:tc>
        <w:tc>
          <w:tcPr>
            <w:tcW w:w="3360" w:type="dxa"/>
          </w:tcPr>
          <w:p w14:paraId="4C851E8D" w14:textId="77777777" w:rsidR="004B2A46" w:rsidRPr="00FE14BA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E14BA">
              <w:rPr>
                <w:rFonts w:ascii="Times New Roman" w:hAnsi="Times New Roman" w:cs="Times New Roman"/>
                <w:color w:val="000000" w:themeColor="text1"/>
                <w:lang w:val="en-US"/>
              </w:rPr>
              <w:t>Notes</w:t>
            </w:r>
          </w:p>
        </w:tc>
      </w:tr>
      <w:tr w:rsidR="004B2A46" w:rsidRPr="004B2A46" w14:paraId="57FDA263" w14:textId="77777777" w:rsidTr="0005436B">
        <w:tc>
          <w:tcPr>
            <w:tcW w:w="3360" w:type="dxa"/>
          </w:tcPr>
          <w:p w14:paraId="425C1191" w14:textId="77777777" w:rsidR="004B2A46" w:rsidRPr="00FE14BA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E14BA">
              <w:rPr>
                <w:rFonts w:ascii="Times New Roman" w:hAnsi="Times New Roman" w:cs="Times New Roman"/>
                <w:color w:val="000000" w:themeColor="text1"/>
                <w:lang w:val="en-US"/>
              </w:rPr>
              <w:t>Lorenz et al. (2023)</w:t>
            </w:r>
          </w:p>
        </w:tc>
        <w:tc>
          <w:tcPr>
            <w:tcW w:w="3360" w:type="dxa"/>
          </w:tcPr>
          <w:p w14:paraId="611AC0EA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Peer-reviewed</w:t>
            </w:r>
          </w:p>
        </w:tc>
        <w:tc>
          <w:tcPr>
            <w:tcW w:w="3360" w:type="dxa"/>
          </w:tcPr>
          <w:p w14:paraId="5A67B7A9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Real Estate Economics</w:t>
            </w:r>
          </w:p>
        </w:tc>
      </w:tr>
      <w:tr w:rsidR="004B2A46" w:rsidRPr="004B2A46" w14:paraId="45992CE7" w14:textId="77777777" w:rsidTr="0005436B">
        <w:tc>
          <w:tcPr>
            <w:tcW w:w="3360" w:type="dxa"/>
          </w:tcPr>
          <w:p w14:paraId="384BA18F" w14:textId="77777777" w:rsidR="004B2A46" w:rsidRPr="00FE14BA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E14BA">
              <w:rPr>
                <w:rFonts w:ascii="Times New Roman" w:hAnsi="Times New Roman" w:cs="Times New Roman"/>
                <w:color w:val="000000" w:themeColor="text1"/>
                <w:lang w:val="en-US"/>
              </w:rPr>
              <w:t>Granna et al. (2025)</w:t>
            </w:r>
          </w:p>
        </w:tc>
        <w:tc>
          <w:tcPr>
            <w:tcW w:w="3360" w:type="dxa"/>
          </w:tcPr>
          <w:p w14:paraId="4881AC83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Peer-reviewed</w:t>
            </w:r>
          </w:p>
        </w:tc>
        <w:tc>
          <w:tcPr>
            <w:tcW w:w="3360" w:type="dxa"/>
          </w:tcPr>
          <w:p w14:paraId="31C3F4F5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Austrian Journal of Statistics</w:t>
            </w:r>
          </w:p>
        </w:tc>
      </w:tr>
      <w:tr w:rsidR="004B2A46" w:rsidRPr="004B2A46" w14:paraId="1F122DEE" w14:textId="77777777" w:rsidTr="0005436B">
        <w:tc>
          <w:tcPr>
            <w:tcW w:w="3360" w:type="dxa"/>
          </w:tcPr>
          <w:p w14:paraId="205C61DA" w14:textId="77777777" w:rsidR="004B2A46" w:rsidRPr="00FE14BA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E14BA">
              <w:rPr>
                <w:rFonts w:ascii="Times New Roman" w:hAnsi="Times New Roman" w:cs="Times New Roman"/>
                <w:color w:val="000000" w:themeColor="text1"/>
                <w:lang w:val="en-US"/>
              </w:rPr>
              <w:t>Granna et al. (2022)</w:t>
            </w:r>
          </w:p>
        </w:tc>
        <w:tc>
          <w:tcPr>
            <w:tcW w:w="3360" w:type="dxa"/>
          </w:tcPr>
          <w:p w14:paraId="1322AA0F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Working paper</w:t>
            </w:r>
          </w:p>
        </w:tc>
        <w:tc>
          <w:tcPr>
            <w:tcW w:w="3360" w:type="dxa"/>
          </w:tcPr>
          <w:p w14:paraId="33E2CE54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UIBK Working Papers</w:t>
            </w:r>
          </w:p>
        </w:tc>
      </w:tr>
      <w:tr w:rsidR="004B2A46" w:rsidRPr="004B2A46" w14:paraId="689C19B2" w14:textId="77777777" w:rsidTr="0005436B">
        <w:tc>
          <w:tcPr>
            <w:tcW w:w="3360" w:type="dxa"/>
          </w:tcPr>
          <w:p w14:paraId="1778CCE5" w14:textId="77777777" w:rsidR="004B2A46" w:rsidRPr="00FE14BA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E14BA">
              <w:rPr>
                <w:rFonts w:ascii="Times New Roman" w:hAnsi="Times New Roman" w:cs="Times New Roman"/>
                <w:color w:val="000000" w:themeColor="text1"/>
                <w:lang w:val="en-US"/>
              </w:rPr>
              <w:t>Narragon et al. (2021)</w:t>
            </w:r>
          </w:p>
        </w:tc>
        <w:tc>
          <w:tcPr>
            <w:tcW w:w="3360" w:type="dxa"/>
          </w:tcPr>
          <w:p w14:paraId="105920F8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Grey literature</w:t>
            </w:r>
          </w:p>
        </w:tc>
        <w:tc>
          <w:tcPr>
            <w:tcW w:w="3360" w:type="dxa"/>
          </w:tcPr>
          <w:p w14:paraId="46529147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Freddie Mac Research Note</w:t>
            </w:r>
          </w:p>
        </w:tc>
      </w:tr>
      <w:tr w:rsidR="004B2A46" w:rsidRPr="004B2A46" w14:paraId="583C2990" w14:textId="77777777" w:rsidTr="0005436B">
        <w:tc>
          <w:tcPr>
            <w:tcW w:w="3360" w:type="dxa"/>
          </w:tcPr>
          <w:p w14:paraId="4792B7C0" w14:textId="77777777" w:rsidR="004B2A46" w:rsidRPr="00FE14BA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E14BA">
              <w:rPr>
                <w:rFonts w:ascii="Times New Roman" w:hAnsi="Times New Roman" w:cs="Times New Roman"/>
                <w:color w:val="000000" w:themeColor="text1"/>
                <w:lang w:val="en-US"/>
              </w:rPr>
              <w:t>European Union (2024)</w:t>
            </w:r>
          </w:p>
        </w:tc>
        <w:tc>
          <w:tcPr>
            <w:tcW w:w="3360" w:type="dxa"/>
          </w:tcPr>
          <w:p w14:paraId="62A024C7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Regulatory</w:t>
            </w:r>
          </w:p>
        </w:tc>
        <w:tc>
          <w:tcPr>
            <w:tcW w:w="3360" w:type="dxa"/>
          </w:tcPr>
          <w:p w14:paraId="34AFD2F1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EU AI Act</w:t>
            </w:r>
          </w:p>
        </w:tc>
      </w:tr>
      <w:tr w:rsidR="004B2A46" w:rsidRPr="004B2A46" w14:paraId="6A8965FF" w14:textId="77777777" w:rsidTr="0005436B">
        <w:tc>
          <w:tcPr>
            <w:tcW w:w="3360" w:type="dxa"/>
          </w:tcPr>
          <w:p w14:paraId="17135421" w14:textId="77777777" w:rsidR="004B2A46" w:rsidRPr="00FE14BA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E14BA">
              <w:rPr>
                <w:rFonts w:ascii="Times New Roman" w:hAnsi="Times New Roman" w:cs="Times New Roman"/>
                <w:color w:val="000000" w:themeColor="text1"/>
                <w:lang w:val="en-US"/>
              </w:rPr>
              <w:t>Federal Register (2024)</w:t>
            </w:r>
          </w:p>
        </w:tc>
        <w:tc>
          <w:tcPr>
            <w:tcW w:w="3360" w:type="dxa"/>
          </w:tcPr>
          <w:p w14:paraId="5B8F2F28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Regulatory</w:t>
            </w:r>
          </w:p>
        </w:tc>
        <w:tc>
          <w:tcPr>
            <w:tcW w:w="3360" w:type="dxa"/>
          </w:tcPr>
          <w:p w14:paraId="1F110213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US Interagency Final Rule</w:t>
            </w:r>
          </w:p>
        </w:tc>
      </w:tr>
      <w:tr w:rsidR="004B2A46" w:rsidRPr="004B2A46" w14:paraId="577AD09B" w14:textId="77777777" w:rsidTr="0005436B">
        <w:tc>
          <w:tcPr>
            <w:tcW w:w="3360" w:type="dxa"/>
          </w:tcPr>
          <w:p w14:paraId="341AD256" w14:textId="77777777" w:rsidR="004B2A46" w:rsidRPr="00FE14BA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E14BA">
              <w:rPr>
                <w:rFonts w:ascii="Times New Roman" w:hAnsi="Times New Roman" w:cs="Times New Roman"/>
                <w:color w:val="000000" w:themeColor="text1"/>
                <w:lang w:val="en-US"/>
              </w:rPr>
              <w:t>RICS (2021, 2025)</w:t>
            </w:r>
          </w:p>
        </w:tc>
        <w:tc>
          <w:tcPr>
            <w:tcW w:w="3360" w:type="dxa"/>
          </w:tcPr>
          <w:p w14:paraId="0403F9E6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Professional standards</w:t>
            </w:r>
          </w:p>
        </w:tc>
        <w:tc>
          <w:tcPr>
            <w:tcW w:w="3360" w:type="dxa"/>
          </w:tcPr>
          <w:p w14:paraId="27969910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AVM guidance, Red Book</w:t>
            </w:r>
          </w:p>
        </w:tc>
      </w:tr>
      <w:tr w:rsidR="004B2A46" w:rsidRPr="004B2A46" w14:paraId="219DAE1D" w14:textId="77777777" w:rsidTr="0005436B">
        <w:tc>
          <w:tcPr>
            <w:tcW w:w="3360" w:type="dxa"/>
          </w:tcPr>
          <w:p w14:paraId="1DA1A353" w14:textId="77777777" w:rsidR="004B2A46" w:rsidRPr="00FE14BA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E14BA">
              <w:rPr>
                <w:rFonts w:ascii="Times New Roman" w:hAnsi="Times New Roman" w:cs="Times New Roman"/>
                <w:color w:val="000000" w:themeColor="text1"/>
                <w:lang w:val="en-US"/>
              </w:rPr>
              <w:t>Zillow (various)</w:t>
            </w:r>
          </w:p>
        </w:tc>
        <w:tc>
          <w:tcPr>
            <w:tcW w:w="3360" w:type="dxa"/>
          </w:tcPr>
          <w:p w14:paraId="5D0378E6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Commercial</w:t>
            </w:r>
          </w:p>
        </w:tc>
        <w:tc>
          <w:tcPr>
            <w:tcW w:w="3360" w:type="dxa"/>
          </w:tcPr>
          <w:p w14:paraId="6941EFE9" w14:textId="77777777" w:rsidR="004B2A46" w:rsidRPr="004B2A46" w:rsidRDefault="004B2A46" w:rsidP="004B2A46">
            <w:pPr>
              <w:spacing w:after="160" w:line="259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4B2A46">
              <w:rPr>
                <w:rFonts w:ascii="Times New Roman" w:hAnsi="Times New Roman" w:cs="Times New Roman"/>
                <w:color w:val="000000" w:themeColor="text1"/>
                <w:lang w:val="en-US"/>
              </w:rPr>
              <w:t>Publicly available documentation</w:t>
            </w:r>
          </w:p>
        </w:tc>
      </w:tr>
    </w:tbl>
    <w:p w14:paraId="392D5AAA" w14:textId="77777777" w:rsidR="004B2A46" w:rsidRPr="004B2A46" w:rsidRDefault="004B2A46" w:rsidP="004B2A46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1DFDCCAB" w14:textId="77777777" w:rsidR="004B2A46" w:rsidRPr="00E35408" w:rsidRDefault="004B2A46" w:rsidP="004B2A46">
      <w:pPr>
        <w:rPr>
          <w:rFonts w:ascii="Times New Roman" w:hAnsi="Times New Roman" w:cs="Times New Roman"/>
          <w:iCs/>
          <w:color w:val="000000" w:themeColor="text1"/>
          <w:lang w:val="en-US"/>
        </w:rPr>
      </w:pPr>
    </w:p>
    <w:p w14:paraId="192DF05F" w14:textId="73DDC5E5" w:rsidR="004B2A46" w:rsidRPr="00967DD5" w:rsidRDefault="004B2A46" w:rsidP="004B2A46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967DD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3. Evidence Strength and Jurisdictional Depth</w:t>
      </w:r>
    </w:p>
    <w:p w14:paraId="126B308D" w14:textId="77777777" w:rsidR="004B2A46" w:rsidRPr="00FE14BA" w:rsidRDefault="004B2A46" w:rsidP="004B2A46">
      <w:pPr>
        <w:rPr>
          <w:rFonts w:ascii="Times New Roman" w:hAnsi="Times New Roman" w:cs="Times New Roman"/>
          <w:color w:val="000000" w:themeColor="text1"/>
          <w:lang w:val="en-US"/>
        </w:rPr>
      </w:pPr>
      <w:r w:rsidRPr="00FE14BA">
        <w:rPr>
          <w:rFonts w:ascii="Times New Roman" w:hAnsi="Times New Roman" w:cs="Times New Roman"/>
          <w:color w:val="000000" w:themeColor="text1"/>
          <w:lang w:val="en-US"/>
        </w:rPr>
        <w:t>Part II Table 1 (Evidence Map) maps ten central findings against supporting sources, evidence strength, and jurisdictional depth. The classification follows these criteria:</w:t>
      </w:r>
    </w:p>
    <w:p w14:paraId="35324201" w14:textId="77777777" w:rsidR="004B2A46" w:rsidRPr="00FE14BA" w:rsidRDefault="004B2A46" w:rsidP="004B2A46">
      <w:pPr>
        <w:rPr>
          <w:rFonts w:ascii="Times New Roman" w:hAnsi="Times New Roman" w:cs="Times New Roman"/>
          <w:color w:val="000000" w:themeColor="text1"/>
          <w:lang w:val="en-US"/>
        </w:rPr>
      </w:pPr>
      <w:r w:rsidRPr="00FE14BA">
        <w:rPr>
          <w:rFonts w:ascii="Times New Roman" w:hAnsi="Times New Roman" w:cs="Times New Roman"/>
          <w:color w:val="000000" w:themeColor="text1"/>
          <w:lang w:val="en-US"/>
        </w:rPr>
        <w:t>Evidence Strength</w:t>
      </w:r>
    </w:p>
    <w:p w14:paraId="641ADD5A" w14:textId="77777777" w:rsidR="004B2A46" w:rsidRPr="00FE14BA" w:rsidRDefault="004B2A46" w:rsidP="004B2A46">
      <w:pPr>
        <w:rPr>
          <w:rFonts w:ascii="Times New Roman" w:hAnsi="Times New Roman" w:cs="Times New Roman"/>
          <w:color w:val="000000" w:themeColor="text1"/>
          <w:lang w:val="en-US"/>
        </w:rPr>
      </w:pPr>
      <w:r w:rsidRPr="00FE14BA">
        <w:rPr>
          <w:rFonts w:ascii="Times New Roman" w:hAnsi="Times New Roman" w:cs="Times New Roman"/>
          <w:color w:val="000000" w:themeColor="text1"/>
          <w:lang w:val="en-US"/>
        </w:rPr>
        <w:t>Established: Finding is supported by multiple peer-reviewed studies, replicated across datasets or markets, and/or codified in regulatory or professional standards.</w:t>
      </w:r>
    </w:p>
    <w:p w14:paraId="75AAC05A" w14:textId="77777777" w:rsidR="004B2A46" w:rsidRPr="00FE14BA" w:rsidRDefault="004B2A46" w:rsidP="004B2A46">
      <w:pPr>
        <w:rPr>
          <w:rFonts w:ascii="Times New Roman" w:hAnsi="Times New Roman" w:cs="Times New Roman"/>
          <w:color w:val="000000" w:themeColor="text1"/>
          <w:lang w:val="en-US"/>
        </w:rPr>
      </w:pPr>
      <w:r w:rsidRPr="00FE14BA">
        <w:rPr>
          <w:rFonts w:ascii="Times New Roman" w:hAnsi="Times New Roman" w:cs="Times New Roman"/>
          <w:color w:val="000000" w:themeColor="text1"/>
          <w:lang w:val="en-US"/>
        </w:rPr>
        <w:t>Emerging: Finding is supported by recent peer-reviewed work or authoritative grey literature but lacks replication or cross-jurisdictional validation.</w:t>
      </w:r>
    </w:p>
    <w:p w14:paraId="32A223CC" w14:textId="77777777" w:rsidR="004B2A46" w:rsidRPr="00FE14BA" w:rsidRDefault="004B2A46" w:rsidP="004B2A46">
      <w:pPr>
        <w:rPr>
          <w:rFonts w:ascii="Times New Roman" w:hAnsi="Times New Roman" w:cs="Times New Roman"/>
          <w:color w:val="000000" w:themeColor="text1"/>
          <w:lang w:val="en-US"/>
        </w:rPr>
      </w:pPr>
      <w:r w:rsidRPr="00FE14BA">
        <w:rPr>
          <w:rFonts w:ascii="Times New Roman" w:hAnsi="Times New Roman" w:cs="Times New Roman"/>
          <w:color w:val="000000" w:themeColor="text1"/>
          <w:lang w:val="en-US"/>
        </w:rPr>
        <w:t>Speculative: Finding is plausible and theoretically motivated but rests on limited empirical evidence, often from working papers, preprints, or single-case studies.</w:t>
      </w:r>
    </w:p>
    <w:p w14:paraId="1144208E" w14:textId="77777777" w:rsidR="004B2A46" w:rsidRPr="00FE14BA" w:rsidRDefault="004B2A46" w:rsidP="004B2A46">
      <w:pPr>
        <w:rPr>
          <w:rFonts w:ascii="Times New Roman" w:hAnsi="Times New Roman" w:cs="Times New Roman"/>
          <w:color w:val="000000" w:themeColor="text1"/>
          <w:lang w:val="en-US"/>
        </w:rPr>
      </w:pPr>
      <w:r w:rsidRPr="00FE14BA">
        <w:rPr>
          <w:rFonts w:ascii="Times New Roman" w:hAnsi="Times New Roman" w:cs="Times New Roman"/>
          <w:color w:val="000000" w:themeColor="text1"/>
          <w:lang w:val="en-US"/>
        </w:rPr>
        <w:t>Jurisdictional Depth</w:t>
      </w:r>
    </w:p>
    <w:p w14:paraId="7DA19A16" w14:textId="77777777" w:rsidR="004B2A46" w:rsidRPr="00FE14BA" w:rsidRDefault="004B2A46" w:rsidP="004B2A46">
      <w:pPr>
        <w:rPr>
          <w:rFonts w:ascii="Times New Roman" w:hAnsi="Times New Roman" w:cs="Times New Roman"/>
          <w:color w:val="000000" w:themeColor="text1"/>
          <w:lang w:val="en-US"/>
        </w:rPr>
      </w:pPr>
      <w:r w:rsidRPr="00FE14BA">
        <w:rPr>
          <w:rFonts w:ascii="Times New Roman" w:hAnsi="Times New Roman" w:cs="Times New Roman"/>
          <w:color w:val="000000" w:themeColor="text1"/>
          <w:lang w:val="en-US"/>
        </w:rPr>
        <w:t>Cross-jurisdictional: Evidence from multiple regions (EU, US, UK, or beyond).</w:t>
      </w:r>
    </w:p>
    <w:p w14:paraId="3BA1282B" w14:textId="77777777" w:rsidR="004B2A46" w:rsidRPr="00FE14BA" w:rsidRDefault="004B2A46" w:rsidP="004B2A46">
      <w:pPr>
        <w:rPr>
          <w:rFonts w:ascii="Times New Roman" w:hAnsi="Times New Roman" w:cs="Times New Roman"/>
          <w:color w:val="000000" w:themeColor="text1"/>
          <w:lang w:val="en-US"/>
        </w:rPr>
      </w:pPr>
      <w:r w:rsidRPr="00FE14BA">
        <w:rPr>
          <w:rFonts w:ascii="Times New Roman" w:hAnsi="Times New Roman" w:cs="Times New Roman"/>
          <w:color w:val="000000" w:themeColor="text1"/>
          <w:lang w:val="en-US"/>
        </w:rPr>
        <w:t>EU-focused / US-focused: Evidence predominantly from one region.</w:t>
      </w:r>
    </w:p>
    <w:p w14:paraId="308EBBEF" w14:textId="77777777" w:rsidR="004B2A46" w:rsidRPr="00FE14BA" w:rsidRDefault="004B2A46" w:rsidP="004B2A46">
      <w:pPr>
        <w:rPr>
          <w:rFonts w:ascii="Times New Roman" w:hAnsi="Times New Roman" w:cs="Times New Roman"/>
          <w:color w:val="000000" w:themeColor="text1"/>
          <w:lang w:val="en-US"/>
        </w:rPr>
      </w:pPr>
      <w:r w:rsidRPr="00FE14BA">
        <w:rPr>
          <w:rFonts w:ascii="Times New Roman" w:hAnsi="Times New Roman" w:cs="Times New Roman"/>
          <w:color w:val="000000" w:themeColor="text1"/>
          <w:lang w:val="en-US"/>
        </w:rPr>
        <w:lastRenderedPageBreak/>
        <w:t>Established (US); Under-researched (elsewhere): Empirical evidence robust in one jurisdiction but sparse in others, indicating a research gap.</w:t>
      </w:r>
    </w:p>
    <w:p w14:paraId="28CEBBF8" w14:textId="77777777" w:rsidR="004B2A46" w:rsidRPr="004B2A46" w:rsidRDefault="004B2A46" w:rsidP="004B2A46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38C2D0DB" w14:textId="0D0CF2F4" w:rsidR="004B2A46" w:rsidRPr="00967DD5" w:rsidRDefault="004B2A46" w:rsidP="004B2A46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967DD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4. Methodological Limitations</w:t>
      </w:r>
    </w:p>
    <w:p w14:paraId="24D32D50" w14:textId="77777777" w:rsidR="004B2A46" w:rsidRPr="004B2A46" w:rsidRDefault="004B2A46" w:rsidP="004B2A46">
      <w:pPr>
        <w:rPr>
          <w:rFonts w:ascii="Times New Roman" w:hAnsi="Times New Roman" w:cs="Times New Roman"/>
          <w:color w:val="000000" w:themeColor="text1"/>
          <w:lang w:val="en-US"/>
        </w:rPr>
      </w:pPr>
      <w:r w:rsidRPr="004B2A46">
        <w:rPr>
          <w:rFonts w:ascii="Times New Roman" w:hAnsi="Times New Roman" w:cs="Times New Roman"/>
          <w:color w:val="000000" w:themeColor="text1"/>
          <w:lang w:val="en-US"/>
        </w:rPr>
        <w:t>As stated in Part I Section 5 and Part II Section 8, this review has the following limitations:</w:t>
      </w:r>
    </w:p>
    <w:p w14:paraId="547E220A" w14:textId="77777777" w:rsidR="004B2A46" w:rsidRPr="00FE14BA" w:rsidRDefault="004B2A46" w:rsidP="004B2A46">
      <w:pPr>
        <w:rPr>
          <w:rFonts w:ascii="Times New Roman" w:hAnsi="Times New Roman" w:cs="Times New Roman"/>
          <w:bCs/>
          <w:color w:val="000000" w:themeColor="text1"/>
          <w:lang w:val="en-US"/>
        </w:rPr>
      </w:pPr>
      <w:r w:rsidRPr="00FE14BA">
        <w:rPr>
          <w:rFonts w:ascii="Times New Roman" w:hAnsi="Times New Roman" w:cs="Times New Roman"/>
          <w:bCs/>
          <w:color w:val="000000" w:themeColor="text1"/>
          <w:lang w:val="en-US"/>
        </w:rPr>
        <w:t>Narrative approach: The review is narrative and expert informed rather than systematic. Source selection is shaped by the authors' domain expertise and exposure to European, particularly DACH, markets.</w:t>
      </w:r>
    </w:p>
    <w:p w14:paraId="05ECBA85" w14:textId="77777777" w:rsidR="004B2A46" w:rsidRPr="00FE14BA" w:rsidRDefault="004B2A46" w:rsidP="004B2A46">
      <w:pPr>
        <w:rPr>
          <w:rFonts w:ascii="Times New Roman" w:hAnsi="Times New Roman" w:cs="Times New Roman"/>
          <w:bCs/>
          <w:color w:val="000000" w:themeColor="text1"/>
          <w:lang w:val="en-US"/>
        </w:rPr>
      </w:pPr>
      <w:r w:rsidRPr="00FE14BA">
        <w:rPr>
          <w:rFonts w:ascii="Times New Roman" w:hAnsi="Times New Roman" w:cs="Times New Roman"/>
          <w:bCs/>
          <w:color w:val="000000" w:themeColor="text1"/>
          <w:lang w:val="en-US"/>
        </w:rPr>
        <w:t>Selection bias: The literature was not screened against a formal quality protocol, and selection bias cannot be excluded.</w:t>
      </w:r>
    </w:p>
    <w:p w14:paraId="65BC2E78" w14:textId="77777777" w:rsidR="004B2A46" w:rsidRPr="00FE14BA" w:rsidRDefault="004B2A46" w:rsidP="004B2A46">
      <w:pPr>
        <w:rPr>
          <w:rFonts w:ascii="Times New Roman" w:hAnsi="Times New Roman" w:cs="Times New Roman"/>
          <w:bCs/>
          <w:color w:val="000000" w:themeColor="text1"/>
          <w:lang w:val="en-US"/>
        </w:rPr>
      </w:pPr>
      <w:r w:rsidRPr="00FE14BA">
        <w:rPr>
          <w:rFonts w:ascii="Times New Roman" w:hAnsi="Times New Roman" w:cs="Times New Roman"/>
          <w:bCs/>
          <w:color w:val="000000" w:themeColor="text1"/>
          <w:lang w:val="en-US"/>
        </w:rPr>
        <w:t xml:space="preserve">Jurisdictional focus: The review </w:t>
      </w:r>
      <w:proofErr w:type="spellStart"/>
      <w:r w:rsidRPr="00FE14BA">
        <w:rPr>
          <w:rFonts w:ascii="Times New Roman" w:hAnsi="Times New Roman" w:cs="Times New Roman"/>
          <w:bCs/>
          <w:color w:val="000000" w:themeColor="text1"/>
          <w:lang w:val="en-US"/>
        </w:rPr>
        <w:t>emphasises</w:t>
      </w:r>
      <w:proofErr w:type="spellEnd"/>
      <w:r w:rsidRPr="00FE14BA">
        <w:rPr>
          <w:rFonts w:ascii="Times New Roman" w:hAnsi="Times New Roman" w:cs="Times New Roman"/>
          <w:bCs/>
          <w:color w:val="000000" w:themeColor="text1"/>
          <w:lang w:val="en-US"/>
        </w:rPr>
        <w:t xml:space="preserve"> EU, UK, and US frameworks. </w:t>
      </w:r>
      <w:proofErr w:type="spellStart"/>
      <w:r w:rsidRPr="00FE14BA">
        <w:rPr>
          <w:rFonts w:ascii="Times New Roman" w:hAnsi="Times New Roman" w:cs="Times New Roman"/>
          <w:bCs/>
          <w:color w:val="000000" w:themeColor="text1"/>
          <w:lang w:val="en-US"/>
        </w:rPr>
        <w:t>Generalisability</w:t>
      </w:r>
      <w:proofErr w:type="spellEnd"/>
      <w:r w:rsidRPr="00FE14BA">
        <w:rPr>
          <w:rFonts w:ascii="Times New Roman" w:hAnsi="Times New Roman" w:cs="Times New Roman"/>
          <w:bCs/>
          <w:color w:val="000000" w:themeColor="text1"/>
          <w:lang w:val="en-US"/>
        </w:rPr>
        <w:t xml:space="preserve"> </w:t>
      </w:r>
      <w:proofErr w:type="gramStart"/>
      <w:r w:rsidRPr="00FE14BA">
        <w:rPr>
          <w:rFonts w:ascii="Times New Roman" w:hAnsi="Times New Roman" w:cs="Times New Roman"/>
          <w:bCs/>
          <w:color w:val="000000" w:themeColor="text1"/>
          <w:lang w:val="en-US"/>
        </w:rPr>
        <w:t>to</w:t>
      </w:r>
      <w:proofErr w:type="gramEnd"/>
      <w:r w:rsidRPr="00FE14BA">
        <w:rPr>
          <w:rFonts w:ascii="Times New Roman" w:hAnsi="Times New Roman" w:cs="Times New Roman"/>
          <w:bCs/>
          <w:color w:val="000000" w:themeColor="text1"/>
          <w:lang w:val="en-US"/>
        </w:rPr>
        <w:t xml:space="preserve"> other markets is limited.</w:t>
      </w:r>
    </w:p>
    <w:p w14:paraId="7F4FAD99" w14:textId="77777777" w:rsidR="004B2A46" w:rsidRPr="00FE14BA" w:rsidRDefault="004B2A46" w:rsidP="004B2A46">
      <w:pPr>
        <w:rPr>
          <w:rFonts w:ascii="Times New Roman" w:hAnsi="Times New Roman" w:cs="Times New Roman"/>
          <w:bCs/>
          <w:color w:val="000000" w:themeColor="text1"/>
          <w:lang w:val="en-US"/>
        </w:rPr>
      </w:pPr>
      <w:r w:rsidRPr="00FE14BA">
        <w:rPr>
          <w:rFonts w:ascii="Times New Roman" w:hAnsi="Times New Roman" w:cs="Times New Roman"/>
          <w:bCs/>
          <w:color w:val="000000" w:themeColor="text1"/>
          <w:lang w:val="en-US"/>
        </w:rPr>
        <w:t>Commercial AVM evidence: Limited to publicly available documentation; no access to proprietary validation data.</w:t>
      </w:r>
    </w:p>
    <w:p w14:paraId="2EC3B806" w14:textId="77777777" w:rsidR="004B2A46" w:rsidRPr="00FE14BA" w:rsidRDefault="004B2A46" w:rsidP="004B2A46">
      <w:pPr>
        <w:rPr>
          <w:rFonts w:ascii="Times New Roman" w:hAnsi="Times New Roman" w:cs="Times New Roman"/>
          <w:bCs/>
          <w:color w:val="000000" w:themeColor="text1"/>
          <w:lang w:val="en-US"/>
        </w:rPr>
      </w:pPr>
      <w:r w:rsidRPr="00FE14BA">
        <w:rPr>
          <w:rFonts w:ascii="Times New Roman" w:hAnsi="Times New Roman" w:cs="Times New Roman"/>
          <w:bCs/>
          <w:color w:val="000000" w:themeColor="text1"/>
          <w:lang w:val="en-US"/>
        </w:rPr>
        <w:t>Emergent topics: Evidence on ESG integration and foundation-model applications remains provisional.</w:t>
      </w:r>
    </w:p>
    <w:p w14:paraId="4C141EA9" w14:textId="77777777" w:rsidR="004B2A46" w:rsidRPr="004B2A46" w:rsidRDefault="004B2A46" w:rsidP="004B2A46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25779852" w14:textId="77777777" w:rsidR="004B2A46" w:rsidRPr="00967DD5" w:rsidRDefault="004B2A46" w:rsidP="004B2A46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967DD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5. Author Positionality</w:t>
      </w:r>
    </w:p>
    <w:p w14:paraId="781B48F8" w14:textId="77777777" w:rsidR="004B2A46" w:rsidRPr="004B2A46" w:rsidRDefault="004B2A46" w:rsidP="004B2A46">
      <w:pPr>
        <w:rPr>
          <w:rFonts w:ascii="Times New Roman" w:hAnsi="Times New Roman" w:cs="Times New Roman"/>
          <w:color w:val="000000" w:themeColor="text1"/>
          <w:lang w:val="en-US"/>
        </w:rPr>
      </w:pPr>
      <w:r w:rsidRPr="004B2A46">
        <w:rPr>
          <w:rFonts w:ascii="Times New Roman" w:hAnsi="Times New Roman" w:cs="Times New Roman"/>
          <w:color w:val="000000" w:themeColor="text1"/>
          <w:lang w:val="en-US"/>
        </w:rPr>
        <w:t>We write as practitioners working in the DACH region with professional experience in property valuation and property data science. This shapes the review in three ways:</w:t>
      </w:r>
    </w:p>
    <w:p w14:paraId="49CB415D" w14:textId="77777777" w:rsidR="004B2A46" w:rsidRPr="00FE14BA" w:rsidRDefault="004B2A46" w:rsidP="004B2A46">
      <w:pPr>
        <w:rPr>
          <w:rFonts w:ascii="Times New Roman" w:hAnsi="Times New Roman" w:cs="Times New Roman"/>
          <w:bCs/>
          <w:color w:val="000000" w:themeColor="text1"/>
          <w:lang w:val="en-US"/>
        </w:rPr>
      </w:pPr>
      <w:r w:rsidRPr="00FE14BA">
        <w:rPr>
          <w:rFonts w:ascii="Times New Roman" w:hAnsi="Times New Roman" w:cs="Times New Roman"/>
          <w:bCs/>
          <w:color w:val="000000" w:themeColor="text1"/>
          <w:lang w:val="en-US"/>
        </w:rPr>
        <w:t>Regulatory emphasis: Examples lean towards EU/DACH context.</w:t>
      </w:r>
    </w:p>
    <w:p w14:paraId="15975C96" w14:textId="77777777" w:rsidR="004B2A46" w:rsidRPr="00FE14BA" w:rsidRDefault="004B2A46" w:rsidP="004B2A46">
      <w:pPr>
        <w:rPr>
          <w:rFonts w:ascii="Times New Roman" w:hAnsi="Times New Roman" w:cs="Times New Roman"/>
          <w:bCs/>
          <w:color w:val="000000" w:themeColor="text1"/>
          <w:lang w:val="en-US"/>
        </w:rPr>
      </w:pPr>
      <w:r w:rsidRPr="00FE14BA">
        <w:rPr>
          <w:rFonts w:ascii="Times New Roman" w:hAnsi="Times New Roman" w:cs="Times New Roman"/>
          <w:bCs/>
          <w:color w:val="000000" w:themeColor="text1"/>
          <w:lang w:val="en-US"/>
        </w:rPr>
        <w:t xml:space="preserve">Market focus: Residential property valuation is </w:t>
      </w:r>
      <w:proofErr w:type="spellStart"/>
      <w:r w:rsidRPr="00FE14BA">
        <w:rPr>
          <w:rFonts w:ascii="Times New Roman" w:hAnsi="Times New Roman" w:cs="Times New Roman"/>
          <w:bCs/>
          <w:color w:val="000000" w:themeColor="text1"/>
          <w:lang w:val="en-US"/>
        </w:rPr>
        <w:t>emphasised</w:t>
      </w:r>
      <w:proofErr w:type="spellEnd"/>
      <w:r w:rsidRPr="00FE14BA">
        <w:rPr>
          <w:rFonts w:ascii="Times New Roman" w:hAnsi="Times New Roman" w:cs="Times New Roman"/>
          <w:bCs/>
          <w:color w:val="000000" w:themeColor="text1"/>
          <w:lang w:val="en-US"/>
        </w:rPr>
        <w:t>.</w:t>
      </w:r>
    </w:p>
    <w:p w14:paraId="6AC7AB20" w14:textId="77777777" w:rsidR="004B2A46" w:rsidRPr="00FE14BA" w:rsidRDefault="004B2A46" w:rsidP="004B2A46">
      <w:pPr>
        <w:rPr>
          <w:rFonts w:ascii="Times New Roman" w:hAnsi="Times New Roman" w:cs="Times New Roman"/>
          <w:bCs/>
          <w:color w:val="000000" w:themeColor="text1"/>
          <w:lang w:val="en-US"/>
        </w:rPr>
      </w:pPr>
      <w:r w:rsidRPr="00FE14BA">
        <w:rPr>
          <w:rFonts w:ascii="Times New Roman" w:hAnsi="Times New Roman" w:cs="Times New Roman"/>
          <w:bCs/>
          <w:color w:val="000000" w:themeColor="text1"/>
          <w:lang w:val="en-US"/>
        </w:rPr>
        <w:t>Declared bias: We treat this positionality as a declared bias and adopt an argumentative stance where evidence permits.</w:t>
      </w:r>
    </w:p>
    <w:p w14:paraId="75A7C881" w14:textId="77777777" w:rsidR="00985530" w:rsidRPr="004B2A46" w:rsidRDefault="00985530">
      <w:pPr>
        <w:rPr>
          <w:rFonts w:ascii="Times New Roman" w:hAnsi="Times New Roman" w:cs="Times New Roman"/>
          <w:color w:val="000000" w:themeColor="text1"/>
          <w:lang w:val="en-US"/>
        </w:rPr>
      </w:pPr>
    </w:p>
    <w:sectPr w:rsidR="00985530" w:rsidRPr="004B2A46" w:rsidSect="004B2A4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A46"/>
    <w:rsid w:val="00032DE6"/>
    <w:rsid w:val="0005436B"/>
    <w:rsid w:val="000940CD"/>
    <w:rsid w:val="00215FC4"/>
    <w:rsid w:val="00431860"/>
    <w:rsid w:val="004B2A46"/>
    <w:rsid w:val="005134C7"/>
    <w:rsid w:val="00967DD5"/>
    <w:rsid w:val="00985530"/>
    <w:rsid w:val="00AF2AA7"/>
    <w:rsid w:val="00C16937"/>
    <w:rsid w:val="00CF4A30"/>
    <w:rsid w:val="00D747E9"/>
    <w:rsid w:val="00D96194"/>
    <w:rsid w:val="00E35408"/>
    <w:rsid w:val="00F90E22"/>
    <w:rsid w:val="00FE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C7A23"/>
  <w15:chartTrackingRefBased/>
  <w15:docId w15:val="{EEEB265B-5ADD-45FE-AD35-DF57D7FCD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B2A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B2A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B2A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B2A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B2A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B2A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B2A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B2A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B2A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B2A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B2A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B2A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B2A46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B2A46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B2A4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B2A4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B2A4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B2A4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B2A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B2A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B2A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B2A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B2A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B2A4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B2A4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B2A46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B2A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B2A46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B2A46"/>
    <w:rPr>
      <w:b/>
      <w:bCs/>
      <w:smallCaps/>
      <w:color w:val="2F5496" w:themeColor="accent1" w:themeShade="BF"/>
      <w:spacing w:val="5"/>
    </w:rPr>
  </w:style>
  <w:style w:type="table" w:styleId="HellesRaster-Akzent1">
    <w:name w:val="Light Grid Accent 1"/>
    <w:basedOn w:val="NormaleTabelle"/>
    <w:uiPriority w:val="62"/>
    <w:semiHidden/>
    <w:unhideWhenUsed/>
    <w:rsid w:val="004B2A4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Tabellenraster">
    <w:name w:val="Table Grid"/>
    <w:basedOn w:val="NormaleTabelle"/>
    <w:uiPriority w:val="39"/>
    <w:rsid w:val="00054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 2013 –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4544</Characters>
  <Application>Microsoft Office Word</Application>
  <DocSecurity>0</DocSecurity>
  <Lines>37</Lines>
  <Paragraphs>10</Paragraphs>
  <ScaleCrop>false</ScaleCrop>
  <Company>FH Kufstein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Despotovic Miroslav</dc:creator>
  <cp:keywords/>
  <dc:description/>
  <cp:lastModifiedBy>Despotovic Miroslav</cp:lastModifiedBy>
  <cp:revision>11</cp:revision>
  <dcterms:created xsi:type="dcterms:W3CDTF">2026-07-20T07:47:00Z</dcterms:created>
  <dcterms:modified xsi:type="dcterms:W3CDTF">2026-07-20T10:34:00Z</dcterms:modified>
</cp:coreProperties>
</file>