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D3B" w:rsidRDefault="00917D3B" w:rsidP="006A167E">
      <w:pPr>
        <w:pStyle w:val="Heading3"/>
        <w:rPr>
          <w:b/>
          <w:i w:val="0"/>
        </w:rPr>
      </w:pPr>
      <w:bookmarkStart w:id="0" w:name="_Toc185403921"/>
      <w:r>
        <w:rPr>
          <w:b/>
          <w:i w:val="0"/>
        </w:rPr>
        <w:t>Web-Appendix</w:t>
      </w:r>
      <w:bookmarkStart w:id="1" w:name="_GoBack"/>
      <w:bookmarkEnd w:id="1"/>
    </w:p>
    <w:p w:rsidR="006A167E" w:rsidRPr="00A572A3" w:rsidRDefault="006A167E" w:rsidP="006A167E">
      <w:pPr>
        <w:pStyle w:val="Heading3"/>
        <w:rPr>
          <w:i w:val="0"/>
        </w:rPr>
      </w:pPr>
      <w:r w:rsidRPr="00A572A3">
        <w:rPr>
          <w:b/>
          <w:i w:val="0"/>
        </w:rPr>
        <w:t>Appendix – A.</w:t>
      </w:r>
      <w:r w:rsidRPr="00A572A3">
        <w:rPr>
          <w:i w:val="0"/>
        </w:rPr>
        <w:t xml:space="preserve"> Literature dealing directly with the dynamic nature of engagement</w:t>
      </w:r>
      <w:bookmarkEnd w:id="0"/>
    </w:p>
    <w:tbl>
      <w:tblPr>
        <w:tblW w:w="88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74"/>
        <w:gridCol w:w="1860"/>
        <w:gridCol w:w="430"/>
        <w:gridCol w:w="573"/>
        <w:gridCol w:w="429"/>
        <w:gridCol w:w="429"/>
        <w:gridCol w:w="431"/>
        <w:gridCol w:w="430"/>
        <w:gridCol w:w="573"/>
        <w:gridCol w:w="429"/>
        <w:gridCol w:w="430"/>
        <w:gridCol w:w="429"/>
        <w:gridCol w:w="430"/>
        <w:gridCol w:w="429"/>
        <w:gridCol w:w="7"/>
      </w:tblGrid>
      <w:tr w:rsidR="006A167E" w:rsidRPr="00470683" w:rsidTr="007756B4">
        <w:trPr>
          <w:trHeight w:val="304"/>
        </w:trPr>
        <w:tc>
          <w:tcPr>
            <w:tcW w:w="8883" w:type="dxa"/>
            <w:gridSpan w:val="15"/>
          </w:tcPr>
          <w:p w:rsidR="006A167E" w:rsidRPr="00470683" w:rsidRDefault="006A167E" w:rsidP="007756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2" w:name="_Hlk167370603"/>
          </w:p>
        </w:tc>
      </w:tr>
      <w:tr w:rsidR="006A167E" w:rsidRPr="00C92A5A" w:rsidTr="007756B4">
        <w:trPr>
          <w:trHeight w:val="136"/>
        </w:trPr>
        <w:tc>
          <w:tcPr>
            <w:tcW w:w="1574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92" w:type="dxa"/>
            <w:gridSpan w:val="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95" w:type="dxa"/>
            <w:gridSpan w:val="4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gridAfter w:val="1"/>
          <w:wAfter w:w="7" w:type="dxa"/>
          <w:cantSplit/>
          <w:trHeight w:val="1150"/>
        </w:trPr>
        <w:tc>
          <w:tcPr>
            <w:tcW w:w="1574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60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9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rPr>
          <w:gridAfter w:val="1"/>
          <w:wAfter w:w="7" w:type="dxa"/>
          <w:trHeight w:val="806"/>
        </w:trPr>
        <w:tc>
          <w:tcPr>
            <w:tcW w:w="1574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Alzahrani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(2023)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 and 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Student engagement varies over time, and cognitive-social learning is dynamic among students.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1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0" w:type="dxa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gridAfter w:val="1"/>
          <w:wAfter w:w="7" w:type="dxa"/>
          <w:trHeight w:val="913"/>
        </w:trPr>
        <w:tc>
          <w:tcPr>
            <w:tcW w:w="1574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Arshad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(2023)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Crowd-funding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0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Engagement can change over time in its dimensions and intensity.</w:t>
            </w: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1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0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gridAfter w:val="1"/>
          <w:wAfter w:w="7" w:type="dxa"/>
          <w:trHeight w:val="599"/>
        </w:trPr>
        <w:tc>
          <w:tcPr>
            <w:tcW w:w="1574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Engert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(2023)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Actor and stakeholder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0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Three engagement behaviours lead to 26 distinct trajectories, including selective, growing, and abating patterns.</w:t>
            </w: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1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0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gridAfter w:val="1"/>
          <w:wAfter w:w="7" w:type="dxa"/>
          <w:trHeight w:val="559"/>
        </w:trPr>
        <w:tc>
          <w:tcPr>
            <w:tcW w:w="1574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Hollebeek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et al. 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(2023)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0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Customers</w:t>
            </w:r>
            <w:r>
              <w:rPr>
                <w:rFonts w:ascii="Times New Roman" w:hAnsi="Times New Roman" w:cs="Times New Roman"/>
              </w:rPr>
              <w:t>’</w:t>
            </w:r>
            <w:r w:rsidRPr="00C92A5A">
              <w:rPr>
                <w:rFonts w:ascii="Times New Roman" w:hAnsi="Times New Roman" w:cs="Times New Roman"/>
              </w:rPr>
              <w:t xml:space="preserve"> brand engagement predicts their engagement with brand-related content, supporting a proposed </w:t>
            </w:r>
            <w:proofErr w:type="spellStart"/>
            <w:r w:rsidRPr="00C92A5A">
              <w:rPr>
                <w:rFonts w:ascii="Times New Roman" w:hAnsi="Times New Roman" w:cs="Times New Roman"/>
              </w:rPr>
              <w:t>spillover</w:t>
            </w:r>
            <w:proofErr w:type="spellEnd"/>
            <w:r w:rsidRPr="00C92A5A">
              <w:rPr>
                <w:rFonts w:ascii="Times New Roman" w:hAnsi="Times New Roman" w:cs="Times New Roman"/>
              </w:rPr>
              <w:t xml:space="preserve"> effect.</w:t>
            </w: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gridAfter w:val="1"/>
          <w:wAfter w:w="7" w:type="dxa"/>
          <w:trHeight w:val="913"/>
        </w:trPr>
        <w:tc>
          <w:tcPr>
            <w:tcW w:w="1574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Omigie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</w:t>
            </w: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Mencke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(2023)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Music engagement</w:t>
            </w:r>
          </w:p>
        </w:tc>
        <w:tc>
          <w:tcPr>
            <w:tcW w:w="1860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Changing the music can refocus engagement after mind-wandering, indicating the impact of music triggers on engagement levels.</w:t>
            </w: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1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3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gridAfter w:val="1"/>
          <w:wAfter w:w="7" w:type="dxa"/>
          <w:trHeight w:val="1308"/>
        </w:trPr>
        <w:tc>
          <w:tcPr>
            <w:tcW w:w="1574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Ranellucci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Rosenberg (202</w:t>
            </w:r>
            <w:r w:rsidR="0007764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Student engagement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60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 xml:space="preserve">Individuals drive situational engagement; cognitive engagement varies </w:t>
            </w:r>
            <w:proofErr w:type="spellStart"/>
            <w:r w:rsidRPr="00C92A5A">
              <w:rPr>
                <w:rFonts w:ascii="Times New Roman" w:hAnsi="Times New Roman" w:cs="Times New Roman"/>
              </w:rPr>
              <w:t>individualy</w:t>
            </w:r>
            <w:proofErr w:type="spellEnd"/>
            <w:r w:rsidRPr="00C92A5A">
              <w:rPr>
                <w:rFonts w:ascii="Times New Roman" w:hAnsi="Times New Roman" w:cs="Times New Roman"/>
              </w:rPr>
              <w:t xml:space="preserve"> and affective engagement varies situationally.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30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3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1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0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gridAfter w:val="1"/>
          <w:wAfter w:w="7" w:type="dxa"/>
          <w:trHeight w:val="928"/>
        </w:trPr>
        <w:tc>
          <w:tcPr>
            <w:tcW w:w="1574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Saqr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(2023)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Online student engagement 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Online engagement changes differently according to different instructional variables and previous engagement states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trHeight w:val="502"/>
        </w:trPr>
        <w:tc>
          <w:tcPr>
            <w:tcW w:w="8883" w:type="dxa"/>
            <w:gridSpan w:val="1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before="240" w:line="48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de-DE"/>
              </w:rPr>
            </w:pPr>
            <w:r w:rsidRPr="00C92A5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de-DE"/>
              </w:rPr>
              <w:t xml:space="preserve"> (continued)</w:t>
            </w:r>
          </w:p>
        </w:tc>
      </w:tr>
      <w:bookmarkEnd w:id="2"/>
    </w:tbl>
    <w:p w:rsidR="006A167E" w:rsidRPr="00C92A5A" w:rsidRDefault="006A167E" w:rsidP="006A167E">
      <w:pPr>
        <w:rPr>
          <w:rFonts w:ascii="Times New Roman" w:hAnsi="Times New Roman" w:cs="Times New Roman"/>
          <w:b/>
          <w:sz w:val="18"/>
          <w:szCs w:val="18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18"/>
          <w:szCs w:val="18"/>
        </w:rPr>
      </w:pPr>
    </w:p>
    <w:tbl>
      <w:tblPr>
        <w:tblpPr w:leftFromText="141" w:rightFromText="141" w:vertAnchor="page" w:horzAnchor="margin" w:tblpY="1241"/>
        <w:tblW w:w="8789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</w:tblGrid>
      <w:tr w:rsidR="006A167E" w:rsidRPr="00C92A5A" w:rsidTr="007756B4">
        <w:tc>
          <w:tcPr>
            <w:tcW w:w="5670" w:type="dxa"/>
            <w:gridSpan w:val="7"/>
          </w:tcPr>
          <w:p w:rsidR="006A167E" w:rsidRPr="00C92A5A" w:rsidRDefault="006A167E" w:rsidP="0077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Appendix</w:t>
            </w:r>
            <w:r w:rsidRPr="00415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A5A">
              <w:rPr>
                <w:rFonts w:ascii="Times New Roman" w:hAnsi="Times New Roman" w:cs="Times New Roman"/>
                <w:bCs/>
                <w:sz w:val="24"/>
                <w:szCs w:val="24"/>
              </w:rPr>
              <w:t>(continued)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6A167E" w:rsidRPr="00C92A5A" w:rsidRDefault="006A167E" w:rsidP="007756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6A167E" w:rsidRPr="00C92A5A" w:rsidRDefault="006A167E" w:rsidP="0077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167E" w:rsidRPr="00C92A5A" w:rsidTr="007756B4"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cantSplit/>
          <w:trHeight w:val="11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Aubrey (2022)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 and 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Identified dynamic engagement patterns include moderately steady, increasing, decreasing, and rollercoaster.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Finsterwalder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(2022)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Actor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Dynamic view on predispositions before and during resource investment in multi-actor engagement activities reveals changes in self, social, and task predispositions during collaboration.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Su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(2022)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Student engagement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Dynamic engagement progression reveals that group awareness tools stimulate and sustain students’ continuous cognitive engagement but have limited effects on cognitive engagement.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Sulis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(2022)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Engagement is an ongoing dynamic process unfolding over time with different trajectories.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Dhaoui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Webster (2021)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Consumer brand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Brand engagement affects consumer engagement, with positive and negative spiral effects.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Unnava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</w:t>
            </w: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Aravindakshan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(2021)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Consumer engagement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Brand communication on one platform directly impacts engagement, spills over to others, and sustains post-engagement over time.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8789" w:type="dxa"/>
            <w:gridSpan w:val="14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before="240"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i/>
                <w:sz w:val="18"/>
                <w:szCs w:val="18"/>
              </w:rPr>
              <w:t>(continued)</w:t>
            </w:r>
          </w:p>
        </w:tc>
      </w:tr>
    </w:tbl>
    <w:p w:rsidR="006A167E" w:rsidRPr="00C92A5A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3404A8" w:rsidRPr="00C92A5A" w:rsidRDefault="003404A8" w:rsidP="006A167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</w:tblGrid>
      <w:tr w:rsidR="006A167E" w:rsidRPr="00C92A5A" w:rsidTr="007756B4">
        <w:tc>
          <w:tcPr>
            <w:tcW w:w="8789" w:type="dxa"/>
            <w:gridSpan w:val="14"/>
          </w:tcPr>
          <w:p w:rsidR="006A167E" w:rsidRPr="00C92A5A" w:rsidRDefault="006A167E" w:rsidP="0077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Appendix</w:t>
            </w:r>
            <w:r w:rsidRPr="00415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A.</w:t>
            </w:r>
            <w:r w:rsidRPr="00C92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92A5A">
              <w:rPr>
                <w:rFonts w:ascii="Times New Roman" w:hAnsi="Times New Roman" w:cs="Times New Roman"/>
                <w:bCs/>
                <w:sz w:val="24"/>
                <w:szCs w:val="24"/>
              </w:rPr>
              <w:t>(continued)</w:t>
            </w:r>
          </w:p>
        </w:tc>
      </w:tr>
      <w:tr w:rsidR="006A167E" w:rsidRPr="00C92A5A" w:rsidTr="007756B4"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cantSplit/>
          <w:trHeight w:val="11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Vasalampi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(2021)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Behavioural, cognitive, and emotional engagement in one lesson influence engagement in another lesson.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Azer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Alexander (2020)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 xml:space="preserve">Negatively </w:t>
            </w:r>
            <w:proofErr w:type="spellStart"/>
            <w:r w:rsidRPr="00C92A5A">
              <w:rPr>
                <w:rFonts w:ascii="Times New Roman" w:hAnsi="Times New Roman" w:cs="Times New Roman"/>
              </w:rPr>
              <w:t>valenced</w:t>
            </w:r>
            <w:proofErr w:type="spellEnd"/>
            <w:r w:rsidRPr="00C92A5A">
              <w:rPr>
                <w:rFonts w:ascii="Times New Roman" w:hAnsi="Times New Roman" w:cs="Times New Roman"/>
              </w:rPr>
              <w:t xml:space="preserve"> engagement behaviour has direct and indirect effects on other actors in online social networks.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Fehrer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(2020)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Conceptual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Actor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Engagement can diffuse through the network.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Mendoza and King (2020)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Classmates</w:t>
            </w:r>
            <w:r>
              <w:rPr>
                <w:rFonts w:ascii="Times New Roman" w:hAnsi="Times New Roman" w:cs="Times New Roman"/>
              </w:rPr>
              <w:t>’</w:t>
            </w:r>
            <w:r w:rsidRPr="00C92A5A">
              <w:rPr>
                <w:rFonts w:ascii="Times New Roman" w:hAnsi="Times New Roman" w:cs="Times New Roman"/>
              </w:rPr>
              <w:t xml:space="preserve"> engagement at time 1 positively predicts student engagement at time 2, indicating social contagion of engagement.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Naumann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(2020)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Engagement processes between a focal actor and two focal objects influence each other.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3C5376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Brodie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(2019)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Conceptual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Actor engagement, customer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Actor engagement involves resource investments in service system interactions, influenced by dynamic network interactions, derived from customer engagement propositions.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A167E" w:rsidRPr="00C92A5A" w:rsidTr="007756B4">
        <w:tc>
          <w:tcPr>
            <w:tcW w:w="156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Kahu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(2019)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Self-efficacy, belonging, emotions, and well-being are intertwined factors in student engagement, reflecting its dynamic nature.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8789" w:type="dxa"/>
            <w:gridSpan w:val="14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A167E" w:rsidRPr="00C92A5A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92A5A"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                                    </w:t>
      </w:r>
      <w:r w:rsidRPr="00C92A5A"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>(continued)</w:t>
      </w:r>
    </w:p>
    <w:p w:rsidR="006A167E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</w:p>
    <w:p w:rsidR="003404A8" w:rsidRDefault="003404A8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3404A8" w:rsidRPr="00C92A5A" w:rsidRDefault="003404A8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A167E" w:rsidRPr="00C92A5A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</w:tblGrid>
      <w:tr w:rsidR="006A167E" w:rsidRPr="00C92A5A" w:rsidTr="007756B4">
        <w:tc>
          <w:tcPr>
            <w:tcW w:w="8789" w:type="dxa"/>
            <w:gridSpan w:val="14"/>
          </w:tcPr>
          <w:p w:rsidR="006A167E" w:rsidRPr="00B77ED2" w:rsidRDefault="006A167E" w:rsidP="007756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Appendix</w:t>
            </w:r>
            <w:r w:rsidRPr="00415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A.</w:t>
            </w:r>
            <w:r w:rsidRPr="00C9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ED2">
              <w:rPr>
                <w:rFonts w:ascii="Times New Roman" w:hAnsi="Times New Roman" w:cs="Times New Roman"/>
                <w:bCs/>
                <w:sz w:val="24"/>
                <w:szCs w:val="24"/>
              </w:rPr>
              <w:t>(continued)</w:t>
            </w:r>
          </w:p>
        </w:tc>
      </w:tr>
      <w:tr w:rsidR="006A167E" w:rsidRPr="00C92A5A" w:rsidTr="007756B4"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cantSplit/>
          <w:trHeight w:val="11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Ryan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(2019)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and 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Student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 xml:space="preserve">Perception of support has the strongest influence on levels of engagement and how they change over time. 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Alessandri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(2018)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Work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Absolute levels and increases in psychological capital predict work engagement increases, which predicts job performance increases.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Fehrer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(2018)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Strong ties to network actors increase engagement, and once engagement behaviour has been triggered, increased engagement disposition follows (crowding-in effect).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trHeight w:val="703"/>
        </w:trPr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(2018)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Conceptual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Actor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Conceptualizes engagement valence as a dynamic element of engagement, shifting among positive, negative, and ambivalence.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trHeight w:val="416"/>
        </w:trPr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Lievonen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(2018)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Conceptual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and stakeholder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Describes negative engagement as a process with several stages.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rPr>
          <w:trHeight w:val="703"/>
        </w:trPr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Van </w:t>
            </w: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Mierlo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Bakker (2018)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Task-specific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Group member engagement scores converge over time, especially when the most engaged member initially was highly engaged, supporting the proposed crossover effect.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8789" w:type="dxa"/>
            <w:gridSpan w:val="14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before="240" w:after="0" w:line="240" w:lineRule="auto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</w:t>
            </w:r>
            <w:r w:rsidRPr="00C92A5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(continued)     </w:t>
            </w:r>
          </w:p>
        </w:tc>
      </w:tr>
    </w:tbl>
    <w:p w:rsidR="006A167E" w:rsidRPr="00C92A5A" w:rsidRDefault="006A167E" w:rsidP="006A167E">
      <w:pPr>
        <w:spacing w:before="240"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A167E" w:rsidRPr="00C92A5A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A167E" w:rsidRPr="00C92A5A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</w:tblGrid>
      <w:tr w:rsidR="006A167E" w:rsidRPr="00C92A5A" w:rsidTr="007756B4">
        <w:tc>
          <w:tcPr>
            <w:tcW w:w="8789" w:type="dxa"/>
            <w:gridSpan w:val="14"/>
          </w:tcPr>
          <w:p w:rsidR="006A167E" w:rsidRPr="00B77ED2" w:rsidRDefault="006A167E" w:rsidP="007756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Appendix</w:t>
            </w:r>
            <w:r w:rsidRPr="00415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A.</w:t>
            </w:r>
            <w:r w:rsidRPr="00C9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ED2">
              <w:rPr>
                <w:rFonts w:ascii="Times New Roman" w:hAnsi="Times New Roman" w:cs="Times New Roman"/>
                <w:bCs/>
                <w:sz w:val="24"/>
                <w:szCs w:val="24"/>
              </w:rPr>
              <w:t>(continued)</w:t>
            </w:r>
          </w:p>
        </w:tc>
      </w:tr>
      <w:tr w:rsidR="006A167E" w:rsidRPr="00C92A5A" w:rsidTr="007756B4"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cantSplit/>
          <w:trHeight w:val="11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2A7FB9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Taboada </w:t>
            </w:r>
            <w:r w:rsidR="006A167E"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Barber </w:t>
            </w:r>
            <w:r w:rsidR="006A167E"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="006A167E"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(2017)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Student engagement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Emotional engagement predicts changes in behavioural engagement.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  <w:shd w:val="clear" w:color="auto" w:fill="FFFFFF" w:themeFill="background1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Bowden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(2017)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Consumer engagement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shd w:val="clear" w:color="auto" w:fill="FFFFFF" w:themeFill="background1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 xml:space="preserve">Engagement </w:t>
            </w:r>
            <w:proofErr w:type="spellStart"/>
            <w:r w:rsidRPr="00C92A5A">
              <w:rPr>
                <w:rFonts w:ascii="Times New Roman" w:hAnsi="Times New Roman" w:cs="Times New Roman"/>
              </w:rPr>
              <w:t>spillover</w:t>
            </w:r>
            <w:proofErr w:type="spellEnd"/>
            <w:r w:rsidRPr="00C92A5A">
              <w:rPr>
                <w:rFonts w:ascii="Times New Roman" w:hAnsi="Times New Roman" w:cs="Times New Roman"/>
              </w:rPr>
              <w:t xml:space="preserve"> effects occur among multiple objects, both positively and negatively oriented.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Goswami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</w:t>
            </w: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Urminsky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(2017)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Quantitative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</w:rPr>
              <w:t>After an incentive ends, engagement initially decreases but eventually returns to a baseline level that equals or surpasses the initial level.</w:t>
            </w:r>
          </w:p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Leclercq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(2017)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Identifies four user profiles and tracks their dynamic engagement over time on a gamified co-creation platform.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Laguna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(2017)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Work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Dynamic interrelation between personal resources and work engagement occurs over time. Resource gain spirals are not confirmed.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 (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2017)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Actor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Engagement conditions shape appraisals, leading to properties and outcomes that set the stage for future iterations.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Bowden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(2015)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Prior engagement levels significantly affect subsequent disengagement tendencies.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8789" w:type="dxa"/>
            <w:gridSpan w:val="14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A167E" w:rsidRPr="00B57EE9" w:rsidRDefault="006A167E" w:rsidP="006A167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</w:pPr>
      <w:r w:rsidRPr="00C92A5A"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                                    </w:t>
      </w:r>
      <w:r w:rsidRPr="00C92A5A"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(continued)</w:t>
      </w: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3404A8" w:rsidRPr="00C92A5A" w:rsidRDefault="003404A8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</w:tblGrid>
      <w:tr w:rsidR="006A167E" w:rsidRPr="00C92A5A" w:rsidTr="007756B4">
        <w:tc>
          <w:tcPr>
            <w:tcW w:w="8789" w:type="dxa"/>
            <w:gridSpan w:val="14"/>
          </w:tcPr>
          <w:p w:rsidR="006A167E" w:rsidRPr="00C92A5A" w:rsidRDefault="006A167E" w:rsidP="0077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Appendix</w:t>
            </w:r>
            <w:r w:rsidRPr="00415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A.</w:t>
            </w:r>
            <w:r w:rsidRPr="00C9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A5A">
              <w:rPr>
                <w:rFonts w:ascii="Times New Roman" w:hAnsi="Times New Roman" w:cs="Times New Roman"/>
                <w:bCs/>
                <w:sz w:val="24"/>
                <w:szCs w:val="24"/>
              </w:rPr>
              <w:t>(continued)</w:t>
            </w:r>
          </w:p>
        </w:tc>
      </w:tr>
      <w:tr w:rsidR="006A167E" w:rsidRPr="00C92A5A" w:rsidTr="007756B4"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C92A5A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cantSplit/>
          <w:trHeight w:val="11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C92A5A" w:rsidRDefault="006A167E" w:rsidP="007756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Chandler and </w:t>
            </w: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Lusch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(2015)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Conceptual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Customer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Iterative and interactive processes of value proposition and engagement in the phases of service experience as a many-to-many engagement process.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Bakker (2014)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Literature review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Employee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Fluctuations in work engagement are a function of daily job and personal resources changes.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Brodie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(2013)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Qualitative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Consumer engagement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Dynamic consumer engagement is influenced by actor interaction with themes and the online community.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Culbertson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(2012)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Work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 effects occur from work engagement to family life.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Bakker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(2011)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Literature review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Work engagement 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Engagement shows day-to-day and moment-to-moment temporal dynamics.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Bakker and </w:t>
            </w: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Xanthoppolou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(2009)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Work engagement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Daily work engagement crosses over, especially on days with increased dyadic interactions.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Xanthopoulou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et al. 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(2009)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Work engagement </w:t>
            </w:r>
          </w:p>
        </w:tc>
        <w:tc>
          <w:tcPr>
            <w:tcW w:w="1842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Day-level job resources affect work engagement through day-level personal resources.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1560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>Xanthopoulou</w:t>
            </w:r>
            <w:proofErr w:type="spellEnd"/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92A5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et al.</w:t>
            </w:r>
            <w:r w:rsidRPr="00C92A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(2009)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 xml:space="preserve">Work engagement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Mutual relationship between job and personal resources and work engagement emerges over time, with each influencing the other.</w:t>
            </w:r>
          </w:p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92A5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67E" w:rsidRPr="00C92A5A" w:rsidTr="007756B4">
        <w:tc>
          <w:tcPr>
            <w:tcW w:w="8789" w:type="dxa"/>
            <w:gridSpan w:val="14"/>
            <w:tcBorders>
              <w:top w:val="single" w:sz="4" w:space="0" w:color="auto"/>
            </w:tcBorders>
          </w:tcPr>
          <w:p w:rsidR="006A167E" w:rsidRPr="00C92A5A" w:rsidRDefault="006A167E" w:rsidP="007756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A167E" w:rsidRPr="00C92A5A" w:rsidRDefault="006A167E" w:rsidP="006A16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92A5A"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 xml:space="preserve">                                               </w:t>
      </w:r>
      <w:r w:rsidRPr="00C92A5A">
        <w:rPr>
          <w:rFonts w:ascii="Times New Roman" w:eastAsia="Times New Roman" w:hAnsi="Times New Roman" w:cs="Times New Roman"/>
          <w:i/>
          <w:sz w:val="18"/>
          <w:szCs w:val="18"/>
          <w:lang w:eastAsia="de-DE"/>
        </w:rPr>
        <w:t>(continued)</w:t>
      </w: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</w:tblGrid>
      <w:tr w:rsidR="006A167E" w:rsidRPr="00C92A5A" w:rsidTr="007756B4">
        <w:tc>
          <w:tcPr>
            <w:tcW w:w="8789" w:type="dxa"/>
            <w:gridSpan w:val="14"/>
          </w:tcPr>
          <w:p w:rsidR="006A167E" w:rsidRPr="00C92A5A" w:rsidRDefault="006A167E" w:rsidP="0077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Appendix </w:t>
            </w:r>
            <w:r w:rsidRPr="00415F38">
              <w:rPr>
                <w:rFonts w:ascii="Times New Roman" w:hAnsi="Times New Roman" w:cs="Times New Roman"/>
                <w:b/>
                <w:sz w:val="24"/>
                <w:szCs w:val="24"/>
              </w:rPr>
              <w:t>– A.</w:t>
            </w:r>
            <w:r w:rsidRPr="00C9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A5A">
              <w:rPr>
                <w:rFonts w:ascii="Times New Roman" w:hAnsi="Times New Roman" w:cs="Times New Roman"/>
                <w:bCs/>
                <w:sz w:val="24"/>
                <w:szCs w:val="24"/>
              </w:rPr>
              <w:t>(continued)</w:t>
            </w:r>
          </w:p>
        </w:tc>
      </w:tr>
      <w:tr w:rsidR="006A167E" w:rsidRPr="00C92A5A" w:rsidTr="007756B4"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A167E" w:rsidRPr="00B57EE9" w:rsidRDefault="006A167E" w:rsidP="007756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b/>
                <w:sz w:val="18"/>
                <w:szCs w:val="18"/>
              </w:rPr>
              <w:t>Article</w:t>
            </w:r>
          </w:p>
          <w:p w:rsidR="006A167E" w:rsidRPr="00B57EE9" w:rsidRDefault="006A167E" w:rsidP="007756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b/>
                <w:sz w:val="18"/>
                <w:szCs w:val="18"/>
              </w:rPr>
              <w:t>Approach</w:t>
            </w:r>
          </w:p>
          <w:p w:rsidR="006A167E" w:rsidRPr="00B57EE9" w:rsidRDefault="006A167E" w:rsidP="007756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b/>
                <w:sz w:val="18"/>
                <w:szCs w:val="18"/>
              </w:rPr>
              <w:t>Main Focus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A167E" w:rsidRPr="00B57EE9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  <w:r w:rsidRPr="00B57EE9">
              <w:rPr>
                <w:rFonts w:ascii="Times New Roman" w:hAnsi="Times New Roman" w:cs="Times New Roman"/>
                <w:b/>
              </w:rPr>
              <w:t>Critical Contributions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</w:tcPr>
          <w:p w:rsidR="006A167E" w:rsidRPr="00B57EE9" w:rsidRDefault="006A167E" w:rsidP="007756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b/>
                <w:sz w:val="18"/>
                <w:szCs w:val="18"/>
              </w:rPr>
              <w:t>Dynamic Elements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A167E" w:rsidRPr="00B57EE9" w:rsidRDefault="006A167E" w:rsidP="007756B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b/>
                <w:sz w:val="18"/>
                <w:szCs w:val="18"/>
              </w:rPr>
              <w:t>Triggers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6A167E" w:rsidRPr="00B57EE9" w:rsidRDefault="006A167E" w:rsidP="007756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b/>
                <w:sz w:val="18"/>
                <w:szCs w:val="18"/>
              </w:rPr>
              <w:t>Mechanisms</w:t>
            </w:r>
          </w:p>
        </w:tc>
      </w:tr>
      <w:tr w:rsidR="006A167E" w:rsidRPr="00C92A5A" w:rsidTr="007756B4">
        <w:trPr>
          <w:cantSplit/>
          <w:trHeight w:val="11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A167E" w:rsidRPr="00B57EE9" w:rsidRDefault="006A167E" w:rsidP="007756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A167E" w:rsidRPr="00B57EE9" w:rsidRDefault="006A167E" w:rsidP="007756B4">
            <w:pPr>
              <w:pStyle w:val="BalloonText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Disposition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Activity of engaging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Valence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Intensity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Dimensions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Focal object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objects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Other actors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Interaction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Spillover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A167E" w:rsidRPr="00B57EE9" w:rsidRDefault="006A167E" w:rsidP="007756B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57EE9">
              <w:rPr>
                <w:rFonts w:ascii="Times New Roman" w:hAnsi="Times New Roman" w:cs="Times New Roman"/>
                <w:sz w:val="18"/>
                <w:szCs w:val="18"/>
              </w:rPr>
              <w:t>Crossover</w:t>
            </w:r>
          </w:p>
        </w:tc>
      </w:tr>
      <w:tr w:rsidR="006A167E" w:rsidRPr="00C92A5A" w:rsidTr="007756B4">
        <w:tc>
          <w:tcPr>
            <w:tcW w:w="8789" w:type="dxa"/>
            <w:gridSpan w:val="14"/>
            <w:tcBorders>
              <w:top w:val="single" w:sz="4" w:space="0" w:color="auto"/>
            </w:tcBorders>
          </w:tcPr>
          <w:tbl>
            <w:tblPr>
              <w:tblW w:w="8789" w:type="dxa"/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1842"/>
              <w:gridCol w:w="426"/>
              <w:gridCol w:w="567"/>
              <w:gridCol w:w="425"/>
              <w:gridCol w:w="425"/>
              <w:gridCol w:w="425"/>
              <w:gridCol w:w="426"/>
              <w:gridCol w:w="567"/>
              <w:gridCol w:w="425"/>
              <w:gridCol w:w="425"/>
              <w:gridCol w:w="425"/>
              <w:gridCol w:w="426"/>
              <w:gridCol w:w="425"/>
            </w:tblGrid>
            <w:tr w:rsidR="006A167E" w:rsidRPr="00B57EE9" w:rsidTr="007756B4">
              <w:tc>
                <w:tcPr>
                  <w:tcW w:w="1560" w:type="dxa"/>
                </w:tcPr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Hakanen</w:t>
                  </w:r>
                  <w:proofErr w:type="spellEnd"/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</w:t>
                  </w:r>
                  <w:r w:rsidRPr="00B57EE9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et al.</w:t>
                  </w:r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(2008)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Quantitative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Work engagement 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6A167E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Positive and reciprocal links exist among job resources, engagement, and personal initiative.</w:t>
                  </w:r>
                </w:p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567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6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A167E" w:rsidRPr="00B57EE9" w:rsidTr="007756B4">
              <w:tc>
                <w:tcPr>
                  <w:tcW w:w="1560" w:type="dxa"/>
                </w:tcPr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Skinner </w:t>
                  </w:r>
                  <w:r w:rsidRPr="00B57EE9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et al.</w:t>
                  </w:r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(2008)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Quantitative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Student engagement </w:t>
                  </w:r>
                </w:p>
              </w:tc>
              <w:tc>
                <w:tcPr>
                  <w:tcW w:w="1842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Emotional engagement influences behavioural engagement, but the reverse relationship is not observed.</w:t>
                  </w:r>
                </w:p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A167E" w:rsidRPr="00B57EE9" w:rsidTr="007756B4"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Bakker </w:t>
                  </w:r>
                  <w:r w:rsidRPr="00B57EE9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et al.</w:t>
                  </w:r>
                  <w:r w:rsidRPr="00B57E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(2005)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Quantitative</w:t>
                  </w:r>
                </w:p>
                <w:p w:rsidR="006A167E" w:rsidRPr="00B57EE9" w:rsidRDefault="006A167E" w:rsidP="007756B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Work engagement </w:t>
                  </w: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Offers evidence of the cross-over of burnout and work engagement among partners.</w:t>
                  </w: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6A167E" w:rsidRPr="00B57EE9" w:rsidRDefault="006A167E" w:rsidP="007756B4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57EE9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</w:tr>
          </w:tbl>
          <w:p w:rsidR="00872E91" w:rsidRDefault="00872E91" w:rsidP="00872E91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Source: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Authors’ own work</w:t>
            </w:r>
          </w:p>
          <w:p w:rsidR="006A167E" w:rsidRPr="00B57EE9" w:rsidRDefault="006A167E" w:rsidP="007756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167E" w:rsidRPr="00B57EE9" w:rsidRDefault="006A167E" w:rsidP="007756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p w:rsidR="006A167E" w:rsidRPr="00C92A5A" w:rsidRDefault="006A167E" w:rsidP="006A167E">
      <w:pPr>
        <w:rPr>
          <w:rFonts w:ascii="Times New Roman" w:hAnsi="Times New Roman" w:cs="Times New Roman"/>
          <w:b/>
          <w:sz w:val="24"/>
          <w:szCs w:val="24"/>
        </w:rPr>
      </w:pPr>
    </w:p>
    <w:sectPr w:rsidR="006A167E" w:rsidRPr="00C92A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619"/>
    <w:multiLevelType w:val="hybridMultilevel"/>
    <w:tmpl w:val="EAD484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D7DA1"/>
    <w:multiLevelType w:val="multilevel"/>
    <w:tmpl w:val="D9705F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B20656"/>
    <w:multiLevelType w:val="hybridMultilevel"/>
    <w:tmpl w:val="8DA45C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8244E"/>
    <w:multiLevelType w:val="hybridMultilevel"/>
    <w:tmpl w:val="0F686C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F199E"/>
    <w:multiLevelType w:val="hybridMultilevel"/>
    <w:tmpl w:val="A7B09C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90BE9"/>
    <w:multiLevelType w:val="hybridMultilevel"/>
    <w:tmpl w:val="550E8B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C5607"/>
    <w:multiLevelType w:val="hybridMultilevel"/>
    <w:tmpl w:val="6A0244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9461E"/>
    <w:multiLevelType w:val="hybridMultilevel"/>
    <w:tmpl w:val="A94C56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91B54"/>
    <w:multiLevelType w:val="hybridMultilevel"/>
    <w:tmpl w:val="25F69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A7FF6"/>
    <w:multiLevelType w:val="hybridMultilevel"/>
    <w:tmpl w:val="C8141C5E"/>
    <w:lvl w:ilvl="0" w:tplc="68B0881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146801"/>
    <w:multiLevelType w:val="hybridMultilevel"/>
    <w:tmpl w:val="670E18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44F7D"/>
    <w:multiLevelType w:val="multilevel"/>
    <w:tmpl w:val="65A603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0301137"/>
    <w:multiLevelType w:val="hybridMultilevel"/>
    <w:tmpl w:val="2B8044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B3AA3"/>
    <w:multiLevelType w:val="hybridMultilevel"/>
    <w:tmpl w:val="2E68A4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96108"/>
    <w:multiLevelType w:val="hybridMultilevel"/>
    <w:tmpl w:val="6CE028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50A32"/>
    <w:multiLevelType w:val="hybridMultilevel"/>
    <w:tmpl w:val="83D61C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9171EE"/>
    <w:multiLevelType w:val="hybridMultilevel"/>
    <w:tmpl w:val="A3766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82014A"/>
    <w:multiLevelType w:val="hybridMultilevel"/>
    <w:tmpl w:val="A0EAB4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D7583"/>
    <w:multiLevelType w:val="hybridMultilevel"/>
    <w:tmpl w:val="F03E2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D5DF7"/>
    <w:multiLevelType w:val="hybridMultilevel"/>
    <w:tmpl w:val="36B29B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8D12D9"/>
    <w:multiLevelType w:val="hybridMultilevel"/>
    <w:tmpl w:val="3CEA4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F2667"/>
    <w:multiLevelType w:val="hybridMultilevel"/>
    <w:tmpl w:val="CF5EC3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3F5081"/>
    <w:multiLevelType w:val="hybridMultilevel"/>
    <w:tmpl w:val="33665A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35E1E"/>
    <w:multiLevelType w:val="hybridMultilevel"/>
    <w:tmpl w:val="03540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37333"/>
    <w:multiLevelType w:val="multilevel"/>
    <w:tmpl w:val="5C9672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CF22D9B"/>
    <w:multiLevelType w:val="hybridMultilevel"/>
    <w:tmpl w:val="834A42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708AF"/>
    <w:multiLevelType w:val="multilevel"/>
    <w:tmpl w:val="615C68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2902DA5"/>
    <w:multiLevelType w:val="hybridMultilevel"/>
    <w:tmpl w:val="ED6ABCE4"/>
    <w:lvl w:ilvl="0" w:tplc="0407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5AC164D8"/>
    <w:multiLevelType w:val="hybridMultilevel"/>
    <w:tmpl w:val="ECDA02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FF1683"/>
    <w:multiLevelType w:val="hybridMultilevel"/>
    <w:tmpl w:val="8F448F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1333C8"/>
    <w:multiLevelType w:val="multilevel"/>
    <w:tmpl w:val="9E524C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28" w:hanging="1800"/>
      </w:pPr>
      <w:rPr>
        <w:rFonts w:hint="default"/>
      </w:rPr>
    </w:lvl>
  </w:abstractNum>
  <w:abstractNum w:abstractNumId="31" w15:restartNumberingAfterBreak="0">
    <w:nsid w:val="654E2DAF"/>
    <w:multiLevelType w:val="hybridMultilevel"/>
    <w:tmpl w:val="8BE4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A01EF"/>
    <w:multiLevelType w:val="hybridMultilevel"/>
    <w:tmpl w:val="0AD869CE"/>
    <w:lvl w:ilvl="0" w:tplc="6E7E6488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D3F4A83"/>
    <w:multiLevelType w:val="multilevel"/>
    <w:tmpl w:val="763C81D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6E853817"/>
    <w:multiLevelType w:val="hybridMultilevel"/>
    <w:tmpl w:val="EEAAA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44DB7"/>
    <w:multiLevelType w:val="hybridMultilevel"/>
    <w:tmpl w:val="7EE0FB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E6777"/>
    <w:multiLevelType w:val="hybridMultilevel"/>
    <w:tmpl w:val="15B06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F4435"/>
    <w:multiLevelType w:val="hybridMultilevel"/>
    <w:tmpl w:val="C0228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F32408"/>
    <w:multiLevelType w:val="hybridMultilevel"/>
    <w:tmpl w:val="6E9601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C66F33"/>
    <w:multiLevelType w:val="hybridMultilevel"/>
    <w:tmpl w:val="B4025B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6"/>
  </w:num>
  <w:num w:numId="3">
    <w:abstractNumId w:val="14"/>
  </w:num>
  <w:num w:numId="4">
    <w:abstractNumId w:val="23"/>
  </w:num>
  <w:num w:numId="5">
    <w:abstractNumId w:val="37"/>
  </w:num>
  <w:num w:numId="6">
    <w:abstractNumId w:val="29"/>
  </w:num>
  <w:num w:numId="7">
    <w:abstractNumId w:val="28"/>
  </w:num>
  <w:num w:numId="8">
    <w:abstractNumId w:val="25"/>
  </w:num>
  <w:num w:numId="9">
    <w:abstractNumId w:val="6"/>
  </w:num>
  <w:num w:numId="10">
    <w:abstractNumId w:val="27"/>
  </w:num>
  <w:num w:numId="11">
    <w:abstractNumId w:val="17"/>
  </w:num>
  <w:num w:numId="12">
    <w:abstractNumId w:val="2"/>
  </w:num>
  <w:num w:numId="13">
    <w:abstractNumId w:val="15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  <w:num w:numId="18">
    <w:abstractNumId w:val="35"/>
  </w:num>
  <w:num w:numId="19">
    <w:abstractNumId w:val="19"/>
  </w:num>
  <w:num w:numId="20">
    <w:abstractNumId w:val="13"/>
  </w:num>
  <w:num w:numId="21">
    <w:abstractNumId w:val="38"/>
  </w:num>
  <w:num w:numId="22">
    <w:abstractNumId w:val="0"/>
  </w:num>
  <w:num w:numId="23">
    <w:abstractNumId w:val="4"/>
  </w:num>
  <w:num w:numId="24">
    <w:abstractNumId w:val="34"/>
  </w:num>
  <w:num w:numId="25">
    <w:abstractNumId w:val="16"/>
  </w:num>
  <w:num w:numId="26">
    <w:abstractNumId w:val="5"/>
  </w:num>
  <w:num w:numId="27">
    <w:abstractNumId w:val="18"/>
  </w:num>
  <w:num w:numId="28">
    <w:abstractNumId w:val="31"/>
  </w:num>
  <w:num w:numId="29">
    <w:abstractNumId w:val="33"/>
  </w:num>
  <w:num w:numId="30">
    <w:abstractNumId w:val="11"/>
  </w:num>
  <w:num w:numId="31">
    <w:abstractNumId w:val="22"/>
  </w:num>
  <w:num w:numId="32">
    <w:abstractNumId w:val="32"/>
  </w:num>
  <w:num w:numId="33">
    <w:abstractNumId w:val="20"/>
  </w:num>
  <w:num w:numId="34">
    <w:abstractNumId w:val="39"/>
  </w:num>
  <w:num w:numId="35">
    <w:abstractNumId w:val="10"/>
  </w:num>
  <w:num w:numId="36">
    <w:abstractNumId w:val="9"/>
  </w:num>
  <w:num w:numId="37">
    <w:abstractNumId w:val="30"/>
  </w:num>
  <w:num w:numId="38">
    <w:abstractNumId w:val="26"/>
  </w:num>
  <w:num w:numId="39">
    <w:abstractNumId w:val="24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7E"/>
    <w:rsid w:val="000259BA"/>
    <w:rsid w:val="0007764D"/>
    <w:rsid w:val="002A7FB9"/>
    <w:rsid w:val="003404A8"/>
    <w:rsid w:val="0039557D"/>
    <w:rsid w:val="006A167E"/>
    <w:rsid w:val="006C52DD"/>
    <w:rsid w:val="006E0FFF"/>
    <w:rsid w:val="00800647"/>
    <w:rsid w:val="00872E91"/>
    <w:rsid w:val="00917D3B"/>
    <w:rsid w:val="00AC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A5D48"/>
  <w15:chartTrackingRefBased/>
  <w15:docId w15:val="{C0EEF425-C12F-4DEA-9FDB-468E97010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67E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67E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67E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67E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i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67E"/>
    <w:rPr>
      <w:rFonts w:ascii="Times New Roman" w:eastAsiaTheme="majorEastAsia" w:hAnsi="Times New Roman" w:cstheme="majorBidi"/>
      <w:b/>
      <w:color w:val="000000" w:themeColor="text1"/>
      <w:sz w:val="40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6A167E"/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6A167E"/>
    <w:rPr>
      <w:rFonts w:ascii="Times New Roman" w:eastAsiaTheme="majorEastAsia" w:hAnsi="Times New Roman" w:cstheme="majorBidi"/>
      <w:i/>
      <w:color w:val="000000" w:themeColor="text1"/>
      <w:sz w:val="24"/>
      <w:szCs w:val="24"/>
      <w:lang w:val="en-AU"/>
    </w:rPr>
  </w:style>
  <w:style w:type="paragraph" w:styleId="ListParagraph">
    <w:name w:val="List Paragraph"/>
    <w:basedOn w:val="Normal"/>
    <w:uiPriority w:val="34"/>
    <w:qFormat/>
    <w:rsid w:val="006A16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16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16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167E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6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67E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67E"/>
    <w:rPr>
      <w:rFonts w:ascii="Segoe UI" w:hAnsi="Segoe UI" w:cs="Segoe UI"/>
      <w:sz w:val="18"/>
      <w:szCs w:val="18"/>
      <w:lang w:val="en-AU"/>
    </w:rPr>
  </w:style>
  <w:style w:type="paragraph" w:customStyle="1" w:styleId="Default">
    <w:name w:val="Default"/>
    <w:rsid w:val="006A16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39"/>
    <w:rsid w:val="006A1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1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67E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6A1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67E"/>
    <w:rPr>
      <w:lang w:val="en-AU"/>
    </w:rPr>
  </w:style>
  <w:style w:type="character" w:styleId="Hyperlink">
    <w:name w:val="Hyperlink"/>
    <w:basedOn w:val="DefaultParagraphFont"/>
    <w:uiPriority w:val="99"/>
    <w:unhideWhenUsed/>
    <w:rsid w:val="006A16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167E"/>
    <w:rPr>
      <w:color w:val="605E5C"/>
      <w:shd w:val="clear" w:color="auto" w:fill="E1DFDD"/>
    </w:rPr>
  </w:style>
  <w:style w:type="paragraph" w:styleId="NoSpacing">
    <w:name w:val="No Spacing"/>
    <w:next w:val="Normal"/>
    <w:uiPriority w:val="1"/>
    <w:qFormat/>
    <w:rsid w:val="006A167E"/>
    <w:pPr>
      <w:spacing w:after="0" w:line="240" w:lineRule="auto"/>
    </w:pPr>
    <w:rPr>
      <w:rFonts w:ascii="Times New Roman" w:hAnsi="Times New Roman"/>
      <w:b/>
      <w:sz w:val="24"/>
      <w:lang w:val="en-AU"/>
    </w:rPr>
  </w:style>
  <w:style w:type="paragraph" w:styleId="Caption">
    <w:name w:val="caption"/>
    <w:basedOn w:val="Normal"/>
    <w:next w:val="Normal"/>
    <w:uiPriority w:val="35"/>
    <w:unhideWhenUsed/>
    <w:qFormat/>
    <w:rsid w:val="006A16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6A167E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de-DE"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6A167E"/>
    <w:pPr>
      <w:spacing w:after="100"/>
      <w:ind w:left="220"/>
    </w:pPr>
    <w:rPr>
      <w:rFonts w:eastAsiaTheme="minorEastAsia" w:cs="Times New Roman"/>
      <w:lang w:val="de-DE"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6A167E"/>
    <w:pPr>
      <w:spacing w:after="100"/>
    </w:pPr>
    <w:rPr>
      <w:rFonts w:eastAsiaTheme="minorEastAsia" w:cs="Times New Roman"/>
      <w:lang w:val="de-DE"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6A167E"/>
    <w:pPr>
      <w:tabs>
        <w:tab w:val="right" w:leader="dot" w:pos="8493"/>
      </w:tabs>
      <w:spacing w:after="100"/>
    </w:pPr>
    <w:rPr>
      <w:rFonts w:ascii="Times New Roman" w:eastAsiaTheme="minorEastAsia" w:hAnsi="Times New Roman" w:cs="Times New Roman"/>
      <w:noProof/>
      <w:sz w:val="24"/>
      <w:szCs w:val="24"/>
      <w:lang w:val="de-DE" w:eastAsia="de-DE"/>
    </w:rPr>
  </w:style>
  <w:style w:type="paragraph" w:customStyle="1" w:styleId="whitespace-pre-wrap">
    <w:name w:val="whitespace-pre-wrap"/>
    <w:basedOn w:val="Normal"/>
    <w:rsid w:val="006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ableofFigures">
    <w:name w:val="table of figures"/>
    <w:basedOn w:val="Normal"/>
    <w:next w:val="Normal"/>
    <w:uiPriority w:val="99"/>
    <w:unhideWhenUsed/>
    <w:rsid w:val="006A167E"/>
    <w:pPr>
      <w:spacing w:after="0"/>
    </w:pPr>
  </w:style>
  <w:style w:type="paragraph" w:styleId="Revision">
    <w:name w:val="Revision"/>
    <w:hidden/>
    <w:uiPriority w:val="99"/>
    <w:semiHidden/>
    <w:rsid w:val="006A167E"/>
    <w:pPr>
      <w:spacing w:after="0" w:line="240" w:lineRule="auto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1611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Fachhochschule Münster</Company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Uude</dc:creator>
  <cp:keywords/>
  <dc:description/>
  <cp:lastModifiedBy>Aditi Shedge</cp:lastModifiedBy>
  <cp:revision>4</cp:revision>
  <dcterms:created xsi:type="dcterms:W3CDTF">2025-09-12T07:42:00Z</dcterms:created>
  <dcterms:modified xsi:type="dcterms:W3CDTF">2025-10-03T08:00:00Z</dcterms:modified>
</cp:coreProperties>
</file>