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FA7" w:rsidRDefault="00406FA7" w:rsidP="00F8422A">
      <w:pPr>
        <w:pStyle w:val="Heading3"/>
        <w:rPr>
          <w:b/>
          <w:i w:val="0"/>
        </w:rPr>
      </w:pPr>
      <w:bookmarkStart w:id="0" w:name="_Toc185403922"/>
      <w:r>
        <w:rPr>
          <w:b/>
          <w:i w:val="0"/>
        </w:rPr>
        <w:t>Web-Appendix</w:t>
      </w:r>
      <w:bookmarkStart w:id="1" w:name="_GoBack"/>
      <w:bookmarkEnd w:id="1"/>
    </w:p>
    <w:p w:rsidR="00F8422A" w:rsidRPr="00A572A3" w:rsidRDefault="00F8422A" w:rsidP="00F8422A">
      <w:pPr>
        <w:pStyle w:val="Heading3"/>
        <w:rPr>
          <w:i w:val="0"/>
        </w:rPr>
      </w:pPr>
      <w:r w:rsidRPr="00A572A3">
        <w:rPr>
          <w:b/>
          <w:i w:val="0"/>
        </w:rPr>
        <w:t>Appendix</w:t>
      </w:r>
      <w:r w:rsidRPr="00A572A3">
        <w:rPr>
          <w:i w:val="0"/>
        </w:rPr>
        <w:t xml:space="preserve"> </w:t>
      </w:r>
      <w:r w:rsidRPr="00AE4EFB">
        <w:rPr>
          <w:b/>
          <w:i w:val="0"/>
        </w:rPr>
        <w:t>– B</w:t>
      </w:r>
      <w:r w:rsidRPr="00A572A3">
        <w:rPr>
          <w:i w:val="0"/>
        </w:rPr>
        <w:t>. Literature dealing indirectly with the dynamic nature of engagement</w:t>
      </w:r>
      <w:bookmarkEnd w:id="0"/>
    </w:p>
    <w:tbl>
      <w:tblPr>
        <w:tblW w:w="8883" w:type="dxa"/>
        <w:tblInd w:w="-5" w:type="dxa"/>
        <w:tblLayout w:type="fixed"/>
        <w:tblLook w:val="04A0" w:firstRow="1" w:lastRow="0" w:firstColumn="1" w:lastColumn="0" w:noHBand="0" w:noVBand="1"/>
      </w:tblPr>
      <w:tblGrid>
        <w:gridCol w:w="1574"/>
        <w:gridCol w:w="1860"/>
        <w:gridCol w:w="430"/>
        <w:gridCol w:w="573"/>
        <w:gridCol w:w="429"/>
        <w:gridCol w:w="429"/>
        <w:gridCol w:w="431"/>
        <w:gridCol w:w="430"/>
        <w:gridCol w:w="573"/>
        <w:gridCol w:w="429"/>
        <w:gridCol w:w="430"/>
        <w:gridCol w:w="429"/>
        <w:gridCol w:w="430"/>
        <w:gridCol w:w="429"/>
        <w:gridCol w:w="7"/>
      </w:tblGrid>
      <w:tr w:rsidR="00F8422A" w:rsidRPr="00C92A5A" w:rsidTr="00040F36">
        <w:trPr>
          <w:trHeight w:val="304"/>
        </w:trPr>
        <w:tc>
          <w:tcPr>
            <w:tcW w:w="8883" w:type="dxa"/>
            <w:gridSpan w:val="15"/>
          </w:tcPr>
          <w:p w:rsidR="00F8422A" w:rsidRPr="00C92A5A" w:rsidRDefault="00F8422A" w:rsidP="00040F36">
            <w:pPr>
              <w:spacing w:after="0" w:line="240" w:lineRule="auto"/>
              <w:rPr>
                <w:rFonts w:ascii="Times New Roman" w:hAnsi="Times New Roman" w:cs="Times New Roman"/>
                <w:b/>
                <w:sz w:val="18"/>
                <w:szCs w:val="18"/>
              </w:rPr>
            </w:pPr>
          </w:p>
        </w:tc>
      </w:tr>
      <w:tr w:rsidR="00F8422A" w:rsidRPr="00C92A5A" w:rsidTr="00040F36">
        <w:trPr>
          <w:trHeight w:val="136"/>
        </w:trPr>
        <w:tc>
          <w:tcPr>
            <w:tcW w:w="1574" w:type="dxa"/>
            <w:vMerge w:val="restart"/>
            <w:tcBorders>
              <w:top w:val="single" w:sz="4" w:space="0" w:color="auto"/>
            </w:tcBorders>
          </w:tcPr>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Article</w:t>
            </w:r>
          </w:p>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Approach</w:t>
            </w:r>
          </w:p>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Main Focus</w:t>
            </w:r>
          </w:p>
        </w:tc>
        <w:tc>
          <w:tcPr>
            <w:tcW w:w="1860" w:type="dxa"/>
            <w:vMerge w:val="restart"/>
            <w:tcBorders>
              <w:top w:val="single" w:sz="4" w:space="0" w:color="auto"/>
            </w:tcBorders>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b/>
              </w:rPr>
              <w:t>Critical Contributions</w:t>
            </w:r>
          </w:p>
        </w:tc>
        <w:tc>
          <w:tcPr>
            <w:tcW w:w="2292" w:type="dxa"/>
            <w:gridSpan w:val="5"/>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b/>
                <w:sz w:val="18"/>
                <w:szCs w:val="18"/>
              </w:rPr>
              <w:t>Dynamic Elements</w:t>
            </w:r>
          </w:p>
        </w:tc>
        <w:tc>
          <w:tcPr>
            <w:tcW w:w="1862" w:type="dxa"/>
            <w:gridSpan w:val="4"/>
            <w:tcBorders>
              <w:top w:val="single" w:sz="4" w:space="0" w:color="auto"/>
            </w:tcBorders>
            <w:shd w:val="clear" w:color="auto" w:fill="auto"/>
          </w:tcPr>
          <w:p w:rsidR="00F8422A" w:rsidRPr="00C92A5A" w:rsidRDefault="00F8422A" w:rsidP="00040F36">
            <w:pPr>
              <w:spacing w:after="0" w:line="240" w:lineRule="auto"/>
              <w:jc w:val="both"/>
              <w:rPr>
                <w:rFonts w:ascii="Times New Roman" w:hAnsi="Times New Roman" w:cs="Times New Roman"/>
                <w:sz w:val="18"/>
                <w:szCs w:val="18"/>
              </w:rPr>
            </w:pPr>
            <w:r w:rsidRPr="00C92A5A">
              <w:rPr>
                <w:rFonts w:ascii="Times New Roman" w:hAnsi="Times New Roman" w:cs="Times New Roman"/>
                <w:b/>
                <w:sz w:val="18"/>
                <w:szCs w:val="18"/>
              </w:rPr>
              <w:t>Triggers</w:t>
            </w:r>
          </w:p>
        </w:tc>
        <w:tc>
          <w:tcPr>
            <w:tcW w:w="1295" w:type="dxa"/>
            <w:gridSpan w:val="4"/>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b/>
                <w:sz w:val="18"/>
                <w:szCs w:val="18"/>
              </w:rPr>
              <w:t>Mechanisms</w:t>
            </w:r>
          </w:p>
        </w:tc>
      </w:tr>
      <w:tr w:rsidR="00F8422A" w:rsidRPr="00C92A5A" w:rsidTr="00040F36">
        <w:trPr>
          <w:gridAfter w:val="1"/>
          <w:wAfter w:w="7" w:type="dxa"/>
          <w:cantSplit/>
          <w:trHeight w:val="1150"/>
        </w:trPr>
        <w:tc>
          <w:tcPr>
            <w:tcW w:w="1574" w:type="dxa"/>
            <w:vMerge/>
            <w:tcBorders>
              <w:bottom w:val="single" w:sz="4" w:space="0" w:color="auto"/>
            </w:tcBorders>
          </w:tcPr>
          <w:p w:rsidR="00F8422A" w:rsidRPr="00C92A5A" w:rsidRDefault="00F8422A" w:rsidP="00040F36">
            <w:pPr>
              <w:spacing w:after="0" w:line="240" w:lineRule="auto"/>
              <w:rPr>
                <w:rFonts w:ascii="Times New Roman" w:hAnsi="Times New Roman" w:cs="Times New Roman"/>
                <w:b/>
                <w:sz w:val="18"/>
                <w:szCs w:val="18"/>
              </w:rPr>
            </w:pPr>
          </w:p>
        </w:tc>
        <w:tc>
          <w:tcPr>
            <w:tcW w:w="1860" w:type="dxa"/>
            <w:vMerge/>
            <w:tcBorders>
              <w:bottom w:val="single" w:sz="4" w:space="0" w:color="auto"/>
            </w:tcBorders>
          </w:tcPr>
          <w:p w:rsidR="00F8422A" w:rsidRPr="00C92A5A" w:rsidRDefault="00F8422A" w:rsidP="00040F36">
            <w:pPr>
              <w:pStyle w:val="BalloonText"/>
              <w:rPr>
                <w:rFonts w:ascii="Times New Roman" w:hAnsi="Times New Roman" w:cs="Times New Roman"/>
              </w:rPr>
            </w:pPr>
          </w:p>
        </w:tc>
        <w:tc>
          <w:tcPr>
            <w:tcW w:w="430"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Disposition</w:t>
            </w:r>
          </w:p>
        </w:tc>
        <w:tc>
          <w:tcPr>
            <w:tcW w:w="573"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Activity of engaging</w:t>
            </w:r>
          </w:p>
        </w:tc>
        <w:tc>
          <w:tcPr>
            <w:tcW w:w="429"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Valence</w:t>
            </w:r>
          </w:p>
        </w:tc>
        <w:tc>
          <w:tcPr>
            <w:tcW w:w="429" w:type="dxa"/>
            <w:tcBorders>
              <w:bottom w:val="single" w:sz="4" w:space="0" w:color="auto"/>
            </w:tcBorders>
            <w:shd w:val="clear" w:color="auto" w:fill="auto"/>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Intensity</w:t>
            </w:r>
          </w:p>
        </w:tc>
        <w:tc>
          <w:tcPr>
            <w:tcW w:w="431"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Dimensions</w:t>
            </w:r>
          </w:p>
        </w:tc>
        <w:tc>
          <w:tcPr>
            <w:tcW w:w="430" w:type="dxa"/>
            <w:tcBorders>
              <w:bottom w:val="single" w:sz="4" w:space="0" w:color="auto"/>
            </w:tcBorders>
            <w:shd w:val="clear" w:color="auto" w:fill="auto"/>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Focal object</w:t>
            </w:r>
          </w:p>
        </w:tc>
        <w:tc>
          <w:tcPr>
            <w:tcW w:w="573" w:type="dxa"/>
            <w:tcBorders>
              <w:bottom w:val="single" w:sz="4" w:space="0" w:color="auto"/>
            </w:tcBorders>
            <w:shd w:val="clear" w:color="auto" w:fill="auto"/>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Other</w:t>
            </w:r>
          </w:p>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objects</w:t>
            </w:r>
          </w:p>
        </w:tc>
        <w:tc>
          <w:tcPr>
            <w:tcW w:w="429" w:type="dxa"/>
            <w:tcBorders>
              <w:bottom w:val="single" w:sz="4" w:space="0" w:color="auto"/>
            </w:tcBorders>
            <w:shd w:val="clear" w:color="auto" w:fill="auto"/>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Other actors</w:t>
            </w:r>
          </w:p>
        </w:tc>
        <w:tc>
          <w:tcPr>
            <w:tcW w:w="430"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Context</w:t>
            </w:r>
          </w:p>
        </w:tc>
        <w:tc>
          <w:tcPr>
            <w:tcW w:w="429"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Interaction</w:t>
            </w:r>
          </w:p>
        </w:tc>
        <w:tc>
          <w:tcPr>
            <w:tcW w:w="430"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proofErr w:type="spellStart"/>
            <w:r w:rsidRPr="00C92A5A">
              <w:rPr>
                <w:rFonts w:ascii="Times New Roman" w:hAnsi="Times New Roman" w:cs="Times New Roman"/>
                <w:sz w:val="18"/>
                <w:szCs w:val="18"/>
              </w:rPr>
              <w:t>Spillover</w:t>
            </w:r>
            <w:proofErr w:type="spellEnd"/>
          </w:p>
        </w:tc>
        <w:tc>
          <w:tcPr>
            <w:tcW w:w="429"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Crossover</w:t>
            </w:r>
          </w:p>
        </w:tc>
      </w:tr>
      <w:tr w:rsidR="00F8422A" w:rsidRPr="00C92A5A" w:rsidTr="00040F36">
        <w:trPr>
          <w:gridAfter w:val="1"/>
          <w:wAfter w:w="7" w:type="dxa"/>
          <w:trHeight w:val="806"/>
        </w:trPr>
        <w:tc>
          <w:tcPr>
            <w:tcW w:w="1574" w:type="dxa"/>
            <w:tcBorders>
              <w:top w:val="single" w:sz="4" w:space="0" w:color="auto"/>
            </w:tcBorders>
          </w:tcPr>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 xml:space="preserve">Chen </w:t>
            </w:r>
            <w:r w:rsidRPr="00C92A5A">
              <w:rPr>
                <w:rFonts w:ascii="Times New Roman" w:hAnsi="Times New Roman" w:cs="Times New Roman"/>
                <w:b/>
                <w:i/>
                <w:sz w:val="18"/>
                <w:szCs w:val="18"/>
              </w:rPr>
              <w:t>et al.</w:t>
            </w:r>
            <w:r w:rsidRPr="00C92A5A">
              <w:rPr>
                <w:rFonts w:ascii="Times New Roman" w:hAnsi="Times New Roman" w:cs="Times New Roman"/>
                <w:b/>
                <w:sz w:val="18"/>
                <w:szCs w:val="18"/>
              </w:rPr>
              <w:t xml:space="preserve"> (2024)</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 xml:space="preserve">Quantitative </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Student engagement</w:t>
            </w:r>
          </w:p>
          <w:p w:rsidR="00F8422A" w:rsidRPr="00C92A5A" w:rsidRDefault="00F8422A" w:rsidP="00040F36">
            <w:pPr>
              <w:spacing w:after="0" w:line="240" w:lineRule="auto"/>
              <w:rPr>
                <w:rFonts w:ascii="Times New Roman" w:hAnsi="Times New Roman" w:cs="Times New Roman"/>
                <w:b/>
                <w:sz w:val="18"/>
                <w:szCs w:val="18"/>
              </w:rPr>
            </w:pPr>
          </w:p>
          <w:p w:rsidR="00F8422A" w:rsidRPr="00C92A5A" w:rsidRDefault="00F8422A" w:rsidP="00040F36">
            <w:pPr>
              <w:spacing w:after="0" w:line="240" w:lineRule="auto"/>
              <w:rPr>
                <w:rFonts w:ascii="Times New Roman" w:hAnsi="Times New Roman" w:cs="Times New Roman"/>
                <w:b/>
                <w:sz w:val="18"/>
                <w:szCs w:val="18"/>
              </w:rPr>
            </w:pPr>
          </w:p>
          <w:p w:rsidR="00F8422A" w:rsidRPr="00C92A5A" w:rsidRDefault="00F8422A" w:rsidP="00040F36">
            <w:pPr>
              <w:spacing w:after="0" w:line="240" w:lineRule="auto"/>
              <w:rPr>
                <w:rFonts w:ascii="Times New Roman" w:hAnsi="Times New Roman" w:cs="Times New Roman"/>
                <w:b/>
                <w:sz w:val="18"/>
                <w:szCs w:val="18"/>
              </w:rPr>
            </w:pPr>
          </w:p>
          <w:p w:rsidR="00F8422A" w:rsidRPr="00C92A5A" w:rsidRDefault="00F8422A" w:rsidP="00040F36">
            <w:pPr>
              <w:spacing w:after="0" w:line="240" w:lineRule="auto"/>
              <w:rPr>
                <w:rFonts w:ascii="Times New Roman" w:hAnsi="Times New Roman" w:cs="Times New Roman"/>
                <w:b/>
                <w:sz w:val="18"/>
                <w:szCs w:val="18"/>
              </w:rPr>
            </w:pPr>
          </w:p>
        </w:tc>
        <w:tc>
          <w:tcPr>
            <w:tcW w:w="1860" w:type="dxa"/>
            <w:tcBorders>
              <w:top w:val="single" w:sz="4" w:space="0" w:color="auto"/>
            </w:tcBorders>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rPr>
              <w:t>Reading activities decrease behavioural engagement, whereas social annotation tasks maintain stable engagement in other areas.</w:t>
            </w:r>
          </w:p>
        </w:tc>
        <w:tc>
          <w:tcPr>
            <w:tcW w:w="430"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c>
          <w:tcPr>
            <w:tcW w:w="573"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1"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Borders>
              <w:top w:val="single" w:sz="4" w:space="0" w:color="auto"/>
            </w:tcBorders>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573" w:type="dxa"/>
            <w:tcBorders>
              <w:top w:val="single" w:sz="4" w:space="0" w:color="auto"/>
            </w:tcBorders>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Borders>
              <w:top w:val="single" w:sz="4" w:space="0" w:color="auto"/>
            </w:tcBorders>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c>
          <w:tcPr>
            <w:tcW w:w="430"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r>
      <w:tr w:rsidR="00F8422A" w:rsidRPr="00C92A5A" w:rsidTr="00040F36">
        <w:trPr>
          <w:gridAfter w:val="1"/>
          <w:wAfter w:w="7" w:type="dxa"/>
          <w:trHeight w:val="1717"/>
        </w:trPr>
        <w:tc>
          <w:tcPr>
            <w:tcW w:w="1574" w:type="dxa"/>
          </w:tcPr>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Zhang and Zhang (2024)</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 xml:space="preserve">Qualitative </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Student engagement</w:t>
            </w:r>
          </w:p>
        </w:tc>
        <w:tc>
          <w:tcPr>
            <w:tcW w:w="1860" w:type="dxa"/>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rPr>
              <w:t>Reading activities decrease behavioural engagement, whereas social annotation tasks maintain stable engagement in other areas.</w:t>
            </w:r>
          </w:p>
        </w:tc>
        <w:tc>
          <w:tcPr>
            <w:tcW w:w="430"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573"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1"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573"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r>
      <w:tr w:rsidR="00F8422A" w:rsidRPr="00C92A5A" w:rsidTr="00040F36">
        <w:trPr>
          <w:gridAfter w:val="1"/>
          <w:wAfter w:w="7" w:type="dxa"/>
          <w:trHeight w:val="599"/>
        </w:trPr>
        <w:tc>
          <w:tcPr>
            <w:tcW w:w="1574" w:type="dxa"/>
          </w:tcPr>
          <w:p w:rsidR="00F8422A" w:rsidRPr="00C92A5A" w:rsidRDefault="00F8422A" w:rsidP="00040F36">
            <w:pPr>
              <w:spacing w:after="0" w:line="240" w:lineRule="auto"/>
              <w:rPr>
                <w:rFonts w:ascii="Times New Roman" w:hAnsi="Times New Roman" w:cs="Times New Roman"/>
                <w:b/>
                <w:sz w:val="18"/>
                <w:szCs w:val="18"/>
              </w:rPr>
            </w:pPr>
            <w:proofErr w:type="spellStart"/>
            <w:r w:rsidRPr="00C92A5A">
              <w:rPr>
                <w:rFonts w:ascii="Times New Roman" w:hAnsi="Times New Roman" w:cs="Times New Roman"/>
                <w:b/>
                <w:sz w:val="18"/>
                <w:szCs w:val="18"/>
              </w:rPr>
              <w:t>Anastaiadou</w:t>
            </w:r>
            <w:proofErr w:type="spellEnd"/>
            <w:r w:rsidRPr="00C92A5A">
              <w:rPr>
                <w:rFonts w:ascii="Times New Roman" w:hAnsi="Times New Roman" w:cs="Times New Roman"/>
                <w:b/>
                <w:sz w:val="18"/>
                <w:szCs w:val="18"/>
              </w:rPr>
              <w:t xml:space="preserve"> </w:t>
            </w:r>
            <w:r w:rsidRPr="00C92A5A">
              <w:rPr>
                <w:rFonts w:ascii="Times New Roman" w:hAnsi="Times New Roman" w:cs="Times New Roman"/>
                <w:b/>
                <w:i/>
                <w:sz w:val="18"/>
                <w:szCs w:val="18"/>
              </w:rPr>
              <w:t xml:space="preserve">et al. </w:t>
            </w:r>
            <w:r w:rsidRPr="00C92A5A">
              <w:rPr>
                <w:rFonts w:ascii="Times New Roman" w:hAnsi="Times New Roman" w:cs="Times New Roman"/>
                <w:b/>
                <w:sz w:val="18"/>
                <w:szCs w:val="18"/>
              </w:rPr>
              <w:t>(2023)</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 xml:space="preserve">Qualitative </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Business actor engagement</w:t>
            </w:r>
          </w:p>
        </w:tc>
        <w:tc>
          <w:tcPr>
            <w:tcW w:w="1860" w:type="dxa"/>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rPr>
              <w:t>Willingness, resourcefulness, and influence are key factors for business actor engagement, which is crucial for fostering positive engagement.</w:t>
            </w:r>
          </w:p>
          <w:p w:rsidR="00F8422A" w:rsidRPr="00C92A5A" w:rsidRDefault="00F8422A" w:rsidP="00040F36">
            <w:pPr>
              <w:pStyle w:val="BalloonText"/>
              <w:rPr>
                <w:rFonts w:ascii="Times New Roman" w:hAnsi="Times New Roman" w:cs="Times New Roman"/>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573"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1"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r>
      <w:tr w:rsidR="00F8422A" w:rsidRPr="00C92A5A" w:rsidTr="00040F36">
        <w:trPr>
          <w:gridAfter w:val="1"/>
          <w:wAfter w:w="7" w:type="dxa"/>
          <w:trHeight w:val="559"/>
        </w:trPr>
        <w:tc>
          <w:tcPr>
            <w:tcW w:w="1574" w:type="dxa"/>
          </w:tcPr>
          <w:p w:rsidR="00F8422A" w:rsidRPr="00C92A5A" w:rsidRDefault="00F8422A" w:rsidP="00040F36">
            <w:pPr>
              <w:spacing w:after="0" w:line="240" w:lineRule="auto"/>
              <w:rPr>
                <w:rFonts w:ascii="Times New Roman" w:hAnsi="Times New Roman" w:cs="Times New Roman"/>
                <w:b/>
                <w:sz w:val="18"/>
                <w:szCs w:val="18"/>
              </w:rPr>
            </w:pPr>
            <w:proofErr w:type="spellStart"/>
            <w:r w:rsidRPr="00C92A5A">
              <w:rPr>
                <w:rFonts w:ascii="Times New Roman" w:hAnsi="Times New Roman" w:cs="Times New Roman"/>
                <w:b/>
                <w:sz w:val="18"/>
                <w:szCs w:val="18"/>
              </w:rPr>
              <w:t>Abbound</w:t>
            </w:r>
            <w:proofErr w:type="spellEnd"/>
            <w:r w:rsidRPr="00C92A5A">
              <w:rPr>
                <w:rFonts w:ascii="Times New Roman" w:hAnsi="Times New Roman" w:cs="Times New Roman"/>
                <w:b/>
                <w:sz w:val="18"/>
                <w:szCs w:val="18"/>
              </w:rPr>
              <w:t xml:space="preserve"> </w:t>
            </w:r>
            <w:r w:rsidRPr="00C92A5A">
              <w:rPr>
                <w:rFonts w:ascii="Times New Roman" w:hAnsi="Times New Roman" w:cs="Times New Roman"/>
                <w:b/>
                <w:i/>
                <w:sz w:val="18"/>
                <w:szCs w:val="18"/>
              </w:rPr>
              <w:t>et al.</w:t>
            </w:r>
            <w:r w:rsidRPr="00C92A5A">
              <w:rPr>
                <w:rFonts w:ascii="Times New Roman" w:hAnsi="Times New Roman" w:cs="Times New Roman"/>
                <w:b/>
                <w:sz w:val="18"/>
                <w:szCs w:val="18"/>
              </w:rPr>
              <w:t xml:space="preserve"> (2023)</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 xml:space="preserve">Qualitative </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 xml:space="preserve">Customer engagement </w:t>
            </w:r>
          </w:p>
          <w:p w:rsidR="00F8422A" w:rsidRPr="00C92A5A" w:rsidRDefault="00F8422A" w:rsidP="00040F36">
            <w:pPr>
              <w:spacing w:after="0" w:line="240" w:lineRule="auto"/>
              <w:rPr>
                <w:rFonts w:ascii="Times New Roman" w:hAnsi="Times New Roman" w:cs="Times New Roman"/>
                <w:sz w:val="18"/>
                <w:szCs w:val="18"/>
              </w:rPr>
            </w:pPr>
          </w:p>
        </w:tc>
        <w:tc>
          <w:tcPr>
            <w:tcW w:w="1860" w:type="dxa"/>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rPr>
              <w:t>Negative engagement within the service interaction can lead to negative engagement or disengagement with the firm.</w:t>
            </w: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573"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1"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r>
      <w:tr w:rsidR="00F8422A" w:rsidRPr="00C92A5A" w:rsidTr="00040F36">
        <w:trPr>
          <w:gridAfter w:val="1"/>
          <w:wAfter w:w="7" w:type="dxa"/>
          <w:trHeight w:val="913"/>
        </w:trPr>
        <w:tc>
          <w:tcPr>
            <w:tcW w:w="1574" w:type="dxa"/>
          </w:tcPr>
          <w:p w:rsidR="00F8422A" w:rsidRPr="00C92A5A" w:rsidRDefault="00F8422A" w:rsidP="00040F36">
            <w:pPr>
              <w:spacing w:after="0" w:line="240" w:lineRule="auto"/>
              <w:rPr>
                <w:rFonts w:ascii="Times New Roman" w:hAnsi="Times New Roman" w:cs="Times New Roman"/>
                <w:b/>
                <w:sz w:val="18"/>
                <w:szCs w:val="18"/>
              </w:rPr>
            </w:pPr>
          </w:p>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 xml:space="preserve">Bader </w:t>
            </w:r>
            <w:r w:rsidRPr="00C92A5A">
              <w:rPr>
                <w:rFonts w:ascii="Times New Roman" w:hAnsi="Times New Roman" w:cs="Times New Roman"/>
                <w:b/>
                <w:i/>
                <w:sz w:val="18"/>
                <w:szCs w:val="18"/>
              </w:rPr>
              <w:t>et al.</w:t>
            </w:r>
            <w:r w:rsidRPr="00C92A5A">
              <w:rPr>
                <w:rFonts w:ascii="Times New Roman" w:hAnsi="Times New Roman" w:cs="Times New Roman"/>
                <w:b/>
                <w:sz w:val="18"/>
                <w:szCs w:val="18"/>
              </w:rPr>
              <w:t xml:space="preserve"> (2023)</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Quantitative</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 xml:space="preserve">Work engagement </w:t>
            </w:r>
          </w:p>
          <w:p w:rsidR="00F8422A" w:rsidRPr="00C92A5A" w:rsidRDefault="00F8422A" w:rsidP="00040F36">
            <w:pPr>
              <w:spacing w:after="0" w:line="240" w:lineRule="auto"/>
              <w:rPr>
                <w:rFonts w:ascii="Times New Roman" w:hAnsi="Times New Roman" w:cs="Times New Roman"/>
                <w:sz w:val="18"/>
                <w:szCs w:val="18"/>
              </w:rPr>
            </w:pPr>
          </w:p>
        </w:tc>
        <w:tc>
          <w:tcPr>
            <w:tcW w:w="1860" w:type="dxa"/>
          </w:tcPr>
          <w:p w:rsidR="00F8422A" w:rsidRPr="00C92A5A" w:rsidRDefault="00F8422A" w:rsidP="00040F36">
            <w:pPr>
              <w:pStyle w:val="BalloonText"/>
              <w:rPr>
                <w:rFonts w:ascii="Times New Roman" w:hAnsi="Times New Roman" w:cs="Times New Roman"/>
              </w:rPr>
            </w:pPr>
          </w:p>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rPr>
              <w:t xml:space="preserve">Transformational leadership </w:t>
            </w:r>
            <w:proofErr w:type="spellStart"/>
            <w:r w:rsidRPr="00C92A5A">
              <w:rPr>
                <w:rFonts w:ascii="Times New Roman" w:hAnsi="Times New Roman" w:cs="Times New Roman"/>
              </w:rPr>
              <w:t>fulfills</w:t>
            </w:r>
            <w:proofErr w:type="spellEnd"/>
            <w:r w:rsidRPr="00C92A5A">
              <w:rPr>
                <w:rFonts w:ascii="Times New Roman" w:hAnsi="Times New Roman" w:cs="Times New Roman"/>
              </w:rPr>
              <w:t xml:space="preserve"> basic needs, increasing positive affect and predicting enhanced work engagement.</w:t>
            </w:r>
          </w:p>
          <w:p w:rsidR="00F8422A" w:rsidRPr="00C92A5A" w:rsidRDefault="00F8422A" w:rsidP="00040F36">
            <w:pPr>
              <w:pStyle w:val="BalloonText"/>
              <w:rPr>
                <w:rFonts w:ascii="Times New Roman" w:hAnsi="Times New Roman" w:cs="Times New Roman"/>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573"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1"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r>
      <w:tr w:rsidR="00F8422A" w:rsidRPr="00C92A5A" w:rsidTr="00040F36">
        <w:trPr>
          <w:gridAfter w:val="1"/>
          <w:wAfter w:w="7" w:type="dxa"/>
          <w:trHeight w:val="1308"/>
        </w:trPr>
        <w:tc>
          <w:tcPr>
            <w:tcW w:w="1574" w:type="dxa"/>
          </w:tcPr>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 xml:space="preserve">Davis and Van der </w:t>
            </w:r>
            <w:proofErr w:type="spellStart"/>
            <w:r w:rsidRPr="00C92A5A">
              <w:rPr>
                <w:rFonts w:ascii="Times New Roman" w:hAnsi="Times New Roman" w:cs="Times New Roman"/>
                <w:b/>
                <w:sz w:val="18"/>
                <w:szCs w:val="18"/>
              </w:rPr>
              <w:t>Heikden</w:t>
            </w:r>
            <w:proofErr w:type="spellEnd"/>
            <w:r w:rsidRPr="00C92A5A">
              <w:rPr>
                <w:rFonts w:ascii="Times New Roman" w:hAnsi="Times New Roman" w:cs="Times New Roman"/>
                <w:b/>
                <w:sz w:val="18"/>
                <w:szCs w:val="18"/>
              </w:rPr>
              <w:t xml:space="preserve"> (2022)</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Conceptual</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 xml:space="preserve">Employee engagement </w:t>
            </w:r>
          </w:p>
          <w:p w:rsidR="00F8422A" w:rsidRPr="00C92A5A" w:rsidRDefault="00F8422A" w:rsidP="00040F36">
            <w:pPr>
              <w:spacing w:after="0" w:line="240" w:lineRule="auto"/>
              <w:rPr>
                <w:rFonts w:ascii="Times New Roman" w:hAnsi="Times New Roman" w:cs="Times New Roman"/>
                <w:sz w:val="18"/>
                <w:szCs w:val="18"/>
              </w:rPr>
            </w:pPr>
          </w:p>
        </w:tc>
        <w:tc>
          <w:tcPr>
            <w:tcW w:w="1860" w:type="dxa"/>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rPr>
              <w:t>Psychological states influence engagement behaviour, and organizational culture and structure affect employee engagement.</w:t>
            </w:r>
          </w:p>
          <w:p w:rsidR="00F8422A" w:rsidRPr="00C92A5A" w:rsidRDefault="00F8422A" w:rsidP="00040F36">
            <w:pPr>
              <w:pStyle w:val="BalloonText"/>
              <w:rPr>
                <w:rFonts w:ascii="Times New Roman" w:hAnsi="Times New Roman" w:cs="Times New Roman"/>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573"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1"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r>
      <w:tr w:rsidR="00F8422A" w:rsidRPr="00C92A5A" w:rsidTr="00040F36">
        <w:trPr>
          <w:trHeight w:val="502"/>
        </w:trPr>
        <w:tc>
          <w:tcPr>
            <w:tcW w:w="8883" w:type="dxa"/>
            <w:gridSpan w:val="15"/>
            <w:tcBorders>
              <w:top w:val="single" w:sz="4" w:space="0" w:color="auto"/>
            </w:tcBorders>
          </w:tcPr>
          <w:p w:rsidR="00F8422A" w:rsidRPr="00C92A5A" w:rsidRDefault="00F8422A" w:rsidP="00040F36">
            <w:pPr>
              <w:spacing w:before="240" w:after="0" w:line="240" w:lineRule="auto"/>
              <w:jc w:val="right"/>
              <w:rPr>
                <w:rFonts w:ascii="Times New Roman" w:eastAsia="Times New Roman" w:hAnsi="Times New Roman" w:cs="Times New Roman"/>
                <w:i/>
                <w:sz w:val="18"/>
                <w:szCs w:val="18"/>
                <w:lang w:eastAsia="de-DE"/>
              </w:rPr>
            </w:pPr>
            <w:r w:rsidRPr="00C92A5A">
              <w:rPr>
                <w:rFonts w:ascii="Times New Roman" w:eastAsia="Times New Roman" w:hAnsi="Times New Roman" w:cs="Times New Roman"/>
                <w:i/>
                <w:sz w:val="18"/>
                <w:szCs w:val="18"/>
                <w:lang w:eastAsia="de-DE"/>
              </w:rPr>
              <w:t xml:space="preserve"> (continued)</w:t>
            </w:r>
          </w:p>
        </w:tc>
      </w:tr>
    </w:tbl>
    <w:p w:rsidR="00F8422A" w:rsidRPr="00C92A5A" w:rsidRDefault="00F8422A" w:rsidP="00F8422A">
      <w:pPr>
        <w:rPr>
          <w:rFonts w:ascii="Times New Roman" w:hAnsi="Times New Roman" w:cs="Times New Roman"/>
          <w:sz w:val="18"/>
          <w:szCs w:val="18"/>
        </w:rPr>
      </w:pPr>
    </w:p>
    <w:p w:rsidR="00F8422A" w:rsidRDefault="00F8422A" w:rsidP="00F8422A">
      <w:pPr>
        <w:rPr>
          <w:rFonts w:ascii="Times New Roman" w:hAnsi="Times New Roman" w:cs="Times New Roman"/>
          <w:b/>
          <w:sz w:val="24"/>
          <w:szCs w:val="24"/>
        </w:rPr>
      </w:pPr>
    </w:p>
    <w:p w:rsidR="00F8422A" w:rsidRDefault="00F8422A" w:rsidP="00F8422A">
      <w:pPr>
        <w:rPr>
          <w:rFonts w:ascii="Times New Roman" w:hAnsi="Times New Roman" w:cs="Times New Roman"/>
          <w:b/>
          <w:sz w:val="24"/>
          <w:szCs w:val="24"/>
        </w:rPr>
      </w:pPr>
    </w:p>
    <w:p w:rsidR="00F8422A" w:rsidRPr="00C92A5A" w:rsidRDefault="00F8422A" w:rsidP="00F8422A">
      <w:pPr>
        <w:rPr>
          <w:rFonts w:ascii="Times New Roman" w:hAnsi="Times New Roman" w:cs="Times New Roman"/>
          <w:b/>
          <w:sz w:val="24"/>
          <w:szCs w:val="24"/>
        </w:rPr>
      </w:pPr>
    </w:p>
    <w:tbl>
      <w:tblPr>
        <w:tblW w:w="8883" w:type="dxa"/>
        <w:tblInd w:w="-5" w:type="dxa"/>
        <w:tblLayout w:type="fixed"/>
        <w:tblLook w:val="04A0" w:firstRow="1" w:lastRow="0" w:firstColumn="1" w:lastColumn="0" w:noHBand="0" w:noVBand="1"/>
      </w:tblPr>
      <w:tblGrid>
        <w:gridCol w:w="1574"/>
        <w:gridCol w:w="1860"/>
        <w:gridCol w:w="430"/>
        <w:gridCol w:w="573"/>
        <w:gridCol w:w="429"/>
        <w:gridCol w:w="429"/>
        <w:gridCol w:w="431"/>
        <w:gridCol w:w="430"/>
        <w:gridCol w:w="573"/>
        <w:gridCol w:w="429"/>
        <w:gridCol w:w="430"/>
        <w:gridCol w:w="429"/>
        <w:gridCol w:w="430"/>
        <w:gridCol w:w="429"/>
        <w:gridCol w:w="7"/>
      </w:tblGrid>
      <w:tr w:rsidR="00F8422A" w:rsidRPr="00C92A5A" w:rsidTr="00040F36">
        <w:trPr>
          <w:trHeight w:val="304"/>
        </w:trPr>
        <w:tc>
          <w:tcPr>
            <w:tcW w:w="8883" w:type="dxa"/>
            <w:gridSpan w:val="15"/>
          </w:tcPr>
          <w:p w:rsidR="00F8422A" w:rsidRPr="00C92A5A" w:rsidRDefault="00F8422A" w:rsidP="00040F36">
            <w:pPr>
              <w:rPr>
                <w:rFonts w:ascii="Times New Roman" w:hAnsi="Times New Roman" w:cs="Times New Roman"/>
                <w:b/>
                <w:bCs/>
                <w:sz w:val="24"/>
                <w:szCs w:val="24"/>
              </w:rPr>
            </w:pPr>
            <w:r w:rsidRPr="00C92A5A">
              <w:rPr>
                <w:rFonts w:ascii="Times New Roman" w:hAnsi="Times New Roman" w:cs="Times New Roman"/>
                <w:b/>
                <w:bCs/>
                <w:sz w:val="24"/>
                <w:szCs w:val="24"/>
              </w:rPr>
              <w:t>Appendix</w:t>
            </w:r>
            <w:r>
              <w:rPr>
                <w:rFonts w:ascii="Times New Roman" w:hAnsi="Times New Roman" w:cs="Times New Roman"/>
                <w:b/>
                <w:bCs/>
                <w:sz w:val="24"/>
                <w:szCs w:val="24"/>
              </w:rPr>
              <w:t xml:space="preserve"> </w:t>
            </w:r>
            <w:r w:rsidRPr="00923F0B">
              <w:rPr>
                <w:rFonts w:ascii="Times New Roman" w:hAnsi="Times New Roman" w:cs="Times New Roman"/>
                <w:b/>
                <w:sz w:val="24"/>
                <w:szCs w:val="24"/>
              </w:rPr>
              <w:t>– B.</w:t>
            </w:r>
            <w:r w:rsidRPr="00C92A5A">
              <w:rPr>
                <w:rFonts w:ascii="Times New Roman" w:hAnsi="Times New Roman" w:cs="Times New Roman"/>
                <w:b/>
                <w:bCs/>
                <w:sz w:val="24"/>
                <w:szCs w:val="24"/>
              </w:rPr>
              <w:t xml:space="preserve"> </w:t>
            </w:r>
            <w:r w:rsidRPr="00C92A5A">
              <w:rPr>
                <w:rFonts w:ascii="Times New Roman" w:hAnsi="Times New Roman" w:cs="Times New Roman"/>
                <w:bCs/>
                <w:sz w:val="24"/>
                <w:szCs w:val="24"/>
              </w:rPr>
              <w:t>(continued)</w:t>
            </w:r>
          </w:p>
        </w:tc>
      </w:tr>
      <w:tr w:rsidR="00F8422A" w:rsidRPr="00C92A5A" w:rsidTr="00040F36">
        <w:trPr>
          <w:trHeight w:val="136"/>
        </w:trPr>
        <w:tc>
          <w:tcPr>
            <w:tcW w:w="1574" w:type="dxa"/>
            <w:vMerge w:val="restart"/>
            <w:tcBorders>
              <w:top w:val="single" w:sz="4" w:space="0" w:color="auto"/>
            </w:tcBorders>
          </w:tcPr>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Article</w:t>
            </w:r>
          </w:p>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Approach</w:t>
            </w:r>
          </w:p>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Main Focus</w:t>
            </w:r>
          </w:p>
        </w:tc>
        <w:tc>
          <w:tcPr>
            <w:tcW w:w="1860" w:type="dxa"/>
            <w:vMerge w:val="restart"/>
            <w:tcBorders>
              <w:top w:val="single" w:sz="4" w:space="0" w:color="auto"/>
            </w:tcBorders>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b/>
              </w:rPr>
              <w:t>Critical Contributions</w:t>
            </w:r>
          </w:p>
        </w:tc>
        <w:tc>
          <w:tcPr>
            <w:tcW w:w="2292" w:type="dxa"/>
            <w:gridSpan w:val="5"/>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b/>
                <w:sz w:val="18"/>
                <w:szCs w:val="18"/>
              </w:rPr>
              <w:t>Dynamic Elements</w:t>
            </w:r>
          </w:p>
        </w:tc>
        <w:tc>
          <w:tcPr>
            <w:tcW w:w="1862" w:type="dxa"/>
            <w:gridSpan w:val="4"/>
            <w:tcBorders>
              <w:top w:val="single" w:sz="4" w:space="0" w:color="auto"/>
            </w:tcBorders>
            <w:shd w:val="clear" w:color="auto" w:fill="auto"/>
          </w:tcPr>
          <w:p w:rsidR="00F8422A" w:rsidRPr="00C92A5A" w:rsidRDefault="00F8422A" w:rsidP="00040F36">
            <w:pPr>
              <w:spacing w:after="0" w:line="240" w:lineRule="auto"/>
              <w:jc w:val="both"/>
              <w:rPr>
                <w:rFonts w:ascii="Times New Roman" w:hAnsi="Times New Roman" w:cs="Times New Roman"/>
                <w:sz w:val="18"/>
                <w:szCs w:val="18"/>
              </w:rPr>
            </w:pPr>
            <w:r w:rsidRPr="00C92A5A">
              <w:rPr>
                <w:rFonts w:ascii="Times New Roman" w:hAnsi="Times New Roman" w:cs="Times New Roman"/>
                <w:b/>
                <w:sz w:val="18"/>
                <w:szCs w:val="18"/>
              </w:rPr>
              <w:t>Triggers</w:t>
            </w:r>
          </w:p>
        </w:tc>
        <w:tc>
          <w:tcPr>
            <w:tcW w:w="1295" w:type="dxa"/>
            <w:gridSpan w:val="4"/>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b/>
                <w:sz w:val="18"/>
                <w:szCs w:val="18"/>
              </w:rPr>
              <w:t>Mechanisms</w:t>
            </w:r>
          </w:p>
        </w:tc>
      </w:tr>
      <w:tr w:rsidR="00F8422A" w:rsidRPr="00C92A5A" w:rsidTr="00040F36">
        <w:trPr>
          <w:gridAfter w:val="1"/>
          <w:wAfter w:w="7" w:type="dxa"/>
          <w:cantSplit/>
          <w:trHeight w:val="1150"/>
        </w:trPr>
        <w:tc>
          <w:tcPr>
            <w:tcW w:w="1574" w:type="dxa"/>
            <w:vMerge/>
            <w:tcBorders>
              <w:bottom w:val="single" w:sz="4" w:space="0" w:color="auto"/>
            </w:tcBorders>
          </w:tcPr>
          <w:p w:rsidR="00F8422A" w:rsidRPr="00C92A5A" w:rsidRDefault="00F8422A" w:rsidP="00040F36">
            <w:pPr>
              <w:spacing w:after="0" w:line="240" w:lineRule="auto"/>
              <w:rPr>
                <w:rFonts w:ascii="Times New Roman" w:hAnsi="Times New Roman" w:cs="Times New Roman"/>
                <w:b/>
                <w:sz w:val="18"/>
                <w:szCs w:val="18"/>
              </w:rPr>
            </w:pPr>
          </w:p>
        </w:tc>
        <w:tc>
          <w:tcPr>
            <w:tcW w:w="1860" w:type="dxa"/>
            <w:vMerge/>
            <w:tcBorders>
              <w:bottom w:val="single" w:sz="4" w:space="0" w:color="auto"/>
            </w:tcBorders>
          </w:tcPr>
          <w:p w:rsidR="00F8422A" w:rsidRPr="00C92A5A" w:rsidRDefault="00F8422A" w:rsidP="00040F36">
            <w:pPr>
              <w:pStyle w:val="BalloonText"/>
              <w:rPr>
                <w:rFonts w:ascii="Times New Roman" w:hAnsi="Times New Roman" w:cs="Times New Roman"/>
              </w:rPr>
            </w:pPr>
          </w:p>
        </w:tc>
        <w:tc>
          <w:tcPr>
            <w:tcW w:w="430"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Disposition</w:t>
            </w:r>
          </w:p>
        </w:tc>
        <w:tc>
          <w:tcPr>
            <w:tcW w:w="573"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Activity of engaging</w:t>
            </w:r>
          </w:p>
        </w:tc>
        <w:tc>
          <w:tcPr>
            <w:tcW w:w="429"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Valence</w:t>
            </w:r>
          </w:p>
        </w:tc>
        <w:tc>
          <w:tcPr>
            <w:tcW w:w="429" w:type="dxa"/>
            <w:tcBorders>
              <w:bottom w:val="single" w:sz="4" w:space="0" w:color="auto"/>
            </w:tcBorders>
            <w:shd w:val="clear" w:color="auto" w:fill="auto"/>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Intensity</w:t>
            </w:r>
          </w:p>
        </w:tc>
        <w:tc>
          <w:tcPr>
            <w:tcW w:w="431"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Dimensions</w:t>
            </w:r>
          </w:p>
        </w:tc>
        <w:tc>
          <w:tcPr>
            <w:tcW w:w="430" w:type="dxa"/>
            <w:tcBorders>
              <w:bottom w:val="single" w:sz="4" w:space="0" w:color="auto"/>
            </w:tcBorders>
            <w:shd w:val="clear" w:color="auto" w:fill="auto"/>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Focal object</w:t>
            </w:r>
          </w:p>
        </w:tc>
        <w:tc>
          <w:tcPr>
            <w:tcW w:w="573" w:type="dxa"/>
            <w:tcBorders>
              <w:bottom w:val="single" w:sz="4" w:space="0" w:color="auto"/>
            </w:tcBorders>
            <w:shd w:val="clear" w:color="auto" w:fill="auto"/>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Other</w:t>
            </w:r>
          </w:p>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objects</w:t>
            </w:r>
          </w:p>
        </w:tc>
        <w:tc>
          <w:tcPr>
            <w:tcW w:w="429" w:type="dxa"/>
            <w:tcBorders>
              <w:bottom w:val="single" w:sz="4" w:space="0" w:color="auto"/>
            </w:tcBorders>
            <w:shd w:val="clear" w:color="auto" w:fill="auto"/>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Other actors</w:t>
            </w:r>
          </w:p>
        </w:tc>
        <w:tc>
          <w:tcPr>
            <w:tcW w:w="430"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Context</w:t>
            </w:r>
          </w:p>
        </w:tc>
        <w:tc>
          <w:tcPr>
            <w:tcW w:w="429"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Interaction</w:t>
            </w:r>
          </w:p>
        </w:tc>
        <w:tc>
          <w:tcPr>
            <w:tcW w:w="430"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proofErr w:type="spellStart"/>
            <w:r w:rsidRPr="00C92A5A">
              <w:rPr>
                <w:rFonts w:ascii="Times New Roman" w:hAnsi="Times New Roman" w:cs="Times New Roman"/>
                <w:sz w:val="18"/>
                <w:szCs w:val="18"/>
              </w:rPr>
              <w:t>Spillover</w:t>
            </w:r>
            <w:proofErr w:type="spellEnd"/>
          </w:p>
        </w:tc>
        <w:tc>
          <w:tcPr>
            <w:tcW w:w="429"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Crossover</w:t>
            </w:r>
          </w:p>
        </w:tc>
      </w:tr>
      <w:tr w:rsidR="00F8422A" w:rsidRPr="00C92A5A" w:rsidTr="00040F36">
        <w:trPr>
          <w:gridAfter w:val="1"/>
          <w:wAfter w:w="7" w:type="dxa"/>
          <w:trHeight w:val="806"/>
        </w:trPr>
        <w:tc>
          <w:tcPr>
            <w:tcW w:w="1574" w:type="dxa"/>
            <w:tcBorders>
              <w:top w:val="single" w:sz="4" w:space="0" w:color="auto"/>
            </w:tcBorders>
          </w:tcPr>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Hennessy and Murphy (2023)</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 xml:space="preserve">Qualitative </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 xml:space="preserve">Student engagement </w:t>
            </w:r>
          </w:p>
          <w:p w:rsidR="00F8422A" w:rsidRPr="00C92A5A" w:rsidRDefault="00F8422A" w:rsidP="00040F36">
            <w:pPr>
              <w:spacing w:after="0" w:line="240" w:lineRule="auto"/>
              <w:rPr>
                <w:rFonts w:ascii="Times New Roman" w:hAnsi="Times New Roman" w:cs="Times New Roman"/>
                <w:b/>
                <w:sz w:val="18"/>
                <w:szCs w:val="18"/>
              </w:rPr>
            </w:pPr>
          </w:p>
        </w:tc>
        <w:tc>
          <w:tcPr>
            <w:tcW w:w="1860" w:type="dxa"/>
            <w:tcBorders>
              <w:top w:val="single" w:sz="4" w:space="0" w:color="auto"/>
            </w:tcBorders>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rPr>
              <w:t>Lecturers and other students influence the engagement of first-year students.</w:t>
            </w:r>
          </w:p>
        </w:tc>
        <w:tc>
          <w:tcPr>
            <w:tcW w:w="430"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c>
          <w:tcPr>
            <w:tcW w:w="573"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1"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c>
          <w:tcPr>
            <w:tcW w:w="430" w:type="dxa"/>
            <w:tcBorders>
              <w:top w:val="single" w:sz="4" w:space="0" w:color="auto"/>
            </w:tcBorders>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573" w:type="dxa"/>
            <w:tcBorders>
              <w:top w:val="single" w:sz="4" w:space="0" w:color="auto"/>
            </w:tcBorders>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c>
          <w:tcPr>
            <w:tcW w:w="430"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r>
      <w:tr w:rsidR="00F8422A" w:rsidRPr="00C92A5A" w:rsidTr="00040F36">
        <w:trPr>
          <w:gridAfter w:val="1"/>
          <w:wAfter w:w="7" w:type="dxa"/>
          <w:trHeight w:val="1717"/>
        </w:trPr>
        <w:tc>
          <w:tcPr>
            <w:tcW w:w="1574" w:type="dxa"/>
          </w:tcPr>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 xml:space="preserve">Li </w:t>
            </w:r>
            <w:r w:rsidRPr="00C92A5A">
              <w:rPr>
                <w:rFonts w:ascii="Times New Roman" w:hAnsi="Times New Roman" w:cs="Times New Roman"/>
                <w:b/>
                <w:i/>
                <w:sz w:val="18"/>
                <w:szCs w:val="18"/>
              </w:rPr>
              <w:t>et al.</w:t>
            </w:r>
            <w:r w:rsidRPr="00C92A5A">
              <w:rPr>
                <w:rFonts w:ascii="Times New Roman" w:hAnsi="Times New Roman" w:cs="Times New Roman"/>
                <w:b/>
                <w:sz w:val="18"/>
                <w:szCs w:val="18"/>
              </w:rPr>
              <w:t xml:space="preserve"> (2023)</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 xml:space="preserve">Qualitative and quantitative </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 xml:space="preserve">Actor engagement </w:t>
            </w:r>
          </w:p>
          <w:p w:rsidR="00F8422A" w:rsidRPr="00C92A5A" w:rsidRDefault="00F8422A" w:rsidP="00040F36">
            <w:pPr>
              <w:spacing w:after="0" w:line="240" w:lineRule="auto"/>
              <w:rPr>
                <w:rFonts w:ascii="Times New Roman" w:hAnsi="Times New Roman" w:cs="Times New Roman"/>
                <w:sz w:val="18"/>
                <w:szCs w:val="18"/>
              </w:rPr>
            </w:pPr>
          </w:p>
        </w:tc>
        <w:tc>
          <w:tcPr>
            <w:tcW w:w="1860" w:type="dxa"/>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rPr>
              <w:t>A negative engagement disposition leads to negative engagement behaviour in the form of negative word-of-mouth.</w:t>
            </w:r>
          </w:p>
        </w:tc>
        <w:tc>
          <w:tcPr>
            <w:tcW w:w="430"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573"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31"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r>
      <w:tr w:rsidR="00F8422A" w:rsidRPr="00C92A5A" w:rsidTr="00040F36">
        <w:trPr>
          <w:gridAfter w:val="1"/>
          <w:wAfter w:w="7" w:type="dxa"/>
          <w:trHeight w:val="599"/>
        </w:trPr>
        <w:tc>
          <w:tcPr>
            <w:tcW w:w="1574" w:type="dxa"/>
          </w:tcPr>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 xml:space="preserve">Li and </w:t>
            </w:r>
            <w:proofErr w:type="spellStart"/>
            <w:r w:rsidRPr="00C92A5A">
              <w:rPr>
                <w:rFonts w:ascii="Times New Roman" w:hAnsi="Times New Roman" w:cs="Times New Roman"/>
                <w:b/>
                <w:sz w:val="18"/>
                <w:szCs w:val="18"/>
              </w:rPr>
              <w:t>Xue</w:t>
            </w:r>
            <w:proofErr w:type="spellEnd"/>
            <w:r w:rsidRPr="00C92A5A">
              <w:rPr>
                <w:rFonts w:ascii="Times New Roman" w:hAnsi="Times New Roman" w:cs="Times New Roman"/>
                <w:b/>
                <w:sz w:val="18"/>
                <w:szCs w:val="18"/>
              </w:rPr>
              <w:t xml:space="preserve"> (2023)</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 xml:space="preserve">Qualitative </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Student engagement</w:t>
            </w:r>
          </w:p>
        </w:tc>
        <w:tc>
          <w:tcPr>
            <w:tcW w:w="1860" w:type="dxa"/>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rPr>
              <w:t>Emotions, learning abilities, personality traits, teacher behaviour, and available resources affect student engagement.</w:t>
            </w:r>
          </w:p>
          <w:p w:rsidR="00F8422A" w:rsidRPr="00C92A5A" w:rsidRDefault="00F8422A" w:rsidP="00040F36">
            <w:pPr>
              <w:pStyle w:val="BalloonText"/>
              <w:rPr>
                <w:rFonts w:ascii="Times New Roman" w:hAnsi="Times New Roman" w:cs="Times New Roman"/>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573"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31"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r>
      <w:tr w:rsidR="00F8422A" w:rsidRPr="00C92A5A" w:rsidTr="00040F36">
        <w:trPr>
          <w:gridAfter w:val="1"/>
          <w:wAfter w:w="7" w:type="dxa"/>
          <w:trHeight w:val="559"/>
        </w:trPr>
        <w:tc>
          <w:tcPr>
            <w:tcW w:w="1574" w:type="dxa"/>
          </w:tcPr>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 xml:space="preserve">Poole </w:t>
            </w:r>
            <w:r w:rsidRPr="00C92A5A">
              <w:rPr>
                <w:rFonts w:ascii="Times New Roman" w:hAnsi="Times New Roman" w:cs="Times New Roman"/>
                <w:b/>
                <w:i/>
                <w:sz w:val="18"/>
                <w:szCs w:val="18"/>
              </w:rPr>
              <w:t>et al.</w:t>
            </w:r>
            <w:r w:rsidRPr="00C92A5A">
              <w:rPr>
                <w:rFonts w:ascii="Times New Roman" w:hAnsi="Times New Roman" w:cs="Times New Roman"/>
                <w:b/>
                <w:sz w:val="18"/>
                <w:szCs w:val="18"/>
              </w:rPr>
              <w:t xml:space="preserve"> (2023)</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 xml:space="preserve">Qualitative </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Social Media Engagement</w:t>
            </w:r>
          </w:p>
          <w:p w:rsidR="00F8422A" w:rsidRPr="00C92A5A" w:rsidRDefault="00F8422A" w:rsidP="00040F36">
            <w:pPr>
              <w:spacing w:after="0" w:line="240" w:lineRule="auto"/>
              <w:rPr>
                <w:rFonts w:ascii="Times New Roman" w:hAnsi="Times New Roman" w:cs="Times New Roman"/>
                <w:sz w:val="18"/>
                <w:szCs w:val="18"/>
              </w:rPr>
            </w:pPr>
          </w:p>
        </w:tc>
        <w:tc>
          <w:tcPr>
            <w:tcW w:w="1860" w:type="dxa"/>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rPr>
              <w:t>Engagement forms based on activity levels indicate that people were less active on social media during COVID-19.</w:t>
            </w:r>
          </w:p>
          <w:p w:rsidR="00F8422A" w:rsidRPr="00C92A5A" w:rsidRDefault="00F8422A" w:rsidP="00040F36">
            <w:pPr>
              <w:pStyle w:val="BalloonText"/>
              <w:rPr>
                <w:rFonts w:ascii="Times New Roman" w:hAnsi="Times New Roman" w:cs="Times New Roman"/>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573"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1"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r>
      <w:tr w:rsidR="00F8422A" w:rsidRPr="00C92A5A" w:rsidTr="00040F36">
        <w:trPr>
          <w:gridAfter w:val="1"/>
          <w:wAfter w:w="7" w:type="dxa"/>
          <w:trHeight w:val="913"/>
        </w:trPr>
        <w:tc>
          <w:tcPr>
            <w:tcW w:w="1574" w:type="dxa"/>
          </w:tcPr>
          <w:p w:rsidR="00F8422A" w:rsidRPr="00C92A5A" w:rsidRDefault="00F8422A" w:rsidP="00040F36">
            <w:pPr>
              <w:spacing w:after="0" w:line="240" w:lineRule="auto"/>
              <w:rPr>
                <w:rFonts w:ascii="Times New Roman" w:hAnsi="Times New Roman" w:cs="Times New Roman"/>
                <w:b/>
                <w:sz w:val="18"/>
                <w:szCs w:val="18"/>
              </w:rPr>
            </w:pPr>
            <w:proofErr w:type="spellStart"/>
            <w:r w:rsidRPr="00C92A5A">
              <w:rPr>
                <w:rFonts w:ascii="Times New Roman" w:hAnsi="Times New Roman" w:cs="Times New Roman"/>
                <w:b/>
                <w:sz w:val="18"/>
                <w:szCs w:val="18"/>
              </w:rPr>
              <w:t>Steenberghs</w:t>
            </w:r>
            <w:proofErr w:type="spellEnd"/>
            <w:r w:rsidRPr="00C92A5A">
              <w:rPr>
                <w:rFonts w:ascii="Times New Roman" w:hAnsi="Times New Roman" w:cs="Times New Roman"/>
                <w:b/>
                <w:sz w:val="18"/>
                <w:szCs w:val="18"/>
              </w:rPr>
              <w:t xml:space="preserve"> </w:t>
            </w:r>
            <w:r w:rsidRPr="00C92A5A">
              <w:rPr>
                <w:rFonts w:ascii="Times New Roman" w:hAnsi="Times New Roman" w:cs="Times New Roman"/>
                <w:b/>
                <w:i/>
                <w:sz w:val="18"/>
                <w:szCs w:val="18"/>
              </w:rPr>
              <w:t>et al.</w:t>
            </w:r>
            <w:r w:rsidRPr="00C92A5A">
              <w:rPr>
                <w:rFonts w:ascii="Times New Roman" w:hAnsi="Times New Roman" w:cs="Times New Roman"/>
                <w:b/>
                <w:sz w:val="18"/>
                <w:szCs w:val="18"/>
              </w:rPr>
              <w:t xml:space="preserve"> (2023)</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Qualitative</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Student engagement</w:t>
            </w:r>
          </w:p>
        </w:tc>
        <w:tc>
          <w:tcPr>
            <w:tcW w:w="1860" w:type="dxa"/>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rPr>
              <w:t>Friends influence all dimensions of engagement, popular students affect emotional disengagement, and intelligent students affect emotional engagement.</w:t>
            </w:r>
          </w:p>
          <w:p w:rsidR="00F8422A" w:rsidRPr="00C92A5A" w:rsidRDefault="00F8422A" w:rsidP="00040F36">
            <w:pPr>
              <w:pStyle w:val="BalloonText"/>
              <w:rPr>
                <w:rFonts w:ascii="Times New Roman" w:hAnsi="Times New Roman" w:cs="Times New Roman"/>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573"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1"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r>
      <w:tr w:rsidR="00F8422A" w:rsidRPr="00C92A5A" w:rsidTr="00040F36">
        <w:trPr>
          <w:gridAfter w:val="1"/>
          <w:wAfter w:w="7" w:type="dxa"/>
          <w:trHeight w:val="1308"/>
        </w:trPr>
        <w:tc>
          <w:tcPr>
            <w:tcW w:w="1574" w:type="dxa"/>
          </w:tcPr>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 xml:space="preserve">Zahra </w:t>
            </w:r>
            <w:r w:rsidRPr="00C92A5A">
              <w:rPr>
                <w:rFonts w:ascii="Times New Roman" w:hAnsi="Times New Roman" w:cs="Times New Roman"/>
                <w:b/>
                <w:i/>
                <w:sz w:val="18"/>
                <w:szCs w:val="18"/>
              </w:rPr>
              <w:t>et al.</w:t>
            </w:r>
            <w:r w:rsidRPr="00C92A5A">
              <w:rPr>
                <w:rFonts w:ascii="Times New Roman" w:hAnsi="Times New Roman" w:cs="Times New Roman"/>
                <w:b/>
                <w:sz w:val="18"/>
                <w:szCs w:val="18"/>
              </w:rPr>
              <w:t xml:space="preserve"> (2023)</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 xml:space="preserve">Qualitative </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 xml:space="preserve">Actor engagement </w:t>
            </w:r>
          </w:p>
          <w:p w:rsidR="00F8422A" w:rsidRPr="00C92A5A" w:rsidRDefault="00F8422A" w:rsidP="00040F36">
            <w:pPr>
              <w:spacing w:after="0" w:line="240" w:lineRule="auto"/>
              <w:rPr>
                <w:rFonts w:ascii="Times New Roman" w:hAnsi="Times New Roman" w:cs="Times New Roman"/>
                <w:sz w:val="18"/>
                <w:szCs w:val="18"/>
              </w:rPr>
            </w:pPr>
          </w:p>
        </w:tc>
        <w:tc>
          <w:tcPr>
            <w:tcW w:w="1860" w:type="dxa"/>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rPr>
              <w:t>In three resource integration phases, actors</w:t>
            </w:r>
            <w:r>
              <w:rPr>
                <w:rFonts w:ascii="Times New Roman" w:hAnsi="Times New Roman" w:cs="Times New Roman"/>
              </w:rPr>
              <w:t>’</w:t>
            </w:r>
            <w:r w:rsidRPr="00C92A5A">
              <w:rPr>
                <w:rFonts w:ascii="Times New Roman" w:hAnsi="Times New Roman" w:cs="Times New Roman"/>
              </w:rPr>
              <w:t xml:space="preserve"> network associations influence engagement.</w:t>
            </w: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573"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31"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r>
      <w:tr w:rsidR="00F8422A" w:rsidRPr="00C92A5A" w:rsidTr="00040F36">
        <w:trPr>
          <w:gridAfter w:val="1"/>
          <w:wAfter w:w="7" w:type="dxa"/>
          <w:trHeight w:val="928"/>
        </w:trPr>
        <w:tc>
          <w:tcPr>
            <w:tcW w:w="1574" w:type="dxa"/>
            <w:tcBorders>
              <w:bottom w:val="single" w:sz="4" w:space="0" w:color="auto"/>
            </w:tcBorders>
          </w:tcPr>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 xml:space="preserve">Zhou </w:t>
            </w:r>
            <w:r w:rsidRPr="00C92A5A">
              <w:rPr>
                <w:rFonts w:ascii="Times New Roman" w:hAnsi="Times New Roman" w:cs="Times New Roman"/>
                <w:b/>
                <w:i/>
                <w:sz w:val="18"/>
                <w:szCs w:val="18"/>
              </w:rPr>
              <w:t>et al.</w:t>
            </w:r>
            <w:r w:rsidRPr="00C92A5A">
              <w:rPr>
                <w:rFonts w:ascii="Times New Roman" w:hAnsi="Times New Roman" w:cs="Times New Roman"/>
                <w:b/>
                <w:sz w:val="18"/>
                <w:szCs w:val="18"/>
              </w:rPr>
              <w:t xml:space="preserve"> (2023)</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Qualitative</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 xml:space="preserve">Student engagement </w:t>
            </w:r>
          </w:p>
          <w:p w:rsidR="00F8422A" w:rsidRPr="00C92A5A" w:rsidRDefault="00F8422A" w:rsidP="00040F36">
            <w:pPr>
              <w:spacing w:after="0" w:line="240" w:lineRule="auto"/>
              <w:rPr>
                <w:rFonts w:ascii="Times New Roman" w:hAnsi="Times New Roman" w:cs="Times New Roman"/>
                <w:sz w:val="18"/>
                <w:szCs w:val="18"/>
              </w:rPr>
            </w:pPr>
          </w:p>
        </w:tc>
        <w:tc>
          <w:tcPr>
            <w:tcW w:w="1860" w:type="dxa"/>
            <w:tcBorders>
              <w:bottom w:val="single" w:sz="4" w:space="0" w:color="auto"/>
            </w:tcBorders>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rPr>
              <w:t>Teachers influence student engagement.</w:t>
            </w:r>
          </w:p>
        </w:tc>
        <w:tc>
          <w:tcPr>
            <w:tcW w:w="430" w:type="dxa"/>
            <w:tcBorders>
              <w:bottom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c>
          <w:tcPr>
            <w:tcW w:w="573" w:type="dxa"/>
            <w:tcBorders>
              <w:bottom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Borders>
              <w:bottom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c>
          <w:tcPr>
            <w:tcW w:w="429" w:type="dxa"/>
            <w:tcBorders>
              <w:bottom w:val="single" w:sz="4" w:space="0" w:color="auto"/>
            </w:tcBorders>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1" w:type="dxa"/>
            <w:tcBorders>
              <w:bottom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c>
          <w:tcPr>
            <w:tcW w:w="430" w:type="dxa"/>
            <w:tcBorders>
              <w:bottom w:val="single" w:sz="4" w:space="0" w:color="auto"/>
            </w:tcBorders>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573" w:type="dxa"/>
            <w:tcBorders>
              <w:bottom w:val="single" w:sz="4" w:space="0" w:color="auto"/>
            </w:tcBorders>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29" w:type="dxa"/>
            <w:tcBorders>
              <w:bottom w:val="single" w:sz="4" w:space="0" w:color="auto"/>
            </w:tcBorders>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Borders>
              <w:bottom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c>
          <w:tcPr>
            <w:tcW w:w="429" w:type="dxa"/>
            <w:tcBorders>
              <w:bottom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c>
          <w:tcPr>
            <w:tcW w:w="430" w:type="dxa"/>
            <w:tcBorders>
              <w:bottom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c>
          <w:tcPr>
            <w:tcW w:w="429" w:type="dxa"/>
            <w:tcBorders>
              <w:bottom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r>
      <w:tr w:rsidR="00F8422A" w:rsidRPr="00C92A5A" w:rsidTr="00040F36">
        <w:trPr>
          <w:trHeight w:val="502"/>
        </w:trPr>
        <w:tc>
          <w:tcPr>
            <w:tcW w:w="8883" w:type="dxa"/>
            <w:gridSpan w:val="15"/>
            <w:tcBorders>
              <w:top w:val="single" w:sz="4" w:space="0" w:color="auto"/>
            </w:tcBorders>
          </w:tcPr>
          <w:p w:rsidR="00F8422A" w:rsidRPr="00C92A5A" w:rsidRDefault="00F8422A" w:rsidP="00040F36">
            <w:pPr>
              <w:spacing w:before="240" w:after="0" w:line="240" w:lineRule="auto"/>
              <w:jc w:val="right"/>
              <w:rPr>
                <w:rFonts w:ascii="Times New Roman" w:eastAsia="Times New Roman" w:hAnsi="Times New Roman" w:cs="Times New Roman"/>
                <w:i/>
                <w:sz w:val="18"/>
                <w:szCs w:val="18"/>
                <w:lang w:eastAsia="de-DE"/>
              </w:rPr>
            </w:pPr>
            <w:r w:rsidRPr="00C92A5A">
              <w:rPr>
                <w:rFonts w:ascii="Times New Roman" w:eastAsia="Times New Roman" w:hAnsi="Times New Roman" w:cs="Times New Roman"/>
                <w:i/>
                <w:sz w:val="18"/>
                <w:szCs w:val="18"/>
                <w:lang w:eastAsia="de-DE"/>
              </w:rPr>
              <w:t xml:space="preserve"> (continued)</w:t>
            </w:r>
          </w:p>
        </w:tc>
      </w:tr>
    </w:tbl>
    <w:p w:rsidR="00F8422A" w:rsidRPr="00C92A5A" w:rsidRDefault="00F8422A" w:rsidP="00F8422A">
      <w:pPr>
        <w:jc w:val="center"/>
        <w:rPr>
          <w:rFonts w:ascii="Times New Roman" w:hAnsi="Times New Roman" w:cs="Times New Roman"/>
          <w:b/>
          <w:sz w:val="24"/>
          <w:szCs w:val="24"/>
        </w:rPr>
      </w:pPr>
    </w:p>
    <w:p w:rsidR="00F8422A" w:rsidRDefault="00F8422A" w:rsidP="00F8422A">
      <w:pPr>
        <w:rPr>
          <w:rFonts w:ascii="Times New Roman" w:hAnsi="Times New Roman" w:cs="Times New Roman"/>
          <w:b/>
          <w:sz w:val="24"/>
          <w:szCs w:val="24"/>
        </w:rPr>
      </w:pPr>
    </w:p>
    <w:p w:rsidR="00F8422A" w:rsidRPr="00C92A5A" w:rsidRDefault="00F8422A" w:rsidP="00F8422A">
      <w:pPr>
        <w:rPr>
          <w:rFonts w:ascii="Times New Roman" w:hAnsi="Times New Roman" w:cs="Times New Roman"/>
          <w:b/>
          <w:sz w:val="24"/>
          <w:szCs w:val="24"/>
        </w:rPr>
      </w:pPr>
    </w:p>
    <w:tbl>
      <w:tblPr>
        <w:tblW w:w="8883" w:type="dxa"/>
        <w:tblInd w:w="-5" w:type="dxa"/>
        <w:tblLayout w:type="fixed"/>
        <w:tblLook w:val="04A0" w:firstRow="1" w:lastRow="0" w:firstColumn="1" w:lastColumn="0" w:noHBand="0" w:noVBand="1"/>
      </w:tblPr>
      <w:tblGrid>
        <w:gridCol w:w="1574"/>
        <w:gridCol w:w="1860"/>
        <w:gridCol w:w="430"/>
        <w:gridCol w:w="573"/>
        <w:gridCol w:w="429"/>
        <w:gridCol w:w="429"/>
        <w:gridCol w:w="431"/>
        <w:gridCol w:w="430"/>
        <w:gridCol w:w="573"/>
        <w:gridCol w:w="429"/>
        <w:gridCol w:w="430"/>
        <w:gridCol w:w="429"/>
        <w:gridCol w:w="430"/>
        <w:gridCol w:w="429"/>
        <w:gridCol w:w="7"/>
      </w:tblGrid>
      <w:tr w:rsidR="00F8422A" w:rsidRPr="00C92A5A" w:rsidTr="00040F36">
        <w:trPr>
          <w:trHeight w:val="304"/>
        </w:trPr>
        <w:tc>
          <w:tcPr>
            <w:tcW w:w="8883" w:type="dxa"/>
            <w:gridSpan w:val="15"/>
          </w:tcPr>
          <w:p w:rsidR="00F8422A" w:rsidRPr="00C92A5A" w:rsidRDefault="00F8422A" w:rsidP="00040F36">
            <w:pPr>
              <w:rPr>
                <w:rFonts w:ascii="Times New Roman" w:hAnsi="Times New Roman" w:cs="Times New Roman"/>
                <w:b/>
                <w:bCs/>
                <w:sz w:val="24"/>
                <w:szCs w:val="24"/>
              </w:rPr>
            </w:pPr>
            <w:r w:rsidRPr="00923F0B">
              <w:rPr>
                <w:rFonts w:ascii="Times New Roman" w:hAnsi="Times New Roman" w:cs="Times New Roman"/>
                <w:b/>
                <w:bCs/>
                <w:sz w:val="24"/>
                <w:szCs w:val="24"/>
              </w:rPr>
              <w:t>Appendix</w:t>
            </w:r>
            <w:r w:rsidRPr="00923F0B">
              <w:rPr>
                <w:rFonts w:ascii="Times New Roman" w:hAnsi="Times New Roman" w:cs="Times New Roman"/>
                <w:b/>
                <w:sz w:val="24"/>
                <w:szCs w:val="24"/>
              </w:rPr>
              <w:t xml:space="preserve"> – B.</w:t>
            </w:r>
            <w:r>
              <w:rPr>
                <w:rFonts w:cs="Times New Roman"/>
                <w:szCs w:val="24"/>
              </w:rPr>
              <w:t xml:space="preserve"> </w:t>
            </w:r>
            <w:r w:rsidRPr="00C92A5A">
              <w:rPr>
                <w:rFonts w:ascii="Times New Roman" w:hAnsi="Times New Roman" w:cs="Times New Roman"/>
                <w:bCs/>
                <w:sz w:val="24"/>
                <w:szCs w:val="24"/>
              </w:rPr>
              <w:t>(continued)</w:t>
            </w:r>
          </w:p>
        </w:tc>
      </w:tr>
      <w:tr w:rsidR="00F8422A" w:rsidRPr="00C92A5A" w:rsidTr="00040F36">
        <w:trPr>
          <w:trHeight w:val="136"/>
        </w:trPr>
        <w:tc>
          <w:tcPr>
            <w:tcW w:w="1574" w:type="dxa"/>
            <w:vMerge w:val="restart"/>
            <w:tcBorders>
              <w:top w:val="single" w:sz="4" w:space="0" w:color="auto"/>
            </w:tcBorders>
          </w:tcPr>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Article</w:t>
            </w:r>
          </w:p>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Approach</w:t>
            </w:r>
          </w:p>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Main Focus</w:t>
            </w:r>
          </w:p>
        </w:tc>
        <w:tc>
          <w:tcPr>
            <w:tcW w:w="1860" w:type="dxa"/>
            <w:vMerge w:val="restart"/>
            <w:tcBorders>
              <w:top w:val="single" w:sz="4" w:space="0" w:color="auto"/>
            </w:tcBorders>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b/>
              </w:rPr>
              <w:t>Critical Contributions</w:t>
            </w:r>
          </w:p>
        </w:tc>
        <w:tc>
          <w:tcPr>
            <w:tcW w:w="2292" w:type="dxa"/>
            <w:gridSpan w:val="5"/>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b/>
                <w:sz w:val="18"/>
                <w:szCs w:val="18"/>
              </w:rPr>
              <w:t>Dynamic Elements</w:t>
            </w:r>
          </w:p>
        </w:tc>
        <w:tc>
          <w:tcPr>
            <w:tcW w:w="1862" w:type="dxa"/>
            <w:gridSpan w:val="4"/>
            <w:tcBorders>
              <w:top w:val="single" w:sz="4" w:space="0" w:color="auto"/>
            </w:tcBorders>
            <w:shd w:val="clear" w:color="auto" w:fill="auto"/>
          </w:tcPr>
          <w:p w:rsidR="00F8422A" w:rsidRPr="00C92A5A" w:rsidRDefault="00F8422A" w:rsidP="00040F36">
            <w:pPr>
              <w:spacing w:after="0" w:line="240" w:lineRule="auto"/>
              <w:jc w:val="both"/>
              <w:rPr>
                <w:rFonts w:ascii="Times New Roman" w:hAnsi="Times New Roman" w:cs="Times New Roman"/>
                <w:sz w:val="18"/>
                <w:szCs w:val="18"/>
              </w:rPr>
            </w:pPr>
            <w:r w:rsidRPr="00C92A5A">
              <w:rPr>
                <w:rFonts w:ascii="Times New Roman" w:hAnsi="Times New Roman" w:cs="Times New Roman"/>
                <w:b/>
                <w:sz w:val="18"/>
                <w:szCs w:val="18"/>
              </w:rPr>
              <w:t>Triggers</w:t>
            </w:r>
          </w:p>
        </w:tc>
        <w:tc>
          <w:tcPr>
            <w:tcW w:w="1295" w:type="dxa"/>
            <w:gridSpan w:val="4"/>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b/>
                <w:sz w:val="18"/>
                <w:szCs w:val="18"/>
              </w:rPr>
              <w:t>Mechanisms</w:t>
            </w:r>
          </w:p>
        </w:tc>
      </w:tr>
      <w:tr w:rsidR="00F8422A" w:rsidRPr="00C92A5A" w:rsidTr="00040F36">
        <w:trPr>
          <w:gridAfter w:val="1"/>
          <w:wAfter w:w="7" w:type="dxa"/>
          <w:cantSplit/>
          <w:trHeight w:val="1150"/>
        </w:trPr>
        <w:tc>
          <w:tcPr>
            <w:tcW w:w="1574" w:type="dxa"/>
            <w:vMerge/>
            <w:tcBorders>
              <w:bottom w:val="single" w:sz="4" w:space="0" w:color="auto"/>
            </w:tcBorders>
          </w:tcPr>
          <w:p w:rsidR="00F8422A" w:rsidRPr="00C92A5A" w:rsidRDefault="00F8422A" w:rsidP="00040F36">
            <w:pPr>
              <w:spacing w:after="0" w:line="240" w:lineRule="auto"/>
              <w:rPr>
                <w:rFonts w:ascii="Times New Roman" w:hAnsi="Times New Roman" w:cs="Times New Roman"/>
                <w:b/>
                <w:sz w:val="18"/>
                <w:szCs w:val="18"/>
              </w:rPr>
            </w:pPr>
          </w:p>
        </w:tc>
        <w:tc>
          <w:tcPr>
            <w:tcW w:w="1860" w:type="dxa"/>
            <w:vMerge/>
            <w:tcBorders>
              <w:bottom w:val="single" w:sz="4" w:space="0" w:color="auto"/>
            </w:tcBorders>
          </w:tcPr>
          <w:p w:rsidR="00F8422A" w:rsidRPr="00C92A5A" w:rsidRDefault="00F8422A" w:rsidP="00040F36">
            <w:pPr>
              <w:pStyle w:val="BalloonText"/>
              <w:rPr>
                <w:rFonts w:ascii="Times New Roman" w:hAnsi="Times New Roman" w:cs="Times New Roman"/>
              </w:rPr>
            </w:pPr>
          </w:p>
        </w:tc>
        <w:tc>
          <w:tcPr>
            <w:tcW w:w="430"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Disposition</w:t>
            </w:r>
          </w:p>
        </w:tc>
        <w:tc>
          <w:tcPr>
            <w:tcW w:w="573"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Activity of engaging</w:t>
            </w:r>
          </w:p>
        </w:tc>
        <w:tc>
          <w:tcPr>
            <w:tcW w:w="429"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Valence</w:t>
            </w:r>
          </w:p>
        </w:tc>
        <w:tc>
          <w:tcPr>
            <w:tcW w:w="429" w:type="dxa"/>
            <w:tcBorders>
              <w:bottom w:val="single" w:sz="4" w:space="0" w:color="auto"/>
            </w:tcBorders>
            <w:shd w:val="clear" w:color="auto" w:fill="auto"/>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Intensity</w:t>
            </w:r>
          </w:p>
        </w:tc>
        <w:tc>
          <w:tcPr>
            <w:tcW w:w="431"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Dimensions</w:t>
            </w:r>
          </w:p>
        </w:tc>
        <w:tc>
          <w:tcPr>
            <w:tcW w:w="430" w:type="dxa"/>
            <w:tcBorders>
              <w:bottom w:val="single" w:sz="4" w:space="0" w:color="auto"/>
            </w:tcBorders>
            <w:shd w:val="clear" w:color="auto" w:fill="auto"/>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Focal object</w:t>
            </w:r>
          </w:p>
        </w:tc>
        <w:tc>
          <w:tcPr>
            <w:tcW w:w="573" w:type="dxa"/>
            <w:tcBorders>
              <w:bottom w:val="single" w:sz="4" w:space="0" w:color="auto"/>
            </w:tcBorders>
            <w:shd w:val="clear" w:color="auto" w:fill="auto"/>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Other</w:t>
            </w:r>
          </w:p>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objects</w:t>
            </w:r>
          </w:p>
        </w:tc>
        <w:tc>
          <w:tcPr>
            <w:tcW w:w="429" w:type="dxa"/>
            <w:tcBorders>
              <w:bottom w:val="single" w:sz="4" w:space="0" w:color="auto"/>
            </w:tcBorders>
            <w:shd w:val="clear" w:color="auto" w:fill="auto"/>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Other actors</w:t>
            </w:r>
          </w:p>
        </w:tc>
        <w:tc>
          <w:tcPr>
            <w:tcW w:w="430"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Context</w:t>
            </w:r>
          </w:p>
        </w:tc>
        <w:tc>
          <w:tcPr>
            <w:tcW w:w="429"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Interaction</w:t>
            </w:r>
          </w:p>
        </w:tc>
        <w:tc>
          <w:tcPr>
            <w:tcW w:w="430"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proofErr w:type="spellStart"/>
            <w:r w:rsidRPr="00C92A5A">
              <w:rPr>
                <w:rFonts w:ascii="Times New Roman" w:hAnsi="Times New Roman" w:cs="Times New Roman"/>
                <w:sz w:val="18"/>
                <w:szCs w:val="18"/>
              </w:rPr>
              <w:t>Spillover</w:t>
            </w:r>
            <w:proofErr w:type="spellEnd"/>
          </w:p>
        </w:tc>
        <w:tc>
          <w:tcPr>
            <w:tcW w:w="429" w:type="dxa"/>
            <w:tcBorders>
              <w:bottom w:val="single" w:sz="4" w:space="0" w:color="auto"/>
            </w:tcBorders>
            <w:textDirection w:val="btLr"/>
          </w:tcPr>
          <w:p w:rsidR="00F8422A" w:rsidRPr="00C92A5A" w:rsidRDefault="00F8422A" w:rsidP="00040F36">
            <w:pPr>
              <w:spacing w:after="0" w:line="240" w:lineRule="auto"/>
              <w:ind w:left="113" w:right="113"/>
              <w:rPr>
                <w:rFonts w:ascii="Times New Roman" w:hAnsi="Times New Roman" w:cs="Times New Roman"/>
                <w:sz w:val="18"/>
                <w:szCs w:val="18"/>
              </w:rPr>
            </w:pPr>
            <w:r w:rsidRPr="00C92A5A">
              <w:rPr>
                <w:rFonts w:ascii="Times New Roman" w:hAnsi="Times New Roman" w:cs="Times New Roman"/>
                <w:sz w:val="18"/>
                <w:szCs w:val="18"/>
              </w:rPr>
              <w:t>Crossover</w:t>
            </w:r>
          </w:p>
        </w:tc>
      </w:tr>
      <w:tr w:rsidR="00F8422A" w:rsidRPr="00C92A5A" w:rsidTr="00040F36">
        <w:trPr>
          <w:gridAfter w:val="1"/>
          <w:wAfter w:w="7" w:type="dxa"/>
          <w:trHeight w:val="806"/>
        </w:trPr>
        <w:tc>
          <w:tcPr>
            <w:tcW w:w="1574" w:type="dxa"/>
            <w:tcBorders>
              <w:top w:val="single" w:sz="4" w:space="0" w:color="auto"/>
            </w:tcBorders>
          </w:tcPr>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 xml:space="preserve">Zhao </w:t>
            </w:r>
            <w:r w:rsidRPr="00C92A5A">
              <w:rPr>
                <w:rFonts w:ascii="Times New Roman" w:hAnsi="Times New Roman" w:cs="Times New Roman"/>
                <w:b/>
                <w:i/>
                <w:sz w:val="18"/>
                <w:szCs w:val="18"/>
              </w:rPr>
              <w:t>et al.</w:t>
            </w:r>
            <w:r w:rsidRPr="00C92A5A">
              <w:rPr>
                <w:rFonts w:ascii="Times New Roman" w:hAnsi="Times New Roman" w:cs="Times New Roman"/>
                <w:b/>
                <w:sz w:val="18"/>
                <w:szCs w:val="18"/>
              </w:rPr>
              <w:t xml:space="preserve"> (2023)</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Qualitative</w:t>
            </w:r>
          </w:p>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sz w:val="18"/>
                <w:szCs w:val="18"/>
              </w:rPr>
              <w:t>Consumer engagement</w:t>
            </w:r>
          </w:p>
        </w:tc>
        <w:tc>
          <w:tcPr>
            <w:tcW w:w="1860" w:type="dxa"/>
            <w:tcBorders>
              <w:top w:val="single" w:sz="4" w:space="0" w:color="auto"/>
            </w:tcBorders>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rPr>
              <w:t>Three engagement states are identified: low (inactive users), medium (sampling books), and high (intensive reading).</w:t>
            </w:r>
          </w:p>
          <w:p w:rsidR="00F8422A" w:rsidRPr="00C92A5A" w:rsidRDefault="00F8422A" w:rsidP="00040F36">
            <w:pPr>
              <w:pStyle w:val="BalloonText"/>
              <w:rPr>
                <w:rFonts w:ascii="Times New Roman" w:hAnsi="Times New Roman" w:cs="Times New Roman"/>
              </w:rPr>
            </w:pPr>
          </w:p>
        </w:tc>
        <w:tc>
          <w:tcPr>
            <w:tcW w:w="430"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c>
          <w:tcPr>
            <w:tcW w:w="573"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1"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Borders>
              <w:top w:val="single" w:sz="4" w:space="0" w:color="auto"/>
            </w:tcBorders>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573" w:type="dxa"/>
            <w:tcBorders>
              <w:top w:val="single" w:sz="4" w:space="0" w:color="auto"/>
            </w:tcBorders>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30"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c>
          <w:tcPr>
            <w:tcW w:w="430"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tcPr>
          <w:p w:rsidR="00F8422A" w:rsidRPr="00C92A5A" w:rsidRDefault="00F8422A" w:rsidP="00040F36">
            <w:pPr>
              <w:spacing w:after="0" w:line="240" w:lineRule="auto"/>
              <w:rPr>
                <w:rFonts w:ascii="Times New Roman" w:hAnsi="Times New Roman" w:cs="Times New Roman"/>
                <w:sz w:val="18"/>
                <w:szCs w:val="18"/>
              </w:rPr>
            </w:pPr>
          </w:p>
        </w:tc>
      </w:tr>
      <w:tr w:rsidR="00F8422A" w:rsidRPr="00C92A5A" w:rsidTr="00040F36">
        <w:trPr>
          <w:gridAfter w:val="1"/>
          <w:wAfter w:w="7" w:type="dxa"/>
          <w:trHeight w:val="1259"/>
        </w:trPr>
        <w:tc>
          <w:tcPr>
            <w:tcW w:w="1574" w:type="dxa"/>
          </w:tcPr>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 xml:space="preserve">Ali </w:t>
            </w:r>
            <w:proofErr w:type="spellStart"/>
            <w:r w:rsidRPr="00C92A5A">
              <w:rPr>
                <w:rFonts w:ascii="Times New Roman" w:hAnsi="Times New Roman" w:cs="Times New Roman"/>
                <w:b/>
                <w:sz w:val="18"/>
                <w:szCs w:val="18"/>
              </w:rPr>
              <w:t>Ababneh</w:t>
            </w:r>
            <w:proofErr w:type="spellEnd"/>
            <w:r w:rsidRPr="00C92A5A">
              <w:rPr>
                <w:rFonts w:ascii="Times New Roman" w:hAnsi="Times New Roman" w:cs="Times New Roman"/>
                <w:b/>
                <w:sz w:val="18"/>
                <w:szCs w:val="18"/>
              </w:rPr>
              <w:t xml:space="preserve"> (2022)</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 xml:space="preserve">Quantitative </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Employee engagement</w:t>
            </w:r>
          </w:p>
        </w:tc>
        <w:tc>
          <w:tcPr>
            <w:tcW w:w="1860" w:type="dxa"/>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rPr>
              <w:t>Human capital (skills, knowledge, experience) correlates with employee engagement.</w:t>
            </w:r>
          </w:p>
        </w:tc>
        <w:tc>
          <w:tcPr>
            <w:tcW w:w="430"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573"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31"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r>
      <w:tr w:rsidR="00F8422A" w:rsidRPr="00C92A5A" w:rsidTr="00040F36">
        <w:trPr>
          <w:gridAfter w:val="1"/>
          <w:wAfter w:w="7" w:type="dxa"/>
          <w:trHeight w:val="599"/>
        </w:trPr>
        <w:tc>
          <w:tcPr>
            <w:tcW w:w="1574" w:type="dxa"/>
          </w:tcPr>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El-</w:t>
            </w:r>
            <w:proofErr w:type="spellStart"/>
            <w:r w:rsidRPr="00C92A5A">
              <w:rPr>
                <w:rFonts w:ascii="Times New Roman" w:hAnsi="Times New Roman" w:cs="Times New Roman"/>
                <w:b/>
                <w:sz w:val="18"/>
                <w:szCs w:val="18"/>
              </w:rPr>
              <w:t>Awad</w:t>
            </w:r>
            <w:proofErr w:type="spellEnd"/>
            <w:r w:rsidRPr="00C92A5A">
              <w:rPr>
                <w:rFonts w:ascii="Times New Roman" w:hAnsi="Times New Roman" w:cs="Times New Roman"/>
                <w:b/>
                <w:sz w:val="18"/>
                <w:szCs w:val="18"/>
              </w:rPr>
              <w:t xml:space="preserve"> </w:t>
            </w:r>
            <w:r w:rsidRPr="00C92A5A">
              <w:rPr>
                <w:rFonts w:ascii="Times New Roman" w:hAnsi="Times New Roman" w:cs="Times New Roman"/>
                <w:b/>
                <w:i/>
                <w:sz w:val="18"/>
                <w:szCs w:val="18"/>
              </w:rPr>
              <w:t>et al.</w:t>
            </w:r>
            <w:r w:rsidRPr="00C92A5A">
              <w:rPr>
                <w:rFonts w:ascii="Times New Roman" w:hAnsi="Times New Roman" w:cs="Times New Roman"/>
                <w:b/>
                <w:sz w:val="18"/>
                <w:szCs w:val="18"/>
              </w:rPr>
              <w:t xml:space="preserve"> (2022)</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 xml:space="preserve">Qualitative </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Alumni engagement</w:t>
            </w:r>
          </w:p>
        </w:tc>
        <w:tc>
          <w:tcPr>
            <w:tcW w:w="1860" w:type="dxa"/>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rPr>
              <w:t>Pathways lead to three forms of alumni engagement and high/low alumni engagement.</w:t>
            </w: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573"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1"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r>
      <w:tr w:rsidR="00F8422A" w:rsidRPr="00C92A5A" w:rsidTr="00040F36">
        <w:trPr>
          <w:gridAfter w:val="1"/>
          <w:wAfter w:w="7" w:type="dxa"/>
          <w:trHeight w:val="559"/>
        </w:trPr>
        <w:tc>
          <w:tcPr>
            <w:tcW w:w="1574" w:type="dxa"/>
          </w:tcPr>
          <w:p w:rsidR="00F8422A" w:rsidRPr="00C92A5A" w:rsidRDefault="00F8422A" w:rsidP="00040F36">
            <w:pPr>
              <w:spacing w:after="0" w:line="240" w:lineRule="auto"/>
              <w:rPr>
                <w:rFonts w:ascii="Times New Roman" w:hAnsi="Times New Roman" w:cs="Times New Roman"/>
                <w:b/>
                <w:sz w:val="18"/>
                <w:szCs w:val="18"/>
              </w:rPr>
            </w:pPr>
          </w:p>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Gupta (2022)</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 xml:space="preserve">Qualitative </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Student engagement</w:t>
            </w:r>
          </w:p>
        </w:tc>
        <w:tc>
          <w:tcPr>
            <w:tcW w:w="1860" w:type="dxa"/>
          </w:tcPr>
          <w:p w:rsidR="00F8422A" w:rsidRPr="00C92A5A" w:rsidRDefault="00F8422A" w:rsidP="00040F36">
            <w:pPr>
              <w:pStyle w:val="BalloonText"/>
              <w:rPr>
                <w:rFonts w:ascii="Times New Roman" w:hAnsi="Times New Roman" w:cs="Times New Roman"/>
              </w:rPr>
            </w:pPr>
          </w:p>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rPr>
              <w:t>Teaching behaviour influences the engagement of multiple student clusters</w:t>
            </w:r>
          </w:p>
          <w:p w:rsidR="00F8422A" w:rsidRPr="00C92A5A" w:rsidRDefault="00F8422A" w:rsidP="00040F36">
            <w:pPr>
              <w:pStyle w:val="BalloonText"/>
              <w:rPr>
                <w:rFonts w:ascii="Times New Roman" w:hAnsi="Times New Roman" w:cs="Times New Roman"/>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p>
          <w:p w:rsidR="00F8422A" w:rsidRPr="00C92A5A" w:rsidRDefault="00F8422A" w:rsidP="00040F36">
            <w:pPr>
              <w:spacing w:after="0" w:line="240" w:lineRule="auto"/>
              <w:rPr>
                <w:rFonts w:ascii="Times New Roman" w:hAnsi="Times New Roman" w:cs="Times New Roman"/>
                <w:sz w:val="18"/>
                <w:szCs w:val="18"/>
              </w:rPr>
            </w:pPr>
          </w:p>
        </w:tc>
        <w:tc>
          <w:tcPr>
            <w:tcW w:w="573" w:type="dxa"/>
          </w:tcPr>
          <w:p w:rsidR="00F8422A" w:rsidRPr="00C92A5A" w:rsidRDefault="00F8422A" w:rsidP="00040F36">
            <w:pPr>
              <w:spacing w:after="0" w:line="240" w:lineRule="auto"/>
              <w:rPr>
                <w:rFonts w:ascii="Times New Roman" w:hAnsi="Times New Roman" w:cs="Times New Roman"/>
                <w:sz w:val="18"/>
                <w:szCs w:val="18"/>
              </w:rPr>
            </w:pP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1" w:type="dxa"/>
          </w:tcPr>
          <w:p w:rsidR="00F8422A" w:rsidRPr="00C92A5A" w:rsidRDefault="00F8422A" w:rsidP="00040F36">
            <w:pPr>
              <w:spacing w:after="0" w:line="240" w:lineRule="auto"/>
              <w:rPr>
                <w:rFonts w:ascii="Times New Roman" w:hAnsi="Times New Roman" w:cs="Times New Roman"/>
                <w:sz w:val="18"/>
                <w:szCs w:val="18"/>
              </w:rPr>
            </w:pP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r>
      <w:tr w:rsidR="00F8422A" w:rsidRPr="00C92A5A" w:rsidTr="00040F36">
        <w:trPr>
          <w:gridAfter w:val="1"/>
          <w:wAfter w:w="7" w:type="dxa"/>
          <w:trHeight w:val="913"/>
        </w:trPr>
        <w:tc>
          <w:tcPr>
            <w:tcW w:w="1574" w:type="dxa"/>
          </w:tcPr>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Han and Anderson (2022)</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Qualitative</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Customer engagement</w:t>
            </w:r>
          </w:p>
        </w:tc>
        <w:tc>
          <w:tcPr>
            <w:tcW w:w="1860" w:type="dxa"/>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rPr>
              <w:t>Customers have a tendency to transfer to higher engagement states if managers have responded to prior customer survey.</w:t>
            </w:r>
          </w:p>
          <w:p w:rsidR="00F8422A" w:rsidRPr="00C92A5A" w:rsidRDefault="00F8422A" w:rsidP="00040F36">
            <w:pPr>
              <w:pStyle w:val="BalloonText"/>
              <w:rPr>
                <w:rFonts w:ascii="Times New Roman" w:hAnsi="Times New Roman" w:cs="Times New Roman"/>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573"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1"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r>
      <w:tr w:rsidR="00F8422A" w:rsidRPr="00C92A5A" w:rsidTr="00040F36">
        <w:trPr>
          <w:gridAfter w:val="1"/>
          <w:wAfter w:w="7" w:type="dxa"/>
          <w:trHeight w:val="1308"/>
        </w:trPr>
        <w:tc>
          <w:tcPr>
            <w:tcW w:w="1574" w:type="dxa"/>
          </w:tcPr>
          <w:p w:rsidR="00F8422A" w:rsidRPr="00C92A5A" w:rsidRDefault="00F8422A" w:rsidP="00040F36">
            <w:pPr>
              <w:spacing w:after="0" w:line="240" w:lineRule="auto"/>
              <w:rPr>
                <w:rFonts w:ascii="Times New Roman" w:hAnsi="Times New Roman" w:cs="Times New Roman"/>
                <w:b/>
                <w:sz w:val="18"/>
                <w:szCs w:val="18"/>
              </w:rPr>
            </w:pPr>
            <w:proofErr w:type="spellStart"/>
            <w:r w:rsidRPr="00C92A5A">
              <w:rPr>
                <w:rFonts w:ascii="Times New Roman" w:hAnsi="Times New Roman" w:cs="Times New Roman"/>
                <w:b/>
                <w:sz w:val="18"/>
                <w:szCs w:val="18"/>
              </w:rPr>
              <w:t>Hollebeek</w:t>
            </w:r>
            <w:proofErr w:type="spellEnd"/>
            <w:r w:rsidRPr="00C92A5A">
              <w:rPr>
                <w:rFonts w:ascii="Times New Roman" w:hAnsi="Times New Roman" w:cs="Times New Roman"/>
                <w:b/>
                <w:sz w:val="18"/>
                <w:szCs w:val="18"/>
              </w:rPr>
              <w:t xml:space="preserve"> </w:t>
            </w:r>
            <w:r w:rsidRPr="00C92A5A">
              <w:rPr>
                <w:rFonts w:ascii="Times New Roman" w:hAnsi="Times New Roman" w:cs="Times New Roman"/>
                <w:b/>
                <w:i/>
                <w:sz w:val="18"/>
                <w:szCs w:val="18"/>
              </w:rPr>
              <w:t>et al.</w:t>
            </w:r>
            <w:r w:rsidRPr="00C92A5A">
              <w:rPr>
                <w:rFonts w:ascii="Times New Roman" w:hAnsi="Times New Roman" w:cs="Times New Roman"/>
                <w:b/>
                <w:sz w:val="18"/>
                <w:szCs w:val="18"/>
              </w:rPr>
              <w:t xml:space="preserve"> (2022)</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 xml:space="preserve">Conceptual </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Stakeholder engagement, actor engagement</w:t>
            </w:r>
          </w:p>
        </w:tc>
        <w:tc>
          <w:tcPr>
            <w:tcW w:w="1860" w:type="dxa"/>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rPr>
              <w:t>Stakeholder engagement is defined as the resources a stakeholder invests in role-related interactions, activities, and relationships.</w:t>
            </w:r>
          </w:p>
          <w:p w:rsidR="00F8422A" w:rsidRPr="00C92A5A" w:rsidRDefault="00F8422A" w:rsidP="00040F36">
            <w:pPr>
              <w:pStyle w:val="BalloonText"/>
              <w:rPr>
                <w:rFonts w:ascii="Times New Roman" w:hAnsi="Times New Roman" w:cs="Times New Roman"/>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573"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31"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r>
      <w:tr w:rsidR="00F8422A" w:rsidRPr="00C92A5A" w:rsidTr="00040F36">
        <w:trPr>
          <w:gridAfter w:val="1"/>
          <w:wAfter w:w="7" w:type="dxa"/>
          <w:trHeight w:val="928"/>
        </w:trPr>
        <w:tc>
          <w:tcPr>
            <w:tcW w:w="1574" w:type="dxa"/>
          </w:tcPr>
          <w:p w:rsidR="00F8422A" w:rsidRPr="00C92A5A" w:rsidRDefault="00F8422A" w:rsidP="00040F36">
            <w:pPr>
              <w:spacing w:after="0" w:line="240" w:lineRule="auto"/>
              <w:rPr>
                <w:rFonts w:ascii="Times New Roman" w:hAnsi="Times New Roman" w:cs="Times New Roman"/>
                <w:b/>
                <w:sz w:val="18"/>
                <w:szCs w:val="18"/>
              </w:rPr>
            </w:pPr>
            <w:proofErr w:type="spellStart"/>
            <w:r w:rsidRPr="00C92A5A">
              <w:rPr>
                <w:rFonts w:ascii="Times New Roman" w:hAnsi="Times New Roman" w:cs="Times New Roman"/>
                <w:b/>
                <w:sz w:val="18"/>
                <w:szCs w:val="18"/>
              </w:rPr>
              <w:t>Klasmeier</w:t>
            </w:r>
            <w:proofErr w:type="spellEnd"/>
            <w:r w:rsidRPr="00C92A5A">
              <w:rPr>
                <w:rFonts w:ascii="Times New Roman" w:hAnsi="Times New Roman" w:cs="Times New Roman"/>
                <w:b/>
                <w:sz w:val="18"/>
                <w:szCs w:val="18"/>
              </w:rPr>
              <w:t xml:space="preserve"> and </w:t>
            </w:r>
            <w:proofErr w:type="spellStart"/>
            <w:r w:rsidRPr="00C92A5A">
              <w:rPr>
                <w:rFonts w:ascii="Times New Roman" w:hAnsi="Times New Roman" w:cs="Times New Roman"/>
                <w:b/>
                <w:sz w:val="18"/>
                <w:szCs w:val="18"/>
              </w:rPr>
              <w:t>Rowold</w:t>
            </w:r>
            <w:proofErr w:type="spellEnd"/>
            <w:r w:rsidRPr="00C92A5A">
              <w:rPr>
                <w:rFonts w:ascii="Times New Roman" w:hAnsi="Times New Roman" w:cs="Times New Roman"/>
                <w:b/>
                <w:sz w:val="18"/>
                <w:szCs w:val="18"/>
              </w:rPr>
              <w:t xml:space="preserve"> (2022)</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 xml:space="preserve">Qualitative </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Teamwork engagement</w:t>
            </w:r>
          </w:p>
          <w:p w:rsidR="00F8422A" w:rsidRPr="00C92A5A" w:rsidRDefault="00F8422A" w:rsidP="00040F36">
            <w:pPr>
              <w:spacing w:after="0" w:line="240" w:lineRule="auto"/>
              <w:rPr>
                <w:rFonts w:ascii="Times New Roman" w:hAnsi="Times New Roman" w:cs="Times New Roman"/>
                <w:sz w:val="18"/>
                <w:szCs w:val="18"/>
              </w:rPr>
            </w:pPr>
          </w:p>
        </w:tc>
        <w:tc>
          <w:tcPr>
            <w:tcW w:w="1860" w:type="dxa"/>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rPr>
              <w:t>Shared leadership influences teamwork engagement.</w:t>
            </w: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573"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1"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r>
      <w:tr w:rsidR="00F8422A" w:rsidRPr="00C92A5A" w:rsidTr="00040F36">
        <w:trPr>
          <w:gridAfter w:val="1"/>
          <w:wAfter w:w="7" w:type="dxa"/>
          <w:trHeight w:val="928"/>
        </w:trPr>
        <w:tc>
          <w:tcPr>
            <w:tcW w:w="1574" w:type="dxa"/>
          </w:tcPr>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b/>
                <w:sz w:val="18"/>
                <w:szCs w:val="18"/>
              </w:rPr>
              <w:t>Messner (2022)</w:t>
            </w:r>
          </w:p>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Quantitative</w:t>
            </w:r>
          </w:p>
          <w:p w:rsidR="00F8422A" w:rsidRPr="00C92A5A" w:rsidRDefault="00F8422A" w:rsidP="00040F36">
            <w:pPr>
              <w:spacing w:after="0" w:line="240" w:lineRule="auto"/>
              <w:rPr>
                <w:rFonts w:ascii="Times New Roman" w:hAnsi="Times New Roman" w:cs="Times New Roman"/>
                <w:b/>
                <w:sz w:val="18"/>
                <w:szCs w:val="18"/>
              </w:rPr>
            </w:pPr>
            <w:r w:rsidRPr="00C92A5A">
              <w:rPr>
                <w:rFonts w:ascii="Times New Roman" w:hAnsi="Times New Roman" w:cs="Times New Roman"/>
                <w:sz w:val="18"/>
                <w:szCs w:val="18"/>
              </w:rPr>
              <w:t>Customer engagement</w:t>
            </w:r>
          </w:p>
        </w:tc>
        <w:tc>
          <w:tcPr>
            <w:tcW w:w="1860" w:type="dxa"/>
          </w:tcPr>
          <w:p w:rsidR="00F8422A" w:rsidRPr="00C92A5A" w:rsidRDefault="00F8422A" w:rsidP="00040F36">
            <w:pPr>
              <w:pStyle w:val="BalloonText"/>
              <w:rPr>
                <w:rFonts w:ascii="Times New Roman" w:hAnsi="Times New Roman" w:cs="Times New Roman"/>
              </w:rPr>
            </w:pPr>
            <w:r w:rsidRPr="00C92A5A">
              <w:rPr>
                <w:rFonts w:ascii="Times New Roman" w:hAnsi="Times New Roman" w:cs="Times New Roman"/>
              </w:rPr>
              <w:t>Highly engaged customers leave positive reviews, leading to a herding effect where reviews echo previous ones.</w:t>
            </w: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573"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1"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p>
        </w:tc>
        <w:tc>
          <w:tcPr>
            <w:tcW w:w="430" w:type="dxa"/>
          </w:tcPr>
          <w:p w:rsidR="00F8422A" w:rsidRPr="00C92A5A" w:rsidRDefault="00F8422A" w:rsidP="00040F36">
            <w:pPr>
              <w:spacing w:after="0" w:line="240" w:lineRule="auto"/>
              <w:rPr>
                <w:rFonts w:ascii="Times New Roman" w:hAnsi="Times New Roman" w:cs="Times New Roman"/>
                <w:sz w:val="18"/>
                <w:szCs w:val="18"/>
              </w:rPr>
            </w:pPr>
          </w:p>
        </w:tc>
        <w:tc>
          <w:tcPr>
            <w:tcW w:w="429" w:type="dxa"/>
          </w:tcPr>
          <w:p w:rsidR="00F8422A" w:rsidRPr="00C92A5A"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r>
      <w:tr w:rsidR="00F8422A" w:rsidRPr="00C92A5A" w:rsidTr="00040F36">
        <w:trPr>
          <w:trHeight w:val="502"/>
        </w:trPr>
        <w:tc>
          <w:tcPr>
            <w:tcW w:w="8883" w:type="dxa"/>
            <w:gridSpan w:val="15"/>
            <w:tcBorders>
              <w:top w:val="single" w:sz="4" w:space="0" w:color="auto"/>
            </w:tcBorders>
          </w:tcPr>
          <w:p w:rsidR="00F8422A" w:rsidRPr="00C92A5A" w:rsidRDefault="00F8422A" w:rsidP="00040F36">
            <w:pPr>
              <w:spacing w:before="240" w:after="0" w:line="240" w:lineRule="auto"/>
              <w:jc w:val="right"/>
              <w:rPr>
                <w:rFonts w:ascii="Times New Roman" w:eastAsia="Times New Roman" w:hAnsi="Times New Roman" w:cs="Times New Roman"/>
                <w:i/>
                <w:sz w:val="18"/>
                <w:szCs w:val="18"/>
                <w:lang w:eastAsia="de-DE"/>
              </w:rPr>
            </w:pPr>
            <w:r w:rsidRPr="00C92A5A">
              <w:rPr>
                <w:rFonts w:ascii="Times New Roman" w:eastAsia="Times New Roman" w:hAnsi="Times New Roman" w:cs="Times New Roman"/>
                <w:i/>
                <w:sz w:val="18"/>
                <w:szCs w:val="18"/>
                <w:lang w:eastAsia="de-DE"/>
              </w:rPr>
              <w:t xml:space="preserve"> (continued)</w:t>
            </w:r>
          </w:p>
        </w:tc>
      </w:tr>
    </w:tbl>
    <w:p w:rsidR="00F8422A" w:rsidRDefault="00F8422A" w:rsidP="00F8422A">
      <w:pPr>
        <w:rPr>
          <w:rFonts w:ascii="Times New Roman" w:hAnsi="Times New Roman" w:cs="Times New Roman"/>
          <w:b/>
          <w:sz w:val="24"/>
          <w:szCs w:val="24"/>
        </w:rPr>
      </w:pPr>
    </w:p>
    <w:p w:rsidR="00F8422A" w:rsidRPr="00C92A5A" w:rsidRDefault="00F8422A" w:rsidP="00F8422A">
      <w:pPr>
        <w:rPr>
          <w:rFonts w:ascii="Times New Roman" w:hAnsi="Times New Roman" w:cs="Times New Roman"/>
          <w:b/>
          <w:sz w:val="24"/>
          <w:szCs w:val="24"/>
        </w:rPr>
      </w:pPr>
    </w:p>
    <w:tbl>
      <w:tblPr>
        <w:tblW w:w="8883" w:type="dxa"/>
        <w:tblInd w:w="-5" w:type="dxa"/>
        <w:tblLayout w:type="fixed"/>
        <w:tblLook w:val="04A0" w:firstRow="1" w:lastRow="0" w:firstColumn="1" w:lastColumn="0" w:noHBand="0" w:noVBand="1"/>
      </w:tblPr>
      <w:tblGrid>
        <w:gridCol w:w="1574"/>
        <w:gridCol w:w="1860"/>
        <w:gridCol w:w="430"/>
        <w:gridCol w:w="573"/>
        <w:gridCol w:w="429"/>
        <w:gridCol w:w="429"/>
        <w:gridCol w:w="431"/>
        <w:gridCol w:w="430"/>
        <w:gridCol w:w="573"/>
        <w:gridCol w:w="429"/>
        <w:gridCol w:w="430"/>
        <w:gridCol w:w="429"/>
        <w:gridCol w:w="430"/>
        <w:gridCol w:w="429"/>
        <w:gridCol w:w="7"/>
      </w:tblGrid>
      <w:tr w:rsidR="00F8422A" w:rsidRPr="00C92A5A" w:rsidTr="00040F36">
        <w:trPr>
          <w:trHeight w:val="304"/>
        </w:trPr>
        <w:tc>
          <w:tcPr>
            <w:tcW w:w="8883" w:type="dxa"/>
            <w:gridSpan w:val="15"/>
          </w:tcPr>
          <w:p w:rsidR="00F8422A" w:rsidRPr="00C92A5A" w:rsidRDefault="00F8422A" w:rsidP="00040F36">
            <w:pPr>
              <w:rPr>
                <w:rFonts w:ascii="Times New Roman" w:hAnsi="Times New Roman" w:cs="Times New Roman"/>
                <w:b/>
                <w:bCs/>
                <w:sz w:val="24"/>
                <w:szCs w:val="24"/>
              </w:rPr>
            </w:pPr>
            <w:r w:rsidRPr="00923F0B">
              <w:rPr>
                <w:rFonts w:ascii="Times New Roman" w:hAnsi="Times New Roman" w:cs="Times New Roman"/>
                <w:b/>
                <w:bCs/>
                <w:sz w:val="24"/>
                <w:szCs w:val="24"/>
              </w:rPr>
              <w:t>Appendix</w:t>
            </w:r>
            <w:r w:rsidRPr="00923F0B">
              <w:rPr>
                <w:rFonts w:ascii="Times New Roman" w:hAnsi="Times New Roman" w:cs="Times New Roman"/>
                <w:b/>
                <w:sz w:val="24"/>
                <w:szCs w:val="24"/>
              </w:rPr>
              <w:t xml:space="preserve"> – B.</w:t>
            </w:r>
            <w:r>
              <w:rPr>
                <w:rFonts w:cs="Times New Roman"/>
                <w:szCs w:val="24"/>
              </w:rPr>
              <w:t xml:space="preserve"> </w:t>
            </w:r>
            <w:r w:rsidRPr="00C92A5A">
              <w:rPr>
                <w:rFonts w:ascii="Times New Roman" w:hAnsi="Times New Roman" w:cs="Times New Roman"/>
                <w:bCs/>
                <w:sz w:val="24"/>
                <w:szCs w:val="24"/>
              </w:rPr>
              <w:t>(continued)</w:t>
            </w:r>
          </w:p>
        </w:tc>
      </w:tr>
      <w:tr w:rsidR="00F8422A" w:rsidRPr="00C92A5A" w:rsidTr="00040F36">
        <w:trPr>
          <w:trHeight w:val="136"/>
        </w:trPr>
        <w:tc>
          <w:tcPr>
            <w:tcW w:w="1574" w:type="dxa"/>
            <w:vMerge w:val="restart"/>
            <w:tcBorders>
              <w:top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Article</w:t>
            </w: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Approach</w:t>
            </w: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Main Focus</w:t>
            </w:r>
          </w:p>
        </w:tc>
        <w:tc>
          <w:tcPr>
            <w:tcW w:w="1860" w:type="dxa"/>
            <w:vMerge w:val="restart"/>
            <w:tcBorders>
              <w:top w:val="single" w:sz="4" w:space="0" w:color="auto"/>
            </w:tcBorders>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b/>
              </w:rPr>
              <w:t>Critical Contributions</w:t>
            </w:r>
          </w:p>
        </w:tc>
        <w:tc>
          <w:tcPr>
            <w:tcW w:w="2292" w:type="dxa"/>
            <w:gridSpan w:val="5"/>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b/>
                <w:sz w:val="18"/>
                <w:szCs w:val="18"/>
              </w:rPr>
              <w:t>Dynamic Elements</w:t>
            </w:r>
          </w:p>
        </w:tc>
        <w:tc>
          <w:tcPr>
            <w:tcW w:w="1862" w:type="dxa"/>
            <w:gridSpan w:val="4"/>
            <w:tcBorders>
              <w:top w:val="single" w:sz="4" w:space="0" w:color="auto"/>
            </w:tcBorders>
            <w:shd w:val="clear" w:color="auto" w:fill="auto"/>
          </w:tcPr>
          <w:p w:rsidR="00F8422A" w:rsidRPr="00C267A9" w:rsidRDefault="00F8422A" w:rsidP="00040F36">
            <w:pPr>
              <w:spacing w:after="0" w:line="240" w:lineRule="auto"/>
              <w:jc w:val="both"/>
              <w:rPr>
                <w:rFonts w:ascii="Times New Roman" w:hAnsi="Times New Roman" w:cs="Times New Roman"/>
                <w:sz w:val="18"/>
                <w:szCs w:val="18"/>
              </w:rPr>
            </w:pPr>
            <w:r w:rsidRPr="00C267A9">
              <w:rPr>
                <w:rFonts w:ascii="Times New Roman" w:hAnsi="Times New Roman" w:cs="Times New Roman"/>
                <w:b/>
                <w:sz w:val="18"/>
                <w:szCs w:val="18"/>
              </w:rPr>
              <w:t>Triggers</w:t>
            </w:r>
          </w:p>
        </w:tc>
        <w:tc>
          <w:tcPr>
            <w:tcW w:w="1295" w:type="dxa"/>
            <w:gridSpan w:val="4"/>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b/>
                <w:sz w:val="18"/>
                <w:szCs w:val="18"/>
              </w:rPr>
              <w:t>Mechanisms</w:t>
            </w:r>
          </w:p>
        </w:tc>
      </w:tr>
      <w:tr w:rsidR="00F8422A" w:rsidRPr="00C267A9" w:rsidTr="00040F36">
        <w:trPr>
          <w:gridAfter w:val="1"/>
          <w:wAfter w:w="7" w:type="dxa"/>
          <w:cantSplit/>
          <w:trHeight w:val="1150"/>
        </w:trPr>
        <w:tc>
          <w:tcPr>
            <w:tcW w:w="1574" w:type="dxa"/>
            <w:vMerge/>
            <w:tcBorders>
              <w:bottom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p>
        </w:tc>
        <w:tc>
          <w:tcPr>
            <w:tcW w:w="1860" w:type="dxa"/>
            <w:vMerge/>
            <w:tcBorders>
              <w:bottom w:val="single" w:sz="4" w:space="0" w:color="auto"/>
            </w:tcBorders>
          </w:tcPr>
          <w:p w:rsidR="00F8422A" w:rsidRPr="00C267A9" w:rsidRDefault="00F8422A" w:rsidP="00040F36">
            <w:pPr>
              <w:pStyle w:val="BalloonText"/>
              <w:rPr>
                <w:rFonts w:ascii="Times New Roman" w:hAnsi="Times New Roman" w:cs="Times New Roman"/>
              </w:rPr>
            </w:pP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Disposition</w:t>
            </w:r>
          </w:p>
        </w:tc>
        <w:tc>
          <w:tcPr>
            <w:tcW w:w="573"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Activity of engaging</w:t>
            </w:r>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Valence</w:t>
            </w:r>
          </w:p>
        </w:tc>
        <w:tc>
          <w:tcPr>
            <w:tcW w:w="429"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Intensity</w:t>
            </w:r>
          </w:p>
        </w:tc>
        <w:tc>
          <w:tcPr>
            <w:tcW w:w="431"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Dimensions</w:t>
            </w:r>
          </w:p>
        </w:tc>
        <w:tc>
          <w:tcPr>
            <w:tcW w:w="430"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Focal object</w:t>
            </w:r>
          </w:p>
        </w:tc>
        <w:tc>
          <w:tcPr>
            <w:tcW w:w="573"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Other</w:t>
            </w:r>
          </w:p>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objects</w:t>
            </w:r>
          </w:p>
        </w:tc>
        <w:tc>
          <w:tcPr>
            <w:tcW w:w="429"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Other actors</w:t>
            </w: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Context</w:t>
            </w:r>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Interaction</w:t>
            </w: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proofErr w:type="spellStart"/>
            <w:r w:rsidRPr="00C267A9">
              <w:rPr>
                <w:rFonts w:ascii="Times New Roman" w:hAnsi="Times New Roman" w:cs="Times New Roman"/>
                <w:sz w:val="18"/>
                <w:szCs w:val="18"/>
              </w:rPr>
              <w:t>Spillover</w:t>
            </w:r>
            <w:proofErr w:type="spellEnd"/>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Crossover</w:t>
            </w:r>
          </w:p>
        </w:tc>
      </w:tr>
      <w:tr w:rsidR="00F8422A" w:rsidRPr="00C267A9" w:rsidTr="00040F36">
        <w:trPr>
          <w:gridAfter w:val="1"/>
          <w:wAfter w:w="7" w:type="dxa"/>
          <w:trHeight w:val="806"/>
        </w:trPr>
        <w:tc>
          <w:tcPr>
            <w:tcW w:w="1574" w:type="dxa"/>
            <w:tcBorders>
              <w:top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Shawky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(2022)</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Quantitative </w:t>
            </w: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sz w:val="18"/>
                <w:szCs w:val="18"/>
              </w:rPr>
              <w:t>Social media engagement</w:t>
            </w:r>
          </w:p>
        </w:tc>
        <w:tc>
          <w:tcPr>
            <w:tcW w:w="1860" w:type="dxa"/>
            <w:tcBorders>
              <w:top w:val="single" w:sz="4" w:space="0" w:color="auto"/>
            </w:tcBorders>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A tool can measure different levels of social media engagement, which is shaped by the interaction and connection with other actors.</w:t>
            </w:r>
          </w:p>
          <w:p w:rsidR="00F8422A" w:rsidRPr="00C267A9" w:rsidRDefault="00F8422A" w:rsidP="00040F36">
            <w:pPr>
              <w:pStyle w:val="BalloonText"/>
              <w:rPr>
                <w:rFonts w:ascii="Times New Roman" w:hAnsi="Times New Roman" w:cs="Times New Roman"/>
              </w:rPr>
            </w:pP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573"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30"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r>
      <w:tr w:rsidR="00F8422A" w:rsidRPr="00C267A9" w:rsidTr="00040F36">
        <w:trPr>
          <w:gridAfter w:val="1"/>
          <w:wAfter w:w="7" w:type="dxa"/>
          <w:trHeight w:val="1259"/>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Zheng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(2022)</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Qualitative</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Student engagement</w:t>
            </w: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 xml:space="preserve">Three patterns emerge: active to </w:t>
            </w:r>
            <w:r>
              <w:rPr>
                <w:rFonts w:ascii="Times New Roman" w:hAnsi="Times New Roman" w:cs="Times New Roman"/>
              </w:rPr>
              <w:t>“</w:t>
            </w:r>
            <w:r w:rsidRPr="00C267A9">
              <w:rPr>
                <w:rFonts w:ascii="Times New Roman" w:hAnsi="Times New Roman" w:cs="Times New Roman"/>
              </w:rPr>
              <w:t>team escapers,</w:t>
            </w:r>
            <w:r>
              <w:rPr>
                <w:rFonts w:ascii="Times New Roman" w:hAnsi="Times New Roman" w:cs="Times New Roman"/>
              </w:rPr>
              <w:t>”</w:t>
            </w:r>
            <w:r w:rsidRPr="00C267A9">
              <w:rPr>
                <w:rFonts w:ascii="Times New Roman" w:hAnsi="Times New Roman" w:cs="Times New Roman"/>
              </w:rPr>
              <w:t xml:space="preserve"> supporter to </w:t>
            </w:r>
            <w:r>
              <w:rPr>
                <w:rFonts w:ascii="Times New Roman" w:hAnsi="Times New Roman" w:cs="Times New Roman"/>
              </w:rPr>
              <w:t>“</w:t>
            </w:r>
            <w:r w:rsidRPr="00C267A9">
              <w:rPr>
                <w:rFonts w:ascii="Times New Roman" w:hAnsi="Times New Roman" w:cs="Times New Roman"/>
              </w:rPr>
              <w:t>free rider,</w:t>
            </w:r>
            <w:r>
              <w:rPr>
                <w:rFonts w:ascii="Times New Roman" w:hAnsi="Times New Roman" w:cs="Times New Roman"/>
              </w:rPr>
              <w:t>”</w:t>
            </w:r>
            <w:r w:rsidRPr="00C267A9">
              <w:rPr>
                <w:rFonts w:ascii="Times New Roman" w:hAnsi="Times New Roman" w:cs="Times New Roman"/>
              </w:rPr>
              <w:t xml:space="preserve"> and unchanged dedicated writers.</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599"/>
        </w:trPr>
        <w:tc>
          <w:tcPr>
            <w:tcW w:w="1574" w:type="dxa"/>
          </w:tcPr>
          <w:p w:rsidR="00F8422A" w:rsidRPr="00C267A9" w:rsidRDefault="00F8422A" w:rsidP="00040F36">
            <w:pPr>
              <w:spacing w:after="0" w:line="240" w:lineRule="auto"/>
              <w:rPr>
                <w:rFonts w:ascii="Times New Roman" w:hAnsi="Times New Roman" w:cs="Times New Roman"/>
                <w:b/>
                <w:sz w:val="18"/>
                <w:szCs w:val="18"/>
              </w:rPr>
            </w:pP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Amir and </w:t>
            </w:r>
            <w:proofErr w:type="spellStart"/>
            <w:r w:rsidRPr="00C267A9">
              <w:rPr>
                <w:rFonts w:ascii="Times New Roman" w:hAnsi="Times New Roman" w:cs="Times New Roman"/>
                <w:b/>
                <w:sz w:val="18"/>
                <w:szCs w:val="18"/>
              </w:rPr>
              <w:t>Mangundjaya</w:t>
            </w:r>
            <w:proofErr w:type="spellEnd"/>
            <w:r w:rsidRPr="00C267A9">
              <w:rPr>
                <w:rFonts w:ascii="Times New Roman" w:hAnsi="Times New Roman" w:cs="Times New Roman"/>
                <w:b/>
                <w:sz w:val="18"/>
                <w:szCs w:val="18"/>
              </w:rPr>
              <w:t xml:space="preserve"> (2021)</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Quantitative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Academic engagement</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p>
          <w:p w:rsidR="00F8422A" w:rsidRPr="00C267A9" w:rsidRDefault="00F8422A" w:rsidP="00040F36">
            <w:pPr>
              <w:spacing w:after="0" w:line="240" w:lineRule="auto"/>
              <w:rPr>
                <w:rFonts w:ascii="Times New Roman" w:hAnsi="Times New Roman" w:cs="Times New Roman"/>
                <w:sz w:val="18"/>
                <w:szCs w:val="18"/>
                <w:lang w:eastAsia="de-DE"/>
              </w:rPr>
            </w:pPr>
            <w:r w:rsidRPr="00C267A9">
              <w:rPr>
                <w:rFonts w:ascii="Times New Roman" w:hAnsi="Times New Roman" w:cs="Times New Roman"/>
                <w:sz w:val="18"/>
                <w:szCs w:val="18"/>
              </w:rPr>
              <w:t>Resilience influences academic engagement.</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559"/>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Aslan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(2021)</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Quantitative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Work engagement</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Inclusive leadership is a strong predictor of work engagement.</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r>
      <w:tr w:rsidR="00F8422A" w:rsidRPr="00C267A9" w:rsidTr="00040F36">
        <w:trPr>
          <w:gridAfter w:val="1"/>
          <w:wAfter w:w="7" w:type="dxa"/>
          <w:trHeight w:val="913"/>
        </w:trPr>
        <w:tc>
          <w:tcPr>
            <w:tcW w:w="1574" w:type="dxa"/>
          </w:tcPr>
          <w:p w:rsidR="00F8422A" w:rsidRPr="00C267A9" w:rsidRDefault="00F8422A" w:rsidP="00040F36">
            <w:pPr>
              <w:spacing w:after="0" w:line="240" w:lineRule="auto"/>
              <w:rPr>
                <w:rFonts w:ascii="Times New Roman" w:hAnsi="Times New Roman" w:cs="Times New Roman"/>
                <w:b/>
                <w:sz w:val="18"/>
                <w:szCs w:val="18"/>
              </w:rPr>
            </w:pPr>
            <w:proofErr w:type="spellStart"/>
            <w:r w:rsidRPr="00C267A9">
              <w:rPr>
                <w:rFonts w:ascii="Times New Roman" w:hAnsi="Times New Roman" w:cs="Times New Roman"/>
                <w:b/>
                <w:sz w:val="18"/>
                <w:szCs w:val="18"/>
              </w:rPr>
              <w:t>Dubovi</w:t>
            </w:r>
            <w:proofErr w:type="spellEnd"/>
            <w:r w:rsidRPr="00C267A9">
              <w:rPr>
                <w:rFonts w:ascii="Times New Roman" w:hAnsi="Times New Roman" w:cs="Times New Roman"/>
                <w:b/>
                <w:sz w:val="18"/>
                <w:szCs w:val="18"/>
              </w:rPr>
              <w:t xml:space="preserve"> and </w:t>
            </w:r>
            <w:proofErr w:type="spellStart"/>
            <w:r w:rsidRPr="00C267A9">
              <w:rPr>
                <w:rFonts w:ascii="Times New Roman" w:hAnsi="Times New Roman" w:cs="Times New Roman"/>
                <w:b/>
                <w:sz w:val="18"/>
                <w:szCs w:val="18"/>
              </w:rPr>
              <w:t>Tabak</w:t>
            </w:r>
            <w:proofErr w:type="spellEnd"/>
            <w:r w:rsidRPr="00C267A9">
              <w:rPr>
                <w:rFonts w:ascii="Times New Roman" w:hAnsi="Times New Roman" w:cs="Times New Roman"/>
                <w:b/>
                <w:sz w:val="18"/>
                <w:szCs w:val="18"/>
              </w:rPr>
              <w:t xml:space="preserve"> (2021)</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Quantitative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Public engagement</w:t>
            </w: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Emotion drives posting comments and argumentative deliberation engagement, regardless of its valence.</w:t>
            </w:r>
          </w:p>
          <w:p w:rsidR="00F8422A" w:rsidRPr="00C267A9" w:rsidRDefault="00F8422A" w:rsidP="00040F36">
            <w:pPr>
              <w:pStyle w:val="BalloonText"/>
              <w:rPr>
                <w:rFonts w:ascii="Times New Roman" w:hAnsi="Times New Roman" w:cs="Times New Roman"/>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1308"/>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Ekman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(2021)</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Qualitative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Customer engagement, actor engagement</w:t>
            </w: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Engagement disposition and connectedness are antecedents of business actor engagement.</w:t>
            </w: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r>
      <w:tr w:rsidR="00F8422A" w:rsidRPr="00C267A9" w:rsidTr="00040F36">
        <w:trPr>
          <w:gridAfter w:val="1"/>
          <w:wAfter w:w="7" w:type="dxa"/>
          <w:trHeight w:val="928"/>
        </w:trPr>
        <w:tc>
          <w:tcPr>
            <w:tcW w:w="1574" w:type="dxa"/>
          </w:tcPr>
          <w:p w:rsidR="00F8422A" w:rsidRPr="00C267A9" w:rsidRDefault="00F8422A" w:rsidP="00040F36">
            <w:pPr>
              <w:spacing w:after="0" w:line="240" w:lineRule="auto"/>
              <w:rPr>
                <w:rFonts w:ascii="Times New Roman" w:hAnsi="Times New Roman" w:cs="Times New Roman"/>
                <w:b/>
                <w:sz w:val="18"/>
                <w:szCs w:val="18"/>
              </w:rPr>
            </w:pP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Qu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(2021)</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Quantitative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Consumer engagement</w:t>
            </w:r>
          </w:p>
        </w:tc>
        <w:tc>
          <w:tcPr>
            <w:tcW w:w="1860" w:type="dxa"/>
          </w:tcPr>
          <w:p w:rsidR="00F8422A" w:rsidRPr="00C267A9" w:rsidRDefault="00F8422A" w:rsidP="00040F36">
            <w:pPr>
              <w:pStyle w:val="BalloonText"/>
              <w:rPr>
                <w:rFonts w:ascii="Times New Roman" w:hAnsi="Times New Roman" w:cs="Times New Roman"/>
              </w:rPr>
            </w:pPr>
          </w:p>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Discussion network characteristics like size, diversity, and density influence consumer engagement with a brand.</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92A5A" w:rsidTr="00040F36">
        <w:trPr>
          <w:trHeight w:val="502"/>
        </w:trPr>
        <w:tc>
          <w:tcPr>
            <w:tcW w:w="8883" w:type="dxa"/>
            <w:gridSpan w:val="15"/>
            <w:tcBorders>
              <w:top w:val="single" w:sz="4" w:space="0" w:color="auto"/>
            </w:tcBorders>
          </w:tcPr>
          <w:p w:rsidR="00F8422A" w:rsidRPr="00C267A9" w:rsidRDefault="00F8422A" w:rsidP="00040F36">
            <w:pPr>
              <w:spacing w:before="240" w:after="0" w:line="240" w:lineRule="auto"/>
              <w:jc w:val="right"/>
              <w:rPr>
                <w:rFonts w:ascii="Times New Roman" w:eastAsia="Times New Roman" w:hAnsi="Times New Roman" w:cs="Times New Roman"/>
                <w:i/>
                <w:sz w:val="18"/>
                <w:szCs w:val="18"/>
                <w:lang w:eastAsia="de-DE"/>
              </w:rPr>
            </w:pPr>
            <w:r w:rsidRPr="00C267A9">
              <w:rPr>
                <w:rFonts w:ascii="Times New Roman" w:eastAsia="Times New Roman" w:hAnsi="Times New Roman" w:cs="Times New Roman"/>
                <w:i/>
                <w:sz w:val="18"/>
                <w:szCs w:val="18"/>
                <w:lang w:eastAsia="de-DE"/>
              </w:rPr>
              <w:t xml:space="preserve"> (continued)</w:t>
            </w:r>
          </w:p>
        </w:tc>
      </w:tr>
    </w:tbl>
    <w:p w:rsidR="00F8422A" w:rsidRPr="00C92A5A" w:rsidRDefault="00F8422A" w:rsidP="00F8422A">
      <w:pPr>
        <w:jc w:val="center"/>
        <w:rPr>
          <w:rFonts w:ascii="Times New Roman" w:hAnsi="Times New Roman" w:cs="Times New Roman"/>
          <w:b/>
          <w:sz w:val="24"/>
          <w:szCs w:val="24"/>
        </w:rPr>
      </w:pPr>
    </w:p>
    <w:p w:rsidR="00F8422A" w:rsidRDefault="00F8422A" w:rsidP="00F8422A">
      <w:pPr>
        <w:jc w:val="center"/>
        <w:rPr>
          <w:rFonts w:ascii="Times New Roman" w:hAnsi="Times New Roman" w:cs="Times New Roman"/>
          <w:b/>
          <w:sz w:val="24"/>
          <w:szCs w:val="24"/>
        </w:rPr>
      </w:pPr>
    </w:p>
    <w:p w:rsidR="00F8422A" w:rsidRPr="00C92A5A" w:rsidRDefault="00F8422A" w:rsidP="00F8422A">
      <w:pPr>
        <w:jc w:val="center"/>
        <w:rPr>
          <w:rFonts w:ascii="Times New Roman" w:hAnsi="Times New Roman" w:cs="Times New Roman"/>
          <w:b/>
          <w:sz w:val="24"/>
          <w:szCs w:val="24"/>
        </w:rPr>
      </w:pPr>
    </w:p>
    <w:tbl>
      <w:tblPr>
        <w:tblW w:w="8883" w:type="dxa"/>
        <w:tblInd w:w="-5" w:type="dxa"/>
        <w:tblLayout w:type="fixed"/>
        <w:tblLook w:val="04A0" w:firstRow="1" w:lastRow="0" w:firstColumn="1" w:lastColumn="0" w:noHBand="0" w:noVBand="1"/>
      </w:tblPr>
      <w:tblGrid>
        <w:gridCol w:w="1574"/>
        <w:gridCol w:w="1860"/>
        <w:gridCol w:w="430"/>
        <w:gridCol w:w="573"/>
        <w:gridCol w:w="429"/>
        <w:gridCol w:w="429"/>
        <w:gridCol w:w="431"/>
        <w:gridCol w:w="430"/>
        <w:gridCol w:w="573"/>
        <w:gridCol w:w="429"/>
        <w:gridCol w:w="430"/>
        <w:gridCol w:w="429"/>
        <w:gridCol w:w="430"/>
        <w:gridCol w:w="429"/>
        <w:gridCol w:w="7"/>
      </w:tblGrid>
      <w:tr w:rsidR="00F8422A" w:rsidRPr="00C92A5A" w:rsidTr="00040F36">
        <w:trPr>
          <w:trHeight w:val="304"/>
        </w:trPr>
        <w:tc>
          <w:tcPr>
            <w:tcW w:w="8883" w:type="dxa"/>
            <w:gridSpan w:val="15"/>
          </w:tcPr>
          <w:p w:rsidR="00F8422A" w:rsidRPr="00C92A5A" w:rsidRDefault="00F8422A" w:rsidP="00040F36">
            <w:pPr>
              <w:rPr>
                <w:rFonts w:ascii="Times New Roman" w:hAnsi="Times New Roman" w:cs="Times New Roman"/>
                <w:b/>
                <w:bCs/>
                <w:sz w:val="24"/>
                <w:szCs w:val="24"/>
              </w:rPr>
            </w:pPr>
            <w:r w:rsidRPr="00C92A5A">
              <w:rPr>
                <w:rFonts w:ascii="Times New Roman" w:hAnsi="Times New Roman" w:cs="Times New Roman"/>
                <w:b/>
                <w:bCs/>
                <w:sz w:val="24"/>
                <w:szCs w:val="24"/>
              </w:rPr>
              <w:lastRenderedPageBreak/>
              <w:t xml:space="preserve">Appendix </w:t>
            </w:r>
            <w:r w:rsidRPr="00923F0B">
              <w:rPr>
                <w:rFonts w:ascii="Times New Roman" w:hAnsi="Times New Roman" w:cs="Times New Roman"/>
                <w:b/>
                <w:sz w:val="24"/>
                <w:szCs w:val="24"/>
              </w:rPr>
              <w:t>– B.</w:t>
            </w:r>
            <w:r>
              <w:rPr>
                <w:rFonts w:cs="Times New Roman"/>
                <w:szCs w:val="24"/>
              </w:rPr>
              <w:t xml:space="preserve"> </w:t>
            </w:r>
            <w:r w:rsidRPr="00C92A5A">
              <w:rPr>
                <w:rFonts w:ascii="Times New Roman" w:hAnsi="Times New Roman" w:cs="Times New Roman"/>
                <w:bCs/>
                <w:sz w:val="24"/>
                <w:szCs w:val="24"/>
              </w:rPr>
              <w:t>(continued)</w:t>
            </w:r>
          </w:p>
        </w:tc>
      </w:tr>
      <w:tr w:rsidR="00F8422A" w:rsidRPr="00C267A9" w:rsidTr="00040F36">
        <w:trPr>
          <w:trHeight w:val="136"/>
        </w:trPr>
        <w:tc>
          <w:tcPr>
            <w:tcW w:w="1574" w:type="dxa"/>
            <w:vMerge w:val="restart"/>
            <w:tcBorders>
              <w:top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Article</w:t>
            </w: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Approach</w:t>
            </w: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Main Focus</w:t>
            </w:r>
          </w:p>
        </w:tc>
        <w:tc>
          <w:tcPr>
            <w:tcW w:w="1860" w:type="dxa"/>
            <w:vMerge w:val="restart"/>
            <w:tcBorders>
              <w:top w:val="single" w:sz="4" w:space="0" w:color="auto"/>
            </w:tcBorders>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b/>
              </w:rPr>
              <w:t>Critical Contributions</w:t>
            </w:r>
          </w:p>
        </w:tc>
        <w:tc>
          <w:tcPr>
            <w:tcW w:w="2292" w:type="dxa"/>
            <w:gridSpan w:val="5"/>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b/>
                <w:sz w:val="18"/>
                <w:szCs w:val="18"/>
              </w:rPr>
              <w:t>Dynamic Elements</w:t>
            </w:r>
          </w:p>
        </w:tc>
        <w:tc>
          <w:tcPr>
            <w:tcW w:w="1862" w:type="dxa"/>
            <w:gridSpan w:val="4"/>
            <w:tcBorders>
              <w:top w:val="single" w:sz="4" w:space="0" w:color="auto"/>
            </w:tcBorders>
            <w:shd w:val="clear" w:color="auto" w:fill="auto"/>
          </w:tcPr>
          <w:p w:rsidR="00F8422A" w:rsidRPr="00C267A9" w:rsidRDefault="00F8422A" w:rsidP="00040F36">
            <w:pPr>
              <w:spacing w:after="0" w:line="240" w:lineRule="auto"/>
              <w:jc w:val="both"/>
              <w:rPr>
                <w:rFonts w:ascii="Times New Roman" w:hAnsi="Times New Roman" w:cs="Times New Roman"/>
                <w:sz w:val="18"/>
                <w:szCs w:val="18"/>
              </w:rPr>
            </w:pPr>
            <w:r w:rsidRPr="00C267A9">
              <w:rPr>
                <w:rFonts w:ascii="Times New Roman" w:hAnsi="Times New Roman" w:cs="Times New Roman"/>
                <w:b/>
                <w:sz w:val="18"/>
                <w:szCs w:val="18"/>
              </w:rPr>
              <w:t>Triggers</w:t>
            </w:r>
          </w:p>
        </w:tc>
        <w:tc>
          <w:tcPr>
            <w:tcW w:w="1295" w:type="dxa"/>
            <w:gridSpan w:val="4"/>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b/>
                <w:sz w:val="18"/>
                <w:szCs w:val="18"/>
              </w:rPr>
              <w:t>Mechanisms</w:t>
            </w:r>
          </w:p>
        </w:tc>
      </w:tr>
      <w:tr w:rsidR="00F8422A" w:rsidRPr="00C267A9" w:rsidTr="00040F36">
        <w:trPr>
          <w:gridAfter w:val="1"/>
          <w:wAfter w:w="7" w:type="dxa"/>
          <w:cantSplit/>
          <w:trHeight w:val="1150"/>
        </w:trPr>
        <w:tc>
          <w:tcPr>
            <w:tcW w:w="1574" w:type="dxa"/>
            <w:vMerge/>
            <w:tcBorders>
              <w:bottom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p>
        </w:tc>
        <w:tc>
          <w:tcPr>
            <w:tcW w:w="1860" w:type="dxa"/>
            <w:vMerge/>
            <w:tcBorders>
              <w:bottom w:val="single" w:sz="4" w:space="0" w:color="auto"/>
            </w:tcBorders>
          </w:tcPr>
          <w:p w:rsidR="00F8422A" w:rsidRPr="00C267A9" w:rsidRDefault="00F8422A" w:rsidP="00040F36">
            <w:pPr>
              <w:pStyle w:val="BalloonText"/>
              <w:rPr>
                <w:rFonts w:ascii="Times New Roman" w:hAnsi="Times New Roman" w:cs="Times New Roman"/>
              </w:rPr>
            </w:pP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Disposition</w:t>
            </w:r>
          </w:p>
        </w:tc>
        <w:tc>
          <w:tcPr>
            <w:tcW w:w="573"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Activity of engaging</w:t>
            </w:r>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Valence</w:t>
            </w:r>
          </w:p>
        </w:tc>
        <w:tc>
          <w:tcPr>
            <w:tcW w:w="429"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Intensity</w:t>
            </w:r>
          </w:p>
        </w:tc>
        <w:tc>
          <w:tcPr>
            <w:tcW w:w="431"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Dimensions</w:t>
            </w:r>
          </w:p>
        </w:tc>
        <w:tc>
          <w:tcPr>
            <w:tcW w:w="430"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Focal object</w:t>
            </w:r>
          </w:p>
        </w:tc>
        <w:tc>
          <w:tcPr>
            <w:tcW w:w="573"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Other</w:t>
            </w:r>
          </w:p>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objects</w:t>
            </w:r>
          </w:p>
        </w:tc>
        <w:tc>
          <w:tcPr>
            <w:tcW w:w="429"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Other actors</w:t>
            </w: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Context</w:t>
            </w:r>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Interaction</w:t>
            </w: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proofErr w:type="spellStart"/>
            <w:r w:rsidRPr="00C267A9">
              <w:rPr>
                <w:rFonts w:ascii="Times New Roman" w:hAnsi="Times New Roman" w:cs="Times New Roman"/>
                <w:sz w:val="18"/>
                <w:szCs w:val="18"/>
              </w:rPr>
              <w:t>Spillover</w:t>
            </w:r>
            <w:proofErr w:type="spellEnd"/>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Crossover</w:t>
            </w:r>
          </w:p>
        </w:tc>
      </w:tr>
      <w:tr w:rsidR="00F8422A" w:rsidRPr="00C267A9" w:rsidTr="00040F36">
        <w:trPr>
          <w:gridAfter w:val="1"/>
          <w:wAfter w:w="7" w:type="dxa"/>
          <w:trHeight w:val="806"/>
        </w:trPr>
        <w:tc>
          <w:tcPr>
            <w:tcW w:w="1574" w:type="dxa"/>
            <w:tcBorders>
              <w:top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Palumbo (2021)</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Quantitative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Work engagement </w:t>
            </w:r>
          </w:p>
          <w:p w:rsidR="00F8422A" w:rsidRPr="00C267A9" w:rsidRDefault="00F8422A" w:rsidP="00040F36">
            <w:pPr>
              <w:spacing w:after="0" w:line="240" w:lineRule="auto"/>
              <w:rPr>
                <w:rFonts w:ascii="Times New Roman" w:hAnsi="Times New Roman" w:cs="Times New Roman"/>
                <w:b/>
                <w:sz w:val="18"/>
                <w:szCs w:val="18"/>
              </w:rPr>
            </w:pPr>
          </w:p>
        </w:tc>
        <w:tc>
          <w:tcPr>
            <w:tcW w:w="1860" w:type="dxa"/>
            <w:tcBorders>
              <w:top w:val="single" w:sz="4" w:space="0" w:color="auto"/>
            </w:tcBorders>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Positive team relationships and supervisor support enhance the impact of team autonomy on work engagement.</w:t>
            </w: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573"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30"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r>
      <w:tr w:rsidR="00F8422A" w:rsidRPr="00C267A9" w:rsidTr="00040F36">
        <w:trPr>
          <w:gridAfter w:val="1"/>
          <w:wAfter w:w="7" w:type="dxa"/>
          <w:trHeight w:val="1259"/>
        </w:trPr>
        <w:tc>
          <w:tcPr>
            <w:tcW w:w="1574" w:type="dxa"/>
          </w:tcPr>
          <w:p w:rsidR="00F8422A" w:rsidRPr="00C267A9" w:rsidRDefault="00F8422A" w:rsidP="00040F36">
            <w:pPr>
              <w:spacing w:after="0" w:line="240" w:lineRule="auto"/>
              <w:rPr>
                <w:rFonts w:ascii="Times New Roman" w:hAnsi="Times New Roman" w:cs="Times New Roman"/>
                <w:b/>
                <w:sz w:val="18"/>
                <w:szCs w:val="18"/>
              </w:rPr>
            </w:pPr>
          </w:p>
          <w:p w:rsidR="00F8422A" w:rsidRPr="00C267A9" w:rsidRDefault="00F8422A" w:rsidP="00040F36">
            <w:pPr>
              <w:spacing w:after="0" w:line="240" w:lineRule="auto"/>
              <w:rPr>
                <w:rFonts w:ascii="Times New Roman" w:hAnsi="Times New Roman" w:cs="Times New Roman"/>
                <w:b/>
                <w:sz w:val="18"/>
                <w:szCs w:val="18"/>
              </w:rPr>
            </w:pPr>
            <w:proofErr w:type="spellStart"/>
            <w:r w:rsidRPr="00C267A9">
              <w:rPr>
                <w:rFonts w:ascii="Times New Roman" w:hAnsi="Times New Roman" w:cs="Times New Roman"/>
                <w:b/>
                <w:sz w:val="18"/>
                <w:szCs w:val="18"/>
              </w:rPr>
              <w:t>Tsiotsou</w:t>
            </w:r>
            <w:proofErr w:type="spellEnd"/>
            <w:r w:rsidRPr="00C267A9">
              <w:rPr>
                <w:rFonts w:ascii="Times New Roman" w:hAnsi="Times New Roman" w:cs="Times New Roman"/>
                <w:b/>
                <w:sz w:val="18"/>
                <w:szCs w:val="18"/>
              </w:rPr>
              <w:t xml:space="preserve"> (2021)</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Conceptual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Customer engagement, actor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p>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Actor engagement in social media ecosystems reveals shifting interactions across different levels.</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599"/>
        </w:trPr>
        <w:tc>
          <w:tcPr>
            <w:tcW w:w="1574" w:type="dxa"/>
          </w:tcPr>
          <w:p w:rsidR="00F8422A" w:rsidRPr="00C267A9" w:rsidRDefault="00F8422A" w:rsidP="00040F36">
            <w:pPr>
              <w:spacing w:after="0" w:line="240" w:lineRule="auto"/>
              <w:rPr>
                <w:rFonts w:ascii="Times New Roman" w:hAnsi="Times New Roman" w:cs="Times New Roman"/>
                <w:b/>
                <w:sz w:val="18"/>
                <w:szCs w:val="18"/>
              </w:rPr>
            </w:pPr>
            <w:proofErr w:type="spellStart"/>
            <w:r w:rsidRPr="00C267A9">
              <w:rPr>
                <w:rFonts w:ascii="Times New Roman" w:hAnsi="Times New Roman" w:cs="Times New Roman"/>
                <w:b/>
                <w:sz w:val="18"/>
                <w:szCs w:val="18"/>
              </w:rPr>
              <w:t>Blasco-Arcas</w:t>
            </w:r>
            <w:proofErr w:type="spellEnd"/>
            <w:r w:rsidRPr="00C267A9">
              <w:rPr>
                <w:rFonts w:ascii="Times New Roman" w:hAnsi="Times New Roman" w:cs="Times New Roman"/>
                <w:b/>
                <w:sz w:val="18"/>
                <w:szCs w:val="18"/>
              </w:rPr>
              <w:t xml:space="preserve">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(2020)</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Qualitative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Actor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spacing w:after="0" w:line="240" w:lineRule="auto"/>
              <w:rPr>
                <w:rFonts w:ascii="Times New Roman" w:hAnsi="Times New Roman" w:cs="Times New Roman"/>
                <w:sz w:val="18"/>
                <w:szCs w:val="18"/>
                <w:lang w:eastAsia="de-DE"/>
              </w:rPr>
            </w:pPr>
            <w:r w:rsidRPr="00C267A9">
              <w:rPr>
                <w:rFonts w:ascii="Times New Roman" w:hAnsi="Times New Roman" w:cs="Times New Roman"/>
                <w:sz w:val="18"/>
                <w:szCs w:val="18"/>
              </w:rPr>
              <w:t>Three engagement modes emerge; platform flexibility can be attributed to actors</w:t>
            </w:r>
            <w:r>
              <w:rPr>
                <w:rFonts w:ascii="Times New Roman" w:hAnsi="Times New Roman" w:cs="Times New Roman"/>
                <w:sz w:val="18"/>
                <w:szCs w:val="18"/>
              </w:rPr>
              <w:t>’</w:t>
            </w:r>
            <w:r w:rsidRPr="00C267A9">
              <w:rPr>
                <w:rFonts w:ascii="Times New Roman" w:hAnsi="Times New Roman" w:cs="Times New Roman"/>
                <w:sz w:val="18"/>
                <w:szCs w:val="18"/>
              </w:rPr>
              <w:t xml:space="preserve"> shifting engagement roles, creating dynamic shifts.</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559"/>
        </w:trPr>
        <w:tc>
          <w:tcPr>
            <w:tcW w:w="1574" w:type="dxa"/>
          </w:tcPr>
          <w:p w:rsidR="00F8422A" w:rsidRPr="00C267A9" w:rsidRDefault="00F8422A" w:rsidP="00040F36">
            <w:pPr>
              <w:spacing w:after="0" w:line="240" w:lineRule="auto"/>
              <w:rPr>
                <w:rFonts w:ascii="Times New Roman" w:hAnsi="Times New Roman" w:cs="Times New Roman"/>
                <w:b/>
                <w:sz w:val="18"/>
                <w:szCs w:val="18"/>
              </w:rPr>
            </w:pP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Kwon and Kim (2020)</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Literature review</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Employee engagement</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p>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Balanced resources and demands boost employee engagement.</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913"/>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Loureiro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(2020)</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Qualitative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Stakeholder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Default="00F8422A" w:rsidP="00040F36">
            <w:pPr>
              <w:pStyle w:val="BalloonText"/>
              <w:rPr>
                <w:rFonts w:ascii="Times New Roman" w:hAnsi="Times New Roman" w:cs="Times New Roman"/>
              </w:rPr>
            </w:pPr>
            <w:r w:rsidRPr="00C267A9">
              <w:rPr>
                <w:rFonts w:ascii="Times New Roman" w:hAnsi="Times New Roman" w:cs="Times New Roman"/>
              </w:rPr>
              <w:t>Stakeholder engagement in co-creation is an interactive process influenced by various factors.</w:t>
            </w:r>
          </w:p>
          <w:p w:rsidR="00F8422A" w:rsidRPr="00C267A9" w:rsidRDefault="00F8422A" w:rsidP="00040F36">
            <w:pPr>
              <w:pStyle w:val="BalloonText"/>
              <w:rPr>
                <w:rFonts w:ascii="Times New Roman" w:hAnsi="Times New Roman" w:cs="Times New Roman"/>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r>
      <w:tr w:rsidR="00F8422A" w:rsidRPr="00C267A9" w:rsidTr="00040F36">
        <w:trPr>
          <w:gridAfter w:val="1"/>
          <w:wAfter w:w="7" w:type="dxa"/>
          <w:trHeight w:val="1308"/>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Onodera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(2020)</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Qualitative</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Political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The Arab Spring experience and resulting frustrations lead youth to either disengage or engage negatively in politics.</w:t>
            </w:r>
          </w:p>
          <w:p w:rsidR="00F8422A" w:rsidRPr="00C267A9" w:rsidRDefault="00F8422A" w:rsidP="00040F36">
            <w:pPr>
              <w:pStyle w:val="BalloonText"/>
              <w:rPr>
                <w:rFonts w:ascii="Times New Roman" w:hAnsi="Times New Roman" w:cs="Times New Roman"/>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928"/>
        </w:trPr>
        <w:tc>
          <w:tcPr>
            <w:tcW w:w="1574" w:type="dxa"/>
          </w:tcPr>
          <w:p w:rsidR="00F8422A" w:rsidRPr="00C267A9" w:rsidRDefault="00F8422A" w:rsidP="00040F36">
            <w:pPr>
              <w:spacing w:after="0" w:line="240" w:lineRule="auto"/>
              <w:rPr>
                <w:rFonts w:ascii="Times New Roman" w:hAnsi="Times New Roman" w:cs="Times New Roman"/>
                <w:b/>
                <w:sz w:val="18"/>
                <w:szCs w:val="18"/>
              </w:rPr>
            </w:pPr>
            <w:proofErr w:type="spellStart"/>
            <w:r w:rsidRPr="00C267A9">
              <w:rPr>
                <w:rFonts w:ascii="Times New Roman" w:hAnsi="Times New Roman" w:cs="Times New Roman"/>
                <w:b/>
                <w:sz w:val="18"/>
                <w:szCs w:val="18"/>
              </w:rPr>
              <w:t>Rahmadani</w:t>
            </w:r>
            <w:proofErr w:type="spellEnd"/>
            <w:r w:rsidRPr="00C267A9">
              <w:rPr>
                <w:rFonts w:ascii="Times New Roman" w:hAnsi="Times New Roman" w:cs="Times New Roman"/>
                <w:b/>
                <w:sz w:val="18"/>
                <w:szCs w:val="18"/>
              </w:rPr>
              <w:t xml:space="preserve">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(2020)</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Quantitative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Work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Engaging in leadership increases work engagement.</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928"/>
        </w:trPr>
        <w:tc>
          <w:tcPr>
            <w:tcW w:w="1574" w:type="dxa"/>
          </w:tcPr>
          <w:p w:rsidR="00F8422A" w:rsidRPr="00C267A9" w:rsidRDefault="00F8422A" w:rsidP="00040F36">
            <w:pPr>
              <w:spacing w:after="0" w:line="240" w:lineRule="auto"/>
              <w:rPr>
                <w:rFonts w:ascii="Times New Roman" w:hAnsi="Times New Roman" w:cs="Times New Roman"/>
                <w:b/>
                <w:sz w:val="18"/>
                <w:szCs w:val="18"/>
              </w:rPr>
            </w:pPr>
            <w:proofErr w:type="spellStart"/>
            <w:r w:rsidRPr="00C267A9">
              <w:rPr>
                <w:rFonts w:ascii="Times New Roman" w:hAnsi="Times New Roman" w:cs="Times New Roman"/>
                <w:b/>
                <w:sz w:val="18"/>
                <w:szCs w:val="18"/>
              </w:rPr>
              <w:t>Rautanen</w:t>
            </w:r>
            <w:proofErr w:type="spellEnd"/>
            <w:r w:rsidRPr="00C267A9">
              <w:rPr>
                <w:rFonts w:ascii="Times New Roman" w:hAnsi="Times New Roman" w:cs="Times New Roman"/>
                <w:b/>
                <w:sz w:val="18"/>
                <w:szCs w:val="18"/>
              </w:rPr>
              <w:t xml:space="preserve">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(2020)</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Quantitative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Student engagement </w:t>
            </w:r>
          </w:p>
          <w:p w:rsidR="00F8422A" w:rsidRPr="00C267A9" w:rsidRDefault="00F8422A" w:rsidP="00040F36">
            <w:pPr>
              <w:spacing w:after="0" w:line="240" w:lineRule="auto"/>
              <w:rPr>
                <w:rFonts w:ascii="Times New Roman" w:hAnsi="Times New Roman" w:cs="Times New Roman"/>
                <w:b/>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Teachers</w:t>
            </w:r>
            <w:r>
              <w:rPr>
                <w:rFonts w:ascii="Times New Roman" w:hAnsi="Times New Roman" w:cs="Times New Roman"/>
              </w:rPr>
              <w:t xml:space="preserve">’ </w:t>
            </w:r>
            <w:r w:rsidRPr="00C267A9">
              <w:rPr>
                <w:rFonts w:ascii="Times New Roman" w:hAnsi="Times New Roman" w:cs="Times New Roman"/>
              </w:rPr>
              <w:t>support enhances study engagement and peer interaction, improving overall engagement.</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r>
      <w:tr w:rsidR="00F8422A" w:rsidRPr="00C267A9" w:rsidTr="00040F36">
        <w:trPr>
          <w:trHeight w:val="502"/>
        </w:trPr>
        <w:tc>
          <w:tcPr>
            <w:tcW w:w="8883" w:type="dxa"/>
            <w:gridSpan w:val="15"/>
            <w:tcBorders>
              <w:top w:val="single" w:sz="4" w:space="0" w:color="auto"/>
            </w:tcBorders>
          </w:tcPr>
          <w:p w:rsidR="00F8422A" w:rsidRPr="00C267A9" w:rsidRDefault="00F8422A" w:rsidP="00040F36">
            <w:pPr>
              <w:spacing w:before="240" w:after="0" w:line="240" w:lineRule="auto"/>
              <w:jc w:val="right"/>
              <w:rPr>
                <w:rFonts w:ascii="Times New Roman" w:eastAsia="Times New Roman" w:hAnsi="Times New Roman" w:cs="Times New Roman"/>
                <w:i/>
                <w:sz w:val="18"/>
                <w:szCs w:val="18"/>
                <w:lang w:eastAsia="de-DE"/>
              </w:rPr>
            </w:pPr>
            <w:r w:rsidRPr="00C267A9">
              <w:rPr>
                <w:rFonts w:ascii="Times New Roman" w:eastAsia="Times New Roman" w:hAnsi="Times New Roman" w:cs="Times New Roman"/>
                <w:i/>
                <w:sz w:val="18"/>
                <w:szCs w:val="18"/>
                <w:lang w:eastAsia="de-DE"/>
              </w:rPr>
              <w:t xml:space="preserve"> (continued)</w:t>
            </w:r>
          </w:p>
        </w:tc>
      </w:tr>
    </w:tbl>
    <w:p w:rsidR="00F8422A" w:rsidRDefault="00F8422A" w:rsidP="00F8422A">
      <w:pPr>
        <w:rPr>
          <w:rFonts w:ascii="Times New Roman" w:hAnsi="Times New Roman" w:cs="Times New Roman"/>
          <w:b/>
          <w:sz w:val="24"/>
          <w:szCs w:val="24"/>
        </w:rPr>
      </w:pPr>
    </w:p>
    <w:p w:rsidR="00F8422A" w:rsidRPr="00C92A5A" w:rsidRDefault="00F8422A" w:rsidP="00F8422A">
      <w:pPr>
        <w:rPr>
          <w:rFonts w:ascii="Times New Roman" w:hAnsi="Times New Roman" w:cs="Times New Roman"/>
          <w:b/>
          <w:sz w:val="24"/>
          <w:szCs w:val="24"/>
        </w:rPr>
      </w:pPr>
    </w:p>
    <w:tbl>
      <w:tblPr>
        <w:tblW w:w="8883" w:type="dxa"/>
        <w:tblInd w:w="-5" w:type="dxa"/>
        <w:tblLayout w:type="fixed"/>
        <w:tblLook w:val="04A0" w:firstRow="1" w:lastRow="0" w:firstColumn="1" w:lastColumn="0" w:noHBand="0" w:noVBand="1"/>
      </w:tblPr>
      <w:tblGrid>
        <w:gridCol w:w="1574"/>
        <w:gridCol w:w="1860"/>
        <w:gridCol w:w="430"/>
        <w:gridCol w:w="573"/>
        <w:gridCol w:w="429"/>
        <w:gridCol w:w="429"/>
        <w:gridCol w:w="431"/>
        <w:gridCol w:w="430"/>
        <w:gridCol w:w="573"/>
        <w:gridCol w:w="429"/>
        <w:gridCol w:w="430"/>
        <w:gridCol w:w="429"/>
        <w:gridCol w:w="430"/>
        <w:gridCol w:w="429"/>
        <w:gridCol w:w="7"/>
      </w:tblGrid>
      <w:tr w:rsidR="00F8422A" w:rsidRPr="00C92A5A" w:rsidTr="00040F36">
        <w:trPr>
          <w:trHeight w:val="304"/>
        </w:trPr>
        <w:tc>
          <w:tcPr>
            <w:tcW w:w="8883" w:type="dxa"/>
            <w:gridSpan w:val="15"/>
          </w:tcPr>
          <w:p w:rsidR="00F8422A" w:rsidRPr="00C92A5A" w:rsidRDefault="00F8422A" w:rsidP="00040F36">
            <w:pPr>
              <w:rPr>
                <w:rFonts w:ascii="Times New Roman" w:hAnsi="Times New Roman" w:cs="Times New Roman"/>
                <w:b/>
                <w:bCs/>
                <w:sz w:val="24"/>
                <w:szCs w:val="24"/>
              </w:rPr>
            </w:pPr>
            <w:r w:rsidRPr="00C92A5A">
              <w:rPr>
                <w:rFonts w:ascii="Times New Roman" w:hAnsi="Times New Roman" w:cs="Times New Roman"/>
                <w:b/>
                <w:bCs/>
                <w:sz w:val="24"/>
                <w:szCs w:val="24"/>
              </w:rPr>
              <w:lastRenderedPageBreak/>
              <w:t>Appendix</w:t>
            </w:r>
            <w:r w:rsidRPr="00923F0B">
              <w:rPr>
                <w:rFonts w:ascii="Times New Roman" w:hAnsi="Times New Roman" w:cs="Times New Roman"/>
                <w:b/>
                <w:bCs/>
                <w:sz w:val="24"/>
                <w:szCs w:val="24"/>
              </w:rPr>
              <w:t xml:space="preserve"> </w:t>
            </w:r>
            <w:r w:rsidRPr="00923F0B">
              <w:rPr>
                <w:rFonts w:ascii="Times New Roman" w:hAnsi="Times New Roman" w:cs="Times New Roman"/>
                <w:b/>
                <w:sz w:val="24"/>
                <w:szCs w:val="24"/>
              </w:rPr>
              <w:t>– B.</w:t>
            </w:r>
            <w:r>
              <w:rPr>
                <w:rFonts w:cs="Times New Roman"/>
                <w:szCs w:val="24"/>
              </w:rPr>
              <w:t xml:space="preserve"> </w:t>
            </w:r>
            <w:r w:rsidRPr="00C92A5A">
              <w:rPr>
                <w:rFonts w:ascii="Times New Roman" w:hAnsi="Times New Roman" w:cs="Times New Roman"/>
                <w:bCs/>
                <w:sz w:val="24"/>
                <w:szCs w:val="24"/>
              </w:rPr>
              <w:t>(continued)</w:t>
            </w:r>
          </w:p>
        </w:tc>
      </w:tr>
      <w:tr w:rsidR="00F8422A" w:rsidRPr="00C267A9" w:rsidTr="00040F36">
        <w:trPr>
          <w:trHeight w:val="136"/>
        </w:trPr>
        <w:tc>
          <w:tcPr>
            <w:tcW w:w="1574" w:type="dxa"/>
            <w:vMerge w:val="restart"/>
            <w:tcBorders>
              <w:top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Article</w:t>
            </w: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Approach</w:t>
            </w: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Main Focus</w:t>
            </w:r>
          </w:p>
        </w:tc>
        <w:tc>
          <w:tcPr>
            <w:tcW w:w="1860" w:type="dxa"/>
            <w:vMerge w:val="restart"/>
            <w:tcBorders>
              <w:top w:val="single" w:sz="4" w:space="0" w:color="auto"/>
            </w:tcBorders>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b/>
              </w:rPr>
              <w:t>Critical Contributions</w:t>
            </w:r>
          </w:p>
        </w:tc>
        <w:tc>
          <w:tcPr>
            <w:tcW w:w="2292" w:type="dxa"/>
            <w:gridSpan w:val="5"/>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b/>
                <w:sz w:val="18"/>
                <w:szCs w:val="18"/>
              </w:rPr>
              <w:t>Dynamic Elements</w:t>
            </w:r>
          </w:p>
        </w:tc>
        <w:tc>
          <w:tcPr>
            <w:tcW w:w="1862" w:type="dxa"/>
            <w:gridSpan w:val="4"/>
            <w:tcBorders>
              <w:top w:val="single" w:sz="4" w:space="0" w:color="auto"/>
            </w:tcBorders>
            <w:shd w:val="clear" w:color="auto" w:fill="auto"/>
          </w:tcPr>
          <w:p w:rsidR="00F8422A" w:rsidRPr="00C267A9" w:rsidRDefault="00F8422A" w:rsidP="00040F36">
            <w:pPr>
              <w:spacing w:after="0" w:line="240" w:lineRule="auto"/>
              <w:jc w:val="both"/>
              <w:rPr>
                <w:rFonts w:ascii="Times New Roman" w:hAnsi="Times New Roman" w:cs="Times New Roman"/>
                <w:sz w:val="18"/>
                <w:szCs w:val="18"/>
              </w:rPr>
            </w:pPr>
            <w:r w:rsidRPr="00C267A9">
              <w:rPr>
                <w:rFonts w:ascii="Times New Roman" w:hAnsi="Times New Roman" w:cs="Times New Roman"/>
                <w:b/>
                <w:sz w:val="18"/>
                <w:szCs w:val="18"/>
              </w:rPr>
              <w:t>Triggers</w:t>
            </w:r>
          </w:p>
        </w:tc>
        <w:tc>
          <w:tcPr>
            <w:tcW w:w="1295" w:type="dxa"/>
            <w:gridSpan w:val="4"/>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b/>
                <w:sz w:val="18"/>
                <w:szCs w:val="18"/>
              </w:rPr>
              <w:t>Mechanisms</w:t>
            </w:r>
          </w:p>
        </w:tc>
      </w:tr>
      <w:tr w:rsidR="00F8422A" w:rsidRPr="00C267A9" w:rsidTr="00040F36">
        <w:trPr>
          <w:gridAfter w:val="1"/>
          <w:wAfter w:w="7" w:type="dxa"/>
          <w:cantSplit/>
          <w:trHeight w:val="1150"/>
        </w:trPr>
        <w:tc>
          <w:tcPr>
            <w:tcW w:w="1574" w:type="dxa"/>
            <w:vMerge/>
            <w:tcBorders>
              <w:bottom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p>
        </w:tc>
        <w:tc>
          <w:tcPr>
            <w:tcW w:w="1860" w:type="dxa"/>
            <w:vMerge/>
            <w:tcBorders>
              <w:bottom w:val="single" w:sz="4" w:space="0" w:color="auto"/>
            </w:tcBorders>
          </w:tcPr>
          <w:p w:rsidR="00F8422A" w:rsidRPr="00C267A9" w:rsidRDefault="00F8422A" w:rsidP="00040F36">
            <w:pPr>
              <w:pStyle w:val="BalloonText"/>
              <w:rPr>
                <w:rFonts w:ascii="Times New Roman" w:hAnsi="Times New Roman" w:cs="Times New Roman"/>
              </w:rPr>
            </w:pP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Disposition</w:t>
            </w:r>
          </w:p>
        </w:tc>
        <w:tc>
          <w:tcPr>
            <w:tcW w:w="573"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Activity of engaging</w:t>
            </w:r>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Valence</w:t>
            </w:r>
          </w:p>
        </w:tc>
        <w:tc>
          <w:tcPr>
            <w:tcW w:w="429"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Intensity</w:t>
            </w:r>
          </w:p>
        </w:tc>
        <w:tc>
          <w:tcPr>
            <w:tcW w:w="431"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Dimensions</w:t>
            </w:r>
          </w:p>
        </w:tc>
        <w:tc>
          <w:tcPr>
            <w:tcW w:w="430"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Focal object</w:t>
            </w:r>
          </w:p>
        </w:tc>
        <w:tc>
          <w:tcPr>
            <w:tcW w:w="573"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Other</w:t>
            </w:r>
          </w:p>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objects</w:t>
            </w:r>
          </w:p>
        </w:tc>
        <w:tc>
          <w:tcPr>
            <w:tcW w:w="429"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Other actors</w:t>
            </w: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Context</w:t>
            </w:r>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Interaction</w:t>
            </w: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proofErr w:type="spellStart"/>
            <w:r w:rsidRPr="00C267A9">
              <w:rPr>
                <w:rFonts w:ascii="Times New Roman" w:hAnsi="Times New Roman" w:cs="Times New Roman"/>
                <w:sz w:val="18"/>
                <w:szCs w:val="18"/>
              </w:rPr>
              <w:t>Spillover</w:t>
            </w:r>
            <w:proofErr w:type="spellEnd"/>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Crossover</w:t>
            </w:r>
          </w:p>
        </w:tc>
      </w:tr>
      <w:tr w:rsidR="00F8422A" w:rsidRPr="00C267A9" w:rsidTr="00040F36">
        <w:trPr>
          <w:gridAfter w:val="1"/>
          <w:wAfter w:w="7" w:type="dxa"/>
          <w:trHeight w:val="806"/>
        </w:trPr>
        <w:tc>
          <w:tcPr>
            <w:tcW w:w="1574" w:type="dxa"/>
            <w:tcBorders>
              <w:top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Shawky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(2020)</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Qualitative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Customer engagement </w:t>
            </w:r>
          </w:p>
          <w:p w:rsidR="00F8422A" w:rsidRPr="00C267A9" w:rsidRDefault="00F8422A" w:rsidP="00040F36">
            <w:pPr>
              <w:spacing w:after="0" w:line="240" w:lineRule="auto"/>
              <w:rPr>
                <w:rFonts w:ascii="Times New Roman" w:hAnsi="Times New Roman" w:cs="Times New Roman"/>
                <w:b/>
                <w:sz w:val="18"/>
                <w:szCs w:val="18"/>
              </w:rPr>
            </w:pPr>
          </w:p>
        </w:tc>
        <w:tc>
          <w:tcPr>
            <w:tcW w:w="1860" w:type="dxa"/>
            <w:tcBorders>
              <w:top w:val="single" w:sz="4" w:space="0" w:color="auto"/>
            </w:tcBorders>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Four customer engagement levels are based on connections and interactions with other actors.</w:t>
            </w: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573"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30"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r>
      <w:tr w:rsidR="00F8422A" w:rsidRPr="00C267A9" w:rsidTr="00040F36">
        <w:trPr>
          <w:gridAfter w:val="1"/>
          <w:wAfter w:w="7" w:type="dxa"/>
          <w:trHeight w:val="1259"/>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So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(2020)</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Literature review</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Customer engagement</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Various factors influence customer engagement: motivation, relationships, organization, interests, situations, and barriers.</w:t>
            </w:r>
          </w:p>
          <w:p w:rsidR="00F8422A" w:rsidRPr="00C267A9" w:rsidRDefault="00F8422A" w:rsidP="00040F36">
            <w:pPr>
              <w:pStyle w:val="BalloonText"/>
              <w:rPr>
                <w:rFonts w:ascii="Times New Roman" w:hAnsi="Times New Roman" w:cs="Times New Roman"/>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r>
      <w:tr w:rsidR="00F8422A" w:rsidRPr="00C267A9" w:rsidTr="00040F36">
        <w:trPr>
          <w:gridAfter w:val="1"/>
          <w:wAfter w:w="7" w:type="dxa"/>
          <w:trHeight w:val="599"/>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Wong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(2020)</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Conceptual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Actor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Indirect interaction and influence move through other actors and legitimacy judgments.</w:t>
            </w:r>
          </w:p>
          <w:p w:rsidR="00F8422A" w:rsidRPr="00C267A9" w:rsidRDefault="00F8422A" w:rsidP="00040F36">
            <w:pPr>
              <w:spacing w:after="0" w:line="240" w:lineRule="auto"/>
              <w:rPr>
                <w:rFonts w:ascii="Times New Roman" w:hAnsi="Times New Roman" w:cs="Times New Roman"/>
                <w:sz w:val="18"/>
                <w:szCs w:val="18"/>
                <w:lang w:eastAsia="de-DE"/>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r>
      <w:tr w:rsidR="00F8422A" w:rsidRPr="00C267A9" w:rsidTr="00040F36">
        <w:trPr>
          <w:gridAfter w:val="1"/>
          <w:wAfter w:w="7" w:type="dxa"/>
          <w:trHeight w:val="559"/>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Abdul-Ghani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(2019)</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Qualitative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Consumer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C2C engagement is conceptualized as a cycle where consumer engagement stems from valuable consumption experiences, driving continued consumption activities.</w:t>
            </w:r>
          </w:p>
          <w:p w:rsidR="00F8422A" w:rsidRPr="00C267A9" w:rsidRDefault="00F8422A" w:rsidP="00040F36">
            <w:pPr>
              <w:pStyle w:val="BalloonText"/>
              <w:rPr>
                <w:rFonts w:ascii="Times New Roman" w:hAnsi="Times New Roman" w:cs="Times New Roman"/>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913"/>
        </w:trPr>
        <w:tc>
          <w:tcPr>
            <w:tcW w:w="1574" w:type="dxa"/>
          </w:tcPr>
          <w:p w:rsidR="00F8422A" w:rsidRPr="00C267A9" w:rsidRDefault="00F8422A" w:rsidP="00040F36">
            <w:pPr>
              <w:spacing w:after="0" w:line="240" w:lineRule="auto"/>
              <w:rPr>
                <w:rFonts w:ascii="Times New Roman" w:hAnsi="Times New Roman" w:cs="Times New Roman"/>
                <w:b/>
                <w:sz w:val="18"/>
                <w:szCs w:val="18"/>
              </w:rPr>
            </w:pPr>
            <w:proofErr w:type="spellStart"/>
            <w:r w:rsidRPr="00C267A9">
              <w:rPr>
                <w:rFonts w:ascii="Times New Roman" w:hAnsi="Times New Roman" w:cs="Times New Roman"/>
                <w:b/>
                <w:sz w:val="18"/>
                <w:szCs w:val="18"/>
              </w:rPr>
              <w:t>Aluri</w:t>
            </w:r>
            <w:proofErr w:type="spellEnd"/>
            <w:r w:rsidRPr="00C267A9">
              <w:rPr>
                <w:rFonts w:ascii="Times New Roman" w:hAnsi="Times New Roman" w:cs="Times New Roman"/>
                <w:b/>
                <w:sz w:val="18"/>
                <w:szCs w:val="18"/>
              </w:rPr>
              <w:t xml:space="preserve">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(2019)</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Quantitative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Customer engagement</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Customer engagement can change, triggered by specific promotions.</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1308"/>
        </w:trPr>
        <w:tc>
          <w:tcPr>
            <w:tcW w:w="1574" w:type="dxa"/>
          </w:tcPr>
          <w:p w:rsidR="00F8422A" w:rsidRPr="00C267A9" w:rsidRDefault="00F8422A" w:rsidP="00040F36">
            <w:pPr>
              <w:spacing w:after="0" w:line="240" w:lineRule="auto"/>
              <w:rPr>
                <w:rFonts w:ascii="Times New Roman" w:hAnsi="Times New Roman" w:cs="Times New Roman"/>
                <w:b/>
                <w:sz w:val="18"/>
                <w:szCs w:val="18"/>
              </w:rPr>
            </w:pPr>
            <w:proofErr w:type="spellStart"/>
            <w:r w:rsidRPr="00C267A9">
              <w:rPr>
                <w:rFonts w:ascii="Times New Roman" w:hAnsi="Times New Roman" w:cs="Times New Roman"/>
                <w:b/>
                <w:sz w:val="18"/>
                <w:szCs w:val="18"/>
              </w:rPr>
              <w:t>Kleinaltenkamp</w:t>
            </w:r>
            <w:proofErr w:type="spellEnd"/>
            <w:r w:rsidRPr="00C267A9">
              <w:rPr>
                <w:rFonts w:ascii="Times New Roman" w:hAnsi="Times New Roman" w:cs="Times New Roman"/>
                <w:b/>
                <w:sz w:val="18"/>
                <w:szCs w:val="18"/>
              </w:rPr>
              <w:t xml:space="preserve">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(2019)</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Conceptual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Collective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Collective engagement is a dynamic process involving shared interactions and emotions, influenced by individuals and institutions in diverse settings.</w:t>
            </w:r>
          </w:p>
          <w:p w:rsidR="00F8422A" w:rsidRPr="00C267A9" w:rsidRDefault="00F8422A" w:rsidP="00040F36">
            <w:pPr>
              <w:pStyle w:val="BalloonText"/>
              <w:rPr>
                <w:rFonts w:ascii="Times New Roman" w:hAnsi="Times New Roman" w:cs="Times New Roman"/>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r>
      <w:tr w:rsidR="00F8422A" w:rsidRPr="00C267A9" w:rsidTr="00040F36">
        <w:trPr>
          <w:trHeight w:val="502"/>
        </w:trPr>
        <w:tc>
          <w:tcPr>
            <w:tcW w:w="8883" w:type="dxa"/>
            <w:gridSpan w:val="15"/>
            <w:tcBorders>
              <w:top w:val="single" w:sz="4" w:space="0" w:color="auto"/>
            </w:tcBorders>
          </w:tcPr>
          <w:p w:rsidR="00F8422A" w:rsidRPr="00C267A9" w:rsidRDefault="00F8422A" w:rsidP="00040F36">
            <w:pPr>
              <w:spacing w:before="240" w:after="0" w:line="240" w:lineRule="auto"/>
              <w:jc w:val="right"/>
              <w:rPr>
                <w:rFonts w:ascii="Times New Roman" w:eastAsia="Times New Roman" w:hAnsi="Times New Roman" w:cs="Times New Roman"/>
                <w:i/>
                <w:sz w:val="18"/>
                <w:szCs w:val="18"/>
                <w:lang w:eastAsia="de-DE"/>
              </w:rPr>
            </w:pPr>
            <w:r w:rsidRPr="00C267A9">
              <w:rPr>
                <w:rFonts w:ascii="Times New Roman" w:eastAsia="Times New Roman" w:hAnsi="Times New Roman" w:cs="Times New Roman"/>
                <w:i/>
                <w:sz w:val="18"/>
                <w:szCs w:val="18"/>
                <w:lang w:eastAsia="de-DE"/>
              </w:rPr>
              <w:t xml:space="preserve"> (continued)</w:t>
            </w:r>
          </w:p>
        </w:tc>
      </w:tr>
    </w:tbl>
    <w:p w:rsidR="00F8422A" w:rsidRPr="00C92A5A" w:rsidRDefault="00F8422A" w:rsidP="00F8422A">
      <w:pPr>
        <w:rPr>
          <w:rFonts w:ascii="Times New Roman" w:hAnsi="Times New Roman" w:cs="Times New Roman"/>
          <w:b/>
          <w:sz w:val="24"/>
          <w:szCs w:val="24"/>
        </w:rPr>
      </w:pPr>
    </w:p>
    <w:p w:rsidR="00F8422A" w:rsidRPr="00C92A5A" w:rsidRDefault="00F8422A" w:rsidP="00F8422A">
      <w:pPr>
        <w:rPr>
          <w:rFonts w:ascii="Times New Roman" w:hAnsi="Times New Roman" w:cs="Times New Roman"/>
          <w:b/>
          <w:sz w:val="24"/>
          <w:szCs w:val="24"/>
        </w:rPr>
      </w:pPr>
    </w:p>
    <w:p w:rsidR="00F8422A" w:rsidRDefault="00F8422A" w:rsidP="00F8422A">
      <w:pPr>
        <w:rPr>
          <w:rFonts w:ascii="Times New Roman" w:hAnsi="Times New Roman" w:cs="Times New Roman"/>
          <w:b/>
          <w:sz w:val="24"/>
          <w:szCs w:val="24"/>
        </w:rPr>
      </w:pPr>
    </w:p>
    <w:p w:rsidR="00F8422A" w:rsidRPr="00C92A5A" w:rsidRDefault="00F8422A" w:rsidP="00F8422A">
      <w:pPr>
        <w:rPr>
          <w:rFonts w:ascii="Times New Roman" w:hAnsi="Times New Roman" w:cs="Times New Roman"/>
          <w:b/>
          <w:sz w:val="24"/>
          <w:szCs w:val="24"/>
        </w:rPr>
      </w:pPr>
    </w:p>
    <w:tbl>
      <w:tblPr>
        <w:tblW w:w="8883" w:type="dxa"/>
        <w:tblInd w:w="-5" w:type="dxa"/>
        <w:tblLayout w:type="fixed"/>
        <w:tblLook w:val="04A0" w:firstRow="1" w:lastRow="0" w:firstColumn="1" w:lastColumn="0" w:noHBand="0" w:noVBand="1"/>
      </w:tblPr>
      <w:tblGrid>
        <w:gridCol w:w="1574"/>
        <w:gridCol w:w="1860"/>
        <w:gridCol w:w="430"/>
        <w:gridCol w:w="573"/>
        <w:gridCol w:w="429"/>
        <w:gridCol w:w="429"/>
        <w:gridCol w:w="431"/>
        <w:gridCol w:w="430"/>
        <w:gridCol w:w="573"/>
        <w:gridCol w:w="429"/>
        <w:gridCol w:w="430"/>
        <w:gridCol w:w="429"/>
        <w:gridCol w:w="430"/>
        <w:gridCol w:w="429"/>
        <w:gridCol w:w="7"/>
      </w:tblGrid>
      <w:tr w:rsidR="00F8422A" w:rsidRPr="00C92A5A" w:rsidTr="00040F36">
        <w:trPr>
          <w:trHeight w:val="304"/>
        </w:trPr>
        <w:tc>
          <w:tcPr>
            <w:tcW w:w="8883" w:type="dxa"/>
            <w:gridSpan w:val="15"/>
          </w:tcPr>
          <w:p w:rsidR="00F8422A" w:rsidRPr="00C92A5A" w:rsidRDefault="00F8422A" w:rsidP="00040F36">
            <w:pPr>
              <w:rPr>
                <w:rFonts w:ascii="Times New Roman" w:hAnsi="Times New Roman" w:cs="Times New Roman"/>
                <w:b/>
                <w:bCs/>
                <w:sz w:val="24"/>
                <w:szCs w:val="24"/>
              </w:rPr>
            </w:pPr>
            <w:r w:rsidRPr="00C92A5A">
              <w:rPr>
                <w:rFonts w:ascii="Times New Roman" w:hAnsi="Times New Roman" w:cs="Times New Roman"/>
                <w:b/>
                <w:bCs/>
                <w:sz w:val="24"/>
                <w:szCs w:val="24"/>
              </w:rPr>
              <w:lastRenderedPageBreak/>
              <w:t>Appendix</w:t>
            </w:r>
            <w:r w:rsidRPr="00923F0B">
              <w:rPr>
                <w:rFonts w:ascii="Times New Roman" w:hAnsi="Times New Roman" w:cs="Times New Roman"/>
                <w:b/>
                <w:sz w:val="24"/>
                <w:szCs w:val="24"/>
              </w:rPr>
              <w:t xml:space="preserve"> – B.</w:t>
            </w:r>
            <w:r>
              <w:rPr>
                <w:rFonts w:cs="Times New Roman"/>
                <w:szCs w:val="24"/>
              </w:rPr>
              <w:t xml:space="preserve"> </w:t>
            </w:r>
            <w:r w:rsidRPr="00C92A5A">
              <w:rPr>
                <w:rFonts w:ascii="Times New Roman" w:hAnsi="Times New Roman" w:cs="Times New Roman"/>
                <w:bCs/>
                <w:sz w:val="24"/>
                <w:szCs w:val="24"/>
              </w:rPr>
              <w:t>(continued)</w:t>
            </w:r>
          </w:p>
        </w:tc>
      </w:tr>
      <w:tr w:rsidR="00F8422A" w:rsidRPr="00C92A5A" w:rsidTr="00040F36">
        <w:trPr>
          <w:trHeight w:val="136"/>
        </w:trPr>
        <w:tc>
          <w:tcPr>
            <w:tcW w:w="1574" w:type="dxa"/>
            <w:vMerge w:val="restart"/>
            <w:tcBorders>
              <w:top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Article</w:t>
            </w: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Approach</w:t>
            </w: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Main Focus</w:t>
            </w:r>
          </w:p>
        </w:tc>
        <w:tc>
          <w:tcPr>
            <w:tcW w:w="1860" w:type="dxa"/>
            <w:vMerge w:val="restart"/>
            <w:tcBorders>
              <w:top w:val="single" w:sz="4" w:space="0" w:color="auto"/>
            </w:tcBorders>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b/>
              </w:rPr>
              <w:t>Critical Contributions</w:t>
            </w:r>
          </w:p>
        </w:tc>
        <w:tc>
          <w:tcPr>
            <w:tcW w:w="2292" w:type="dxa"/>
            <w:gridSpan w:val="5"/>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b/>
                <w:sz w:val="18"/>
                <w:szCs w:val="18"/>
              </w:rPr>
              <w:t>Dynamic Elements</w:t>
            </w:r>
          </w:p>
        </w:tc>
        <w:tc>
          <w:tcPr>
            <w:tcW w:w="1862" w:type="dxa"/>
            <w:gridSpan w:val="4"/>
            <w:tcBorders>
              <w:top w:val="single" w:sz="4" w:space="0" w:color="auto"/>
            </w:tcBorders>
            <w:shd w:val="clear" w:color="auto" w:fill="auto"/>
          </w:tcPr>
          <w:p w:rsidR="00F8422A" w:rsidRPr="00C267A9" w:rsidRDefault="00F8422A" w:rsidP="00040F36">
            <w:pPr>
              <w:spacing w:after="0" w:line="240" w:lineRule="auto"/>
              <w:jc w:val="both"/>
              <w:rPr>
                <w:rFonts w:ascii="Times New Roman" w:hAnsi="Times New Roman" w:cs="Times New Roman"/>
                <w:sz w:val="18"/>
                <w:szCs w:val="18"/>
              </w:rPr>
            </w:pPr>
            <w:r w:rsidRPr="00C267A9">
              <w:rPr>
                <w:rFonts w:ascii="Times New Roman" w:hAnsi="Times New Roman" w:cs="Times New Roman"/>
                <w:b/>
                <w:sz w:val="18"/>
                <w:szCs w:val="18"/>
              </w:rPr>
              <w:t>Triggers</w:t>
            </w:r>
          </w:p>
        </w:tc>
        <w:tc>
          <w:tcPr>
            <w:tcW w:w="1295" w:type="dxa"/>
            <w:gridSpan w:val="4"/>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b/>
                <w:sz w:val="18"/>
                <w:szCs w:val="18"/>
              </w:rPr>
              <w:t>Mechanisms</w:t>
            </w:r>
          </w:p>
        </w:tc>
      </w:tr>
      <w:tr w:rsidR="00F8422A" w:rsidRPr="00C267A9" w:rsidTr="00040F36">
        <w:trPr>
          <w:gridAfter w:val="1"/>
          <w:wAfter w:w="7" w:type="dxa"/>
          <w:cantSplit/>
          <w:trHeight w:val="1150"/>
        </w:trPr>
        <w:tc>
          <w:tcPr>
            <w:tcW w:w="1574" w:type="dxa"/>
            <w:vMerge/>
            <w:tcBorders>
              <w:bottom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p>
        </w:tc>
        <w:tc>
          <w:tcPr>
            <w:tcW w:w="1860" w:type="dxa"/>
            <w:vMerge/>
            <w:tcBorders>
              <w:bottom w:val="single" w:sz="4" w:space="0" w:color="auto"/>
            </w:tcBorders>
          </w:tcPr>
          <w:p w:rsidR="00F8422A" w:rsidRPr="00C267A9" w:rsidRDefault="00F8422A" w:rsidP="00040F36">
            <w:pPr>
              <w:pStyle w:val="BalloonText"/>
              <w:rPr>
                <w:rFonts w:ascii="Times New Roman" w:hAnsi="Times New Roman" w:cs="Times New Roman"/>
              </w:rPr>
            </w:pP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Disposition</w:t>
            </w:r>
          </w:p>
        </w:tc>
        <w:tc>
          <w:tcPr>
            <w:tcW w:w="573"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Activity of engaging</w:t>
            </w:r>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Valence</w:t>
            </w:r>
          </w:p>
        </w:tc>
        <w:tc>
          <w:tcPr>
            <w:tcW w:w="429"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Intensity</w:t>
            </w:r>
          </w:p>
        </w:tc>
        <w:tc>
          <w:tcPr>
            <w:tcW w:w="431"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Dimensions</w:t>
            </w:r>
          </w:p>
        </w:tc>
        <w:tc>
          <w:tcPr>
            <w:tcW w:w="430"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Focal object</w:t>
            </w:r>
          </w:p>
        </w:tc>
        <w:tc>
          <w:tcPr>
            <w:tcW w:w="573"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Other</w:t>
            </w:r>
          </w:p>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objects</w:t>
            </w:r>
          </w:p>
        </w:tc>
        <w:tc>
          <w:tcPr>
            <w:tcW w:w="429"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Other actors</w:t>
            </w: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Context</w:t>
            </w:r>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Interaction</w:t>
            </w: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proofErr w:type="spellStart"/>
            <w:r w:rsidRPr="00C267A9">
              <w:rPr>
                <w:rFonts w:ascii="Times New Roman" w:hAnsi="Times New Roman" w:cs="Times New Roman"/>
                <w:sz w:val="18"/>
                <w:szCs w:val="18"/>
              </w:rPr>
              <w:t>Spillover</w:t>
            </w:r>
            <w:proofErr w:type="spellEnd"/>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Crossover</w:t>
            </w:r>
          </w:p>
        </w:tc>
      </w:tr>
      <w:tr w:rsidR="00F8422A" w:rsidRPr="00C267A9" w:rsidTr="00040F36">
        <w:trPr>
          <w:gridAfter w:val="1"/>
          <w:wAfter w:w="7" w:type="dxa"/>
          <w:trHeight w:val="806"/>
        </w:trPr>
        <w:tc>
          <w:tcPr>
            <w:tcW w:w="1574" w:type="dxa"/>
            <w:tcBorders>
              <w:top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proofErr w:type="spellStart"/>
            <w:r w:rsidRPr="00C267A9">
              <w:rPr>
                <w:rFonts w:ascii="Times New Roman" w:hAnsi="Times New Roman" w:cs="Times New Roman"/>
                <w:b/>
                <w:sz w:val="18"/>
                <w:szCs w:val="18"/>
              </w:rPr>
              <w:t>Stadtelmann</w:t>
            </w:r>
            <w:proofErr w:type="spellEnd"/>
            <w:r w:rsidRPr="00C267A9">
              <w:rPr>
                <w:rFonts w:ascii="Times New Roman" w:hAnsi="Times New Roman" w:cs="Times New Roman"/>
                <w:b/>
                <w:sz w:val="18"/>
                <w:szCs w:val="18"/>
              </w:rPr>
              <w:t xml:space="preserve"> </w:t>
            </w:r>
            <w:r w:rsidRPr="00C267A9">
              <w:rPr>
                <w:rFonts w:ascii="Times New Roman" w:hAnsi="Times New Roman" w:cs="Times New Roman"/>
                <w:b/>
                <w:i/>
                <w:sz w:val="18"/>
                <w:szCs w:val="18"/>
              </w:rPr>
              <w:t xml:space="preserve">et al. </w:t>
            </w:r>
            <w:r w:rsidRPr="00C267A9">
              <w:rPr>
                <w:rFonts w:ascii="Times New Roman" w:hAnsi="Times New Roman" w:cs="Times New Roman"/>
                <w:b/>
                <w:sz w:val="18"/>
                <w:szCs w:val="18"/>
              </w:rPr>
              <w:t>(2019)</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Qualitative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Actor engagement </w:t>
            </w:r>
          </w:p>
          <w:p w:rsidR="00F8422A" w:rsidRPr="00C267A9" w:rsidRDefault="00F8422A" w:rsidP="00040F36">
            <w:pPr>
              <w:spacing w:after="0" w:line="240" w:lineRule="auto"/>
              <w:rPr>
                <w:rFonts w:ascii="Times New Roman" w:hAnsi="Times New Roman" w:cs="Times New Roman"/>
                <w:b/>
                <w:sz w:val="18"/>
                <w:szCs w:val="18"/>
              </w:rPr>
            </w:pPr>
          </w:p>
        </w:tc>
        <w:tc>
          <w:tcPr>
            <w:tcW w:w="1860" w:type="dxa"/>
            <w:tcBorders>
              <w:top w:val="single" w:sz="4" w:space="0" w:color="auto"/>
            </w:tcBorders>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Three leading engagement practices define the roles of the actors, and actors can change their roles and thus their practices over time.</w:t>
            </w:r>
          </w:p>
          <w:p w:rsidR="00F8422A" w:rsidRPr="00C267A9" w:rsidRDefault="00F8422A" w:rsidP="00040F36">
            <w:pPr>
              <w:pStyle w:val="BalloonText"/>
              <w:rPr>
                <w:rFonts w:ascii="Times New Roman" w:hAnsi="Times New Roman" w:cs="Times New Roman"/>
              </w:rPr>
            </w:pP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573"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1077"/>
        </w:trPr>
        <w:tc>
          <w:tcPr>
            <w:tcW w:w="1574" w:type="dxa"/>
          </w:tcPr>
          <w:p w:rsidR="00F8422A" w:rsidRPr="00C267A9" w:rsidRDefault="00F8422A" w:rsidP="00040F36">
            <w:pPr>
              <w:spacing w:after="0" w:line="240" w:lineRule="auto"/>
              <w:rPr>
                <w:rFonts w:ascii="Times New Roman" w:hAnsi="Times New Roman" w:cs="Times New Roman"/>
                <w:b/>
                <w:sz w:val="18"/>
                <w:szCs w:val="18"/>
              </w:rPr>
            </w:pPr>
            <w:proofErr w:type="spellStart"/>
            <w:r w:rsidRPr="00C267A9">
              <w:rPr>
                <w:rFonts w:ascii="Times New Roman" w:hAnsi="Times New Roman" w:cs="Times New Roman"/>
                <w:b/>
                <w:sz w:val="18"/>
                <w:szCs w:val="18"/>
              </w:rPr>
              <w:t>Storbacka</w:t>
            </w:r>
            <w:proofErr w:type="spellEnd"/>
            <w:r w:rsidRPr="00C267A9">
              <w:rPr>
                <w:rFonts w:ascii="Times New Roman" w:hAnsi="Times New Roman" w:cs="Times New Roman"/>
                <w:b/>
                <w:sz w:val="18"/>
                <w:szCs w:val="18"/>
              </w:rPr>
              <w:t xml:space="preserve"> (2019)</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Conceptual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Actor engagement</w:t>
            </w: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Individual traits, institutional contexts, and resource density shape engagement.</w:t>
            </w: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599"/>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Wang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2019</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Conceptual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Student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spacing w:after="0" w:line="240" w:lineRule="auto"/>
              <w:rPr>
                <w:rFonts w:ascii="Times New Roman" w:hAnsi="Times New Roman" w:cs="Times New Roman"/>
                <w:sz w:val="18"/>
                <w:szCs w:val="18"/>
                <w:lang w:eastAsia="de-DE"/>
              </w:rPr>
            </w:pPr>
            <w:r w:rsidRPr="00C267A9">
              <w:rPr>
                <w:rFonts w:ascii="Times New Roman" w:hAnsi="Times New Roman" w:cs="Times New Roman"/>
                <w:sz w:val="18"/>
                <w:szCs w:val="18"/>
              </w:rPr>
              <w:t>Various external and internal factors influence engagement.</w:t>
            </w: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559"/>
        </w:trPr>
        <w:tc>
          <w:tcPr>
            <w:tcW w:w="1574" w:type="dxa"/>
          </w:tcPr>
          <w:p w:rsidR="00F8422A" w:rsidRPr="00C267A9" w:rsidRDefault="00F8422A" w:rsidP="00040F36">
            <w:pPr>
              <w:spacing w:after="0" w:line="240" w:lineRule="auto"/>
              <w:rPr>
                <w:rFonts w:ascii="Times New Roman" w:hAnsi="Times New Roman" w:cs="Times New Roman"/>
                <w:b/>
                <w:sz w:val="18"/>
                <w:szCs w:val="18"/>
              </w:rPr>
            </w:pPr>
            <w:proofErr w:type="spellStart"/>
            <w:r w:rsidRPr="00C267A9">
              <w:rPr>
                <w:rFonts w:ascii="Times New Roman" w:hAnsi="Times New Roman" w:cs="Times New Roman"/>
                <w:b/>
                <w:sz w:val="18"/>
                <w:szCs w:val="18"/>
              </w:rPr>
              <w:t>Zanini</w:t>
            </w:r>
            <w:proofErr w:type="spellEnd"/>
            <w:r w:rsidRPr="00C267A9">
              <w:rPr>
                <w:rFonts w:ascii="Times New Roman" w:hAnsi="Times New Roman" w:cs="Times New Roman"/>
                <w:b/>
                <w:sz w:val="18"/>
                <w:szCs w:val="18"/>
              </w:rPr>
              <w:t xml:space="preserve">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(2019)</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Quantitative and qualitative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Brand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Different engagement practices shape the dynamic within the brand community.</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913"/>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Abdul-Ghani </w:t>
            </w:r>
            <w:r w:rsidRPr="00C267A9">
              <w:rPr>
                <w:rFonts w:ascii="Times New Roman" w:hAnsi="Times New Roman" w:cs="Times New Roman"/>
                <w:b/>
                <w:i/>
                <w:sz w:val="18"/>
                <w:szCs w:val="18"/>
              </w:rPr>
              <w:t xml:space="preserve">et al. </w:t>
            </w:r>
            <w:r w:rsidRPr="00C267A9">
              <w:rPr>
                <w:rFonts w:ascii="Times New Roman" w:hAnsi="Times New Roman" w:cs="Times New Roman"/>
                <w:b/>
                <w:sz w:val="18"/>
                <w:szCs w:val="18"/>
              </w:rPr>
              <w:t>(2018)</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Qualitative</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Consumer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 xml:space="preserve">A cycle of engagement continues as long as value </w:t>
            </w:r>
            <w:proofErr w:type="gramStart"/>
            <w:r w:rsidRPr="00C267A9">
              <w:rPr>
                <w:rFonts w:ascii="Times New Roman" w:hAnsi="Times New Roman" w:cs="Times New Roman"/>
              </w:rPr>
              <w:t>is derived</w:t>
            </w:r>
            <w:proofErr w:type="gramEnd"/>
            <w:r w:rsidRPr="00C267A9">
              <w:rPr>
                <w:rFonts w:ascii="Times New Roman" w:hAnsi="Times New Roman" w:cs="Times New Roman"/>
              </w:rPr>
              <w:t xml:space="preserve"> from the consumption experience.</w:t>
            </w:r>
          </w:p>
          <w:p w:rsidR="00F8422A" w:rsidRPr="00C267A9" w:rsidRDefault="00F8422A" w:rsidP="00040F36">
            <w:pPr>
              <w:pStyle w:val="BalloonText"/>
              <w:rPr>
                <w:rFonts w:ascii="Times New Roman" w:hAnsi="Times New Roman" w:cs="Times New Roman"/>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1308"/>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Alexander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(2018)</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Conceptual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Actor engagement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Customer engagement</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Various levels of aggregation represent different engagement contexts in which the actor simultaneously engages and that shape the engagement of the actor.</w:t>
            </w:r>
          </w:p>
          <w:p w:rsidR="00F8422A" w:rsidRPr="00C267A9" w:rsidRDefault="00F8422A" w:rsidP="00040F36">
            <w:pPr>
              <w:pStyle w:val="BalloonText"/>
              <w:rPr>
                <w:rFonts w:ascii="Times New Roman" w:hAnsi="Times New Roman" w:cs="Times New Roman"/>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1308"/>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Bakar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(2018)</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Qualitative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Work engagement </w:t>
            </w:r>
          </w:p>
          <w:p w:rsidR="00F8422A" w:rsidRPr="00C267A9" w:rsidRDefault="00F8422A" w:rsidP="00040F36">
            <w:pPr>
              <w:spacing w:after="0" w:line="240" w:lineRule="auto"/>
              <w:rPr>
                <w:rFonts w:ascii="Times New Roman" w:hAnsi="Times New Roman" w:cs="Times New Roman"/>
                <w:b/>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Religiosity has an important role in shaping work engagement.</w:t>
            </w: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1308"/>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Case and </w:t>
            </w:r>
            <w:proofErr w:type="spellStart"/>
            <w:r w:rsidRPr="00C267A9">
              <w:rPr>
                <w:rFonts w:ascii="Times New Roman" w:hAnsi="Times New Roman" w:cs="Times New Roman"/>
                <w:b/>
                <w:sz w:val="18"/>
                <w:szCs w:val="18"/>
              </w:rPr>
              <w:t>Zeglen</w:t>
            </w:r>
            <w:proofErr w:type="spellEnd"/>
            <w:r w:rsidRPr="00C267A9">
              <w:rPr>
                <w:rFonts w:ascii="Times New Roman" w:hAnsi="Times New Roman" w:cs="Times New Roman"/>
                <w:b/>
                <w:sz w:val="18"/>
                <w:szCs w:val="18"/>
              </w:rPr>
              <w:t xml:space="preserve"> (2018)</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Qualitative Community engagement </w:t>
            </w:r>
          </w:p>
          <w:p w:rsidR="00F8422A" w:rsidRPr="00C267A9" w:rsidRDefault="00F8422A" w:rsidP="00040F36">
            <w:pPr>
              <w:spacing w:after="0" w:line="240" w:lineRule="auto"/>
              <w:rPr>
                <w:rFonts w:ascii="Times New Roman" w:hAnsi="Times New Roman" w:cs="Times New Roman"/>
                <w:b/>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A pyramid of engagement shows different forms, categorized by activity.</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92A5A" w:rsidTr="00040F36">
        <w:trPr>
          <w:trHeight w:val="502"/>
        </w:trPr>
        <w:tc>
          <w:tcPr>
            <w:tcW w:w="8883" w:type="dxa"/>
            <w:gridSpan w:val="15"/>
            <w:tcBorders>
              <w:top w:val="single" w:sz="4" w:space="0" w:color="auto"/>
            </w:tcBorders>
          </w:tcPr>
          <w:p w:rsidR="00F8422A" w:rsidRPr="00C267A9" w:rsidRDefault="00F8422A" w:rsidP="00040F36">
            <w:pPr>
              <w:spacing w:before="240" w:after="0" w:line="240" w:lineRule="auto"/>
              <w:jc w:val="right"/>
              <w:rPr>
                <w:rFonts w:ascii="Times New Roman" w:eastAsia="Times New Roman" w:hAnsi="Times New Roman" w:cs="Times New Roman"/>
                <w:i/>
                <w:sz w:val="18"/>
                <w:szCs w:val="18"/>
                <w:lang w:eastAsia="de-DE"/>
              </w:rPr>
            </w:pPr>
            <w:r w:rsidRPr="00C267A9">
              <w:rPr>
                <w:rFonts w:ascii="Times New Roman" w:eastAsia="Times New Roman" w:hAnsi="Times New Roman" w:cs="Times New Roman"/>
                <w:i/>
                <w:sz w:val="18"/>
                <w:szCs w:val="18"/>
                <w:lang w:eastAsia="de-DE"/>
              </w:rPr>
              <w:t xml:space="preserve"> (continued)</w:t>
            </w:r>
          </w:p>
        </w:tc>
      </w:tr>
    </w:tbl>
    <w:p w:rsidR="00F8422A" w:rsidRDefault="00F8422A" w:rsidP="00F8422A">
      <w:pPr>
        <w:jc w:val="center"/>
        <w:rPr>
          <w:rFonts w:ascii="Times New Roman" w:hAnsi="Times New Roman" w:cs="Times New Roman"/>
          <w:b/>
          <w:sz w:val="24"/>
          <w:szCs w:val="24"/>
        </w:rPr>
      </w:pPr>
    </w:p>
    <w:p w:rsidR="00F8422A" w:rsidRPr="00C92A5A" w:rsidRDefault="00F8422A" w:rsidP="00F8422A">
      <w:pPr>
        <w:jc w:val="center"/>
        <w:rPr>
          <w:rFonts w:ascii="Times New Roman" w:hAnsi="Times New Roman" w:cs="Times New Roman"/>
          <w:b/>
          <w:sz w:val="24"/>
          <w:szCs w:val="24"/>
        </w:rPr>
      </w:pPr>
    </w:p>
    <w:tbl>
      <w:tblPr>
        <w:tblW w:w="8883" w:type="dxa"/>
        <w:tblInd w:w="-5" w:type="dxa"/>
        <w:tblLayout w:type="fixed"/>
        <w:tblLook w:val="04A0" w:firstRow="1" w:lastRow="0" w:firstColumn="1" w:lastColumn="0" w:noHBand="0" w:noVBand="1"/>
      </w:tblPr>
      <w:tblGrid>
        <w:gridCol w:w="1574"/>
        <w:gridCol w:w="1860"/>
        <w:gridCol w:w="430"/>
        <w:gridCol w:w="573"/>
        <w:gridCol w:w="429"/>
        <w:gridCol w:w="429"/>
        <w:gridCol w:w="431"/>
        <w:gridCol w:w="430"/>
        <w:gridCol w:w="573"/>
        <w:gridCol w:w="429"/>
        <w:gridCol w:w="430"/>
        <w:gridCol w:w="429"/>
        <w:gridCol w:w="430"/>
        <w:gridCol w:w="429"/>
        <w:gridCol w:w="7"/>
      </w:tblGrid>
      <w:tr w:rsidR="00F8422A" w:rsidRPr="00C92A5A" w:rsidTr="00040F36">
        <w:trPr>
          <w:trHeight w:val="304"/>
        </w:trPr>
        <w:tc>
          <w:tcPr>
            <w:tcW w:w="8883" w:type="dxa"/>
            <w:gridSpan w:val="15"/>
          </w:tcPr>
          <w:p w:rsidR="00F8422A" w:rsidRPr="00C92A5A" w:rsidRDefault="00F8422A" w:rsidP="00040F36">
            <w:pPr>
              <w:rPr>
                <w:rFonts w:ascii="Times New Roman" w:hAnsi="Times New Roman" w:cs="Times New Roman"/>
                <w:b/>
                <w:bCs/>
                <w:sz w:val="24"/>
                <w:szCs w:val="24"/>
              </w:rPr>
            </w:pPr>
            <w:r w:rsidRPr="00C92A5A">
              <w:rPr>
                <w:rFonts w:ascii="Times New Roman" w:hAnsi="Times New Roman" w:cs="Times New Roman"/>
                <w:b/>
                <w:bCs/>
                <w:sz w:val="24"/>
                <w:szCs w:val="24"/>
              </w:rPr>
              <w:lastRenderedPageBreak/>
              <w:t>Appendix</w:t>
            </w:r>
            <w:r w:rsidRPr="00923F0B">
              <w:rPr>
                <w:rFonts w:ascii="Times New Roman" w:hAnsi="Times New Roman" w:cs="Times New Roman"/>
                <w:b/>
                <w:sz w:val="24"/>
                <w:szCs w:val="24"/>
              </w:rPr>
              <w:t xml:space="preserve"> – B.</w:t>
            </w:r>
            <w:r>
              <w:rPr>
                <w:rFonts w:cs="Times New Roman"/>
                <w:szCs w:val="24"/>
              </w:rPr>
              <w:t xml:space="preserve"> </w:t>
            </w:r>
            <w:r w:rsidRPr="00C92A5A">
              <w:rPr>
                <w:rFonts w:ascii="Times New Roman" w:hAnsi="Times New Roman" w:cs="Times New Roman"/>
                <w:bCs/>
                <w:sz w:val="24"/>
                <w:szCs w:val="24"/>
              </w:rPr>
              <w:t>(continued)</w:t>
            </w:r>
          </w:p>
        </w:tc>
      </w:tr>
      <w:tr w:rsidR="00F8422A" w:rsidRPr="00C267A9" w:rsidTr="00040F36">
        <w:trPr>
          <w:trHeight w:val="136"/>
        </w:trPr>
        <w:tc>
          <w:tcPr>
            <w:tcW w:w="1574" w:type="dxa"/>
            <w:vMerge w:val="restart"/>
            <w:tcBorders>
              <w:top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Article</w:t>
            </w: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Approach</w:t>
            </w: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Main Focus</w:t>
            </w:r>
          </w:p>
        </w:tc>
        <w:tc>
          <w:tcPr>
            <w:tcW w:w="1860" w:type="dxa"/>
            <w:vMerge w:val="restart"/>
            <w:tcBorders>
              <w:top w:val="single" w:sz="4" w:space="0" w:color="auto"/>
            </w:tcBorders>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b/>
              </w:rPr>
              <w:t>Critical Contributions</w:t>
            </w:r>
          </w:p>
        </w:tc>
        <w:tc>
          <w:tcPr>
            <w:tcW w:w="2292" w:type="dxa"/>
            <w:gridSpan w:val="5"/>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b/>
                <w:sz w:val="18"/>
                <w:szCs w:val="18"/>
              </w:rPr>
              <w:t>Dynamic Elements</w:t>
            </w:r>
          </w:p>
        </w:tc>
        <w:tc>
          <w:tcPr>
            <w:tcW w:w="1862" w:type="dxa"/>
            <w:gridSpan w:val="4"/>
            <w:tcBorders>
              <w:top w:val="single" w:sz="4" w:space="0" w:color="auto"/>
            </w:tcBorders>
            <w:shd w:val="clear" w:color="auto" w:fill="auto"/>
          </w:tcPr>
          <w:p w:rsidR="00F8422A" w:rsidRPr="00C267A9" w:rsidRDefault="00F8422A" w:rsidP="00040F36">
            <w:pPr>
              <w:spacing w:after="0" w:line="240" w:lineRule="auto"/>
              <w:jc w:val="both"/>
              <w:rPr>
                <w:rFonts w:ascii="Times New Roman" w:hAnsi="Times New Roman" w:cs="Times New Roman"/>
                <w:sz w:val="18"/>
                <w:szCs w:val="18"/>
              </w:rPr>
            </w:pPr>
            <w:r w:rsidRPr="00C267A9">
              <w:rPr>
                <w:rFonts w:ascii="Times New Roman" w:hAnsi="Times New Roman" w:cs="Times New Roman"/>
                <w:b/>
                <w:sz w:val="18"/>
                <w:szCs w:val="18"/>
              </w:rPr>
              <w:t>Triggers</w:t>
            </w:r>
          </w:p>
        </w:tc>
        <w:tc>
          <w:tcPr>
            <w:tcW w:w="1295" w:type="dxa"/>
            <w:gridSpan w:val="4"/>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b/>
                <w:sz w:val="18"/>
                <w:szCs w:val="18"/>
              </w:rPr>
              <w:t>Mechanisms</w:t>
            </w:r>
          </w:p>
        </w:tc>
      </w:tr>
      <w:tr w:rsidR="00F8422A" w:rsidRPr="00C267A9" w:rsidTr="00040F36">
        <w:trPr>
          <w:gridAfter w:val="1"/>
          <w:wAfter w:w="7" w:type="dxa"/>
          <w:cantSplit/>
          <w:trHeight w:val="1150"/>
        </w:trPr>
        <w:tc>
          <w:tcPr>
            <w:tcW w:w="1574" w:type="dxa"/>
            <w:vMerge/>
            <w:tcBorders>
              <w:bottom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p>
        </w:tc>
        <w:tc>
          <w:tcPr>
            <w:tcW w:w="1860" w:type="dxa"/>
            <w:vMerge/>
            <w:tcBorders>
              <w:bottom w:val="single" w:sz="4" w:space="0" w:color="auto"/>
            </w:tcBorders>
          </w:tcPr>
          <w:p w:rsidR="00F8422A" w:rsidRPr="00C267A9" w:rsidRDefault="00F8422A" w:rsidP="00040F36">
            <w:pPr>
              <w:pStyle w:val="BalloonText"/>
              <w:rPr>
                <w:rFonts w:ascii="Times New Roman" w:hAnsi="Times New Roman" w:cs="Times New Roman"/>
              </w:rPr>
            </w:pP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Disposition</w:t>
            </w:r>
          </w:p>
        </w:tc>
        <w:tc>
          <w:tcPr>
            <w:tcW w:w="573"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Activity of engaging</w:t>
            </w:r>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Valence</w:t>
            </w:r>
          </w:p>
        </w:tc>
        <w:tc>
          <w:tcPr>
            <w:tcW w:w="429"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Intensity</w:t>
            </w:r>
          </w:p>
        </w:tc>
        <w:tc>
          <w:tcPr>
            <w:tcW w:w="431"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Dimensions</w:t>
            </w:r>
          </w:p>
        </w:tc>
        <w:tc>
          <w:tcPr>
            <w:tcW w:w="430"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Focal object</w:t>
            </w:r>
          </w:p>
        </w:tc>
        <w:tc>
          <w:tcPr>
            <w:tcW w:w="573"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Other</w:t>
            </w:r>
          </w:p>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objects</w:t>
            </w:r>
          </w:p>
        </w:tc>
        <w:tc>
          <w:tcPr>
            <w:tcW w:w="429"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Other actors</w:t>
            </w: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Context</w:t>
            </w:r>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Interaction</w:t>
            </w: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proofErr w:type="spellStart"/>
            <w:r w:rsidRPr="00C267A9">
              <w:rPr>
                <w:rFonts w:ascii="Times New Roman" w:hAnsi="Times New Roman" w:cs="Times New Roman"/>
                <w:sz w:val="18"/>
                <w:szCs w:val="18"/>
              </w:rPr>
              <w:t>Spillover</w:t>
            </w:r>
            <w:proofErr w:type="spellEnd"/>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Crossover</w:t>
            </w:r>
          </w:p>
        </w:tc>
      </w:tr>
      <w:tr w:rsidR="00F8422A" w:rsidRPr="00C267A9" w:rsidTr="00040F36">
        <w:trPr>
          <w:gridAfter w:val="1"/>
          <w:wAfter w:w="7" w:type="dxa"/>
          <w:trHeight w:val="806"/>
        </w:trPr>
        <w:tc>
          <w:tcPr>
            <w:tcW w:w="1574" w:type="dxa"/>
            <w:tcBorders>
              <w:top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Dao and McDonough (2018)</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Quantitative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Learner engagement </w:t>
            </w:r>
          </w:p>
          <w:p w:rsidR="00F8422A" w:rsidRPr="00C267A9" w:rsidRDefault="00F8422A" w:rsidP="00040F36">
            <w:pPr>
              <w:spacing w:after="0" w:line="240" w:lineRule="auto"/>
              <w:rPr>
                <w:rFonts w:ascii="Times New Roman" w:hAnsi="Times New Roman" w:cs="Times New Roman"/>
                <w:b/>
                <w:sz w:val="18"/>
                <w:szCs w:val="18"/>
              </w:rPr>
            </w:pPr>
          </w:p>
        </w:tc>
        <w:tc>
          <w:tcPr>
            <w:tcW w:w="1860" w:type="dxa"/>
            <w:tcBorders>
              <w:top w:val="single" w:sz="4" w:space="0" w:color="auto"/>
            </w:tcBorders>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Learners show greater cognitive and social engagement and report higher emotional engagement when interacting with higher proficiency partners.</w:t>
            </w:r>
          </w:p>
          <w:p w:rsidR="00F8422A" w:rsidRPr="00C267A9" w:rsidRDefault="00F8422A" w:rsidP="00040F36">
            <w:pPr>
              <w:pStyle w:val="BalloonText"/>
              <w:rPr>
                <w:rFonts w:ascii="Times New Roman" w:hAnsi="Times New Roman" w:cs="Times New Roman"/>
              </w:rPr>
            </w:pP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573"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r>
      <w:tr w:rsidR="00F8422A" w:rsidRPr="00C267A9" w:rsidTr="00040F36">
        <w:trPr>
          <w:gridAfter w:val="1"/>
          <w:wAfter w:w="7" w:type="dxa"/>
          <w:trHeight w:val="1077"/>
        </w:trPr>
        <w:tc>
          <w:tcPr>
            <w:tcW w:w="1574" w:type="dxa"/>
          </w:tcPr>
          <w:p w:rsidR="00F8422A" w:rsidRPr="00C267A9" w:rsidRDefault="00F8422A" w:rsidP="00040F36">
            <w:pPr>
              <w:spacing w:after="0" w:line="240" w:lineRule="auto"/>
              <w:rPr>
                <w:rFonts w:ascii="Times New Roman" w:hAnsi="Times New Roman" w:cs="Times New Roman"/>
                <w:b/>
                <w:sz w:val="18"/>
                <w:szCs w:val="18"/>
              </w:rPr>
            </w:pPr>
            <w:proofErr w:type="spellStart"/>
            <w:r w:rsidRPr="00C267A9">
              <w:rPr>
                <w:rFonts w:ascii="Times New Roman" w:hAnsi="Times New Roman" w:cs="Times New Roman"/>
                <w:b/>
                <w:sz w:val="18"/>
                <w:szCs w:val="18"/>
              </w:rPr>
              <w:t>Hollebeek</w:t>
            </w:r>
            <w:proofErr w:type="spellEnd"/>
            <w:r w:rsidRPr="00C267A9">
              <w:rPr>
                <w:rFonts w:ascii="Times New Roman" w:hAnsi="Times New Roman" w:cs="Times New Roman"/>
                <w:b/>
                <w:sz w:val="18"/>
                <w:szCs w:val="18"/>
              </w:rPr>
              <w:t xml:space="preserve"> (2018)</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Conceptual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Consumer engagement</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Consumers</w:t>
            </w:r>
            <w:r>
              <w:rPr>
                <w:rFonts w:ascii="Times New Roman" w:hAnsi="Times New Roman" w:cs="Times New Roman"/>
              </w:rPr>
              <w:t>’</w:t>
            </w:r>
            <w:r w:rsidRPr="00C267A9">
              <w:rPr>
                <w:rFonts w:ascii="Times New Roman" w:hAnsi="Times New Roman" w:cs="Times New Roman"/>
              </w:rPr>
              <w:t xml:space="preserve"> brand engagement varies based on the different cultural traits of the consumer.</w:t>
            </w:r>
          </w:p>
          <w:p w:rsidR="00F8422A" w:rsidRPr="00C267A9" w:rsidRDefault="00F8422A" w:rsidP="00040F36">
            <w:pPr>
              <w:pStyle w:val="BalloonText"/>
              <w:rPr>
                <w:rFonts w:ascii="Times New Roman" w:hAnsi="Times New Roman" w:cs="Times New Roman"/>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599"/>
        </w:trPr>
        <w:tc>
          <w:tcPr>
            <w:tcW w:w="1574" w:type="dxa"/>
          </w:tcPr>
          <w:p w:rsidR="00F8422A" w:rsidRPr="00C267A9" w:rsidRDefault="00F8422A" w:rsidP="00040F36">
            <w:pPr>
              <w:spacing w:after="0" w:line="240" w:lineRule="auto"/>
              <w:rPr>
                <w:rFonts w:ascii="Times New Roman" w:hAnsi="Times New Roman" w:cs="Times New Roman"/>
                <w:b/>
                <w:sz w:val="18"/>
                <w:szCs w:val="18"/>
              </w:rPr>
            </w:pPr>
            <w:proofErr w:type="spellStart"/>
            <w:r w:rsidRPr="00C267A9">
              <w:rPr>
                <w:rFonts w:ascii="Times New Roman" w:hAnsi="Times New Roman" w:cs="Times New Roman"/>
                <w:b/>
                <w:sz w:val="18"/>
                <w:szCs w:val="18"/>
              </w:rPr>
              <w:t>Hollebeek</w:t>
            </w:r>
            <w:proofErr w:type="spellEnd"/>
            <w:r w:rsidRPr="00C267A9">
              <w:rPr>
                <w:rFonts w:ascii="Times New Roman" w:hAnsi="Times New Roman" w:cs="Times New Roman"/>
                <w:b/>
                <w:sz w:val="18"/>
                <w:szCs w:val="18"/>
              </w:rPr>
              <w:t xml:space="preserve"> </w:t>
            </w:r>
            <w:r w:rsidRPr="00C267A9">
              <w:rPr>
                <w:rFonts w:ascii="Times New Roman" w:hAnsi="Times New Roman" w:cs="Times New Roman"/>
                <w:b/>
                <w:i/>
                <w:sz w:val="18"/>
                <w:szCs w:val="18"/>
              </w:rPr>
              <w:t>et al. (</w:t>
            </w:r>
            <w:r w:rsidRPr="00C267A9">
              <w:rPr>
                <w:rFonts w:ascii="Times New Roman" w:hAnsi="Times New Roman" w:cs="Times New Roman"/>
                <w:b/>
                <w:sz w:val="18"/>
                <w:szCs w:val="18"/>
              </w:rPr>
              <w:t>2018)</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Conceptual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Customer engagement, actor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A 12-cell matrix outlines service innovation actors</w:t>
            </w:r>
            <w:r>
              <w:rPr>
                <w:rFonts w:ascii="Times New Roman" w:hAnsi="Times New Roman" w:cs="Times New Roman"/>
                <w:sz w:val="18"/>
                <w:szCs w:val="18"/>
              </w:rPr>
              <w:t>’</w:t>
            </w:r>
            <w:r w:rsidRPr="00C267A9">
              <w:rPr>
                <w:rFonts w:ascii="Times New Roman" w:hAnsi="Times New Roman" w:cs="Times New Roman"/>
                <w:sz w:val="18"/>
                <w:szCs w:val="18"/>
              </w:rPr>
              <w:t xml:space="preserve"> engagement facets, driven by institutions and agencies, detailing expected pos. and neg. impacts.</w:t>
            </w:r>
          </w:p>
          <w:p w:rsidR="00F8422A" w:rsidRPr="00C267A9" w:rsidRDefault="00F8422A" w:rsidP="00040F36">
            <w:pPr>
              <w:spacing w:after="0" w:line="240" w:lineRule="auto"/>
              <w:rPr>
                <w:rFonts w:ascii="Times New Roman" w:hAnsi="Times New Roman" w:cs="Times New Roman"/>
                <w:sz w:val="18"/>
                <w:szCs w:val="18"/>
                <w:lang w:eastAsia="de-DE"/>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559"/>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Jonas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(2018)</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Qualitative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Stakeholder engagement</w:t>
            </w: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Factors like friendship, shared experiences, trust, common goals, hierarchy, and institutional arrangements influence engagement at individual and collective levels.</w:t>
            </w:r>
          </w:p>
          <w:p w:rsidR="00F8422A" w:rsidRPr="00C267A9" w:rsidRDefault="00F8422A" w:rsidP="00040F36">
            <w:pPr>
              <w:pStyle w:val="BalloonText"/>
              <w:rPr>
                <w:rFonts w:ascii="Times New Roman" w:hAnsi="Times New Roman" w:cs="Times New Roman"/>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r>
      <w:tr w:rsidR="00F8422A" w:rsidRPr="00C267A9" w:rsidTr="00040F36">
        <w:trPr>
          <w:gridAfter w:val="1"/>
          <w:wAfter w:w="7" w:type="dxa"/>
          <w:trHeight w:val="913"/>
        </w:trPr>
        <w:tc>
          <w:tcPr>
            <w:tcW w:w="1574" w:type="dxa"/>
          </w:tcPr>
          <w:p w:rsidR="00F8422A" w:rsidRPr="00C267A9" w:rsidRDefault="00F8422A" w:rsidP="00040F36">
            <w:pPr>
              <w:spacing w:after="0" w:line="240" w:lineRule="auto"/>
              <w:rPr>
                <w:rFonts w:ascii="Times New Roman" w:hAnsi="Times New Roman" w:cs="Times New Roman"/>
                <w:b/>
                <w:sz w:val="18"/>
                <w:szCs w:val="18"/>
              </w:rPr>
            </w:pPr>
            <w:proofErr w:type="spellStart"/>
            <w:r w:rsidRPr="00C267A9">
              <w:rPr>
                <w:rFonts w:ascii="Times New Roman" w:hAnsi="Times New Roman" w:cs="Times New Roman"/>
                <w:b/>
                <w:sz w:val="18"/>
                <w:szCs w:val="18"/>
              </w:rPr>
              <w:t>Stieler</w:t>
            </w:r>
            <w:proofErr w:type="spellEnd"/>
            <w:r w:rsidRPr="00C267A9">
              <w:rPr>
                <w:rFonts w:ascii="Times New Roman" w:hAnsi="Times New Roman" w:cs="Times New Roman"/>
                <w:b/>
                <w:sz w:val="18"/>
                <w:szCs w:val="18"/>
              </w:rPr>
              <w:t xml:space="preserve"> and </w:t>
            </w:r>
            <w:proofErr w:type="spellStart"/>
            <w:r w:rsidRPr="00C267A9">
              <w:rPr>
                <w:rFonts w:ascii="Times New Roman" w:hAnsi="Times New Roman" w:cs="Times New Roman"/>
                <w:b/>
                <w:sz w:val="18"/>
                <w:szCs w:val="18"/>
              </w:rPr>
              <w:t>Germelmann</w:t>
            </w:r>
            <w:proofErr w:type="spellEnd"/>
            <w:r w:rsidRPr="00C267A9">
              <w:rPr>
                <w:rFonts w:ascii="Times New Roman" w:hAnsi="Times New Roman" w:cs="Times New Roman"/>
                <w:b/>
                <w:sz w:val="18"/>
                <w:szCs w:val="18"/>
              </w:rPr>
              <w:t xml:space="preserve"> (2018)</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Qualitative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Actor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Three triadic actor engagement practices can describe multi-actor engagement dynamics.</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r>
      <w:tr w:rsidR="00F8422A" w:rsidRPr="00C267A9" w:rsidTr="00040F36">
        <w:trPr>
          <w:gridAfter w:val="1"/>
          <w:wAfter w:w="7" w:type="dxa"/>
          <w:trHeight w:val="1308"/>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Wang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(2018)</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Conceptual</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Actor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Engagement intensity includes actors</w:t>
            </w:r>
            <w:r>
              <w:rPr>
                <w:rFonts w:ascii="Times New Roman" w:hAnsi="Times New Roman" w:cs="Times New Roman"/>
              </w:rPr>
              <w:t>’</w:t>
            </w:r>
            <w:r w:rsidRPr="00C267A9">
              <w:rPr>
                <w:rFonts w:ascii="Times New Roman" w:hAnsi="Times New Roman" w:cs="Times New Roman"/>
              </w:rPr>
              <w:t xml:space="preserve"> emotional and cognitive tone, effort, and activity in resource investments.</w:t>
            </w:r>
          </w:p>
          <w:p w:rsidR="00F8422A" w:rsidRPr="00C267A9" w:rsidRDefault="00F8422A" w:rsidP="00040F36">
            <w:pPr>
              <w:pStyle w:val="BalloonText"/>
              <w:rPr>
                <w:rFonts w:ascii="Times New Roman" w:hAnsi="Times New Roman" w:cs="Times New Roman"/>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1308"/>
        </w:trPr>
        <w:tc>
          <w:tcPr>
            <w:tcW w:w="1574" w:type="dxa"/>
          </w:tcPr>
          <w:p w:rsidR="00F8422A" w:rsidRPr="00C267A9" w:rsidRDefault="00F8422A" w:rsidP="00040F36">
            <w:pPr>
              <w:spacing w:after="0" w:line="240" w:lineRule="auto"/>
              <w:rPr>
                <w:rFonts w:ascii="Times New Roman" w:hAnsi="Times New Roman" w:cs="Times New Roman"/>
                <w:b/>
                <w:sz w:val="18"/>
                <w:szCs w:val="18"/>
              </w:rPr>
            </w:pPr>
            <w:proofErr w:type="spellStart"/>
            <w:r w:rsidRPr="00C267A9">
              <w:rPr>
                <w:rFonts w:ascii="Times New Roman" w:hAnsi="Times New Roman" w:cs="Times New Roman"/>
                <w:b/>
                <w:sz w:val="18"/>
                <w:szCs w:val="18"/>
              </w:rPr>
              <w:t>Alessandri</w:t>
            </w:r>
            <w:proofErr w:type="spellEnd"/>
            <w:r w:rsidRPr="00C267A9">
              <w:rPr>
                <w:rFonts w:ascii="Times New Roman" w:hAnsi="Times New Roman" w:cs="Times New Roman"/>
                <w:b/>
                <w:sz w:val="18"/>
                <w:szCs w:val="18"/>
              </w:rPr>
              <w:t xml:space="preserve">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(2017)</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Qualitative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Work engagement </w:t>
            </w:r>
          </w:p>
          <w:p w:rsidR="00F8422A" w:rsidRPr="00C267A9" w:rsidRDefault="00F8422A" w:rsidP="00040F36">
            <w:pPr>
              <w:spacing w:after="0" w:line="240" w:lineRule="auto"/>
              <w:rPr>
                <w:rFonts w:ascii="Times New Roman" w:hAnsi="Times New Roman" w:cs="Times New Roman"/>
                <w:b/>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Psychological capital, consisting of hope, efficacy, resilience, and optimism, is associated with work engagement.</w:t>
            </w: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trHeight w:val="502"/>
        </w:trPr>
        <w:tc>
          <w:tcPr>
            <w:tcW w:w="8883" w:type="dxa"/>
            <w:gridSpan w:val="15"/>
            <w:tcBorders>
              <w:top w:val="single" w:sz="4" w:space="0" w:color="auto"/>
            </w:tcBorders>
          </w:tcPr>
          <w:p w:rsidR="00F8422A" w:rsidRDefault="00F8422A" w:rsidP="00040F36">
            <w:pPr>
              <w:spacing w:before="240" w:after="0" w:line="240" w:lineRule="auto"/>
              <w:jc w:val="center"/>
              <w:rPr>
                <w:rFonts w:ascii="Times New Roman" w:eastAsia="Times New Roman" w:hAnsi="Times New Roman" w:cs="Times New Roman"/>
                <w:i/>
                <w:sz w:val="18"/>
                <w:szCs w:val="18"/>
                <w:lang w:eastAsia="de-DE"/>
              </w:rPr>
            </w:pPr>
            <w:r>
              <w:rPr>
                <w:rFonts w:ascii="Times New Roman" w:eastAsia="Times New Roman" w:hAnsi="Times New Roman" w:cs="Times New Roman"/>
                <w:i/>
                <w:sz w:val="18"/>
                <w:szCs w:val="18"/>
                <w:lang w:eastAsia="de-DE"/>
              </w:rPr>
              <w:t xml:space="preserve">     </w:t>
            </w:r>
          </w:p>
          <w:p w:rsidR="00F8422A" w:rsidRPr="00C267A9" w:rsidRDefault="00F8422A" w:rsidP="00040F36">
            <w:pPr>
              <w:spacing w:before="240" w:after="0" w:line="240" w:lineRule="auto"/>
              <w:jc w:val="center"/>
              <w:rPr>
                <w:rFonts w:ascii="Times New Roman" w:eastAsia="Times New Roman" w:hAnsi="Times New Roman" w:cs="Times New Roman"/>
                <w:i/>
                <w:sz w:val="18"/>
                <w:szCs w:val="18"/>
                <w:lang w:eastAsia="de-DE"/>
              </w:rPr>
            </w:pPr>
            <w:r>
              <w:rPr>
                <w:rFonts w:ascii="Times New Roman" w:eastAsia="Times New Roman" w:hAnsi="Times New Roman" w:cs="Times New Roman"/>
                <w:i/>
                <w:sz w:val="18"/>
                <w:szCs w:val="18"/>
                <w:lang w:eastAsia="de-DE"/>
              </w:rPr>
              <w:t xml:space="preserve">                                                                                                                                                                        </w:t>
            </w:r>
            <w:r w:rsidRPr="00C267A9">
              <w:rPr>
                <w:rFonts w:ascii="Times New Roman" w:eastAsia="Times New Roman" w:hAnsi="Times New Roman" w:cs="Times New Roman"/>
                <w:i/>
                <w:sz w:val="18"/>
                <w:szCs w:val="18"/>
                <w:lang w:eastAsia="de-DE"/>
              </w:rPr>
              <w:t xml:space="preserve"> (continued)</w:t>
            </w:r>
          </w:p>
        </w:tc>
      </w:tr>
    </w:tbl>
    <w:tbl>
      <w:tblPr>
        <w:tblpPr w:leftFromText="141" w:rightFromText="141" w:vertAnchor="text" w:horzAnchor="margin" w:tblpY="99"/>
        <w:tblW w:w="8883" w:type="dxa"/>
        <w:tblLayout w:type="fixed"/>
        <w:tblLook w:val="04A0" w:firstRow="1" w:lastRow="0" w:firstColumn="1" w:lastColumn="0" w:noHBand="0" w:noVBand="1"/>
      </w:tblPr>
      <w:tblGrid>
        <w:gridCol w:w="1574"/>
        <w:gridCol w:w="1860"/>
        <w:gridCol w:w="430"/>
        <w:gridCol w:w="573"/>
        <w:gridCol w:w="429"/>
        <w:gridCol w:w="429"/>
        <w:gridCol w:w="431"/>
        <w:gridCol w:w="430"/>
        <w:gridCol w:w="573"/>
        <w:gridCol w:w="429"/>
        <w:gridCol w:w="430"/>
        <w:gridCol w:w="429"/>
        <w:gridCol w:w="430"/>
        <w:gridCol w:w="429"/>
        <w:gridCol w:w="7"/>
      </w:tblGrid>
      <w:tr w:rsidR="00F8422A" w:rsidRPr="00C92A5A" w:rsidTr="00040F36">
        <w:trPr>
          <w:trHeight w:val="304"/>
        </w:trPr>
        <w:tc>
          <w:tcPr>
            <w:tcW w:w="8883" w:type="dxa"/>
            <w:gridSpan w:val="15"/>
          </w:tcPr>
          <w:p w:rsidR="00F8422A" w:rsidRPr="00C92A5A" w:rsidRDefault="00F8422A" w:rsidP="00040F36">
            <w:pPr>
              <w:rPr>
                <w:rFonts w:ascii="Times New Roman" w:hAnsi="Times New Roman" w:cs="Times New Roman"/>
                <w:b/>
                <w:bCs/>
                <w:sz w:val="24"/>
                <w:szCs w:val="24"/>
              </w:rPr>
            </w:pPr>
            <w:bookmarkStart w:id="2" w:name="_Hlk183778097"/>
            <w:r w:rsidRPr="00C92A5A">
              <w:rPr>
                <w:rFonts w:ascii="Times New Roman" w:hAnsi="Times New Roman" w:cs="Times New Roman"/>
                <w:b/>
                <w:bCs/>
                <w:sz w:val="24"/>
                <w:szCs w:val="24"/>
              </w:rPr>
              <w:lastRenderedPageBreak/>
              <w:t xml:space="preserve">Appendix </w:t>
            </w:r>
            <w:r w:rsidRPr="00923F0B">
              <w:rPr>
                <w:rFonts w:ascii="Times New Roman" w:hAnsi="Times New Roman" w:cs="Times New Roman"/>
                <w:b/>
                <w:sz w:val="24"/>
                <w:szCs w:val="24"/>
              </w:rPr>
              <w:t>– B.</w:t>
            </w:r>
            <w:r>
              <w:rPr>
                <w:rFonts w:cs="Times New Roman"/>
                <w:szCs w:val="24"/>
              </w:rPr>
              <w:t xml:space="preserve"> </w:t>
            </w:r>
            <w:r w:rsidRPr="00C92A5A">
              <w:rPr>
                <w:rFonts w:ascii="Times New Roman" w:hAnsi="Times New Roman" w:cs="Times New Roman"/>
                <w:bCs/>
                <w:sz w:val="24"/>
                <w:szCs w:val="24"/>
              </w:rPr>
              <w:t>(continued)</w:t>
            </w:r>
          </w:p>
        </w:tc>
      </w:tr>
      <w:tr w:rsidR="00F8422A" w:rsidRPr="00C92A5A" w:rsidTr="00040F36">
        <w:trPr>
          <w:trHeight w:val="136"/>
        </w:trPr>
        <w:tc>
          <w:tcPr>
            <w:tcW w:w="1574" w:type="dxa"/>
            <w:vMerge w:val="restart"/>
            <w:tcBorders>
              <w:top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Article</w:t>
            </w: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Approach</w:t>
            </w: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Main Focus</w:t>
            </w:r>
          </w:p>
        </w:tc>
        <w:tc>
          <w:tcPr>
            <w:tcW w:w="1860" w:type="dxa"/>
            <w:vMerge w:val="restart"/>
            <w:tcBorders>
              <w:top w:val="single" w:sz="4" w:space="0" w:color="auto"/>
            </w:tcBorders>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b/>
              </w:rPr>
              <w:t>Critical Contributions</w:t>
            </w:r>
          </w:p>
        </w:tc>
        <w:tc>
          <w:tcPr>
            <w:tcW w:w="2292" w:type="dxa"/>
            <w:gridSpan w:val="5"/>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b/>
                <w:sz w:val="18"/>
                <w:szCs w:val="18"/>
              </w:rPr>
              <w:t>Dynamic Elements</w:t>
            </w:r>
          </w:p>
        </w:tc>
        <w:tc>
          <w:tcPr>
            <w:tcW w:w="1862" w:type="dxa"/>
            <w:gridSpan w:val="4"/>
            <w:tcBorders>
              <w:top w:val="single" w:sz="4" w:space="0" w:color="auto"/>
            </w:tcBorders>
            <w:shd w:val="clear" w:color="auto" w:fill="auto"/>
          </w:tcPr>
          <w:p w:rsidR="00F8422A" w:rsidRPr="00C267A9" w:rsidRDefault="00F8422A" w:rsidP="00040F36">
            <w:pPr>
              <w:spacing w:after="0" w:line="240" w:lineRule="auto"/>
              <w:jc w:val="both"/>
              <w:rPr>
                <w:rFonts w:ascii="Times New Roman" w:hAnsi="Times New Roman" w:cs="Times New Roman"/>
                <w:sz w:val="18"/>
                <w:szCs w:val="18"/>
              </w:rPr>
            </w:pPr>
            <w:r w:rsidRPr="00C267A9">
              <w:rPr>
                <w:rFonts w:ascii="Times New Roman" w:hAnsi="Times New Roman" w:cs="Times New Roman"/>
                <w:b/>
                <w:sz w:val="18"/>
                <w:szCs w:val="18"/>
              </w:rPr>
              <w:t>Triggers</w:t>
            </w:r>
          </w:p>
        </w:tc>
        <w:tc>
          <w:tcPr>
            <w:tcW w:w="1295" w:type="dxa"/>
            <w:gridSpan w:val="4"/>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b/>
                <w:sz w:val="18"/>
                <w:szCs w:val="18"/>
              </w:rPr>
              <w:t>Mechanisms</w:t>
            </w:r>
          </w:p>
        </w:tc>
      </w:tr>
      <w:tr w:rsidR="00F8422A" w:rsidRPr="00C267A9" w:rsidTr="00040F36">
        <w:trPr>
          <w:gridAfter w:val="1"/>
          <w:wAfter w:w="7" w:type="dxa"/>
          <w:cantSplit/>
          <w:trHeight w:val="1150"/>
        </w:trPr>
        <w:tc>
          <w:tcPr>
            <w:tcW w:w="1574" w:type="dxa"/>
            <w:vMerge/>
            <w:tcBorders>
              <w:bottom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p>
        </w:tc>
        <w:tc>
          <w:tcPr>
            <w:tcW w:w="1860" w:type="dxa"/>
            <w:vMerge/>
            <w:tcBorders>
              <w:bottom w:val="single" w:sz="4" w:space="0" w:color="auto"/>
            </w:tcBorders>
          </w:tcPr>
          <w:p w:rsidR="00F8422A" w:rsidRPr="00C267A9" w:rsidRDefault="00F8422A" w:rsidP="00040F36">
            <w:pPr>
              <w:pStyle w:val="BalloonText"/>
              <w:rPr>
                <w:rFonts w:ascii="Times New Roman" w:hAnsi="Times New Roman" w:cs="Times New Roman"/>
              </w:rPr>
            </w:pP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Disposition</w:t>
            </w:r>
          </w:p>
        </w:tc>
        <w:tc>
          <w:tcPr>
            <w:tcW w:w="573"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Activity of engaging</w:t>
            </w:r>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Valence</w:t>
            </w:r>
          </w:p>
        </w:tc>
        <w:tc>
          <w:tcPr>
            <w:tcW w:w="429"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Intensity</w:t>
            </w:r>
          </w:p>
        </w:tc>
        <w:tc>
          <w:tcPr>
            <w:tcW w:w="431"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Dimensions</w:t>
            </w:r>
          </w:p>
        </w:tc>
        <w:tc>
          <w:tcPr>
            <w:tcW w:w="430"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Focal object</w:t>
            </w:r>
          </w:p>
        </w:tc>
        <w:tc>
          <w:tcPr>
            <w:tcW w:w="573"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Other</w:t>
            </w:r>
          </w:p>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objects</w:t>
            </w:r>
          </w:p>
        </w:tc>
        <w:tc>
          <w:tcPr>
            <w:tcW w:w="429"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Other actors</w:t>
            </w: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Context</w:t>
            </w:r>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Interaction</w:t>
            </w: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proofErr w:type="spellStart"/>
            <w:r w:rsidRPr="00C267A9">
              <w:rPr>
                <w:rFonts w:ascii="Times New Roman" w:hAnsi="Times New Roman" w:cs="Times New Roman"/>
                <w:sz w:val="18"/>
                <w:szCs w:val="18"/>
              </w:rPr>
              <w:t>Spillover</w:t>
            </w:r>
            <w:proofErr w:type="spellEnd"/>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Crossover</w:t>
            </w:r>
          </w:p>
        </w:tc>
      </w:tr>
      <w:tr w:rsidR="00F8422A" w:rsidRPr="00C267A9" w:rsidTr="00040F36">
        <w:trPr>
          <w:gridAfter w:val="1"/>
          <w:wAfter w:w="7" w:type="dxa"/>
          <w:trHeight w:val="806"/>
        </w:trPr>
        <w:tc>
          <w:tcPr>
            <w:tcW w:w="1574" w:type="dxa"/>
            <w:tcBorders>
              <w:top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Naumann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(2017)</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Qualitative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Customer engagement</w:t>
            </w:r>
          </w:p>
          <w:p w:rsidR="00F8422A" w:rsidRPr="00C267A9" w:rsidRDefault="00F8422A" w:rsidP="00040F36">
            <w:pPr>
              <w:spacing w:after="0" w:line="240" w:lineRule="auto"/>
              <w:rPr>
                <w:rFonts w:ascii="Times New Roman" w:hAnsi="Times New Roman" w:cs="Times New Roman"/>
                <w:b/>
                <w:sz w:val="18"/>
                <w:szCs w:val="18"/>
              </w:rPr>
            </w:pPr>
          </w:p>
        </w:tc>
        <w:tc>
          <w:tcPr>
            <w:tcW w:w="1860" w:type="dxa"/>
            <w:tcBorders>
              <w:top w:val="single" w:sz="4" w:space="0" w:color="auto"/>
            </w:tcBorders>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The proposed customer engagement model includes positive, negative, and destructive types, as well as interconnected valences.</w:t>
            </w:r>
          </w:p>
          <w:p w:rsidR="00F8422A" w:rsidRPr="00C267A9" w:rsidRDefault="00F8422A" w:rsidP="00040F36">
            <w:pPr>
              <w:pStyle w:val="BalloonText"/>
              <w:rPr>
                <w:rFonts w:ascii="Times New Roman" w:hAnsi="Times New Roman" w:cs="Times New Roman"/>
              </w:rPr>
            </w:pP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573"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30"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1077"/>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Dolan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(2016)</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Conceptual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Social media engagement</w:t>
            </w: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The proposed model to encourage positive social media engagement differentiates engagement forms depending on valence and how passive or active the engagement behaviour is. Different engagement behaviours also depend on the content (informational, entertaining, remunerative, relational).</w:t>
            </w:r>
          </w:p>
          <w:p w:rsidR="00F8422A" w:rsidRPr="00C267A9" w:rsidRDefault="00F8422A" w:rsidP="00040F36">
            <w:pPr>
              <w:pStyle w:val="BalloonText"/>
              <w:rPr>
                <w:rFonts w:ascii="Times New Roman" w:hAnsi="Times New Roman" w:cs="Times New Roman"/>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599"/>
        </w:trPr>
        <w:tc>
          <w:tcPr>
            <w:tcW w:w="1574" w:type="dxa"/>
          </w:tcPr>
          <w:p w:rsidR="00F8422A" w:rsidRPr="00C267A9" w:rsidRDefault="00F8422A" w:rsidP="00040F36">
            <w:pPr>
              <w:spacing w:after="0" w:line="240" w:lineRule="auto"/>
              <w:rPr>
                <w:rFonts w:ascii="Times New Roman" w:hAnsi="Times New Roman" w:cs="Times New Roman"/>
                <w:b/>
                <w:sz w:val="18"/>
                <w:szCs w:val="18"/>
              </w:rPr>
            </w:pPr>
            <w:proofErr w:type="spellStart"/>
            <w:r w:rsidRPr="00C267A9">
              <w:rPr>
                <w:rFonts w:ascii="Times New Roman" w:hAnsi="Times New Roman" w:cs="Times New Roman"/>
                <w:b/>
                <w:sz w:val="18"/>
                <w:szCs w:val="18"/>
              </w:rPr>
              <w:t>Nilforooshan</w:t>
            </w:r>
            <w:proofErr w:type="spellEnd"/>
            <w:r w:rsidRPr="00C267A9">
              <w:rPr>
                <w:rFonts w:ascii="Times New Roman" w:hAnsi="Times New Roman" w:cs="Times New Roman"/>
                <w:b/>
                <w:sz w:val="18"/>
                <w:szCs w:val="18"/>
              </w:rPr>
              <w:t xml:space="preserve"> and </w:t>
            </w:r>
            <w:proofErr w:type="spellStart"/>
            <w:r w:rsidRPr="00C267A9">
              <w:rPr>
                <w:rFonts w:ascii="Times New Roman" w:hAnsi="Times New Roman" w:cs="Times New Roman"/>
                <w:b/>
                <w:sz w:val="18"/>
                <w:szCs w:val="18"/>
              </w:rPr>
              <w:t>Salimi</w:t>
            </w:r>
            <w:proofErr w:type="spellEnd"/>
            <w:r w:rsidRPr="00C267A9">
              <w:rPr>
                <w:rFonts w:ascii="Times New Roman" w:hAnsi="Times New Roman" w:cs="Times New Roman"/>
                <w:b/>
                <w:sz w:val="18"/>
                <w:szCs w:val="18"/>
              </w:rPr>
              <w:t xml:space="preserve"> (2016)</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Quantitative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Career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spacing w:after="0" w:line="240" w:lineRule="auto"/>
              <w:rPr>
                <w:rFonts w:ascii="Times New Roman" w:hAnsi="Times New Roman" w:cs="Times New Roman"/>
                <w:sz w:val="18"/>
                <w:szCs w:val="18"/>
                <w:lang w:eastAsia="de-DE"/>
              </w:rPr>
            </w:pPr>
            <w:r w:rsidRPr="00C267A9">
              <w:rPr>
                <w:rFonts w:ascii="Times New Roman" w:hAnsi="Times New Roman" w:cs="Times New Roman"/>
                <w:sz w:val="18"/>
                <w:szCs w:val="18"/>
              </w:rPr>
              <w:t>Personality and resources, such as career adaptability, influence career engagement.</w:t>
            </w: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559"/>
        </w:trPr>
        <w:tc>
          <w:tcPr>
            <w:tcW w:w="1574" w:type="dxa"/>
          </w:tcPr>
          <w:p w:rsidR="00F8422A" w:rsidRPr="00C267A9" w:rsidRDefault="00F8422A" w:rsidP="00040F36">
            <w:pPr>
              <w:spacing w:after="0" w:line="240" w:lineRule="auto"/>
              <w:rPr>
                <w:rFonts w:ascii="Times New Roman" w:hAnsi="Times New Roman" w:cs="Times New Roman"/>
                <w:b/>
                <w:sz w:val="18"/>
                <w:szCs w:val="18"/>
              </w:rPr>
            </w:pPr>
            <w:proofErr w:type="spellStart"/>
            <w:r w:rsidRPr="00C267A9">
              <w:rPr>
                <w:rFonts w:ascii="Times New Roman" w:hAnsi="Times New Roman" w:cs="Times New Roman"/>
                <w:b/>
                <w:sz w:val="18"/>
                <w:szCs w:val="18"/>
              </w:rPr>
              <w:t>Storbacka</w:t>
            </w:r>
            <w:proofErr w:type="spellEnd"/>
            <w:r w:rsidRPr="00C267A9">
              <w:rPr>
                <w:rFonts w:ascii="Times New Roman" w:hAnsi="Times New Roman" w:cs="Times New Roman"/>
                <w:b/>
                <w:sz w:val="18"/>
                <w:szCs w:val="18"/>
              </w:rPr>
              <w:t xml:space="preserve">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(2016)</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Conceptual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Actor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Various possible dispositions for engagement can lead to engagement activity.</w:t>
            </w:r>
          </w:p>
          <w:p w:rsidR="00F8422A" w:rsidRPr="00C267A9" w:rsidRDefault="00F8422A" w:rsidP="00040F36">
            <w:pPr>
              <w:pStyle w:val="BalloonText"/>
              <w:rPr>
                <w:rFonts w:ascii="Times New Roman" w:hAnsi="Times New Roman" w:cs="Times New Roman"/>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913"/>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Van den </w:t>
            </w:r>
            <w:proofErr w:type="spellStart"/>
            <w:r w:rsidRPr="00C267A9">
              <w:rPr>
                <w:rFonts w:ascii="Times New Roman" w:hAnsi="Times New Roman" w:cs="Times New Roman"/>
                <w:b/>
                <w:sz w:val="18"/>
                <w:szCs w:val="18"/>
              </w:rPr>
              <w:t>Berghe</w:t>
            </w:r>
            <w:proofErr w:type="spellEnd"/>
            <w:r w:rsidRPr="00C267A9">
              <w:rPr>
                <w:rFonts w:ascii="Times New Roman" w:hAnsi="Times New Roman" w:cs="Times New Roman"/>
                <w:b/>
                <w:sz w:val="18"/>
                <w:szCs w:val="18"/>
              </w:rPr>
              <w:t xml:space="preserve"> (2016)</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Quantitative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Student engagement</w:t>
            </w: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Student engagement correlates positively with need support and negatively with need-thwarting; disengagement shows the opposite pattern over the first 15 minutes of the lesson.</w:t>
            </w:r>
          </w:p>
          <w:p w:rsidR="00F8422A" w:rsidRPr="00C267A9" w:rsidRDefault="00F8422A" w:rsidP="00040F36">
            <w:pPr>
              <w:pStyle w:val="BalloonText"/>
              <w:rPr>
                <w:rFonts w:ascii="Times New Roman" w:hAnsi="Times New Roman" w:cs="Times New Roman"/>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92A5A" w:rsidTr="00040F36">
        <w:trPr>
          <w:trHeight w:val="502"/>
        </w:trPr>
        <w:tc>
          <w:tcPr>
            <w:tcW w:w="8883" w:type="dxa"/>
            <w:gridSpan w:val="15"/>
            <w:tcBorders>
              <w:top w:val="single" w:sz="4" w:space="0" w:color="auto"/>
            </w:tcBorders>
          </w:tcPr>
          <w:p w:rsidR="00F8422A" w:rsidRPr="00C267A9" w:rsidRDefault="00F8422A" w:rsidP="00040F36">
            <w:pPr>
              <w:spacing w:before="240" w:after="0" w:line="240" w:lineRule="auto"/>
              <w:jc w:val="right"/>
              <w:rPr>
                <w:rFonts w:ascii="Times New Roman" w:eastAsia="Times New Roman" w:hAnsi="Times New Roman" w:cs="Times New Roman"/>
                <w:i/>
                <w:sz w:val="18"/>
                <w:szCs w:val="18"/>
                <w:lang w:eastAsia="de-DE"/>
              </w:rPr>
            </w:pPr>
            <w:r w:rsidRPr="00C267A9">
              <w:rPr>
                <w:rFonts w:ascii="Times New Roman" w:eastAsia="Times New Roman" w:hAnsi="Times New Roman" w:cs="Times New Roman"/>
                <w:i/>
                <w:sz w:val="18"/>
                <w:szCs w:val="18"/>
                <w:lang w:eastAsia="de-DE"/>
              </w:rPr>
              <w:t xml:space="preserve"> (continued)</w:t>
            </w:r>
          </w:p>
        </w:tc>
      </w:tr>
      <w:bookmarkEnd w:id="2"/>
    </w:tbl>
    <w:p w:rsidR="00F8422A" w:rsidRPr="00C92A5A" w:rsidRDefault="00F8422A" w:rsidP="00F8422A">
      <w:pPr>
        <w:rPr>
          <w:rFonts w:ascii="Times New Roman" w:hAnsi="Times New Roman" w:cs="Times New Roman"/>
          <w:b/>
          <w:sz w:val="24"/>
          <w:szCs w:val="24"/>
        </w:rPr>
      </w:pPr>
    </w:p>
    <w:p w:rsidR="00F8422A" w:rsidRDefault="00F8422A" w:rsidP="00F8422A">
      <w:pPr>
        <w:rPr>
          <w:rFonts w:ascii="Times New Roman" w:hAnsi="Times New Roman" w:cs="Times New Roman"/>
          <w:b/>
          <w:sz w:val="24"/>
          <w:szCs w:val="24"/>
        </w:rPr>
      </w:pPr>
    </w:p>
    <w:p w:rsidR="00F8422A" w:rsidRPr="00C92A5A" w:rsidRDefault="00F8422A" w:rsidP="00F8422A">
      <w:pPr>
        <w:rPr>
          <w:rFonts w:ascii="Times New Roman" w:hAnsi="Times New Roman" w:cs="Times New Roman"/>
          <w:b/>
          <w:sz w:val="24"/>
          <w:szCs w:val="24"/>
        </w:rPr>
      </w:pPr>
    </w:p>
    <w:tbl>
      <w:tblPr>
        <w:tblW w:w="8883" w:type="dxa"/>
        <w:tblInd w:w="-5" w:type="dxa"/>
        <w:tblLayout w:type="fixed"/>
        <w:tblLook w:val="04A0" w:firstRow="1" w:lastRow="0" w:firstColumn="1" w:lastColumn="0" w:noHBand="0" w:noVBand="1"/>
      </w:tblPr>
      <w:tblGrid>
        <w:gridCol w:w="1574"/>
        <w:gridCol w:w="1860"/>
        <w:gridCol w:w="430"/>
        <w:gridCol w:w="573"/>
        <w:gridCol w:w="429"/>
        <w:gridCol w:w="429"/>
        <w:gridCol w:w="431"/>
        <w:gridCol w:w="430"/>
        <w:gridCol w:w="573"/>
        <w:gridCol w:w="429"/>
        <w:gridCol w:w="430"/>
        <w:gridCol w:w="429"/>
        <w:gridCol w:w="430"/>
        <w:gridCol w:w="429"/>
        <w:gridCol w:w="7"/>
      </w:tblGrid>
      <w:tr w:rsidR="00F8422A" w:rsidRPr="00C92A5A" w:rsidTr="00040F36">
        <w:trPr>
          <w:trHeight w:val="304"/>
        </w:trPr>
        <w:tc>
          <w:tcPr>
            <w:tcW w:w="8883" w:type="dxa"/>
            <w:gridSpan w:val="15"/>
          </w:tcPr>
          <w:p w:rsidR="00F8422A" w:rsidRDefault="00F8422A" w:rsidP="00040F36">
            <w:pPr>
              <w:rPr>
                <w:rFonts w:ascii="Times New Roman" w:hAnsi="Times New Roman" w:cs="Times New Roman"/>
                <w:b/>
                <w:bCs/>
                <w:sz w:val="24"/>
                <w:szCs w:val="24"/>
              </w:rPr>
            </w:pPr>
          </w:p>
          <w:p w:rsidR="00F8422A" w:rsidRPr="00C92A5A" w:rsidRDefault="00F8422A" w:rsidP="00040F36">
            <w:pPr>
              <w:rPr>
                <w:rFonts w:ascii="Times New Roman" w:hAnsi="Times New Roman" w:cs="Times New Roman"/>
                <w:b/>
                <w:bCs/>
                <w:sz w:val="24"/>
                <w:szCs w:val="24"/>
              </w:rPr>
            </w:pPr>
            <w:r w:rsidRPr="00C92A5A">
              <w:rPr>
                <w:rFonts w:ascii="Times New Roman" w:hAnsi="Times New Roman" w:cs="Times New Roman"/>
                <w:b/>
                <w:bCs/>
                <w:sz w:val="24"/>
                <w:szCs w:val="24"/>
              </w:rPr>
              <w:lastRenderedPageBreak/>
              <w:t>Appendix</w:t>
            </w:r>
            <w:r w:rsidRPr="00923F0B">
              <w:rPr>
                <w:rFonts w:ascii="Times New Roman" w:hAnsi="Times New Roman" w:cs="Times New Roman"/>
                <w:b/>
                <w:sz w:val="24"/>
                <w:szCs w:val="24"/>
              </w:rPr>
              <w:t xml:space="preserve"> – B.</w:t>
            </w:r>
            <w:r w:rsidRPr="00C92A5A">
              <w:rPr>
                <w:rFonts w:ascii="Times New Roman" w:hAnsi="Times New Roman" w:cs="Times New Roman"/>
                <w:b/>
                <w:bCs/>
                <w:sz w:val="24"/>
                <w:szCs w:val="24"/>
              </w:rPr>
              <w:t xml:space="preserve"> </w:t>
            </w:r>
            <w:r w:rsidRPr="00C92A5A">
              <w:rPr>
                <w:rFonts w:ascii="Times New Roman" w:hAnsi="Times New Roman" w:cs="Times New Roman"/>
                <w:bCs/>
                <w:sz w:val="24"/>
                <w:szCs w:val="24"/>
              </w:rPr>
              <w:t>(continued)</w:t>
            </w:r>
          </w:p>
        </w:tc>
      </w:tr>
      <w:tr w:rsidR="00F8422A" w:rsidRPr="00C267A9" w:rsidTr="00040F36">
        <w:trPr>
          <w:trHeight w:val="136"/>
        </w:trPr>
        <w:tc>
          <w:tcPr>
            <w:tcW w:w="1574" w:type="dxa"/>
            <w:vMerge w:val="restart"/>
            <w:tcBorders>
              <w:top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lastRenderedPageBreak/>
              <w:t>Article</w:t>
            </w: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Approach</w:t>
            </w: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Main Focus</w:t>
            </w:r>
          </w:p>
        </w:tc>
        <w:tc>
          <w:tcPr>
            <w:tcW w:w="1860" w:type="dxa"/>
            <w:vMerge w:val="restart"/>
            <w:tcBorders>
              <w:top w:val="single" w:sz="4" w:space="0" w:color="auto"/>
            </w:tcBorders>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b/>
              </w:rPr>
              <w:t>Critical Contributions</w:t>
            </w:r>
          </w:p>
        </w:tc>
        <w:tc>
          <w:tcPr>
            <w:tcW w:w="2292" w:type="dxa"/>
            <w:gridSpan w:val="5"/>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b/>
                <w:sz w:val="18"/>
                <w:szCs w:val="18"/>
              </w:rPr>
              <w:t>Dynamic Elements</w:t>
            </w:r>
          </w:p>
        </w:tc>
        <w:tc>
          <w:tcPr>
            <w:tcW w:w="1862" w:type="dxa"/>
            <w:gridSpan w:val="4"/>
            <w:tcBorders>
              <w:top w:val="single" w:sz="4" w:space="0" w:color="auto"/>
            </w:tcBorders>
            <w:shd w:val="clear" w:color="auto" w:fill="auto"/>
          </w:tcPr>
          <w:p w:rsidR="00F8422A" w:rsidRPr="00C267A9" w:rsidRDefault="00F8422A" w:rsidP="00040F36">
            <w:pPr>
              <w:spacing w:after="0" w:line="240" w:lineRule="auto"/>
              <w:jc w:val="both"/>
              <w:rPr>
                <w:rFonts w:ascii="Times New Roman" w:hAnsi="Times New Roman" w:cs="Times New Roman"/>
                <w:sz w:val="18"/>
                <w:szCs w:val="18"/>
              </w:rPr>
            </w:pPr>
            <w:r w:rsidRPr="00C267A9">
              <w:rPr>
                <w:rFonts w:ascii="Times New Roman" w:hAnsi="Times New Roman" w:cs="Times New Roman"/>
                <w:b/>
                <w:sz w:val="18"/>
                <w:szCs w:val="18"/>
              </w:rPr>
              <w:t>Triggers</w:t>
            </w:r>
          </w:p>
        </w:tc>
        <w:tc>
          <w:tcPr>
            <w:tcW w:w="1295" w:type="dxa"/>
            <w:gridSpan w:val="4"/>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b/>
                <w:sz w:val="18"/>
                <w:szCs w:val="18"/>
              </w:rPr>
              <w:t>Mechanisms</w:t>
            </w:r>
          </w:p>
        </w:tc>
      </w:tr>
      <w:tr w:rsidR="00F8422A" w:rsidRPr="00C267A9" w:rsidTr="00040F36">
        <w:trPr>
          <w:gridAfter w:val="1"/>
          <w:wAfter w:w="7" w:type="dxa"/>
          <w:cantSplit/>
          <w:trHeight w:val="1150"/>
        </w:trPr>
        <w:tc>
          <w:tcPr>
            <w:tcW w:w="1574" w:type="dxa"/>
            <w:vMerge/>
            <w:tcBorders>
              <w:bottom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p>
        </w:tc>
        <w:tc>
          <w:tcPr>
            <w:tcW w:w="1860" w:type="dxa"/>
            <w:vMerge/>
            <w:tcBorders>
              <w:bottom w:val="single" w:sz="4" w:space="0" w:color="auto"/>
            </w:tcBorders>
          </w:tcPr>
          <w:p w:rsidR="00F8422A" w:rsidRPr="00C267A9" w:rsidRDefault="00F8422A" w:rsidP="00040F36">
            <w:pPr>
              <w:pStyle w:val="BalloonText"/>
              <w:rPr>
                <w:rFonts w:ascii="Times New Roman" w:hAnsi="Times New Roman" w:cs="Times New Roman"/>
              </w:rPr>
            </w:pP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Disposition</w:t>
            </w:r>
          </w:p>
        </w:tc>
        <w:tc>
          <w:tcPr>
            <w:tcW w:w="573"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Activity of engaging</w:t>
            </w:r>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Valence</w:t>
            </w:r>
          </w:p>
        </w:tc>
        <w:tc>
          <w:tcPr>
            <w:tcW w:w="429"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Intensity</w:t>
            </w:r>
          </w:p>
        </w:tc>
        <w:tc>
          <w:tcPr>
            <w:tcW w:w="431"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Dimensions</w:t>
            </w:r>
          </w:p>
        </w:tc>
        <w:tc>
          <w:tcPr>
            <w:tcW w:w="430"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Focal object</w:t>
            </w:r>
          </w:p>
        </w:tc>
        <w:tc>
          <w:tcPr>
            <w:tcW w:w="573"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Other</w:t>
            </w:r>
          </w:p>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objects</w:t>
            </w:r>
          </w:p>
        </w:tc>
        <w:tc>
          <w:tcPr>
            <w:tcW w:w="429"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Other actors</w:t>
            </w: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Context</w:t>
            </w:r>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Interaction</w:t>
            </w: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proofErr w:type="spellStart"/>
            <w:r w:rsidRPr="00C267A9">
              <w:rPr>
                <w:rFonts w:ascii="Times New Roman" w:hAnsi="Times New Roman" w:cs="Times New Roman"/>
                <w:sz w:val="18"/>
                <w:szCs w:val="18"/>
              </w:rPr>
              <w:t>Spillover</w:t>
            </w:r>
            <w:proofErr w:type="spellEnd"/>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Crossover</w:t>
            </w:r>
          </w:p>
        </w:tc>
      </w:tr>
      <w:tr w:rsidR="00F8422A" w:rsidRPr="00C267A9" w:rsidTr="00040F36">
        <w:trPr>
          <w:gridAfter w:val="1"/>
          <w:wAfter w:w="7" w:type="dxa"/>
          <w:trHeight w:val="806"/>
        </w:trPr>
        <w:tc>
          <w:tcPr>
            <w:tcW w:w="1574" w:type="dxa"/>
            <w:tcBorders>
              <w:top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Bakker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(2014)</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Literature review</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Employee engagement </w:t>
            </w:r>
          </w:p>
          <w:p w:rsidR="00F8422A" w:rsidRPr="00C267A9" w:rsidRDefault="00F8422A" w:rsidP="00040F36">
            <w:pPr>
              <w:spacing w:after="0" w:line="240" w:lineRule="auto"/>
              <w:rPr>
                <w:rFonts w:ascii="Times New Roman" w:hAnsi="Times New Roman" w:cs="Times New Roman"/>
                <w:b/>
                <w:sz w:val="18"/>
                <w:szCs w:val="18"/>
              </w:rPr>
            </w:pPr>
          </w:p>
        </w:tc>
        <w:tc>
          <w:tcPr>
            <w:tcW w:w="1860" w:type="dxa"/>
            <w:tcBorders>
              <w:top w:val="single" w:sz="4" w:space="0" w:color="auto"/>
            </w:tcBorders>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Based on the theory, situational and personal resources influence employee engagement.</w:t>
            </w: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30"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1077"/>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Costa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(2014)</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Quantitative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Teamwork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Team- and individual-level work engagement are related constructs.</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r>
      <w:tr w:rsidR="00F8422A" w:rsidRPr="00C267A9" w:rsidTr="00040F36">
        <w:trPr>
          <w:gridAfter w:val="1"/>
          <w:wAfter w:w="7" w:type="dxa"/>
          <w:trHeight w:val="599"/>
        </w:trPr>
        <w:tc>
          <w:tcPr>
            <w:tcW w:w="1574" w:type="dxa"/>
          </w:tcPr>
          <w:p w:rsidR="00F8422A" w:rsidRPr="00C267A9" w:rsidRDefault="00F8422A" w:rsidP="00040F36">
            <w:pPr>
              <w:spacing w:after="0" w:line="240" w:lineRule="auto"/>
              <w:rPr>
                <w:rFonts w:ascii="Times New Roman" w:hAnsi="Times New Roman" w:cs="Times New Roman"/>
                <w:b/>
                <w:sz w:val="18"/>
                <w:szCs w:val="18"/>
              </w:rPr>
            </w:pPr>
            <w:proofErr w:type="spellStart"/>
            <w:r w:rsidRPr="00C267A9">
              <w:rPr>
                <w:rFonts w:ascii="Times New Roman" w:hAnsi="Times New Roman" w:cs="Times New Roman"/>
                <w:b/>
                <w:sz w:val="18"/>
                <w:szCs w:val="18"/>
              </w:rPr>
              <w:t>Hollebeek</w:t>
            </w:r>
            <w:proofErr w:type="spellEnd"/>
            <w:r w:rsidRPr="00C267A9">
              <w:rPr>
                <w:rFonts w:ascii="Times New Roman" w:hAnsi="Times New Roman" w:cs="Times New Roman"/>
                <w:b/>
                <w:sz w:val="18"/>
                <w:szCs w:val="18"/>
              </w:rPr>
              <w:t xml:space="preserve"> and Chen (2014)</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Conceptual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Brand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Positive brand engagement involves favourable thoughts, emotions, and behaviours; negative brand engagement involves unfavourable ones.</w:t>
            </w:r>
          </w:p>
          <w:p w:rsidR="00F8422A" w:rsidRPr="00C267A9" w:rsidRDefault="00F8422A" w:rsidP="00040F36">
            <w:pPr>
              <w:spacing w:after="0" w:line="240" w:lineRule="auto"/>
              <w:rPr>
                <w:rFonts w:ascii="Times New Roman" w:hAnsi="Times New Roman" w:cs="Times New Roman"/>
                <w:sz w:val="18"/>
                <w:szCs w:val="18"/>
                <w:lang w:eastAsia="de-DE"/>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559"/>
        </w:trPr>
        <w:tc>
          <w:tcPr>
            <w:tcW w:w="1574" w:type="dxa"/>
          </w:tcPr>
          <w:p w:rsidR="00F8422A" w:rsidRPr="00C267A9" w:rsidRDefault="00F8422A" w:rsidP="00040F36">
            <w:pPr>
              <w:spacing w:after="0" w:line="240" w:lineRule="auto"/>
              <w:rPr>
                <w:rFonts w:ascii="Times New Roman" w:hAnsi="Times New Roman" w:cs="Times New Roman"/>
                <w:b/>
                <w:sz w:val="18"/>
                <w:szCs w:val="18"/>
              </w:rPr>
            </w:pPr>
            <w:proofErr w:type="spellStart"/>
            <w:r w:rsidRPr="00C267A9">
              <w:rPr>
                <w:rFonts w:ascii="Times New Roman" w:hAnsi="Times New Roman" w:cs="Times New Roman"/>
                <w:b/>
                <w:sz w:val="18"/>
                <w:szCs w:val="18"/>
              </w:rPr>
              <w:t>Jaakkola</w:t>
            </w:r>
            <w:proofErr w:type="spellEnd"/>
            <w:r w:rsidRPr="00C267A9">
              <w:rPr>
                <w:rFonts w:ascii="Times New Roman" w:hAnsi="Times New Roman" w:cs="Times New Roman"/>
                <w:b/>
                <w:sz w:val="18"/>
                <w:szCs w:val="18"/>
              </w:rPr>
              <w:t xml:space="preserve"> and Alexander (2014)</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Qualitative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Customer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Drivers for customer engagement behaviour (CEB) differ across four types of CEB: augmenting, codeveloping, influencing, and mobilizing behaviours</w:t>
            </w:r>
          </w:p>
          <w:p w:rsidR="00F8422A" w:rsidRPr="00C267A9" w:rsidRDefault="00F8422A" w:rsidP="00040F36">
            <w:pPr>
              <w:pStyle w:val="BalloonText"/>
              <w:rPr>
                <w:rFonts w:ascii="Times New Roman" w:hAnsi="Times New Roman" w:cs="Times New Roman"/>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913"/>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Turner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(2014)</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Qualitative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Student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The engagement of the teacher influences the engagement of the students.</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r>
      <w:tr w:rsidR="00F8422A" w:rsidRPr="00C267A9" w:rsidTr="00040F36">
        <w:trPr>
          <w:gridAfter w:val="1"/>
          <w:wAfter w:w="7" w:type="dxa"/>
          <w:trHeight w:val="1308"/>
        </w:trPr>
        <w:tc>
          <w:tcPr>
            <w:tcW w:w="1574" w:type="dxa"/>
          </w:tcPr>
          <w:p w:rsidR="00F8422A" w:rsidRPr="00C267A9" w:rsidRDefault="00F8422A" w:rsidP="00040F36">
            <w:pPr>
              <w:spacing w:after="0" w:line="240" w:lineRule="auto"/>
              <w:rPr>
                <w:rFonts w:ascii="Times New Roman" w:hAnsi="Times New Roman" w:cs="Times New Roman"/>
                <w:b/>
                <w:sz w:val="18"/>
                <w:szCs w:val="18"/>
              </w:rPr>
            </w:pPr>
            <w:proofErr w:type="spellStart"/>
            <w:r w:rsidRPr="00C267A9">
              <w:rPr>
                <w:rFonts w:ascii="Times New Roman" w:hAnsi="Times New Roman" w:cs="Times New Roman"/>
                <w:b/>
                <w:sz w:val="18"/>
                <w:szCs w:val="18"/>
              </w:rPr>
              <w:t>Pietarinen</w:t>
            </w:r>
            <w:proofErr w:type="spellEnd"/>
            <w:r w:rsidRPr="00C267A9">
              <w:rPr>
                <w:rFonts w:ascii="Times New Roman" w:hAnsi="Times New Roman" w:cs="Times New Roman"/>
                <w:b/>
                <w:sz w:val="18"/>
                <w:szCs w:val="18"/>
              </w:rPr>
              <w:t xml:space="preserve">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(2014)</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Quantitative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Student engagement</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Students’ cognitive engagement depends on the dynamic interplay between students and the school environment.</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1308"/>
        </w:trPr>
        <w:tc>
          <w:tcPr>
            <w:tcW w:w="1574" w:type="dxa"/>
          </w:tcPr>
          <w:p w:rsidR="00F8422A" w:rsidRPr="00C267A9" w:rsidRDefault="00F8422A" w:rsidP="00040F36">
            <w:pPr>
              <w:spacing w:after="0" w:line="240" w:lineRule="auto"/>
              <w:rPr>
                <w:rFonts w:ascii="Times New Roman" w:hAnsi="Times New Roman" w:cs="Times New Roman"/>
                <w:b/>
                <w:sz w:val="18"/>
                <w:szCs w:val="18"/>
              </w:rPr>
            </w:pPr>
          </w:p>
          <w:p w:rsidR="00F8422A" w:rsidRPr="00C267A9" w:rsidRDefault="00F8422A" w:rsidP="00040F36">
            <w:pPr>
              <w:spacing w:after="0" w:line="240" w:lineRule="auto"/>
              <w:rPr>
                <w:rFonts w:ascii="Times New Roman" w:hAnsi="Times New Roman" w:cs="Times New Roman"/>
                <w:b/>
                <w:sz w:val="18"/>
                <w:szCs w:val="18"/>
              </w:rPr>
            </w:pPr>
            <w:proofErr w:type="spellStart"/>
            <w:r w:rsidRPr="00C267A9">
              <w:rPr>
                <w:rFonts w:ascii="Times New Roman" w:hAnsi="Times New Roman" w:cs="Times New Roman"/>
                <w:b/>
                <w:sz w:val="18"/>
                <w:szCs w:val="18"/>
              </w:rPr>
              <w:t>Metiu</w:t>
            </w:r>
            <w:proofErr w:type="spellEnd"/>
            <w:r w:rsidRPr="00C267A9">
              <w:rPr>
                <w:rFonts w:ascii="Times New Roman" w:hAnsi="Times New Roman" w:cs="Times New Roman"/>
                <w:b/>
                <w:sz w:val="18"/>
                <w:szCs w:val="18"/>
              </w:rPr>
              <w:t xml:space="preserve"> and </w:t>
            </w:r>
            <w:proofErr w:type="spellStart"/>
            <w:r w:rsidRPr="00C267A9">
              <w:rPr>
                <w:rFonts w:ascii="Times New Roman" w:hAnsi="Times New Roman" w:cs="Times New Roman"/>
                <w:b/>
                <w:sz w:val="18"/>
                <w:szCs w:val="18"/>
              </w:rPr>
              <w:t>Rothbard</w:t>
            </w:r>
            <w:proofErr w:type="spellEnd"/>
            <w:r w:rsidRPr="00C267A9">
              <w:rPr>
                <w:rFonts w:ascii="Times New Roman" w:hAnsi="Times New Roman" w:cs="Times New Roman"/>
                <w:b/>
                <w:sz w:val="18"/>
                <w:szCs w:val="18"/>
              </w:rPr>
              <w:t xml:space="preserve"> (2013)</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Qualitative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Group engagement </w:t>
            </w:r>
          </w:p>
          <w:p w:rsidR="00F8422A" w:rsidRPr="00C267A9" w:rsidRDefault="00F8422A" w:rsidP="00040F36">
            <w:pPr>
              <w:spacing w:after="0" w:line="240" w:lineRule="auto"/>
              <w:rPr>
                <w:rFonts w:ascii="Times New Roman" w:hAnsi="Times New Roman" w:cs="Times New Roman"/>
                <w:b/>
                <w:sz w:val="18"/>
                <w:szCs w:val="18"/>
              </w:rPr>
            </w:pPr>
          </w:p>
        </w:tc>
        <w:tc>
          <w:tcPr>
            <w:tcW w:w="1860" w:type="dxa"/>
          </w:tcPr>
          <w:p w:rsidR="00F8422A" w:rsidRPr="00C267A9" w:rsidRDefault="00F8422A" w:rsidP="00040F36">
            <w:pPr>
              <w:pStyle w:val="BalloonText"/>
              <w:rPr>
                <w:rFonts w:ascii="Times New Roman" w:hAnsi="Times New Roman" w:cs="Times New Roman"/>
              </w:rPr>
            </w:pPr>
          </w:p>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Group engagement is influenced by individual engagement, interaction frequency, informality, and the project</w:t>
            </w:r>
            <w:r>
              <w:rPr>
                <w:rFonts w:ascii="Times New Roman" w:hAnsi="Times New Roman" w:cs="Times New Roman"/>
              </w:rPr>
              <w:t>’</w:t>
            </w:r>
            <w:r w:rsidRPr="00C267A9">
              <w:rPr>
                <w:rFonts w:ascii="Times New Roman" w:hAnsi="Times New Roman" w:cs="Times New Roman"/>
              </w:rPr>
              <w:t>s compelling direction.</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r>
      <w:tr w:rsidR="00F8422A" w:rsidRPr="00C267A9" w:rsidTr="00040F36">
        <w:trPr>
          <w:trHeight w:val="502"/>
        </w:trPr>
        <w:tc>
          <w:tcPr>
            <w:tcW w:w="8883" w:type="dxa"/>
            <w:gridSpan w:val="15"/>
            <w:tcBorders>
              <w:top w:val="single" w:sz="4" w:space="0" w:color="auto"/>
            </w:tcBorders>
          </w:tcPr>
          <w:p w:rsidR="00F8422A" w:rsidRPr="00C267A9" w:rsidRDefault="00F8422A" w:rsidP="00040F36">
            <w:pPr>
              <w:spacing w:before="240" w:after="0" w:line="240" w:lineRule="auto"/>
              <w:jc w:val="right"/>
              <w:rPr>
                <w:rFonts w:ascii="Times New Roman" w:eastAsia="Times New Roman" w:hAnsi="Times New Roman" w:cs="Times New Roman"/>
                <w:i/>
                <w:sz w:val="18"/>
                <w:szCs w:val="18"/>
                <w:lang w:eastAsia="de-DE"/>
              </w:rPr>
            </w:pPr>
            <w:r w:rsidRPr="00C267A9">
              <w:rPr>
                <w:rFonts w:ascii="Times New Roman" w:eastAsia="Times New Roman" w:hAnsi="Times New Roman" w:cs="Times New Roman"/>
                <w:i/>
                <w:sz w:val="18"/>
                <w:szCs w:val="18"/>
                <w:lang w:eastAsia="de-DE"/>
              </w:rPr>
              <w:t xml:space="preserve"> (continued)</w:t>
            </w:r>
          </w:p>
        </w:tc>
      </w:tr>
    </w:tbl>
    <w:p w:rsidR="00F8422A" w:rsidRPr="00C92A5A" w:rsidRDefault="00F8422A" w:rsidP="00F8422A">
      <w:pPr>
        <w:jc w:val="center"/>
        <w:rPr>
          <w:rFonts w:ascii="Times New Roman" w:hAnsi="Times New Roman" w:cs="Times New Roman"/>
          <w:b/>
          <w:sz w:val="24"/>
          <w:szCs w:val="24"/>
        </w:rPr>
      </w:pPr>
    </w:p>
    <w:tbl>
      <w:tblPr>
        <w:tblpPr w:leftFromText="141" w:rightFromText="141" w:vertAnchor="page" w:horzAnchor="margin" w:tblpY="1541"/>
        <w:tblW w:w="8883" w:type="dxa"/>
        <w:tblLayout w:type="fixed"/>
        <w:tblLook w:val="04A0" w:firstRow="1" w:lastRow="0" w:firstColumn="1" w:lastColumn="0" w:noHBand="0" w:noVBand="1"/>
      </w:tblPr>
      <w:tblGrid>
        <w:gridCol w:w="1574"/>
        <w:gridCol w:w="1860"/>
        <w:gridCol w:w="430"/>
        <w:gridCol w:w="573"/>
        <w:gridCol w:w="429"/>
        <w:gridCol w:w="429"/>
        <w:gridCol w:w="431"/>
        <w:gridCol w:w="430"/>
        <w:gridCol w:w="573"/>
        <w:gridCol w:w="429"/>
        <w:gridCol w:w="430"/>
        <w:gridCol w:w="429"/>
        <w:gridCol w:w="430"/>
        <w:gridCol w:w="429"/>
        <w:gridCol w:w="7"/>
      </w:tblGrid>
      <w:tr w:rsidR="00F8422A" w:rsidRPr="00C92A5A" w:rsidTr="00040F36">
        <w:trPr>
          <w:trHeight w:val="304"/>
        </w:trPr>
        <w:tc>
          <w:tcPr>
            <w:tcW w:w="8883" w:type="dxa"/>
            <w:gridSpan w:val="15"/>
          </w:tcPr>
          <w:p w:rsidR="00F8422A" w:rsidRPr="00C92A5A" w:rsidRDefault="00F8422A" w:rsidP="00040F36">
            <w:pPr>
              <w:rPr>
                <w:rFonts w:ascii="Times New Roman" w:hAnsi="Times New Roman" w:cs="Times New Roman"/>
                <w:b/>
                <w:bCs/>
                <w:sz w:val="24"/>
                <w:szCs w:val="24"/>
              </w:rPr>
            </w:pPr>
            <w:r w:rsidRPr="00C92A5A">
              <w:rPr>
                <w:rFonts w:ascii="Times New Roman" w:hAnsi="Times New Roman" w:cs="Times New Roman"/>
                <w:b/>
                <w:bCs/>
                <w:sz w:val="24"/>
                <w:szCs w:val="24"/>
              </w:rPr>
              <w:lastRenderedPageBreak/>
              <w:t>Appendix</w:t>
            </w:r>
            <w:r w:rsidRPr="00923F0B">
              <w:rPr>
                <w:rFonts w:ascii="Times New Roman" w:hAnsi="Times New Roman" w:cs="Times New Roman"/>
                <w:b/>
                <w:sz w:val="24"/>
                <w:szCs w:val="24"/>
              </w:rPr>
              <w:t xml:space="preserve"> – B.</w:t>
            </w:r>
            <w:r>
              <w:rPr>
                <w:rFonts w:cs="Times New Roman"/>
                <w:szCs w:val="24"/>
              </w:rPr>
              <w:t xml:space="preserve"> </w:t>
            </w:r>
            <w:r w:rsidRPr="00C92A5A">
              <w:rPr>
                <w:rFonts w:ascii="Times New Roman" w:hAnsi="Times New Roman" w:cs="Times New Roman"/>
                <w:b/>
                <w:bCs/>
                <w:sz w:val="24"/>
                <w:szCs w:val="24"/>
              </w:rPr>
              <w:t xml:space="preserve"> </w:t>
            </w:r>
            <w:r w:rsidRPr="00C92A5A">
              <w:rPr>
                <w:rFonts w:ascii="Times New Roman" w:hAnsi="Times New Roman" w:cs="Times New Roman"/>
                <w:bCs/>
                <w:sz w:val="24"/>
                <w:szCs w:val="24"/>
              </w:rPr>
              <w:t>(continued)</w:t>
            </w:r>
          </w:p>
        </w:tc>
      </w:tr>
      <w:tr w:rsidR="00F8422A" w:rsidRPr="00C267A9" w:rsidTr="00040F36">
        <w:trPr>
          <w:trHeight w:val="136"/>
        </w:trPr>
        <w:tc>
          <w:tcPr>
            <w:tcW w:w="1574" w:type="dxa"/>
            <w:vMerge w:val="restart"/>
            <w:tcBorders>
              <w:top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Article</w:t>
            </w: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Approach</w:t>
            </w: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Main Focus</w:t>
            </w:r>
          </w:p>
        </w:tc>
        <w:tc>
          <w:tcPr>
            <w:tcW w:w="1860" w:type="dxa"/>
            <w:vMerge w:val="restart"/>
            <w:tcBorders>
              <w:top w:val="single" w:sz="4" w:space="0" w:color="auto"/>
            </w:tcBorders>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b/>
              </w:rPr>
              <w:t>Critical Contributions</w:t>
            </w:r>
          </w:p>
        </w:tc>
        <w:tc>
          <w:tcPr>
            <w:tcW w:w="2292" w:type="dxa"/>
            <w:gridSpan w:val="5"/>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b/>
                <w:sz w:val="18"/>
                <w:szCs w:val="18"/>
              </w:rPr>
              <w:t>Dynamic Elements</w:t>
            </w:r>
          </w:p>
        </w:tc>
        <w:tc>
          <w:tcPr>
            <w:tcW w:w="1862" w:type="dxa"/>
            <w:gridSpan w:val="4"/>
            <w:tcBorders>
              <w:top w:val="single" w:sz="4" w:space="0" w:color="auto"/>
            </w:tcBorders>
            <w:shd w:val="clear" w:color="auto" w:fill="auto"/>
          </w:tcPr>
          <w:p w:rsidR="00F8422A" w:rsidRPr="00C267A9" w:rsidRDefault="00F8422A" w:rsidP="00040F36">
            <w:pPr>
              <w:spacing w:after="0" w:line="240" w:lineRule="auto"/>
              <w:jc w:val="both"/>
              <w:rPr>
                <w:rFonts w:ascii="Times New Roman" w:hAnsi="Times New Roman" w:cs="Times New Roman"/>
                <w:sz w:val="18"/>
                <w:szCs w:val="18"/>
              </w:rPr>
            </w:pPr>
            <w:r w:rsidRPr="00C267A9">
              <w:rPr>
                <w:rFonts w:ascii="Times New Roman" w:hAnsi="Times New Roman" w:cs="Times New Roman"/>
                <w:b/>
                <w:sz w:val="18"/>
                <w:szCs w:val="18"/>
              </w:rPr>
              <w:t>Triggers</w:t>
            </w:r>
          </w:p>
        </w:tc>
        <w:tc>
          <w:tcPr>
            <w:tcW w:w="1295" w:type="dxa"/>
            <w:gridSpan w:val="4"/>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b/>
                <w:sz w:val="18"/>
                <w:szCs w:val="18"/>
              </w:rPr>
              <w:t>Mechanisms</w:t>
            </w:r>
          </w:p>
        </w:tc>
      </w:tr>
      <w:tr w:rsidR="00F8422A" w:rsidRPr="00C267A9" w:rsidTr="00040F36">
        <w:trPr>
          <w:gridAfter w:val="1"/>
          <w:wAfter w:w="7" w:type="dxa"/>
          <w:cantSplit/>
          <w:trHeight w:val="1150"/>
        </w:trPr>
        <w:tc>
          <w:tcPr>
            <w:tcW w:w="1574" w:type="dxa"/>
            <w:vMerge/>
            <w:tcBorders>
              <w:bottom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p>
        </w:tc>
        <w:tc>
          <w:tcPr>
            <w:tcW w:w="1860" w:type="dxa"/>
            <w:vMerge/>
            <w:tcBorders>
              <w:bottom w:val="single" w:sz="4" w:space="0" w:color="auto"/>
            </w:tcBorders>
          </w:tcPr>
          <w:p w:rsidR="00F8422A" w:rsidRPr="00C267A9" w:rsidRDefault="00F8422A" w:rsidP="00040F36">
            <w:pPr>
              <w:pStyle w:val="BalloonText"/>
              <w:rPr>
                <w:rFonts w:ascii="Times New Roman" w:hAnsi="Times New Roman" w:cs="Times New Roman"/>
              </w:rPr>
            </w:pP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Disposition</w:t>
            </w:r>
          </w:p>
        </w:tc>
        <w:tc>
          <w:tcPr>
            <w:tcW w:w="573"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Activity of engaging</w:t>
            </w:r>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Valence</w:t>
            </w:r>
          </w:p>
        </w:tc>
        <w:tc>
          <w:tcPr>
            <w:tcW w:w="429"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Intensity</w:t>
            </w:r>
          </w:p>
        </w:tc>
        <w:tc>
          <w:tcPr>
            <w:tcW w:w="431"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Dimensions</w:t>
            </w:r>
          </w:p>
        </w:tc>
        <w:tc>
          <w:tcPr>
            <w:tcW w:w="430"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Focal object</w:t>
            </w:r>
          </w:p>
        </w:tc>
        <w:tc>
          <w:tcPr>
            <w:tcW w:w="573"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Other</w:t>
            </w:r>
          </w:p>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objects</w:t>
            </w:r>
          </w:p>
        </w:tc>
        <w:tc>
          <w:tcPr>
            <w:tcW w:w="429" w:type="dxa"/>
            <w:tcBorders>
              <w:bottom w:val="single" w:sz="4" w:space="0" w:color="auto"/>
            </w:tcBorders>
            <w:shd w:val="clear" w:color="auto" w:fill="auto"/>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Other actors</w:t>
            </w: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Context</w:t>
            </w:r>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Interaction</w:t>
            </w:r>
          </w:p>
        </w:tc>
        <w:tc>
          <w:tcPr>
            <w:tcW w:w="430"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proofErr w:type="spellStart"/>
            <w:r w:rsidRPr="00C267A9">
              <w:rPr>
                <w:rFonts w:ascii="Times New Roman" w:hAnsi="Times New Roman" w:cs="Times New Roman"/>
                <w:sz w:val="18"/>
                <w:szCs w:val="18"/>
              </w:rPr>
              <w:t>Spillover</w:t>
            </w:r>
            <w:proofErr w:type="spellEnd"/>
          </w:p>
        </w:tc>
        <w:tc>
          <w:tcPr>
            <w:tcW w:w="429" w:type="dxa"/>
            <w:tcBorders>
              <w:bottom w:val="single" w:sz="4" w:space="0" w:color="auto"/>
            </w:tcBorders>
            <w:textDirection w:val="btLr"/>
          </w:tcPr>
          <w:p w:rsidR="00F8422A" w:rsidRPr="00C267A9" w:rsidRDefault="00F8422A" w:rsidP="00040F36">
            <w:pPr>
              <w:spacing w:after="0" w:line="240" w:lineRule="auto"/>
              <w:ind w:left="113" w:right="113"/>
              <w:rPr>
                <w:rFonts w:ascii="Times New Roman" w:hAnsi="Times New Roman" w:cs="Times New Roman"/>
                <w:sz w:val="18"/>
                <w:szCs w:val="18"/>
              </w:rPr>
            </w:pPr>
            <w:r w:rsidRPr="00C267A9">
              <w:rPr>
                <w:rFonts w:ascii="Times New Roman" w:hAnsi="Times New Roman" w:cs="Times New Roman"/>
                <w:sz w:val="18"/>
                <w:szCs w:val="18"/>
              </w:rPr>
              <w:t>Crossover</w:t>
            </w:r>
          </w:p>
        </w:tc>
      </w:tr>
      <w:tr w:rsidR="00F8422A" w:rsidRPr="00C267A9" w:rsidTr="00040F36">
        <w:trPr>
          <w:gridAfter w:val="1"/>
          <w:wAfter w:w="7" w:type="dxa"/>
          <w:trHeight w:val="806"/>
        </w:trPr>
        <w:tc>
          <w:tcPr>
            <w:tcW w:w="1574" w:type="dxa"/>
            <w:tcBorders>
              <w:top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Sinha and </w:t>
            </w:r>
            <w:proofErr w:type="spellStart"/>
            <w:r w:rsidRPr="00C267A9">
              <w:rPr>
                <w:rFonts w:ascii="Times New Roman" w:hAnsi="Times New Roman" w:cs="Times New Roman"/>
                <w:b/>
                <w:sz w:val="18"/>
                <w:szCs w:val="18"/>
              </w:rPr>
              <w:t>Rogat</w:t>
            </w:r>
            <w:proofErr w:type="spellEnd"/>
            <w:r w:rsidRPr="00C267A9">
              <w:rPr>
                <w:rFonts w:ascii="Times New Roman" w:hAnsi="Times New Roman" w:cs="Times New Roman"/>
                <w:b/>
                <w:sz w:val="18"/>
                <w:szCs w:val="18"/>
              </w:rPr>
              <w:t xml:space="preserve"> (2013)</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Quantitative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Student engagement </w:t>
            </w:r>
          </w:p>
          <w:p w:rsidR="00F8422A" w:rsidRPr="00C267A9" w:rsidRDefault="00F8422A" w:rsidP="00040F36">
            <w:pPr>
              <w:spacing w:after="0" w:line="240" w:lineRule="auto"/>
              <w:rPr>
                <w:rFonts w:ascii="Times New Roman" w:hAnsi="Times New Roman" w:cs="Times New Roman"/>
                <w:b/>
                <w:sz w:val="18"/>
                <w:szCs w:val="18"/>
              </w:rPr>
            </w:pPr>
          </w:p>
        </w:tc>
        <w:tc>
          <w:tcPr>
            <w:tcW w:w="1860" w:type="dxa"/>
            <w:tcBorders>
              <w:top w:val="single" w:sz="4" w:space="0" w:color="auto"/>
            </w:tcBorders>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Behavioural and social engagement promote high-quality cognitive engagement, facilitating meaningful problem-solving progress.</w:t>
            </w:r>
          </w:p>
          <w:p w:rsidR="00F8422A" w:rsidRPr="00C267A9" w:rsidRDefault="00F8422A" w:rsidP="00040F36">
            <w:pPr>
              <w:pStyle w:val="BalloonText"/>
              <w:rPr>
                <w:rFonts w:ascii="Times New Roman" w:hAnsi="Times New Roman" w:cs="Times New Roman"/>
              </w:rPr>
            </w:pP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573"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30"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top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1077"/>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Torrente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(2013)</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Quantitative</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Work engagement</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Gender similarity positively affects teamwork engagement, but company tenure similarity has an unexpected negative effect.</w:t>
            </w:r>
          </w:p>
          <w:p w:rsidR="00F8422A" w:rsidRPr="00C267A9" w:rsidRDefault="00F8422A" w:rsidP="00040F36">
            <w:pPr>
              <w:pStyle w:val="BalloonText"/>
              <w:rPr>
                <w:rFonts w:ascii="Times New Roman" w:hAnsi="Times New Roman" w:cs="Times New Roman"/>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599"/>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Costa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(2012)</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Conceptual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Teamwork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spacing w:after="0" w:line="240" w:lineRule="auto"/>
              <w:rPr>
                <w:rFonts w:ascii="Times New Roman" w:hAnsi="Times New Roman" w:cs="Times New Roman"/>
                <w:sz w:val="18"/>
                <w:szCs w:val="18"/>
                <w:lang w:eastAsia="de-DE"/>
              </w:rPr>
            </w:pPr>
            <w:r w:rsidRPr="00C267A9">
              <w:rPr>
                <w:rFonts w:ascii="Times New Roman" w:hAnsi="Times New Roman" w:cs="Times New Roman"/>
                <w:sz w:val="18"/>
                <w:szCs w:val="18"/>
              </w:rPr>
              <w:t>Teamwork engagement arises from shared perceptions and emotional interactions among members</w:t>
            </w:r>
            <w:r w:rsidRPr="00C267A9">
              <w:rPr>
                <w:rFonts w:ascii="Times New Roman" w:hAnsi="Times New Roman" w:cs="Times New Roman"/>
                <w:color w:val="0D0D0D"/>
                <w:sz w:val="18"/>
                <w:szCs w:val="18"/>
                <w:shd w:val="clear" w:color="auto" w:fill="FFFFFF"/>
              </w:rPr>
              <w:t>.</w:t>
            </w:r>
          </w:p>
        </w:tc>
        <w:tc>
          <w:tcPr>
            <w:tcW w:w="430"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r>
      <w:tr w:rsidR="00F8422A" w:rsidRPr="00C267A9" w:rsidTr="00040F36">
        <w:trPr>
          <w:gridAfter w:val="1"/>
          <w:wAfter w:w="7" w:type="dxa"/>
          <w:trHeight w:val="559"/>
        </w:trPr>
        <w:tc>
          <w:tcPr>
            <w:tcW w:w="1574" w:type="dxa"/>
          </w:tcPr>
          <w:p w:rsidR="00F8422A" w:rsidRPr="00C267A9" w:rsidRDefault="00F8422A" w:rsidP="00040F36">
            <w:pPr>
              <w:spacing w:after="0" w:line="240" w:lineRule="auto"/>
              <w:rPr>
                <w:rFonts w:ascii="Times New Roman" w:hAnsi="Times New Roman" w:cs="Times New Roman"/>
                <w:b/>
                <w:sz w:val="18"/>
                <w:szCs w:val="18"/>
              </w:rPr>
            </w:pP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Skinner and Pitzer (2012)</w:t>
            </w:r>
          </w:p>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sz w:val="18"/>
                <w:szCs w:val="18"/>
              </w:rPr>
              <w:t>Conceptual</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Student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spacing w:after="0" w:line="240" w:lineRule="auto"/>
              <w:rPr>
                <w:rFonts w:ascii="Times New Roman" w:hAnsi="Times New Roman" w:cs="Times New Roman"/>
                <w:sz w:val="18"/>
                <w:szCs w:val="18"/>
              </w:rPr>
            </w:pP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Student engagement across different contexts might exert mutual influences.</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r>
      <w:tr w:rsidR="00F8422A" w:rsidRPr="00C267A9" w:rsidTr="00040F36">
        <w:trPr>
          <w:gridAfter w:val="1"/>
          <w:wAfter w:w="7" w:type="dxa"/>
          <w:trHeight w:val="913"/>
        </w:trPr>
        <w:tc>
          <w:tcPr>
            <w:tcW w:w="1574" w:type="dxa"/>
          </w:tcPr>
          <w:p w:rsidR="00F8422A" w:rsidRPr="00C267A9" w:rsidRDefault="00F8422A" w:rsidP="00040F36">
            <w:pPr>
              <w:spacing w:after="0" w:line="240" w:lineRule="auto"/>
              <w:rPr>
                <w:rFonts w:ascii="Times New Roman" w:hAnsi="Times New Roman" w:cs="Times New Roman"/>
                <w:b/>
                <w:sz w:val="18"/>
                <w:szCs w:val="18"/>
              </w:rPr>
            </w:pPr>
            <w:r w:rsidRPr="00C267A9">
              <w:rPr>
                <w:rFonts w:ascii="Times New Roman" w:hAnsi="Times New Roman" w:cs="Times New Roman"/>
                <w:b/>
                <w:sz w:val="18"/>
                <w:szCs w:val="18"/>
              </w:rPr>
              <w:t xml:space="preserve">Brodie </w:t>
            </w:r>
            <w:r w:rsidRPr="00C267A9">
              <w:rPr>
                <w:rFonts w:ascii="Times New Roman" w:hAnsi="Times New Roman" w:cs="Times New Roman"/>
                <w:b/>
                <w:i/>
                <w:sz w:val="18"/>
                <w:szCs w:val="18"/>
              </w:rPr>
              <w:t>et al.</w:t>
            </w:r>
            <w:r w:rsidRPr="00C267A9">
              <w:rPr>
                <w:rFonts w:ascii="Times New Roman" w:hAnsi="Times New Roman" w:cs="Times New Roman"/>
                <w:b/>
                <w:sz w:val="18"/>
                <w:szCs w:val="18"/>
              </w:rPr>
              <w:t xml:space="preserve"> (2011)</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Conceptual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Customer engagement </w:t>
            </w:r>
          </w:p>
          <w:p w:rsidR="00F8422A" w:rsidRPr="00C267A9" w:rsidRDefault="00F8422A" w:rsidP="00040F36">
            <w:pPr>
              <w:spacing w:after="0" w:line="240" w:lineRule="auto"/>
              <w:rPr>
                <w:rFonts w:ascii="Times New Roman" w:hAnsi="Times New Roman" w:cs="Times New Roman"/>
                <w:sz w:val="18"/>
                <w:szCs w:val="18"/>
              </w:rPr>
            </w:pPr>
          </w:p>
        </w:tc>
        <w:tc>
          <w:tcPr>
            <w:tcW w:w="1860" w:type="dxa"/>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Customer engagement is a dynamic, iterative process rooted in interactive experiences and value co-creation.</w:t>
            </w:r>
          </w:p>
          <w:p w:rsidR="00F8422A" w:rsidRPr="00C267A9" w:rsidRDefault="00F8422A" w:rsidP="00040F36">
            <w:pPr>
              <w:pStyle w:val="BalloonText"/>
              <w:rPr>
                <w:rFonts w:ascii="Times New Roman" w:hAnsi="Times New Roman" w:cs="Times New Roman"/>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573"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573"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92A5A">
              <w:rPr>
                <w:rFonts w:ascii="Times New Roman" w:hAnsi="Times New Roman" w:cs="Times New Roman"/>
                <w:sz w:val="18"/>
                <w:szCs w:val="18"/>
              </w:rPr>
              <w:t>x</w:t>
            </w: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p>
        </w:tc>
        <w:tc>
          <w:tcPr>
            <w:tcW w:w="430" w:type="dxa"/>
          </w:tcPr>
          <w:p w:rsidR="00F8422A" w:rsidRPr="00C267A9" w:rsidRDefault="00F8422A" w:rsidP="00040F36">
            <w:pPr>
              <w:spacing w:after="0" w:line="240" w:lineRule="auto"/>
              <w:rPr>
                <w:rFonts w:ascii="Times New Roman" w:hAnsi="Times New Roman" w:cs="Times New Roman"/>
                <w:sz w:val="18"/>
                <w:szCs w:val="18"/>
              </w:rPr>
            </w:pPr>
          </w:p>
        </w:tc>
        <w:tc>
          <w:tcPr>
            <w:tcW w:w="429" w:type="dxa"/>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r>
      <w:tr w:rsidR="00F8422A" w:rsidRPr="00C267A9" w:rsidTr="00040F36">
        <w:trPr>
          <w:gridAfter w:val="1"/>
          <w:wAfter w:w="7" w:type="dxa"/>
          <w:trHeight w:val="1308"/>
        </w:trPr>
        <w:tc>
          <w:tcPr>
            <w:tcW w:w="1574" w:type="dxa"/>
            <w:tcBorders>
              <w:bottom w:val="single" w:sz="4" w:space="0" w:color="auto"/>
            </w:tcBorders>
          </w:tcPr>
          <w:p w:rsidR="00F8422A" w:rsidRPr="00C267A9" w:rsidRDefault="00F8422A" w:rsidP="00040F36">
            <w:pPr>
              <w:spacing w:after="0" w:line="240" w:lineRule="auto"/>
              <w:rPr>
                <w:rFonts w:ascii="Times New Roman" w:hAnsi="Times New Roman" w:cs="Times New Roman"/>
                <w:b/>
                <w:sz w:val="18"/>
                <w:szCs w:val="18"/>
              </w:rPr>
            </w:pPr>
            <w:proofErr w:type="spellStart"/>
            <w:r w:rsidRPr="00C267A9">
              <w:rPr>
                <w:rFonts w:ascii="Times New Roman" w:hAnsi="Times New Roman" w:cs="Times New Roman"/>
                <w:b/>
                <w:sz w:val="18"/>
                <w:szCs w:val="18"/>
              </w:rPr>
              <w:t>Hollebeek</w:t>
            </w:r>
            <w:proofErr w:type="spellEnd"/>
            <w:r w:rsidRPr="00C267A9">
              <w:rPr>
                <w:rFonts w:ascii="Times New Roman" w:hAnsi="Times New Roman" w:cs="Times New Roman"/>
                <w:b/>
                <w:sz w:val="18"/>
                <w:szCs w:val="18"/>
              </w:rPr>
              <w:t xml:space="preserve"> (2011)</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 xml:space="preserve">Qualitative </w:t>
            </w:r>
          </w:p>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Customer brand engagement</w:t>
            </w:r>
          </w:p>
        </w:tc>
        <w:tc>
          <w:tcPr>
            <w:tcW w:w="1860" w:type="dxa"/>
            <w:tcBorders>
              <w:bottom w:val="single" w:sz="4" w:space="0" w:color="auto"/>
            </w:tcBorders>
          </w:tcPr>
          <w:p w:rsidR="00F8422A" w:rsidRPr="00C267A9" w:rsidRDefault="00F8422A" w:rsidP="00040F36">
            <w:pPr>
              <w:pStyle w:val="BalloonText"/>
              <w:rPr>
                <w:rFonts w:ascii="Times New Roman" w:hAnsi="Times New Roman" w:cs="Times New Roman"/>
              </w:rPr>
            </w:pPr>
            <w:r w:rsidRPr="00C267A9">
              <w:rPr>
                <w:rFonts w:ascii="Times New Roman" w:hAnsi="Times New Roman" w:cs="Times New Roman"/>
              </w:rPr>
              <w:t>Customer brand engagement is defined as “the level of customer’s cognitive, emotional and behavio</w:t>
            </w:r>
            <w:r>
              <w:rPr>
                <w:rFonts w:ascii="Times New Roman" w:hAnsi="Times New Roman" w:cs="Times New Roman"/>
              </w:rPr>
              <w:t>u</w:t>
            </w:r>
            <w:r w:rsidRPr="00C267A9">
              <w:rPr>
                <w:rFonts w:ascii="Times New Roman" w:hAnsi="Times New Roman" w:cs="Times New Roman"/>
              </w:rPr>
              <w:t>ral investment in specific brand interactions.”</w:t>
            </w:r>
          </w:p>
        </w:tc>
        <w:tc>
          <w:tcPr>
            <w:tcW w:w="430" w:type="dxa"/>
            <w:tcBorders>
              <w:bottom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573" w:type="dxa"/>
            <w:tcBorders>
              <w:bottom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29" w:type="dxa"/>
            <w:tcBorders>
              <w:bottom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bottom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1" w:type="dxa"/>
            <w:tcBorders>
              <w:bottom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r w:rsidRPr="00C267A9">
              <w:rPr>
                <w:rFonts w:ascii="Times New Roman" w:hAnsi="Times New Roman" w:cs="Times New Roman"/>
                <w:sz w:val="18"/>
                <w:szCs w:val="18"/>
              </w:rPr>
              <w:t>x</w:t>
            </w:r>
          </w:p>
        </w:tc>
        <w:tc>
          <w:tcPr>
            <w:tcW w:w="430" w:type="dxa"/>
            <w:tcBorders>
              <w:bottom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573" w:type="dxa"/>
            <w:tcBorders>
              <w:bottom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bottom w:val="single" w:sz="4" w:space="0" w:color="auto"/>
            </w:tcBorders>
            <w:shd w:val="clear" w:color="auto" w:fill="auto"/>
          </w:tcPr>
          <w:p w:rsidR="00F8422A" w:rsidRPr="00C267A9" w:rsidRDefault="00F8422A" w:rsidP="00040F36">
            <w:pPr>
              <w:spacing w:after="0" w:line="240" w:lineRule="auto"/>
              <w:rPr>
                <w:rFonts w:ascii="Times New Roman" w:hAnsi="Times New Roman" w:cs="Times New Roman"/>
                <w:sz w:val="18"/>
                <w:szCs w:val="18"/>
              </w:rPr>
            </w:pPr>
          </w:p>
        </w:tc>
        <w:tc>
          <w:tcPr>
            <w:tcW w:w="430" w:type="dxa"/>
            <w:tcBorders>
              <w:bottom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bottom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30" w:type="dxa"/>
            <w:tcBorders>
              <w:bottom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c>
          <w:tcPr>
            <w:tcW w:w="429" w:type="dxa"/>
            <w:tcBorders>
              <w:bottom w:val="single" w:sz="4" w:space="0" w:color="auto"/>
            </w:tcBorders>
          </w:tcPr>
          <w:p w:rsidR="00F8422A" w:rsidRPr="00C267A9" w:rsidRDefault="00F8422A" w:rsidP="00040F36">
            <w:pPr>
              <w:spacing w:after="0" w:line="240" w:lineRule="auto"/>
              <w:rPr>
                <w:rFonts w:ascii="Times New Roman" w:hAnsi="Times New Roman" w:cs="Times New Roman"/>
                <w:sz w:val="18"/>
                <w:szCs w:val="18"/>
              </w:rPr>
            </w:pPr>
          </w:p>
        </w:tc>
      </w:tr>
    </w:tbl>
    <w:p w:rsidR="00711DAF" w:rsidRDefault="00711DAF" w:rsidP="00711DAF">
      <w:pPr>
        <w:spacing w:before="240"/>
        <w:rPr>
          <w:rFonts w:ascii="Times New Roman" w:hAnsi="Times New Roman" w:cs="Times New Roman"/>
          <w:sz w:val="24"/>
          <w:szCs w:val="24"/>
        </w:rPr>
      </w:pPr>
      <w:r>
        <w:rPr>
          <w:rFonts w:ascii="Times New Roman" w:hAnsi="Times New Roman" w:cs="Times New Roman"/>
          <w:b/>
          <w:sz w:val="24"/>
          <w:szCs w:val="24"/>
        </w:rPr>
        <w:t>Source:</w:t>
      </w:r>
      <w:r>
        <w:rPr>
          <w:rFonts w:ascii="Times New Roman" w:hAnsi="Times New Roman" w:cs="Times New Roman"/>
          <w:sz w:val="24"/>
          <w:szCs w:val="24"/>
        </w:rPr>
        <w:t xml:space="preserve"> Authors’ own work</w:t>
      </w:r>
    </w:p>
    <w:p w:rsidR="00F8422A" w:rsidRPr="00470683" w:rsidRDefault="00F8422A" w:rsidP="00F8422A">
      <w:pPr>
        <w:jc w:val="center"/>
        <w:rPr>
          <w:rFonts w:ascii="Times New Roman" w:hAnsi="Times New Roman" w:cs="Times New Roman"/>
          <w:b/>
          <w:sz w:val="40"/>
          <w:szCs w:val="40"/>
        </w:rPr>
      </w:pPr>
    </w:p>
    <w:p w:rsidR="00F8422A" w:rsidRDefault="00F8422A" w:rsidP="00F8422A"/>
    <w:p w:rsidR="0039557D" w:rsidRDefault="0039557D"/>
    <w:sectPr w:rsidR="0039557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71619"/>
    <w:multiLevelType w:val="hybridMultilevel"/>
    <w:tmpl w:val="EAD484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5D7DA1"/>
    <w:multiLevelType w:val="multilevel"/>
    <w:tmpl w:val="D9705F0C"/>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B20656"/>
    <w:multiLevelType w:val="hybridMultilevel"/>
    <w:tmpl w:val="8DA45C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D08244E"/>
    <w:multiLevelType w:val="hybridMultilevel"/>
    <w:tmpl w:val="0F686C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1F199E"/>
    <w:multiLevelType w:val="hybridMultilevel"/>
    <w:tmpl w:val="A7B09C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1290BE9"/>
    <w:multiLevelType w:val="hybridMultilevel"/>
    <w:tmpl w:val="550E8B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40C5607"/>
    <w:multiLevelType w:val="hybridMultilevel"/>
    <w:tmpl w:val="6A0244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79461E"/>
    <w:multiLevelType w:val="hybridMultilevel"/>
    <w:tmpl w:val="A94C56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6991B54"/>
    <w:multiLevelType w:val="hybridMultilevel"/>
    <w:tmpl w:val="25F694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C4A7FF6"/>
    <w:multiLevelType w:val="hybridMultilevel"/>
    <w:tmpl w:val="C8141C5E"/>
    <w:lvl w:ilvl="0" w:tplc="68B08814">
      <w:start w:val="1"/>
      <w:numFmt w:val="decimal"/>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0" w15:restartNumberingAfterBreak="0">
    <w:nsid w:val="20146801"/>
    <w:multiLevelType w:val="hybridMultilevel"/>
    <w:tmpl w:val="670E18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0244F7D"/>
    <w:multiLevelType w:val="multilevel"/>
    <w:tmpl w:val="65A603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0301137"/>
    <w:multiLevelType w:val="hybridMultilevel"/>
    <w:tmpl w:val="2B8044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4CB3AA3"/>
    <w:multiLevelType w:val="hybridMultilevel"/>
    <w:tmpl w:val="2E68A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C796108"/>
    <w:multiLevelType w:val="hybridMultilevel"/>
    <w:tmpl w:val="6CE028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1850A32"/>
    <w:multiLevelType w:val="hybridMultilevel"/>
    <w:tmpl w:val="83D61C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39171EE"/>
    <w:multiLevelType w:val="hybridMultilevel"/>
    <w:tmpl w:val="A37662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582014A"/>
    <w:multiLevelType w:val="hybridMultilevel"/>
    <w:tmpl w:val="A0EAB4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90D7583"/>
    <w:multiLevelType w:val="hybridMultilevel"/>
    <w:tmpl w:val="F03E25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B2D5DF7"/>
    <w:multiLevelType w:val="hybridMultilevel"/>
    <w:tmpl w:val="36B29B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18D12D9"/>
    <w:multiLevelType w:val="hybridMultilevel"/>
    <w:tmpl w:val="3CEA44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37F2667"/>
    <w:multiLevelType w:val="hybridMultilevel"/>
    <w:tmpl w:val="CF5EC3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53F5081"/>
    <w:multiLevelType w:val="hybridMultilevel"/>
    <w:tmpl w:val="33665A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5935E1E"/>
    <w:multiLevelType w:val="hybridMultilevel"/>
    <w:tmpl w:val="035406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7F37333"/>
    <w:multiLevelType w:val="multilevel"/>
    <w:tmpl w:val="5C967230"/>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CF22D9B"/>
    <w:multiLevelType w:val="hybridMultilevel"/>
    <w:tmpl w:val="834A42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F5708AF"/>
    <w:multiLevelType w:val="multilevel"/>
    <w:tmpl w:val="615C680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2902DA5"/>
    <w:multiLevelType w:val="hybridMultilevel"/>
    <w:tmpl w:val="ED6ABCE4"/>
    <w:lvl w:ilvl="0" w:tplc="04070001">
      <w:start w:val="1"/>
      <w:numFmt w:val="bullet"/>
      <w:lvlText w:val=""/>
      <w:lvlJc w:val="left"/>
      <w:pPr>
        <w:ind w:left="753" w:hanging="360"/>
      </w:pPr>
      <w:rPr>
        <w:rFonts w:ascii="Symbol" w:hAnsi="Symbol" w:hint="default"/>
      </w:rPr>
    </w:lvl>
    <w:lvl w:ilvl="1" w:tplc="04070003" w:tentative="1">
      <w:start w:val="1"/>
      <w:numFmt w:val="bullet"/>
      <w:lvlText w:val="o"/>
      <w:lvlJc w:val="left"/>
      <w:pPr>
        <w:ind w:left="1473" w:hanging="360"/>
      </w:pPr>
      <w:rPr>
        <w:rFonts w:ascii="Courier New" w:hAnsi="Courier New" w:cs="Courier New" w:hint="default"/>
      </w:rPr>
    </w:lvl>
    <w:lvl w:ilvl="2" w:tplc="04070005" w:tentative="1">
      <w:start w:val="1"/>
      <w:numFmt w:val="bullet"/>
      <w:lvlText w:val=""/>
      <w:lvlJc w:val="left"/>
      <w:pPr>
        <w:ind w:left="2193" w:hanging="360"/>
      </w:pPr>
      <w:rPr>
        <w:rFonts w:ascii="Wingdings" w:hAnsi="Wingdings" w:hint="default"/>
      </w:rPr>
    </w:lvl>
    <w:lvl w:ilvl="3" w:tplc="04070001" w:tentative="1">
      <w:start w:val="1"/>
      <w:numFmt w:val="bullet"/>
      <w:lvlText w:val=""/>
      <w:lvlJc w:val="left"/>
      <w:pPr>
        <w:ind w:left="2913" w:hanging="360"/>
      </w:pPr>
      <w:rPr>
        <w:rFonts w:ascii="Symbol" w:hAnsi="Symbol" w:hint="default"/>
      </w:rPr>
    </w:lvl>
    <w:lvl w:ilvl="4" w:tplc="04070003" w:tentative="1">
      <w:start w:val="1"/>
      <w:numFmt w:val="bullet"/>
      <w:lvlText w:val="o"/>
      <w:lvlJc w:val="left"/>
      <w:pPr>
        <w:ind w:left="3633" w:hanging="360"/>
      </w:pPr>
      <w:rPr>
        <w:rFonts w:ascii="Courier New" w:hAnsi="Courier New" w:cs="Courier New" w:hint="default"/>
      </w:rPr>
    </w:lvl>
    <w:lvl w:ilvl="5" w:tplc="04070005" w:tentative="1">
      <w:start w:val="1"/>
      <w:numFmt w:val="bullet"/>
      <w:lvlText w:val=""/>
      <w:lvlJc w:val="left"/>
      <w:pPr>
        <w:ind w:left="4353" w:hanging="360"/>
      </w:pPr>
      <w:rPr>
        <w:rFonts w:ascii="Wingdings" w:hAnsi="Wingdings" w:hint="default"/>
      </w:rPr>
    </w:lvl>
    <w:lvl w:ilvl="6" w:tplc="04070001" w:tentative="1">
      <w:start w:val="1"/>
      <w:numFmt w:val="bullet"/>
      <w:lvlText w:val=""/>
      <w:lvlJc w:val="left"/>
      <w:pPr>
        <w:ind w:left="5073" w:hanging="360"/>
      </w:pPr>
      <w:rPr>
        <w:rFonts w:ascii="Symbol" w:hAnsi="Symbol" w:hint="default"/>
      </w:rPr>
    </w:lvl>
    <w:lvl w:ilvl="7" w:tplc="04070003" w:tentative="1">
      <w:start w:val="1"/>
      <w:numFmt w:val="bullet"/>
      <w:lvlText w:val="o"/>
      <w:lvlJc w:val="left"/>
      <w:pPr>
        <w:ind w:left="5793" w:hanging="360"/>
      </w:pPr>
      <w:rPr>
        <w:rFonts w:ascii="Courier New" w:hAnsi="Courier New" w:cs="Courier New" w:hint="default"/>
      </w:rPr>
    </w:lvl>
    <w:lvl w:ilvl="8" w:tplc="04070005" w:tentative="1">
      <w:start w:val="1"/>
      <w:numFmt w:val="bullet"/>
      <w:lvlText w:val=""/>
      <w:lvlJc w:val="left"/>
      <w:pPr>
        <w:ind w:left="6513" w:hanging="360"/>
      </w:pPr>
      <w:rPr>
        <w:rFonts w:ascii="Wingdings" w:hAnsi="Wingdings" w:hint="default"/>
      </w:rPr>
    </w:lvl>
  </w:abstractNum>
  <w:abstractNum w:abstractNumId="28" w15:restartNumberingAfterBreak="0">
    <w:nsid w:val="5AC164D8"/>
    <w:multiLevelType w:val="hybridMultilevel"/>
    <w:tmpl w:val="ECDA02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EFF1683"/>
    <w:multiLevelType w:val="hybridMultilevel"/>
    <w:tmpl w:val="8F448F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21333C8"/>
    <w:multiLevelType w:val="multilevel"/>
    <w:tmpl w:val="9E524CA2"/>
    <w:lvl w:ilvl="0">
      <w:start w:val="1"/>
      <w:numFmt w:val="decimal"/>
      <w:lvlText w:val="%1"/>
      <w:lvlJc w:val="left"/>
      <w:pPr>
        <w:ind w:left="360" w:hanging="360"/>
      </w:pPr>
      <w:rPr>
        <w:rFonts w:hint="default"/>
      </w:rPr>
    </w:lvl>
    <w:lvl w:ilvl="1">
      <w:start w:val="1"/>
      <w:numFmt w:val="decimal"/>
      <w:lvlText w:val="%1.%2"/>
      <w:lvlJc w:val="left"/>
      <w:pPr>
        <w:ind w:left="851" w:hanging="360"/>
      </w:pPr>
      <w:rPr>
        <w:rFonts w:hint="default"/>
      </w:rPr>
    </w:lvl>
    <w:lvl w:ilvl="2">
      <w:start w:val="1"/>
      <w:numFmt w:val="decimal"/>
      <w:lvlText w:val="%1.%2.%3"/>
      <w:lvlJc w:val="left"/>
      <w:pPr>
        <w:ind w:left="1702" w:hanging="720"/>
      </w:pPr>
      <w:rPr>
        <w:rFonts w:hint="default"/>
      </w:rPr>
    </w:lvl>
    <w:lvl w:ilvl="3">
      <w:start w:val="1"/>
      <w:numFmt w:val="decimal"/>
      <w:lvlText w:val="%1.%2.%3.%4"/>
      <w:lvlJc w:val="left"/>
      <w:pPr>
        <w:ind w:left="2193" w:hanging="720"/>
      </w:pPr>
      <w:rPr>
        <w:rFonts w:hint="default"/>
      </w:rPr>
    </w:lvl>
    <w:lvl w:ilvl="4">
      <w:start w:val="1"/>
      <w:numFmt w:val="decimal"/>
      <w:lvlText w:val="%1.%2.%3.%4.%5"/>
      <w:lvlJc w:val="left"/>
      <w:pPr>
        <w:ind w:left="3044" w:hanging="1080"/>
      </w:pPr>
      <w:rPr>
        <w:rFonts w:hint="default"/>
      </w:rPr>
    </w:lvl>
    <w:lvl w:ilvl="5">
      <w:start w:val="1"/>
      <w:numFmt w:val="decimal"/>
      <w:lvlText w:val="%1.%2.%3.%4.%5.%6"/>
      <w:lvlJc w:val="left"/>
      <w:pPr>
        <w:ind w:left="3535" w:hanging="1080"/>
      </w:pPr>
      <w:rPr>
        <w:rFonts w:hint="default"/>
      </w:rPr>
    </w:lvl>
    <w:lvl w:ilvl="6">
      <w:start w:val="1"/>
      <w:numFmt w:val="decimal"/>
      <w:lvlText w:val="%1.%2.%3.%4.%5.%6.%7"/>
      <w:lvlJc w:val="left"/>
      <w:pPr>
        <w:ind w:left="4386" w:hanging="1440"/>
      </w:pPr>
      <w:rPr>
        <w:rFonts w:hint="default"/>
      </w:rPr>
    </w:lvl>
    <w:lvl w:ilvl="7">
      <w:start w:val="1"/>
      <w:numFmt w:val="decimal"/>
      <w:lvlText w:val="%1.%2.%3.%4.%5.%6.%7.%8"/>
      <w:lvlJc w:val="left"/>
      <w:pPr>
        <w:ind w:left="4877" w:hanging="1440"/>
      </w:pPr>
      <w:rPr>
        <w:rFonts w:hint="default"/>
      </w:rPr>
    </w:lvl>
    <w:lvl w:ilvl="8">
      <w:start w:val="1"/>
      <w:numFmt w:val="decimal"/>
      <w:lvlText w:val="%1.%2.%3.%4.%5.%6.%7.%8.%9"/>
      <w:lvlJc w:val="left"/>
      <w:pPr>
        <w:ind w:left="5728" w:hanging="1800"/>
      </w:pPr>
      <w:rPr>
        <w:rFonts w:hint="default"/>
      </w:rPr>
    </w:lvl>
  </w:abstractNum>
  <w:abstractNum w:abstractNumId="31" w15:restartNumberingAfterBreak="0">
    <w:nsid w:val="654E2DAF"/>
    <w:multiLevelType w:val="hybridMultilevel"/>
    <w:tmpl w:val="8BE4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C5A01EF"/>
    <w:multiLevelType w:val="hybridMultilevel"/>
    <w:tmpl w:val="0AD869CE"/>
    <w:lvl w:ilvl="0" w:tplc="6E7E6488">
      <w:start w:val="1"/>
      <w:numFmt w:val="bullet"/>
      <w:lvlText w:val=""/>
      <w:lvlJc w:val="left"/>
      <w:pPr>
        <w:ind w:left="1080" w:hanging="360"/>
      </w:pPr>
      <w:rPr>
        <w:rFonts w:ascii="Wingdings" w:eastAsiaTheme="minorHAnsi" w:hAnsi="Wingdings"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3" w15:restartNumberingAfterBreak="0">
    <w:nsid w:val="6D3F4A83"/>
    <w:multiLevelType w:val="multilevel"/>
    <w:tmpl w:val="763C81D4"/>
    <w:lvl w:ilvl="0">
      <w:start w:val="6"/>
      <w:numFmt w:val="decimal"/>
      <w:lvlText w:val="%1."/>
      <w:lvlJc w:val="left"/>
      <w:pPr>
        <w:ind w:left="720" w:hanging="360"/>
      </w:pPr>
      <w:rPr>
        <w:rFonts w:hint="default"/>
      </w:rPr>
    </w:lvl>
    <w:lvl w:ilvl="1">
      <w:start w:val="1"/>
      <w:numFmt w:val="decimal"/>
      <w:isLgl/>
      <w:lvlText w:val="%1.%2"/>
      <w:lvlJc w:val="left"/>
      <w:pPr>
        <w:ind w:left="29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6E853817"/>
    <w:multiLevelType w:val="hybridMultilevel"/>
    <w:tmpl w:val="EEAAA2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3444DB7"/>
    <w:multiLevelType w:val="hybridMultilevel"/>
    <w:tmpl w:val="7EE0FB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37E6777"/>
    <w:multiLevelType w:val="hybridMultilevel"/>
    <w:tmpl w:val="15B066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3FF4435"/>
    <w:multiLevelType w:val="hybridMultilevel"/>
    <w:tmpl w:val="C02281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9F32408"/>
    <w:multiLevelType w:val="hybridMultilevel"/>
    <w:tmpl w:val="6E9601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DC66F33"/>
    <w:multiLevelType w:val="hybridMultilevel"/>
    <w:tmpl w:val="B4025B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1"/>
  </w:num>
  <w:num w:numId="2">
    <w:abstractNumId w:val="36"/>
  </w:num>
  <w:num w:numId="3">
    <w:abstractNumId w:val="14"/>
  </w:num>
  <w:num w:numId="4">
    <w:abstractNumId w:val="23"/>
  </w:num>
  <w:num w:numId="5">
    <w:abstractNumId w:val="37"/>
  </w:num>
  <w:num w:numId="6">
    <w:abstractNumId w:val="29"/>
  </w:num>
  <w:num w:numId="7">
    <w:abstractNumId w:val="28"/>
  </w:num>
  <w:num w:numId="8">
    <w:abstractNumId w:val="25"/>
  </w:num>
  <w:num w:numId="9">
    <w:abstractNumId w:val="6"/>
  </w:num>
  <w:num w:numId="10">
    <w:abstractNumId w:val="27"/>
  </w:num>
  <w:num w:numId="11">
    <w:abstractNumId w:val="17"/>
  </w:num>
  <w:num w:numId="12">
    <w:abstractNumId w:val="2"/>
  </w:num>
  <w:num w:numId="13">
    <w:abstractNumId w:val="15"/>
  </w:num>
  <w:num w:numId="14">
    <w:abstractNumId w:val="3"/>
  </w:num>
  <w:num w:numId="15">
    <w:abstractNumId w:val="7"/>
  </w:num>
  <w:num w:numId="16">
    <w:abstractNumId w:val="8"/>
  </w:num>
  <w:num w:numId="17">
    <w:abstractNumId w:val="12"/>
  </w:num>
  <w:num w:numId="18">
    <w:abstractNumId w:val="35"/>
  </w:num>
  <w:num w:numId="19">
    <w:abstractNumId w:val="19"/>
  </w:num>
  <w:num w:numId="20">
    <w:abstractNumId w:val="13"/>
  </w:num>
  <w:num w:numId="21">
    <w:abstractNumId w:val="38"/>
  </w:num>
  <w:num w:numId="22">
    <w:abstractNumId w:val="0"/>
  </w:num>
  <w:num w:numId="23">
    <w:abstractNumId w:val="4"/>
  </w:num>
  <w:num w:numId="24">
    <w:abstractNumId w:val="34"/>
  </w:num>
  <w:num w:numId="25">
    <w:abstractNumId w:val="16"/>
  </w:num>
  <w:num w:numId="26">
    <w:abstractNumId w:val="5"/>
  </w:num>
  <w:num w:numId="27">
    <w:abstractNumId w:val="18"/>
  </w:num>
  <w:num w:numId="28">
    <w:abstractNumId w:val="31"/>
  </w:num>
  <w:num w:numId="29">
    <w:abstractNumId w:val="33"/>
  </w:num>
  <w:num w:numId="30">
    <w:abstractNumId w:val="11"/>
  </w:num>
  <w:num w:numId="31">
    <w:abstractNumId w:val="22"/>
  </w:num>
  <w:num w:numId="32">
    <w:abstractNumId w:val="32"/>
  </w:num>
  <w:num w:numId="33">
    <w:abstractNumId w:val="20"/>
  </w:num>
  <w:num w:numId="34">
    <w:abstractNumId w:val="39"/>
  </w:num>
  <w:num w:numId="35">
    <w:abstractNumId w:val="10"/>
  </w:num>
  <w:num w:numId="36">
    <w:abstractNumId w:val="9"/>
  </w:num>
  <w:num w:numId="37">
    <w:abstractNumId w:val="30"/>
  </w:num>
  <w:num w:numId="38">
    <w:abstractNumId w:val="26"/>
  </w:num>
  <w:num w:numId="39">
    <w:abstractNumId w:val="24"/>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22A"/>
    <w:rsid w:val="0039557D"/>
    <w:rsid w:val="00406FA7"/>
    <w:rsid w:val="006E0FFF"/>
    <w:rsid w:val="00711DAF"/>
    <w:rsid w:val="009E5A17"/>
    <w:rsid w:val="00AC18A4"/>
    <w:rsid w:val="00F842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055DB"/>
  <w15:chartTrackingRefBased/>
  <w15:docId w15:val="{F2B3EF40-2CAC-4E83-B991-B5881A078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422A"/>
    <w:rPr>
      <w:lang w:val="en-AU"/>
    </w:rPr>
  </w:style>
  <w:style w:type="paragraph" w:styleId="Heading1">
    <w:name w:val="heading 1"/>
    <w:basedOn w:val="Normal"/>
    <w:next w:val="Normal"/>
    <w:link w:val="Heading1Char"/>
    <w:uiPriority w:val="9"/>
    <w:qFormat/>
    <w:rsid w:val="00F8422A"/>
    <w:pPr>
      <w:keepNext/>
      <w:keepLines/>
      <w:spacing w:before="240" w:after="0"/>
      <w:jc w:val="center"/>
      <w:outlineLvl w:val="0"/>
    </w:pPr>
    <w:rPr>
      <w:rFonts w:ascii="Times New Roman" w:eastAsiaTheme="majorEastAsia" w:hAnsi="Times New Roman" w:cstheme="majorBidi"/>
      <w:b/>
      <w:color w:val="000000" w:themeColor="text1"/>
      <w:sz w:val="40"/>
      <w:szCs w:val="32"/>
    </w:rPr>
  </w:style>
  <w:style w:type="paragraph" w:styleId="Heading2">
    <w:name w:val="heading 2"/>
    <w:basedOn w:val="Normal"/>
    <w:next w:val="Normal"/>
    <w:link w:val="Heading2Char"/>
    <w:uiPriority w:val="9"/>
    <w:unhideWhenUsed/>
    <w:qFormat/>
    <w:rsid w:val="00F8422A"/>
    <w:pPr>
      <w:keepNext/>
      <w:keepLines/>
      <w:spacing w:before="40" w:after="0"/>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unhideWhenUsed/>
    <w:qFormat/>
    <w:rsid w:val="00F8422A"/>
    <w:pPr>
      <w:keepNext/>
      <w:keepLines/>
      <w:spacing w:before="40" w:after="0"/>
      <w:outlineLvl w:val="2"/>
    </w:pPr>
    <w:rPr>
      <w:rFonts w:ascii="Times New Roman" w:eastAsiaTheme="majorEastAsia" w:hAnsi="Times New Roman" w:cstheme="majorBidi"/>
      <w:i/>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22A"/>
    <w:rPr>
      <w:rFonts w:ascii="Times New Roman" w:eastAsiaTheme="majorEastAsia" w:hAnsi="Times New Roman" w:cstheme="majorBidi"/>
      <w:b/>
      <w:color w:val="000000" w:themeColor="text1"/>
      <w:sz w:val="40"/>
      <w:szCs w:val="32"/>
      <w:lang w:val="en-AU"/>
    </w:rPr>
  </w:style>
  <w:style w:type="character" w:customStyle="1" w:styleId="Heading2Char">
    <w:name w:val="Heading 2 Char"/>
    <w:basedOn w:val="DefaultParagraphFont"/>
    <w:link w:val="Heading2"/>
    <w:uiPriority w:val="9"/>
    <w:rsid w:val="00F8422A"/>
    <w:rPr>
      <w:rFonts w:ascii="Times New Roman" w:eastAsiaTheme="majorEastAsia" w:hAnsi="Times New Roman" w:cstheme="majorBidi"/>
      <w:b/>
      <w:color w:val="000000" w:themeColor="text1"/>
      <w:sz w:val="24"/>
      <w:szCs w:val="26"/>
      <w:lang w:val="en-AU"/>
    </w:rPr>
  </w:style>
  <w:style w:type="character" w:customStyle="1" w:styleId="Heading3Char">
    <w:name w:val="Heading 3 Char"/>
    <w:basedOn w:val="DefaultParagraphFont"/>
    <w:link w:val="Heading3"/>
    <w:uiPriority w:val="9"/>
    <w:rsid w:val="00F8422A"/>
    <w:rPr>
      <w:rFonts w:ascii="Times New Roman" w:eastAsiaTheme="majorEastAsia" w:hAnsi="Times New Roman" w:cstheme="majorBidi"/>
      <w:i/>
      <w:color w:val="000000" w:themeColor="text1"/>
      <w:sz w:val="24"/>
      <w:szCs w:val="24"/>
      <w:lang w:val="en-AU"/>
    </w:rPr>
  </w:style>
  <w:style w:type="paragraph" w:styleId="ListParagraph">
    <w:name w:val="List Paragraph"/>
    <w:basedOn w:val="Normal"/>
    <w:uiPriority w:val="34"/>
    <w:qFormat/>
    <w:rsid w:val="00F8422A"/>
    <w:pPr>
      <w:ind w:left="720"/>
      <w:contextualSpacing/>
    </w:pPr>
  </w:style>
  <w:style w:type="character" w:styleId="CommentReference">
    <w:name w:val="annotation reference"/>
    <w:basedOn w:val="DefaultParagraphFont"/>
    <w:uiPriority w:val="99"/>
    <w:semiHidden/>
    <w:unhideWhenUsed/>
    <w:rsid w:val="00F8422A"/>
    <w:rPr>
      <w:sz w:val="16"/>
      <w:szCs w:val="16"/>
    </w:rPr>
  </w:style>
  <w:style w:type="paragraph" w:styleId="CommentText">
    <w:name w:val="annotation text"/>
    <w:basedOn w:val="Normal"/>
    <w:link w:val="CommentTextChar"/>
    <w:uiPriority w:val="99"/>
    <w:unhideWhenUsed/>
    <w:rsid w:val="00F8422A"/>
    <w:pPr>
      <w:spacing w:line="240" w:lineRule="auto"/>
    </w:pPr>
    <w:rPr>
      <w:sz w:val="20"/>
      <w:szCs w:val="20"/>
    </w:rPr>
  </w:style>
  <w:style w:type="character" w:customStyle="1" w:styleId="CommentTextChar">
    <w:name w:val="Comment Text Char"/>
    <w:basedOn w:val="DefaultParagraphFont"/>
    <w:link w:val="CommentText"/>
    <w:uiPriority w:val="99"/>
    <w:rsid w:val="00F8422A"/>
    <w:rPr>
      <w:sz w:val="20"/>
      <w:szCs w:val="20"/>
      <w:lang w:val="en-AU"/>
    </w:rPr>
  </w:style>
  <w:style w:type="paragraph" w:styleId="CommentSubject">
    <w:name w:val="annotation subject"/>
    <w:basedOn w:val="CommentText"/>
    <w:next w:val="CommentText"/>
    <w:link w:val="CommentSubjectChar"/>
    <w:uiPriority w:val="99"/>
    <w:semiHidden/>
    <w:unhideWhenUsed/>
    <w:rsid w:val="00F8422A"/>
    <w:rPr>
      <w:b/>
      <w:bCs/>
    </w:rPr>
  </w:style>
  <w:style w:type="character" w:customStyle="1" w:styleId="CommentSubjectChar">
    <w:name w:val="Comment Subject Char"/>
    <w:basedOn w:val="CommentTextChar"/>
    <w:link w:val="CommentSubject"/>
    <w:uiPriority w:val="99"/>
    <w:semiHidden/>
    <w:rsid w:val="00F8422A"/>
    <w:rPr>
      <w:b/>
      <w:bCs/>
      <w:sz w:val="20"/>
      <w:szCs w:val="20"/>
      <w:lang w:val="en-AU"/>
    </w:rPr>
  </w:style>
  <w:style w:type="paragraph" w:styleId="BalloonText">
    <w:name w:val="Balloon Text"/>
    <w:basedOn w:val="Normal"/>
    <w:link w:val="BalloonTextChar"/>
    <w:uiPriority w:val="99"/>
    <w:semiHidden/>
    <w:unhideWhenUsed/>
    <w:rsid w:val="00F842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22A"/>
    <w:rPr>
      <w:rFonts w:ascii="Segoe UI" w:hAnsi="Segoe UI" w:cs="Segoe UI"/>
      <w:sz w:val="18"/>
      <w:szCs w:val="18"/>
      <w:lang w:val="en-AU"/>
    </w:rPr>
  </w:style>
  <w:style w:type="paragraph" w:customStyle="1" w:styleId="Default">
    <w:name w:val="Default"/>
    <w:rsid w:val="00F8422A"/>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F8422A"/>
    <w:pPr>
      <w:spacing w:before="100" w:beforeAutospacing="1" w:after="100" w:afterAutospacing="1" w:line="240" w:lineRule="auto"/>
    </w:pPr>
    <w:rPr>
      <w:rFonts w:ascii="Times New Roman" w:eastAsia="Times New Roman" w:hAnsi="Times New Roman" w:cs="Times New Roman"/>
      <w:sz w:val="24"/>
      <w:szCs w:val="24"/>
      <w:lang w:eastAsia="de-DE"/>
    </w:rPr>
  </w:style>
  <w:style w:type="table" w:styleId="TableGrid">
    <w:name w:val="Table Grid"/>
    <w:basedOn w:val="TableNormal"/>
    <w:uiPriority w:val="39"/>
    <w:rsid w:val="00F84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422A"/>
    <w:pPr>
      <w:tabs>
        <w:tab w:val="center" w:pos="4536"/>
        <w:tab w:val="right" w:pos="9072"/>
      </w:tabs>
      <w:spacing w:after="0" w:line="240" w:lineRule="auto"/>
    </w:pPr>
  </w:style>
  <w:style w:type="character" w:customStyle="1" w:styleId="HeaderChar">
    <w:name w:val="Header Char"/>
    <w:basedOn w:val="DefaultParagraphFont"/>
    <w:link w:val="Header"/>
    <w:uiPriority w:val="99"/>
    <w:rsid w:val="00F8422A"/>
    <w:rPr>
      <w:lang w:val="en-AU"/>
    </w:rPr>
  </w:style>
  <w:style w:type="paragraph" w:styleId="Footer">
    <w:name w:val="footer"/>
    <w:basedOn w:val="Normal"/>
    <w:link w:val="FooterChar"/>
    <w:uiPriority w:val="99"/>
    <w:unhideWhenUsed/>
    <w:rsid w:val="00F8422A"/>
    <w:pPr>
      <w:tabs>
        <w:tab w:val="center" w:pos="4536"/>
        <w:tab w:val="right" w:pos="9072"/>
      </w:tabs>
      <w:spacing w:after="0" w:line="240" w:lineRule="auto"/>
    </w:pPr>
  </w:style>
  <w:style w:type="character" w:customStyle="1" w:styleId="FooterChar">
    <w:name w:val="Footer Char"/>
    <w:basedOn w:val="DefaultParagraphFont"/>
    <w:link w:val="Footer"/>
    <w:uiPriority w:val="99"/>
    <w:rsid w:val="00F8422A"/>
    <w:rPr>
      <w:lang w:val="en-AU"/>
    </w:rPr>
  </w:style>
  <w:style w:type="character" w:styleId="Hyperlink">
    <w:name w:val="Hyperlink"/>
    <w:basedOn w:val="DefaultParagraphFont"/>
    <w:uiPriority w:val="99"/>
    <w:unhideWhenUsed/>
    <w:rsid w:val="00F8422A"/>
    <w:rPr>
      <w:color w:val="0563C1" w:themeColor="hyperlink"/>
      <w:u w:val="single"/>
    </w:rPr>
  </w:style>
  <w:style w:type="character" w:customStyle="1" w:styleId="UnresolvedMention">
    <w:name w:val="Unresolved Mention"/>
    <w:basedOn w:val="DefaultParagraphFont"/>
    <w:uiPriority w:val="99"/>
    <w:semiHidden/>
    <w:unhideWhenUsed/>
    <w:rsid w:val="00F8422A"/>
    <w:rPr>
      <w:color w:val="605E5C"/>
      <w:shd w:val="clear" w:color="auto" w:fill="E1DFDD"/>
    </w:rPr>
  </w:style>
  <w:style w:type="paragraph" w:styleId="NoSpacing">
    <w:name w:val="No Spacing"/>
    <w:next w:val="Normal"/>
    <w:uiPriority w:val="1"/>
    <w:qFormat/>
    <w:rsid w:val="00F8422A"/>
    <w:pPr>
      <w:spacing w:after="0" w:line="240" w:lineRule="auto"/>
    </w:pPr>
    <w:rPr>
      <w:rFonts w:ascii="Times New Roman" w:hAnsi="Times New Roman"/>
      <w:b/>
      <w:sz w:val="24"/>
      <w:lang w:val="en-AU"/>
    </w:rPr>
  </w:style>
  <w:style w:type="paragraph" w:styleId="Caption">
    <w:name w:val="caption"/>
    <w:basedOn w:val="Normal"/>
    <w:next w:val="Normal"/>
    <w:uiPriority w:val="35"/>
    <w:unhideWhenUsed/>
    <w:qFormat/>
    <w:rsid w:val="00F8422A"/>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F8422A"/>
    <w:pPr>
      <w:jc w:val="left"/>
      <w:outlineLvl w:val="9"/>
    </w:pPr>
    <w:rPr>
      <w:rFonts w:asciiTheme="majorHAnsi" w:hAnsiTheme="majorHAnsi"/>
      <w:b w:val="0"/>
      <w:color w:val="2F5496" w:themeColor="accent1" w:themeShade="BF"/>
      <w:sz w:val="32"/>
      <w:lang w:val="de-DE" w:eastAsia="de-DE"/>
    </w:rPr>
  </w:style>
  <w:style w:type="paragraph" w:styleId="TOC2">
    <w:name w:val="toc 2"/>
    <w:basedOn w:val="Normal"/>
    <w:next w:val="Normal"/>
    <w:autoRedefine/>
    <w:uiPriority w:val="39"/>
    <w:unhideWhenUsed/>
    <w:rsid w:val="00F8422A"/>
    <w:pPr>
      <w:spacing w:after="100"/>
      <w:ind w:left="220"/>
    </w:pPr>
    <w:rPr>
      <w:rFonts w:eastAsiaTheme="minorEastAsia" w:cs="Times New Roman"/>
      <w:lang w:val="de-DE" w:eastAsia="de-DE"/>
    </w:rPr>
  </w:style>
  <w:style w:type="paragraph" w:styleId="TOC1">
    <w:name w:val="toc 1"/>
    <w:basedOn w:val="Normal"/>
    <w:next w:val="Normal"/>
    <w:autoRedefine/>
    <w:uiPriority w:val="39"/>
    <w:unhideWhenUsed/>
    <w:rsid w:val="00F8422A"/>
    <w:pPr>
      <w:spacing w:after="100"/>
    </w:pPr>
    <w:rPr>
      <w:rFonts w:eastAsiaTheme="minorEastAsia" w:cs="Times New Roman"/>
      <w:lang w:val="de-DE" w:eastAsia="de-DE"/>
    </w:rPr>
  </w:style>
  <w:style w:type="paragraph" w:styleId="TOC3">
    <w:name w:val="toc 3"/>
    <w:basedOn w:val="Normal"/>
    <w:next w:val="Normal"/>
    <w:autoRedefine/>
    <w:uiPriority w:val="39"/>
    <w:unhideWhenUsed/>
    <w:rsid w:val="00F8422A"/>
    <w:pPr>
      <w:tabs>
        <w:tab w:val="right" w:leader="dot" w:pos="8493"/>
      </w:tabs>
      <w:spacing w:after="100"/>
    </w:pPr>
    <w:rPr>
      <w:rFonts w:ascii="Times New Roman" w:eastAsiaTheme="minorEastAsia" w:hAnsi="Times New Roman" w:cs="Times New Roman"/>
      <w:noProof/>
      <w:sz w:val="24"/>
      <w:szCs w:val="24"/>
      <w:lang w:val="de-DE" w:eastAsia="de-DE"/>
    </w:rPr>
  </w:style>
  <w:style w:type="paragraph" w:customStyle="1" w:styleId="whitespace-pre-wrap">
    <w:name w:val="whitespace-pre-wrap"/>
    <w:basedOn w:val="Normal"/>
    <w:rsid w:val="00F8422A"/>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TableofFigures">
    <w:name w:val="table of figures"/>
    <w:basedOn w:val="Normal"/>
    <w:next w:val="Normal"/>
    <w:uiPriority w:val="99"/>
    <w:unhideWhenUsed/>
    <w:rsid w:val="00F8422A"/>
    <w:pPr>
      <w:spacing w:after="0"/>
    </w:pPr>
  </w:style>
  <w:style w:type="paragraph" w:styleId="Revision">
    <w:name w:val="Revision"/>
    <w:hidden/>
    <w:uiPriority w:val="99"/>
    <w:semiHidden/>
    <w:rsid w:val="00F8422A"/>
    <w:pPr>
      <w:spacing w:after="0" w:line="240" w:lineRule="auto"/>
    </w:pPr>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73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2548</Words>
  <Characters>14526</Characters>
  <Application>Microsoft Office Word</Application>
  <DocSecurity>0</DocSecurity>
  <Lines>121</Lines>
  <Paragraphs>34</Paragraphs>
  <ScaleCrop>false</ScaleCrop>
  <HeadingPairs>
    <vt:vector size="2" baseType="variant">
      <vt:variant>
        <vt:lpstr>Titel</vt:lpstr>
      </vt:variant>
      <vt:variant>
        <vt:i4>1</vt:i4>
      </vt:variant>
    </vt:vector>
  </HeadingPairs>
  <TitlesOfParts>
    <vt:vector size="1" baseType="lpstr">
      <vt:lpstr/>
    </vt:vector>
  </TitlesOfParts>
  <Company>Fachhochschule Münster</Company>
  <LinksUpToDate>false</LinksUpToDate>
  <CharactersWithSpaces>17040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 Uude</dc:creator>
  <cp:keywords/>
  <dc:description/>
  <cp:lastModifiedBy>Aditi Shedge</cp:lastModifiedBy>
  <cp:revision>4</cp:revision>
  <dcterms:created xsi:type="dcterms:W3CDTF">2025-06-26T11:26:00Z</dcterms:created>
  <dcterms:modified xsi:type="dcterms:W3CDTF">2025-10-03T07:59:00Z</dcterms:modified>
</cp:coreProperties>
</file>