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DA377" w14:textId="22E00F89" w:rsidR="00D5770D" w:rsidRPr="008E4D63" w:rsidRDefault="00D5770D" w:rsidP="00A13BBC">
      <w:pPr>
        <w:rPr>
          <w:rFonts w:asciiTheme="majorBidi" w:hAnsiTheme="majorBidi" w:cstheme="majorBidi"/>
          <w:b/>
          <w:bCs/>
          <w:highlight w:val="yellow"/>
        </w:rPr>
      </w:pPr>
      <w:r w:rsidRPr="008E4D63">
        <w:rPr>
          <w:rFonts w:asciiTheme="majorBidi" w:hAnsiTheme="majorBidi" w:cstheme="majorBidi"/>
          <w:b/>
          <w:bCs/>
        </w:rPr>
        <w:t>S</w:t>
      </w:r>
      <w:r w:rsidR="008E4D63" w:rsidRPr="008E4D63">
        <w:rPr>
          <w:rFonts w:asciiTheme="majorBidi" w:hAnsiTheme="majorBidi" w:cstheme="majorBidi"/>
          <w:b/>
          <w:bCs/>
        </w:rPr>
        <w:t xml:space="preserve">upplementary Materials </w:t>
      </w:r>
      <w:r w:rsidR="008E4D63">
        <w:rPr>
          <w:rFonts w:asciiTheme="majorBidi" w:hAnsiTheme="majorBidi" w:cstheme="majorBidi"/>
          <w:b/>
          <w:bCs/>
        </w:rPr>
        <w:t>1</w:t>
      </w:r>
      <w:r w:rsidRPr="008E4D63">
        <w:rPr>
          <w:rFonts w:asciiTheme="majorBidi" w:hAnsiTheme="majorBidi" w:cstheme="majorBidi"/>
          <w:b/>
          <w:bCs/>
        </w:rPr>
        <w:t>: Study Area</w:t>
      </w:r>
      <w:r w:rsidRPr="008E4D63">
        <w:rPr>
          <w:rFonts w:asciiTheme="majorBidi" w:hAnsiTheme="majorBidi" w:cstheme="majorBidi"/>
          <w:b/>
          <w:bCs/>
          <w:highlight w:val="yellow"/>
        </w:rPr>
        <w:t xml:space="preserve"> </w:t>
      </w:r>
    </w:p>
    <w:p w14:paraId="7A9AA434" w14:textId="52A2374C" w:rsidR="00D5770D" w:rsidRDefault="00D5770D" w:rsidP="00D5770D">
      <w:pPr>
        <w:jc w:val="lowKashida"/>
        <w:rPr>
          <w:rFonts w:asciiTheme="majorBidi" w:hAnsiTheme="majorBidi" w:cstheme="majorBidi"/>
        </w:rPr>
      </w:pPr>
      <w:r w:rsidRPr="00BA443F">
        <w:rPr>
          <w:rFonts w:asciiTheme="majorBidi" w:hAnsiTheme="majorBidi" w:cstheme="majorBidi"/>
          <w:lang w:bidi="fa-IR"/>
        </w:rPr>
        <w:t xml:space="preserve">Karaj, the capital of Alborz Province, is a city nestled in the northwestern region of Iran (35.8272° N, 50.9980° E). It is situated approximately </w:t>
      </w:r>
      <w:r>
        <w:rPr>
          <w:rFonts w:asciiTheme="majorBidi" w:hAnsiTheme="majorBidi" w:cstheme="majorBidi"/>
          <w:lang w:bidi="fa-IR"/>
        </w:rPr>
        <w:t>42</w:t>
      </w:r>
      <w:r w:rsidRPr="00BA443F">
        <w:rPr>
          <w:rFonts w:asciiTheme="majorBidi" w:hAnsiTheme="majorBidi" w:cstheme="majorBidi"/>
          <w:lang w:bidi="fa-IR"/>
        </w:rPr>
        <w:t xml:space="preserve"> kilometers west of Tehran, the capital of the country, and is considered an integral part of the Tehran metropolitan area. </w:t>
      </w:r>
      <w:r w:rsidRPr="000F65D1">
        <w:rPr>
          <w:rFonts w:ascii="Times New Roman" w:eastAsia="Calibri" w:hAnsi="Times New Roman" w:cs="Times New Roman"/>
          <w:kern w:val="2"/>
          <w:lang w:bidi="fa-IR"/>
          <w14:ligatures w14:val="standardContextual"/>
        </w:rPr>
        <w:t>The</w:t>
      </w:r>
      <w:r w:rsidRPr="000F65D1">
        <w:rPr>
          <w:rFonts w:ascii="Calibri" w:eastAsia="Calibri" w:hAnsi="Calibri" w:cs="Arial"/>
          <w:kern w:val="2"/>
          <w14:ligatures w14:val="standardContextual"/>
        </w:rPr>
        <w:t xml:space="preserve"> </w:t>
      </w:r>
      <w:r w:rsidRPr="000F65D1">
        <w:rPr>
          <w:rFonts w:ascii="Times New Roman" w:eastAsia="Calibri" w:hAnsi="Times New Roman" w:cs="Times New Roman"/>
          <w:kern w:val="2"/>
          <w:lang w:bidi="fa-IR"/>
          <w14:ligatures w14:val="standardContextual"/>
        </w:rPr>
        <w:t>area of this city is 134 Km2</w:t>
      </w:r>
      <w:r w:rsidRPr="000F65D1">
        <w:rPr>
          <w:rFonts w:ascii="Calibri" w:eastAsia="Calibri" w:hAnsi="Calibri" w:cs="Arial"/>
          <w:kern w:val="2"/>
          <w14:ligatures w14:val="standardContextual"/>
        </w:rPr>
        <w:t xml:space="preserve"> </w:t>
      </w:r>
      <w:r w:rsidRPr="000F65D1">
        <w:rPr>
          <w:rFonts w:ascii="Times New Roman" w:eastAsia="Calibri" w:hAnsi="Times New Roman" w:cs="Times New Roman"/>
          <w:kern w:val="2"/>
          <w:lang w:bidi="fa-IR"/>
          <w14:ligatures w14:val="standardContextual"/>
        </w:rPr>
        <w:t>and is composed of 11 districts</w:t>
      </w:r>
      <w:r w:rsidRPr="000F65D1">
        <w:rPr>
          <w:rFonts w:ascii="Calibri" w:eastAsia="Calibri" w:hAnsi="Calibri" w:cs="Arial"/>
          <w:kern w:val="2"/>
          <w14:ligatures w14:val="standardContextual"/>
        </w:rPr>
        <w:t xml:space="preserve"> </w:t>
      </w:r>
      <w:r w:rsidRPr="000F65D1">
        <w:rPr>
          <w:rFonts w:ascii="Times New Roman" w:eastAsia="Calibri" w:hAnsi="Times New Roman" w:cs="Times New Roman"/>
          <w:kern w:val="2"/>
          <w:lang w:bidi="fa-IR"/>
          <w14:ligatures w14:val="standardContextual"/>
        </w:rPr>
        <w:t>characterized by diverse socio-economic and demographic compositions.</w:t>
      </w:r>
      <w:r w:rsidRPr="000F65D1">
        <w:rPr>
          <w:rFonts w:ascii="Calibri" w:eastAsia="Calibri" w:hAnsi="Calibri" w:cs="Arial"/>
          <w:kern w:val="2"/>
          <w14:ligatures w14:val="standardContextual"/>
        </w:rPr>
        <w:t xml:space="preserve"> </w:t>
      </w:r>
      <w:r w:rsidRPr="000F65D1">
        <w:rPr>
          <w:rFonts w:ascii="Times New Roman" w:eastAsia="Calibri" w:hAnsi="Times New Roman" w:cs="Times New Roman"/>
          <w:kern w:val="2"/>
          <w:lang w:bidi="fa-IR"/>
          <w14:ligatures w14:val="standardContextual"/>
        </w:rPr>
        <w:t>These areas range from densely populated urban cores to suburban and peri-urban regions, presenting a mosaic of residential, commercial, and industrial zones.</w:t>
      </w:r>
      <w:r w:rsidRPr="000F65D1">
        <w:rPr>
          <w:rFonts w:ascii="Times New Roman" w:eastAsia="Calibri" w:hAnsi="Times New Roman" w:cs="Times New Roman"/>
          <w:lang w:bidi="fa-IR"/>
        </w:rPr>
        <w:t xml:space="preserve"> Based on the latest censuses, Karaj's population in 2007 and 2017 was 1.3 and 1.6 million, respectively, which makes it the fourth most populated city in Iran and the twenty-second in the Middle East </w:t>
      </w:r>
      <w:r w:rsidRPr="000F65D1">
        <w:rPr>
          <w:rFonts w:ascii="Times New Roman" w:eastAsia="Calibri" w:hAnsi="Times New Roman" w:cs="Times New Roman"/>
          <w:color w:val="4472C4"/>
          <w:lang w:bidi="fa-IR"/>
        </w:rPr>
        <w:fldChar w:fldCharType="begin" w:fldLock="1"/>
      </w:r>
      <w:r>
        <w:rPr>
          <w:rFonts w:ascii="Times New Roman" w:eastAsia="Calibri" w:hAnsi="Times New Roman" w:cs="Times New Roman"/>
          <w:color w:val="4472C4"/>
          <w:lang w:bidi="fa-IR"/>
        </w:rPr>
        <w:instrText>ADDIN CSL_CITATION {"citationItems":[{"id":"ITEM-1","itemData":{"URL":"https://worldpopulationreview.com/continents/the-middle-east/cities","accessed":{"date-parts":[["2023","5","20"]]},"author":[{"dropping-particle":"","family":"World Population Review","given":"","non-dropping-particle":"","parse-names":false,"suffix":""}],"id":"ITEM-1","issued":{"date-parts":[["2023"]]},"title":"The Middle East Cities by Population 2023","type":"webpage"},"uris":["http://www.mendeley.com/documents/?uuid=735a1e40-0c06-30c1-8648-8cd98f1f699e","http://www.mendeley.com/documents/?uuid=9d6da47a-d08b-4368-b975-0b5081838640"]}],"mendeley":{"formattedCitation":"(World Population Review, 2023)","plainTextFormattedCitation":"(World Population Review, 2023)","previouslyFormattedCitation":"(World Population Review, 2023)"},"properties":{"noteIndex":0},"schema":"https://github.com/citation-style-language/schema/raw/master/csl-citation.json"}</w:instrText>
      </w:r>
      <w:r w:rsidRPr="000F65D1">
        <w:rPr>
          <w:rFonts w:ascii="Times New Roman" w:eastAsia="Calibri" w:hAnsi="Times New Roman" w:cs="Times New Roman"/>
          <w:color w:val="4472C4"/>
          <w:lang w:bidi="fa-IR"/>
        </w:rPr>
        <w:fldChar w:fldCharType="separate"/>
      </w:r>
      <w:r w:rsidRPr="000F65D1">
        <w:rPr>
          <w:rFonts w:ascii="Times New Roman" w:eastAsia="Calibri" w:hAnsi="Times New Roman" w:cs="Times New Roman"/>
          <w:noProof/>
          <w:color w:val="4472C4"/>
          <w:lang w:bidi="fa-IR"/>
        </w:rPr>
        <w:t>(World Population Review, 2023)</w:t>
      </w:r>
      <w:r w:rsidRPr="000F65D1">
        <w:rPr>
          <w:rFonts w:ascii="Times New Roman" w:eastAsia="Calibri" w:hAnsi="Times New Roman" w:cs="Times New Roman"/>
          <w:color w:val="4472C4"/>
          <w:lang w:bidi="fa-IR"/>
        </w:rPr>
        <w:fldChar w:fldCharType="end"/>
      </w:r>
      <w:r w:rsidRPr="000F65D1">
        <w:rPr>
          <w:rFonts w:ascii="Times New Roman" w:eastAsia="Calibri" w:hAnsi="Times New Roman" w:cs="Times New Roman"/>
          <w:lang w:bidi="fa-IR"/>
        </w:rPr>
        <w:t>.</w:t>
      </w:r>
      <w:r w:rsidRPr="000F65D1">
        <w:rPr>
          <w:rFonts w:ascii="Calibri" w:eastAsia="Calibri" w:hAnsi="Calibri" w:cs="Arial"/>
          <w:kern w:val="2"/>
          <w14:ligatures w14:val="standardContextual"/>
        </w:rPr>
        <w:t xml:space="preserve"> </w:t>
      </w:r>
      <w:r w:rsidRPr="000F65D1">
        <w:rPr>
          <w:rFonts w:asciiTheme="majorBidi" w:hAnsiTheme="majorBidi" w:cstheme="majorBidi"/>
          <w:lang w:bidi="fa-IR"/>
        </w:rPr>
        <w:t xml:space="preserve">The adjacency to Tehran makes Karaj </w:t>
      </w:r>
      <w:r w:rsidRPr="00044778">
        <w:rPr>
          <w:rFonts w:asciiTheme="majorBidi" w:hAnsiTheme="majorBidi" w:cstheme="majorBidi"/>
          <w:lang w:bidi="fa-IR"/>
        </w:rPr>
        <w:t>attractive for people who want to work in Tehran and earn higher salaries but cannot afford to live there. Additionally, because of the high inflation rate in Iran over the past years, Tehran has experienced a reverse migration pattern; being unable to afford housing prices, many people have migrated from this city to Karaj. These migrations have generated the highest population growth, 4.7</w:t>
      </w:r>
      <w:r>
        <w:rPr>
          <w:rFonts w:asciiTheme="majorBidi" w:hAnsiTheme="majorBidi" w:cstheme="majorBidi"/>
          <w:lang w:bidi="fa-IR"/>
        </w:rPr>
        <w:t xml:space="preserve"> </w:t>
      </w:r>
      <w:r w:rsidRPr="008337AC">
        <w:rPr>
          <w:rFonts w:asciiTheme="majorBidi" w:hAnsiTheme="majorBidi" w:cstheme="majorBidi"/>
          <w:lang w:bidi="fa-IR"/>
        </w:rPr>
        <w:t>percent</w:t>
      </w:r>
      <w:r w:rsidRPr="00044778">
        <w:rPr>
          <w:rFonts w:asciiTheme="majorBidi" w:hAnsiTheme="majorBidi" w:cstheme="majorBidi"/>
          <w:lang w:bidi="fa-IR"/>
        </w:rPr>
        <w:t xml:space="preserve"> </w:t>
      </w:r>
      <w:r w:rsidRPr="00044778">
        <w:rPr>
          <w:rFonts w:asciiTheme="majorBidi" w:hAnsiTheme="majorBidi" w:cstheme="majorBidi"/>
          <w:color w:val="4472C4" w:themeColor="accent1"/>
          <w:lang w:bidi="fa-IR"/>
        </w:rPr>
        <w:fldChar w:fldCharType="begin" w:fldLock="1"/>
      </w:r>
      <w:r>
        <w:rPr>
          <w:rFonts w:asciiTheme="majorBidi" w:hAnsiTheme="majorBidi" w:cstheme="majorBidi"/>
          <w:color w:val="4472C4" w:themeColor="accent1"/>
          <w:lang w:bidi="fa-IR"/>
        </w:rPr>
        <w:instrText>ADDIN CSL_CITATION {"citationItems":[{"id":"ITEM-1","itemData":{"URL":"https://www.amar.org.ir/","accessed":{"date-parts":[["2021","10","10"]]},"id":"ITEM-1","issued":{"date-parts":[["2021"]]},"title":"Statistical Center of Iran","type":"webpage"},"uris":["http://www.mendeley.com/documents/?uuid=600ecf0a-6aa2-3c54-8ec1-a32da1f4d847","http://www.mendeley.com/documents/?uuid=69d84fc3-64bf-4a85-a62b-8e711f81ecb6"]}],"mendeley":{"formattedCitation":"(Statistical Center of Iran, 2021)","manualFormatting":"(Statistical Center of Iran, 2021)","plainTextFormattedCitation":"(Statistical Center of Iran, 2021)","previouslyFormattedCitation":"(Statistical Center of Iran, 2021)"},"properties":{"noteIndex":0},"schema":"https://github.com/citation-style-language/schema/raw/master/csl-citation.json"}</w:instrText>
      </w:r>
      <w:r w:rsidRPr="00044778">
        <w:rPr>
          <w:rFonts w:asciiTheme="majorBidi" w:hAnsiTheme="majorBidi" w:cstheme="majorBidi"/>
          <w:color w:val="4472C4" w:themeColor="accent1"/>
          <w:lang w:bidi="fa-IR"/>
        </w:rPr>
        <w:fldChar w:fldCharType="separate"/>
      </w:r>
      <w:r w:rsidRPr="00044778">
        <w:rPr>
          <w:rFonts w:asciiTheme="majorBidi" w:hAnsiTheme="majorBidi" w:cstheme="majorBidi"/>
          <w:noProof/>
          <w:color w:val="4472C4" w:themeColor="accent1"/>
          <w:lang w:bidi="fa-IR"/>
        </w:rPr>
        <w:t>(Statistical Center of Iran, 2021)</w:t>
      </w:r>
      <w:r w:rsidRPr="00044778">
        <w:rPr>
          <w:rFonts w:asciiTheme="majorBidi" w:hAnsiTheme="majorBidi" w:cstheme="majorBidi"/>
          <w:color w:val="4472C4" w:themeColor="accent1"/>
          <w:lang w:bidi="fa-IR"/>
        </w:rPr>
        <w:fldChar w:fldCharType="end"/>
      </w:r>
      <w:r w:rsidRPr="00044778">
        <w:rPr>
          <w:rFonts w:asciiTheme="majorBidi" w:hAnsiTheme="majorBidi" w:cstheme="majorBidi"/>
          <w:lang w:bidi="fa-IR"/>
        </w:rPr>
        <w:t xml:space="preserve">, among all Iranian cities and have significantly </w:t>
      </w:r>
      <w:r w:rsidRPr="000F65D1">
        <w:rPr>
          <w:rFonts w:asciiTheme="majorBidi" w:hAnsiTheme="majorBidi" w:cstheme="majorBidi"/>
          <w:lang w:bidi="fa-IR"/>
        </w:rPr>
        <w:t xml:space="preserve">challenged </w:t>
      </w:r>
      <w:r w:rsidRPr="00044778">
        <w:rPr>
          <w:rFonts w:asciiTheme="majorBidi" w:hAnsiTheme="majorBidi" w:cstheme="majorBidi"/>
          <w:lang w:bidi="fa-IR"/>
        </w:rPr>
        <w:t>the UGS distribution, accessibility, and urban in</w:t>
      </w:r>
      <w:r>
        <w:rPr>
          <w:rFonts w:asciiTheme="majorBidi" w:hAnsiTheme="majorBidi" w:cstheme="majorBidi"/>
          <w:lang w:bidi="fa-IR"/>
        </w:rPr>
        <w:t>equality</w:t>
      </w:r>
      <w:r w:rsidRPr="00044778">
        <w:rPr>
          <w:rFonts w:asciiTheme="majorBidi" w:hAnsiTheme="majorBidi" w:cstheme="majorBidi"/>
          <w:lang w:bidi="fa-IR"/>
        </w:rPr>
        <w:t xml:space="preserve"> in Karaj. </w:t>
      </w:r>
      <w:r w:rsidRPr="00044778">
        <w:rPr>
          <w:rFonts w:asciiTheme="majorBidi" w:hAnsiTheme="majorBidi" w:cstheme="majorBidi"/>
        </w:rPr>
        <w:t>The entire park lands percentage and park area per capita were %1.33 and 1.38 m</w:t>
      </w:r>
      <w:r w:rsidRPr="00044778">
        <w:rPr>
          <w:rFonts w:asciiTheme="majorBidi" w:hAnsiTheme="majorBidi" w:cstheme="majorBidi"/>
          <w:vertAlign w:val="superscript"/>
        </w:rPr>
        <w:t>2</w:t>
      </w:r>
      <w:r w:rsidRPr="00044778">
        <w:rPr>
          <w:rFonts w:asciiTheme="majorBidi" w:hAnsiTheme="majorBidi" w:cstheme="majorBidi"/>
        </w:rPr>
        <w:t xml:space="preserve"> in 2007 and %2.77 and 2.32 m</w:t>
      </w:r>
      <w:r w:rsidRPr="00044778">
        <w:rPr>
          <w:rFonts w:asciiTheme="majorBidi" w:hAnsiTheme="majorBidi" w:cstheme="majorBidi"/>
          <w:vertAlign w:val="superscript"/>
        </w:rPr>
        <w:t>2</w:t>
      </w:r>
      <w:r w:rsidRPr="00044778">
        <w:rPr>
          <w:rFonts w:asciiTheme="majorBidi" w:hAnsiTheme="majorBidi" w:cstheme="majorBidi"/>
        </w:rPr>
        <w:t xml:space="preserve"> in 2017, respectively </w:t>
      </w:r>
      <w:r w:rsidRPr="00044778">
        <w:rPr>
          <w:rFonts w:asciiTheme="majorBidi" w:hAnsiTheme="majorBidi" w:cstheme="majorBidi"/>
          <w:color w:val="4472C4" w:themeColor="accent1"/>
        </w:rPr>
        <w:t>(</w:t>
      </w:r>
      <w:r w:rsidRPr="00044778">
        <w:rPr>
          <w:rStyle w:val="Strong"/>
          <w:rFonts w:asciiTheme="majorBidi" w:hAnsiTheme="majorBidi" w:cstheme="majorBidi"/>
          <w:b w:val="0"/>
          <w:bCs w:val="0"/>
          <w:color w:val="4472C4" w:themeColor="accent1"/>
        </w:rPr>
        <w:t xml:space="preserve">Table. </w:t>
      </w:r>
      <w:r>
        <w:rPr>
          <w:rStyle w:val="Strong"/>
          <w:rFonts w:asciiTheme="majorBidi" w:hAnsiTheme="majorBidi" w:cstheme="majorBidi"/>
          <w:b w:val="0"/>
          <w:bCs w:val="0"/>
          <w:color w:val="4472C4" w:themeColor="accent1"/>
        </w:rPr>
        <w:t>S</w:t>
      </w:r>
      <w:r w:rsidRPr="00044778">
        <w:rPr>
          <w:rStyle w:val="Strong"/>
          <w:rFonts w:asciiTheme="majorBidi" w:hAnsiTheme="majorBidi" w:cstheme="majorBidi"/>
          <w:b w:val="0"/>
          <w:bCs w:val="0"/>
          <w:color w:val="4472C4" w:themeColor="accent1"/>
        </w:rPr>
        <w:t>1</w:t>
      </w:r>
      <w:r w:rsidRPr="00044778">
        <w:rPr>
          <w:rFonts w:asciiTheme="majorBidi" w:hAnsiTheme="majorBidi" w:cstheme="majorBidi"/>
          <w:color w:val="4472C4" w:themeColor="accent1"/>
        </w:rPr>
        <w:t>)</w:t>
      </w:r>
      <w:r w:rsidRPr="00044778">
        <w:rPr>
          <w:rFonts w:asciiTheme="majorBidi" w:hAnsiTheme="majorBidi" w:cstheme="majorBidi"/>
        </w:rPr>
        <w:t>, which shows a severe shortage of parks compared with the average of 6 m</w:t>
      </w:r>
      <w:r w:rsidRPr="00044778">
        <w:rPr>
          <w:rFonts w:asciiTheme="majorBidi" w:hAnsiTheme="majorBidi" w:cstheme="majorBidi"/>
          <w:vertAlign w:val="superscript"/>
        </w:rPr>
        <w:t>2</w:t>
      </w:r>
      <w:r w:rsidRPr="00044778">
        <w:rPr>
          <w:rFonts w:asciiTheme="majorBidi" w:hAnsiTheme="majorBidi" w:cstheme="majorBidi"/>
        </w:rPr>
        <w:t xml:space="preserve"> park area per capita for Iranian cities </w:t>
      </w:r>
      <w:r w:rsidRPr="00044778">
        <w:rPr>
          <w:rFonts w:asciiTheme="majorBidi" w:hAnsiTheme="majorBidi" w:cstheme="majorBidi"/>
          <w:color w:val="4472C4" w:themeColor="accent1"/>
        </w:rPr>
        <w:fldChar w:fldCharType="begin" w:fldLock="1"/>
      </w:r>
      <w:r>
        <w:rPr>
          <w:rFonts w:asciiTheme="majorBidi" w:hAnsiTheme="majorBidi" w:cstheme="majorBidi"/>
          <w:color w:val="4472C4" w:themeColor="accent1"/>
        </w:rPr>
        <w:instrText>ADDIN CSL_CITATION {"citationItems":[{"id":"ITEM-1","itemData":{"DOI":"10.1016/j.jenvman.2020.110122","ISSN":"10958630","PMID":"32090823","abstract":"Adequate number of parks and amount of land allocated to those parks, to provide equal access for all city residences, are important factors in achieving cities to spatial equity. The purpose of this study was to analyze availability, distribution and accessibility of urban parks in the city of Ilam, Iran. In this research, descriptive statistics and buffering techniques in GIS were used. Our findings show that in Ilam, the indexes of park coverage and per capita park area are 2.13% and 1.91 m2 respectively, that are much lower than those of Iranian standards. Only slightly over a third of Ilam residents live within 200 m of a park. Parks are disproportionately agglomerated in the northern half of the city. Whilst 30.4% of the city's surface area, where 27.3% of the city's population reside, is not covered by park service areas, some other parts benefit from 13 park service areas. The index of per capita access to parks for 34.8% of Ilam population that reside in 32.7% of Ilam surface area, is less than 1.5 m2. The city in general suffers from a shortage of parks, but this, in particular, is severe in the city center and in the southern parts, highlighting the need for allocation of more lands for park provision.","author":[{"dropping-particle":"","family":"Fasihi","given":"Habibollah","non-dropping-particle":"","parse-names":false,"suffix":""},{"dropping-particle":"","family":"Parizadi","given":"Taher","non-dropping-particle":"","parse-names":false,"suffix":""}],"container-title":"Journal of Environmental Management","id":"ITEM-1","issue":"January","issued":{"date-parts":[["2020"]]},"page":"110122","publisher":"Elsevier Ltd","title":"Analysis of spatial equity and access to urban parks in Ilam, Iran","type":"article-journal","volume":"260"},"uris":["http://www.mendeley.com/documents/?uuid=b97ec853-80f8-4dbc-87df-2a2776eb2616"]}],"mendeley":{"formattedCitation":"(Fasihi and Parizadi, 2020)","plainTextFormattedCitation":"(Fasihi and Parizadi, 2020)","previouslyFormattedCitation":"(Fasihi and Parizadi, 2020)"},"properties":{"noteIndex":0},"schema":"https://github.com/citation-style-language/schema/raw/master/csl-citation.json"}</w:instrText>
      </w:r>
      <w:r w:rsidRPr="00044778">
        <w:rPr>
          <w:rFonts w:asciiTheme="majorBidi" w:hAnsiTheme="majorBidi" w:cstheme="majorBidi"/>
          <w:color w:val="4472C4" w:themeColor="accent1"/>
        </w:rPr>
        <w:fldChar w:fldCharType="separate"/>
      </w:r>
      <w:r w:rsidRPr="00666828">
        <w:rPr>
          <w:rFonts w:asciiTheme="majorBidi" w:hAnsiTheme="majorBidi" w:cstheme="majorBidi"/>
          <w:noProof/>
          <w:color w:val="4472C4" w:themeColor="accent1"/>
        </w:rPr>
        <w:t>(Fasihi and Parizadi, 2020)</w:t>
      </w:r>
      <w:r w:rsidRPr="00044778">
        <w:rPr>
          <w:rFonts w:asciiTheme="majorBidi" w:hAnsiTheme="majorBidi" w:cstheme="majorBidi"/>
          <w:color w:val="4472C4" w:themeColor="accent1"/>
        </w:rPr>
        <w:fldChar w:fldCharType="end"/>
      </w:r>
      <w:r w:rsidRPr="00044778">
        <w:rPr>
          <w:rFonts w:asciiTheme="majorBidi" w:hAnsiTheme="majorBidi" w:cstheme="majorBidi"/>
        </w:rPr>
        <w:t>. </w:t>
      </w:r>
    </w:p>
    <w:p w14:paraId="7E2B7F7B" w14:textId="3BE7D54E" w:rsidR="004A6762" w:rsidRPr="009B2736" w:rsidRDefault="00D5770D" w:rsidP="009D6728">
      <w:pPr>
        <w:jc w:val="lowKashida"/>
        <w:rPr>
          <w:rFonts w:asciiTheme="majorBidi" w:hAnsiTheme="majorBidi" w:cstheme="majorBidi"/>
        </w:rPr>
      </w:pPr>
      <w:r w:rsidRPr="000F65D1">
        <w:rPr>
          <w:rFonts w:ascii="Times New Roman" w:eastAsia="Calibri" w:hAnsi="Times New Roman" w:cs="Times New Roman"/>
          <w:kern w:val="2"/>
          <w:lang w:bidi="fa-IR"/>
          <w14:ligatures w14:val="standardContextual"/>
        </w:rPr>
        <w:t>Karaj, as one of the significant urban centers in Iran, is rapidly undergoing development and change. The city faces critical urban planning issues, including high levels of immigration and rapid changes in population and population density, which directly impact changes in urban land use. Given that Karaj attracts many migrants and, in addition to having a young population, has a lower per capita urban park standard compared to the country's average, the importance of access to urban green spaces for the satisfaction and well-being of residents becomes more pronounced. Therefore, assessing whether the distribution of green spaces provides equal opportunities for all residents, including migrants, and whether these demands are met at the city level is crucial.</w:t>
      </w:r>
      <w:r w:rsidR="0078452A" w:rsidRPr="0078452A">
        <w:t xml:space="preserve"> </w:t>
      </w:r>
    </w:p>
    <w:p w14:paraId="0F581F29" w14:textId="35453E30" w:rsidR="002A1276" w:rsidRPr="009B2736" w:rsidRDefault="002A1276" w:rsidP="008E4D63">
      <w:pPr>
        <w:rPr>
          <w:rFonts w:asciiTheme="majorBidi" w:hAnsiTheme="majorBidi" w:cstheme="majorBidi"/>
        </w:rPr>
      </w:pPr>
      <w:r w:rsidRPr="009B2736">
        <w:rPr>
          <w:rFonts w:asciiTheme="majorBidi" w:hAnsiTheme="majorBidi" w:cstheme="majorBidi"/>
          <w:b/>
          <w:bCs/>
        </w:rPr>
        <w:lastRenderedPageBreak/>
        <w:t xml:space="preserve">Table </w:t>
      </w:r>
      <w:r w:rsidR="009B2736">
        <w:rPr>
          <w:rFonts w:asciiTheme="majorBidi" w:hAnsiTheme="majorBidi" w:cstheme="majorBidi"/>
          <w:b/>
          <w:bCs/>
        </w:rPr>
        <w:t>S</w:t>
      </w:r>
      <w:r w:rsidR="002F21D0" w:rsidRPr="009B2736">
        <w:rPr>
          <w:rFonts w:asciiTheme="majorBidi" w:hAnsiTheme="majorBidi" w:cstheme="majorBidi"/>
          <w:b/>
          <w:bCs/>
        </w:rPr>
        <w:t>1</w:t>
      </w:r>
      <w:r w:rsidRPr="009B2736">
        <w:rPr>
          <w:rFonts w:asciiTheme="majorBidi" w:hAnsiTheme="majorBidi" w:cstheme="majorBidi"/>
          <w:b/>
          <w:bCs/>
        </w:rPr>
        <w:t>.</w:t>
      </w:r>
      <w:r w:rsidRPr="009B2736">
        <w:rPr>
          <w:rFonts w:asciiTheme="majorBidi" w:hAnsiTheme="majorBidi" w:cstheme="majorBidi"/>
        </w:rPr>
        <w:t xml:space="preserve"> </w:t>
      </w:r>
      <w:r w:rsidR="00FF07D4" w:rsidRPr="009B2736">
        <w:rPr>
          <w:rFonts w:asciiTheme="majorBidi" w:hAnsiTheme="majorBidi" w:cstheme="majorBidi"/>
        </w:rPr>
        <w:t>Distribution of Urban Green Space in Karaj for 2007 and 2017 (Measured in m²)</w:t>
      </w:r>
      <w:r w:rsidR="008E4D63">
        <w:rPr>
          <w:rFonts w:asciiTheme="majorBidi" w:hAnsiTheme="majorBidi" w:cstheme="majorBidi"/>
        </w:rPr>
        <w:t xml:space="preserve">. </w:t>
      </w:r>
      <w:r w:rsidR="008E4D63" w:rsidRPr="009B2736">
        <w:rPr>
          <w:rFonts w:asciiTheme="majorBidi" w:hAnsiTheme="majorBidi" w:cstheme="majorBidi"/>
          <w:lang w:bidi="fa-IR"/>
        </w:rPr>
        <w:t xml:space="preserve">Source: </w:t>
      </w:r>
      <w:r w:rsidR="008E4D63" w:rsidRPr="009B2736">
        <w:rPr>
          <w:rFonts w:asciiTheme="majorBidi" w:hAnsiTheme="majorBidi" w:cstheme="majorBidi"/>
          <w:color w:val="4472C4" w:themeColor="accent1"/>
          <w:rtl/>
          <w:lang w:bidi="fa-IR"/>
        </w:rPr>
        <w:fldChar w:fldCharType="begin" w:fldLock="1"/>
      </w:r>
      <w:r w:rsidR="008E4D63" w:rsidRPr="009B2736">
        <w:rPr>
          <w:rFonts w:asciiTheme="majorBidi" w:hAnsiTheme="majorBidi" w:cstheme="majorBidi"/>
          <w:color w:val="4472C4" w:themeColor="accent1"/>
          <w:lang w:bidi="fa-IR"/>
        </w:rPr>
        <w:instrText>ADDIN CSL_CITATION {"citationItems":[{"id":"ITEM-1","itemData":{"URL":"https://english.karaj.ir/home/?246097/subportal-english","accessed":{"date-parts":[["2023","9","29"]]},"author":[{"dropping-particle":"","family":"karaj municipality","given":"","non-dropping-particle":"","parse-names":false,"suffix":""}],"id":"ITEM-1","issued":{"date-parts":[["2022"]]},"title":"karaj municipality","type":"webpage"},"uris":["http://www.mendeley.com/documents/?uuid=4b5d3ea4-28e4-396f-a141-7187de8934f6"]}],"mendeley":{"formattedCitation":"(karaj municipality, 2022)","manualFormatting":"(Karaj municipality, 2022)","plainTextFormattedCitation":"(karaj municipality, 2022)","previouslyFormattedCitation":"(karaj municipality, 2022)"},"properties":{"noteIndex":0},"schema":"https://github.com/citation-style-language/schema/raw/master/csl-citation.json"}</w:instrText>
      </w:r>
      <w:r w:rsidR="008E4D63" w:rsidRPr="009B2736">
        <w:rPr>
          <w:rFonts w:asciiTheme="majorBidi" w:hAnsiTheme="majorBidi" w:cstheme="majorBidi"/>
          <w:color w:val="4472C4" w:themeColor="accent1"/>
          <w:rtl/>
          <w:lang w:bidi="fa-IR"/>
        </w:rPr>
        <w:fldChar w:fldCharType="separate"/>
      </w:r>
      <w:r w:rsidR="008E4D63" w:rsidRPr="009B2736">
        <w:rPr>
          <w:rFonts w:asciiTheme="majorBidi" w:hAnsiTheme="majorBidi" w:cstheme="majorBidi"/>
          <w:noProof/>
          <w:color w:val="4472C4" w:themeColor="accent1"/>
          <w:lang w:bidi="fa-IR"/>
        </w:rPr>
        <w:t>(Karaj municipality, 2022)</w:t>
      </w:r>
      <w:r w:rsidR="008E4D63" w:rsidRPr="009B2736">
        <w:rPr>
          <w:rFonts w:asciiTheme="majorBidi" w:hAnsiTheme="majorBidi" w:cstheme="majorBidi"/>
          <w:color w:val="4472C4" w:themeColor="accent1"/>
          <w:rtl/>
          <w:lang w:bidi="fa-IR"/>
        </w:rPr>
        <w:fldChar w:fldCharType="end"/>
      </w:r>
      <w:r w:rsidR="008E4D63">
        <w:rPr>
          <w:rFonts w:asciiTheme="majorBidi" w:hAnsiTheme="majorBidi" w:cstheme="majorBidi"/>
          <w:color w:val="4472C4" w:themeColor="accent1"/>
          <w:lang w:bidi="fa-IR"/>
        </w:rPr>
        <w:t>.</w:t>
      </w:r>
    </w:p>
    <w:tbl>
      <w:tblPr>
        <w:tblStyle w:val="PlainTable2"/>
        <w:tblW w:w="0" w:type="auto"/>
        <w:tblLook w:val="04A0" w:firstRow="1" w:lastRow="0" w:firstColumn="1" w:lastColumn="0" w:noHBand="0" w:noVBand="1"/>
      </w:tblPr>
      <w:tblGrid>
        <w:gridCol w:w="862"/>
        <w:gridCol w:w="986"/>
        <w:gridCol w:w="1316"/>
        <w:gridCol w:w="1074"/>
        <w:gridCol w:w="1158"/>
        <w:gridCol w:w="1194"/>
        <w:gridCol w:w="1717"/>
        <w:gridCol w:w="1053"/>
      </w:tblGrid>
      <w:tr w:rsidR="002525CA" w:rsidRPr="009B2736" w14:paraId="6117DB4D" w14:textId="77777777" w:rsidTr="00B86BA9">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62" w:type="dxa"/>
            <w:vAlign w:val="center"/>
          </w:tcPr>
          <w:p w14:paraId="1A53EB69" w14:textId="77777777" w:rsidR="002525CA" w:rsidRPr="009B2736" w:rsidRDefault="002525CA" w:rsidP="00B86BA9">
            <w:pPr>
              <w:jc w:val="center"/>
              <w:rPr>
                <w:rFonts w:asciiTheme="majorBidi" w:hAnsiTheme="majorBidi" w:cstheme="majorBidi"/>
              </w:rPr>
            </w:pPr>
          </w:p>
        </w:tc>
        <w:tc>
          <w:tcPr>
            <w:tcW w:w="986" w:type="dxa"/>
            <w:vAlign w:val="center"/>
          </w:tcPr>
          <w:p w14:paraId="207AE819" w14:textId="77777777" w:rsidR="002525CA" w:rsidRPr="009B2736" w:rsidRDefault="002525CA" w:rsidP="00B86B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 xml:space="preserve">Year </w:t>
            </w:r>
          </w:p>
        </w:tc>
        <w:tc>
          <w:tcPr>
            <w:tcW w:w="1316" w:type="dxa"/>
            <w:vAlign w:val="center"/>
          </w:tcPr>
          <w:p w14:paraId="2626CF77" w14:textId="77777777" w:rsidR="002525CA" w:rsidRPr="009B2736" w:rsidRDefault="002525CA" w:rsidP="00B86B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Total area</w:t>
            </w:r>
          </w:p>
        </w:tc>
        <w:tc>
          <w:tcPr>
            <w:tcW w:w="1074" w:type="dxa"/>
            <w:vAlign w:val="center"/>
          </w:tcPr>
          <w:p w14:paraId="39F1CD8A" w14:textId="77777777" w:rsidR="002525CA" w:rsidRPr="009B2736" w:rsidRDefault="002525CA" w:rsidP="00B86B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Mean area</w:t>
            </w:r>
          </w:p>
        </w:tc>
        <w:tc>
          <w:tcPr>
            <w:tcW w:w="1158" w:type="dxa"/>
            <w:vAlign w:val="center"/>
          </w:tcPr>
          <w:p w14:paraId="0C6701A6" w14:textId="77777777" w:rsidR="002525CA" w:rsidRPr="009B2736" w:rsidRDefault="002525CA" w:rsidP="00B86B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Minimum area</w:t>
            </w:r>
          </w:p>
        </w:tc>
        <w:tc>
          <w:tcPr>
            <w:tcW w:w="1194" w:type="dxa"/>
            <w:vAlign w:val="center"/>
          </w:tcPr>
          <w:p w14:paraId="66B700F7" w14:textId="77777777" w:rsidR="002525CA" w:rsidRPr="009B2736" w:rsidRDefault="002525CA" w:rsidP="00B86B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Maximum area</w:t>
            </w:r>
          </w:p>
        </w:tc>
        <w:tc>
          <w:tcPr>
            <w:tcW w:w="1717" w:type="dxa"/>
            <w:vAlign w:val="center"/>
          </w:tcPr>
          <w:p w14:paraId="15ACDE66" w14:textId="77777777" w:rsidR="002525CA" w:rsidRPr="009B2736" w:rsidRDefault="002525CA" w:rsidP="00B86B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Percentage of parklands</w:t>
            </w:r>
          </w:p>
        </w:tc>
        <w:tc>
          <w:tcPr>
            <w:tcW w:w="1053" w:type="dxa"/>
            <w:vAlign w:val="center"/>
          </w:tcPr>
          <w:p w14:paraId="23DC9A4A" w14:textId="77777777" w:rsidR="002525CA" w:rsidRPr="009B2736" w:rsidRDefault="002525CA" w:rsidP="00B86B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Park area per capita</w:t>
            </w:r>
          </w:p>
        </w:tc>
      </w:tr>
      <w:tr w:rsidR="002525CA" w:rsidRPr="009B2736" w14:paraId="5A8E9E74" w14:textId="77777777" w:rsidTr="00B86BA9">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862" w:type="dxa"/>
            <w:vMerge w:val="restart"/>
            <w:vAlign w:val="center"/>
          </w:tcPr>
          <w:p w14:paraId="6B4511AE" w14:textId="77777777" w:rsidR="002525CA" w:rsidRPr="009B2736" w:rsidRDefault="002525CA" w:rsidP="00B86BA9">
            <w:pPr>
              <w:jc w:val="center"/>
              <w:rPr>
                <w:rFonts w:asciiTheme="majorBidi" w:hAnsiTheme="majorBidi" w:cstheme="majorBidi"/>
              </w:rPr>
            </w:pPr>
            <w:r w:rsidRPr="009B2736">
              <w:rPr>
                <w:rFonts w:asciiTheme="majorBidi" w:hAnsiTheme="majorBidi" w:cstheme="majorBidi"/>
              </w:rPr>
              <w:t>Karaj</w:t>
            </w:r>
          </w:p>
        </w:tc>
        <w:tc>
          <w:tcPr>
            <w:tcW w:w="986" w:type="dxa"/>
            <w:vAlign w:val="center"/>
          </w:tcPr>
          <w:p w14:paraId="53C431F4" w14:textId="77777777" w:rsidR="002525CA" w:rsidRPr="009B2736" w:rsidRDefault="002525CA" w:rsidP="00B86BA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2007</w:t>
            </w:r>
          </w:p>
        </w:tc>
        <w:tc>
          <w:tcPr>
            <w:tcW w:w="1316" w:type="dxa"/>
            <w:vAlign w:val="center"/>
          </w:tcPr>
          <w:p w14:paraId="28BD2D4B" w14:textId="77777777" w:rsidR="002525CA" w:rsidRPr="009B2736" w:rsidRDefault="002525CA" w:rsidP="00B86BA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1,798,484</w:t>
            </w:r>
          </w:p>
        </w:tc>
        <w:tc>
          <w:tcPr>
            <w:tcW w:w="1074" w:type="dxa"/>
            <w:vAlign w:val="center"/>
          </w:tcPr>
          <w:p w14:paraId="7C7F4CF1" w14:textId="77777777" w:rsidR="002525CA" w:rsidRPr="009B2736" w:rsidRDefault="002525CA" w:rsidP="00B86BA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11,455</w:t>
            </w:r>
          </w:p>
        </w:tc>
        <w:tc>
          <w:tcPr>
            <w:tcW w:w="1158" w:type="dxa"/>
            <w:vAlign w:val="center"/>
          </w:tcPr>
          <w:p w14:paraId="3AB7AA52" w14:textId="77777777" w:rsidR="002525CA" w:rsidRPr="009B2736" w:rsidRDefault="002525CA" w:rsidP="00B86BA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32</w:t>
            </w:r>
          </w:p>
        </w:tc>
        <w:tc>
          <w:tcPr>
            <w:tcW w:w="1194" w:type="dxa"/>
            <w:vAlign w:val="center"/>
          </w:tcPr>
          <w:p w14:paraId="330DCD81" w14:textId="77777777" w:rsidR="002525CA" w:rsidRPr="009B2736" w:rsidRDefault="002525CA" w:rsidP="00B86BA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492,110</w:t>
            </w:r>
          </w:p>
        </w:tc>
        <w:tc>
          <w:tcPr>
            <w:tcW w:w="1717" w:type="dxa"/>
            <w:vAlign w:val="center"/>
          </w:tcPr>
          <w:p w14:paraId="33918CCE" w14:textId="77777777" w:rsidR="002525CA" w:rsidRPr="009B2736" w:rsidRDefault="002525CA" w:rsidP="00B86BA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 1.33</w:t>
            </w:r>
          </w:p>
        </w:tc>
        <w:tc>
          <w:tcPr>
            <w:tcW w:w="1053" w:type="dxa"/>
            <w:vAlign w:val="center"/>
          </w:tcPr>
          <w:p w14:paraId="71D3847D" w14:textId="77777777" w:rsidR="002525CA" w:rsidRPr="009B2736" w:rsidRDefault="002525CA" w:rsidP="00B86BA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1.38</w:t>
            </w:r>
          </w:p>
        </w:tc>
      </w:tr>
      <w:tr w:rsidR="002525CA" w:rsidRPr="009B2736" w14:paraId="4E3702D8" w14:textId="77777777" w:rsidTr="00B86BA9">
        <w:trPr>
          <w:trHeight w:val="286"/>
        </w:trPr>
        <w:tc>
          <w:tcPr>
            <w:cnfStyle w:val="001000000000" w:firstRow="0" w:lastRow="0" w:firstColumn="1" w:lastColumn="0" w:oddVBand="0" w:evenVBand="0" w:oddHBand="0" w:evenHBand="0" w:firstRowFirstColumn="0" w:firstRowLastColumn="0" w:lastRowFirstColumn="0" w:lastRowLastColumn="0"/>
            <w:tcW w:w="862" w:type="dxa"/>
            <w:vMerge/>
            <w:vAlign w:val="center"/>
          </w:tcPr>
          <w:p w14:paraId="2C61A979" w14:textId="77777777" w:rsidR="002525CA" w:rsidRPr="009B2736" w:rsidRDefault="002525CA" w:rsidP="00B86BA9">
            <w:pPr>
              <w:jc w:val="center"/>
              <w:rPr>
                <w:rFonts w:asciiTheme="majorBidi" w:hAnsiTheme="majorBidi" w:cstheme="majorBidi"/>
              </w:rPr>
            </w:pPr>
          </w:p>
        </w:tc>
        <w:tc>
          <w:tcPr>
            <w:tcW w:w="986" w:type="dxa"/>
            <w:vAlign w:val="center"/>
          </w:tcPr>
          <w:p w14:paraId="39AF5EEC" w14:textId="77777777" w:rsidR="002525CA" w:rsidRPr="009B2736" w:rsidRDefault="002525CA" w:rsidP="00B86BA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2017</w:t>
            </w:r>
          </w:p>
        </w:tc>
        <w:tc>
          <w:tcPr>
            <w:tcW w:w="1316" w:type="dxa"/>
            <w:vAlign w:val="center"/>
          </w:tcPr>
          <w:p w14:paraId="17D96704" w14:textId="77777777" w:rsidR="002525CA" w:rsidRPr="009B2736" w:rsidRDefault="002525CA" w:rsidP="00B86BA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3,727,428</w:t>
            </w:r>
          </w:p>
        </w:tc>
        <w:tc>
          <w:tcPr>
            <w:tcW w:w="1074" w:type="dxa"/>
            <w:vAlign w:val="center"/>
          </w:tcPr>
          <w:p w14:paraId="0A51D1C8" w14:textId="77777777" w:rsidR="002525CA" w:rsidRPr="009B2736" w:rsidRDefault="002525CA" w:rsidP="00B86BA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15,402</w:t>
            </w:r>
          </w:p>
        </w:tc>
        <w:tc>
          <w:tcPr>
            <w:tcW w:w="1158" w:type="dxa"/>
            <w:vAlign w:val="center"/>
          </w:tcPr>
          <w:p w14:paraId="7FE9AA83" w14:textId="77777777" w:rsidR="002525CA" w:rsidRPr="009B2736" w:rsidRDefault="002525CA" w:rsidP="00B86BA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252</w:t>
            </w:r>
          </w:p>
        </w:tc>
        <w:tc>
          <w:tcPr>
            <w:tcW w:w="1194" w:type="dxa"/>
            <w:vAlign w:val="center"/>
          </w:tcPr>
          <w:p w14:paraId="423F6105" w14:textId="77777777" w:rsidR="002525CA" w:rsidRPr="009B2736" w:rsidRDefault="002525CA" w:rsidP="00B86BA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495,139</w:t>
            </w:r>
          </w:p>
        </w:tc>
        <w:tc>
          <w:tcPr>
            <w:tcW w:w="1717" w:type="dxa"/>
            <w:vAlign w:val="center"/>
          </w:tcPr>
          <w:p w14:paraId="1479D95B" w14:textId="77777777" w:rsidR="002525CA" w:rsidRPr="009B2736" w:rsidRDefault="002525CA" w:rsidP="00B86BA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 2.77</w:t>
            </w:r>
          </w:p>
        </w:tc>
        <w:tc>
          <w:tcPr>
            <w:tcW w:w="1053" w:type="dxa"/>
            <w:vAlign w:val="center"/>
          </w:tcPr>
          <w:p w14:paraId="2194380D" w14:textId="77777777" w:rsidR="002525CA" w:rsidRPr="009B2736" w:rsidRDefault="002525CA" w:rsidP="00B86BA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B2736">
              <w:rPr>
                <w:rFonts w:asciiTheme="majorBidi" w:hAnsiTheme="majorBidi" w:cstheme="majorBidi"/>
              </w:rPr>
              <w:t>2.32</w:t>
            </w:r>
          </w:p>
        </w:tc>
      </w:tr>
    </w:tbl>
    <w:p w14:paraId="7DDF4E45" w14:textId="477A1533" w:rsidR="0059108F" w:rsidRDefault="0059108F">
      <w:pPr>
        <w:rPr>
          <w:rFonts w:asciiTheme="majorBidi" w:hAnsiTheme="majorBidi" w:cstheme="majorBidi"/>
        </w:rPr>
      </w:pPr>
    </w:p>
    <w:p w14:paraId="318C109B" w14:textId="77777777" w:rsidR="0059108F" w:rsidRDefault="0059108F">
      <w:pPr>
        <w:rPr>
          <w:rFonts w:asciiTheme="majorBidi" w:hAnsiTheme="majorBidi" w:cstheme="majorBidi"/>
        </w:rPr>
      </w:pPr>
      <w:r>
        <w:rPr>
          <w:rFonts w:asciiTheme="majorBidi" w:hAnsiTheme="majorBidi" w:cstheme="majorBidi"/>
        </w:rPr>
        <w:br w:type="page"/>
      </w:r>
    </w:p>
    <w:p w14:paraId="25379FD7" w14:textId="0E41F20D" w:rsidR="0059108F" w:rsidRPr="0059108F" w:rsidRDefault="0059108F" w:rsidP="0059108F">
      <w:pPr>
        <w:rPr>
          <w:rFonts w:asciiTheme="majorBidi" w:hAnsiTheme="majorBidi" w:cstheme="majorBidi"/>
          <w:b/>
          <w:bCs/>
          <w:highlight w:val="yellow"/>
        </w:rPr>
      </w:pPr>
      <w:r w:rsidRPr="0059108F">
        <w:rPr>
          <w:rFonts w:asciiTheme="majorBidi" w:hAnsiTheme="majorBidi" w:cstheme="majorBidi"/>
          <w:b/>
          <w:bCs/>
        </w:rPr>
        <w:lastRenderedPageBreak/>
        <w:t xml:space="preserve">Supplementary Materials </w:t>
      </w:r>
      <w:r w:rsidRPr="0059108F">
        <w:rPr>
          <w:rFonts w:asciiTheme="majorBidi" w:hAnsiTheme="majorBidi" w:cstheme="majorBidi"/>
          <w:b/>
          <w:bCs/>
        </w:rPr>
        <w:t>2</w:t>
      </w:r>
      <w:r w:rsidRPr="0059108F">
        <w:rPr>
          <w:rFonts w:asciiTheme="majorBidi" w:hAnsiTheme="majorBidi" w:cstheme="majorBidi"/>
          <w:b/>
          <w:bCs/>
        </w:rPr>
        <w:t xml:space="preserve">: </w:t>
      </w:r>
      <w:r w:rsidR="003017EB">
        <w:rPr>
          <w:rFonts w:asciiTheme="majorBidi" w:hAnsiTheme="majorBidi" w:cstheme="majorBidi"/>
          <w:b/>
          <w:bCs/>
        </w:rPr>
        <w:t xml:space="preserve">City of </w:t>
      </w:r>
      <w:r w:rsidRPr="0059108F">
        <w:rPr>
          <w:rFonts w:asciiTheme="majorBidi" w:hAnsiTheme="majorBidi" w:cstheme="majorBidi"/>
          <w:b/>
          <w:bCs/>
          <w:sz w:val="24"/>
          <w:szCs w:val="24"/>
        </w:rPr>
        <w:t>Karaj Land Use, 2007</w:t>
      </w:r>
    </w:p>
    <w:p w14:paraId="3A3968E6" w14:textId="77777777" w:rsidR="0059108F" w:rsidRDefault="0059108F">
      <w:pPr>
        <w:rPr>
          <w:rFonts w:asciiTheme="majorBidi" w:hAnsiTheme="majorBidi" w:cstheme="majorBidi"/>
        </w:rPr>
      </w:pPr>
    </w:p>
    <w:p w14:paraId="28D006A4" w14:textId="77777777" w:rsidR="0059108F" w:rsidRPr="0006192D" w:rsidRDefault="0059108F" w:rsidP="0059108F">
      <w:pPr>
        <w:rPr>
          <w:rFonts w:asciiTheme="majorBidi" w:hAnsiTheme="majorBidi" w:cstheme="majorBidi"/>
          <w:b/>
          <w:bCs/>
          <w:sz w:val="24"/>
          <w:szCs w:val="24"/>
        </w:rPr>
      </w:pPr>
      <w:r w:rsidRPr="0006192D">
        <w:rPr>
          <w:rFonts w:asciiTheme="majorBidi" w:hAnsiTheme="majorBidi" w:cstheme="majorBidi"/>
          <w:b/>
          <w:bCs/>
          <w:noProof/>
          <w:sz w:val="24"/>
          <w:szCs w:val="24"/>
        </w:rPr>
        <w:drawing>
          <wp:inline distT="0" distB="0" distL="0" distR="0" wp14:anchorId="1E335A3A" wp14:editId="10ABB81C">
            <wp:extent cx="5420563" cy="3327979"/>
            <wp:effectExtent l="0" t="0" r="0" b="6350"/>
            <wp:docPr id="1832133824"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33824" name="Picture 1" descr="A map of a city&#10;&#10;AI-generated content may be incorrect."/>
                    <pic:cNvPicPr>
                      <a:picLocks noChangeAspect="1" noChangeArrowheads="1"/>
                    </pic:cNvPicPr>
                  </pic:nvPicPr>
                  <pic:blipFill rotWithShape="1">
                    <a:blip r:embed="rId7" cstate="hqprint">
                      <a:extLst>
                        <a:ext uri="{28A0092B-C50C-407E-A947-70E740481C1C}">
                          <a14:useLocalDpi xmlns:a14="http://schemas.microsoft.com/office/drawing/2010/main" val="0"/>
                        </a:ext>
                      </a:extLst>
                    </a:blip>
                    <a:srcRect l="1887" r="4889" b="59518"/>
                    <a:stretch>
                      <a:fillRect/>
                    </a:stretch>
                  </pic:blipFill>
                  <pic:spPr bwMode="auto">
                    <a:xfrm>
                      <a:off x="0" y="0"/>
                      <a:ext cx="5421275" cy="3328416"/>
                    </a:xfrm>
                    <a:prstGeom prst="rect">
                      <a:avLst/>
                    </a:prstGeom>
                    <a:noFill/>
                    <a:ln>
                      <a:noFill/>
                    </a:ln>
                    <a:extLst>
                      <a:ext uri="{53640926-AAD7-44D8-BBD7-CCE9431645EC}">
                        <a14:shadowObscured xmlns:a14="http://schemas.microsoft.com/office/drawing/2010/main"/>
                      </a:ext>
                    </a:extLst>
                  </pic:spPr>
                </pic:pic>
              </a:graphicData>
            </a:graphic>
          </wp:inline>
        </w:drawing>
      </w:r>
    </w:p>
    <w:p w14:paraId="4F9B91C0" w14:textId="3823B32C" w:rsidR="0059108F" w:rsidRPr="00025C4C" w:rsidRDefault="0059108F" w:rsidP="0059108F">
      <w:pPr>
        <w:rPr>
          <w:rFonts w:asciiTheme="majorBidi" w:hAnsiTheme="majorBidi" w:cstheme="majorBidi"/>
          <w:sz w:val="24"/>
          <w:szCs w:val="24"/>
          <w:lang w:val="en-GB"/>
        </w:rPr>
      </w:pPr>
      <w:r w:rsidRPr="0006192D">
        <w:rPr>
          <w:rFonts w:asciiTheme="majorBidi" w:hAnsiTheme="majorBidi" w:cstheme="majorBidi"/>
          <w:b/>
          <w:bCs/>
          <w:sz w:val="24"/>
          <w:szCs w:val="24"/>
        </w:rPr>
        <w:t xml:space="preserve">Fig. </w:t>
      </w:r>
      <w:r>
        <w:rPr>
          <w:rFonts w:asciiTheme="majorBidi" w:hAnsiTheme="majorBidi" w:cstheme="majorBidi"/>
          <w:b/>
          <w:bCs/>
          <w:sz w:val="24"/>
          <w:szCs w:val="24"/>
        </w:rPr>
        <w:t>S1</w:t>
      </w:r>
      <w:r w:rsidRPr="0006192D">
        <w:rPr>
          <w:rFonts w:asciiTheme="majorBidi" w:hAnsiTheme="majorBidi" w:cstheme="majorBidi"/>
          <w:b/>
          <w:bCs/>
          <w:sz w:val="24"/>
          <w:szCs w:val="24"/>
        </w:rPr>
        <w:t xml:space="preserve">. </w:t>
      </w:r>
      <w:r w:rsidRPr="0006192D">
        <w:rPr>
          <w:rFonts w:asciiTheme="majorBidi" w:hAnsiTheme="majorBidi" w:cstheme="majorBidi"/>
          <w:sz w:val="24"/>
          <w:szCs w:val="24"/>
        </w:rPr>
        <w:t>Karaj Land Use, 2007</w:t>
      </w:r>
      <w:r>
        <w:rPr>
          <w:rFonts w:asciiTheme="majorBidi" w:hAnsiTheme="majorBidi" w:cstheme="majorBidi"/>
          <w:sz w:val="24"/>
          <w:szCs w:val="24"/>
        </w:rPr>
        <w:t xml:space="preserve">. </w:t>
      </w:r>
      <w:r w:rsidRPr="00025C4C">
        <w:rPr>
          <w:rFonts w:asciiTheme="majorBidi" w:hAnsiTheme="majorBidi" w:cstheme="majorBidi"/>
          <w:sz w:val="24"/>
          <w:szCs w:val="24"/>
          <w:lang w:val="en-GB"/>
        </w:rPr>
        <w:t>Source: Authors own work</w:t>
      </w:r>
      <w:r>
        <w:rPr>
          <w:rFonts w:asciiTheme="majorBidi" w:hAnsiTheme="majorBidi" w:cstheme="majorBidi"/>
          <w:sz w:val="24"/>
          <w:szCs w:val="24"/>
          <w:lang w:val="en-GB"/>
        </w:rPr>
        <w:t>.</w:t>
      </w:r>
    </w:p>
    <w:p w14:paraId="7809DA97" w14:textId="4A00057C" w:rsidR="008E4D63" w:rsidRDefault="008E4D63">
      <w:pPr>
        <w:rPr>
          <w:rFonts w:asciiTheme="majorBidi" w:hAnsiTheme="majorBidi" w:cstheme="majorBidi"/>
        </w:rPr>
      </w:pPr>
      <w:r>
        <w:rPr>
          <w:rFonts w:asciiTheme="majorBidi" w:hAnsiTheme="majorBidi" w:cstheme="majorBidi"/>
        </w:rPr>
        <w:br w:type="page"/>
      </w:r>
    </w:p>
    <w:p w14:paraId="58064907" w14:textId="77777777" w:rsidR="000D43A1" w:rsidRPr="00044778" w:rsidRDefault="000D43A1" w:rsidP="000D43A1">
      <w:pPr>
        <w:rPr>
          <w:rFonts w:asciiTheme="majorBidi" w:hAnsiTheme="majorBidi" w:cstheme="majorBidi"/>
          <w:b/>
          <w:bCs/>
        </w:rPr>
      </w:pPr>
      <w:r w:rsidRPr="00044778">
        <w:rPr>
          <w:rFonts w:asciiTheme="majorBidi" w:hAnsiTheme="majorBidi" w:cstheme="majorBidi"/>
          <w:b/>
          <w:bCs/>
        </w:rPr>
        <w:lastRenderedPageBreak/>
        <w:t>References</w:t>
      </w:r>
    </w:p>
    <w:p w14:paraId="24900966" w14:textId="72757016" w:rsidR="000D43A1" w:rsidRDefault="000D43A1" w:rsidP="000D43A1">
      <w:pPr>
        <w:widowControl w:val="0"/>
        <w:autoSpaceDE w:val="0"/>
        <w:autoSpaceDN w:val="0"/>
        <w:adjustRightInd w:val="0"/>
        <w:ind w:left="480" w:hanging="480"/>
        <w:rPr>
          <w:rFonts w:asciiTheme="majorBidi" w:hAnsiTheme="majorBidi" w:cstheme="majorBidi"/>
        </w:rPr>
      </w:pPr>
      <w:r w:rsidRPr="000D43A1">
        <w:rPr>
          <w:rFonts w:asciiTheme="majorBidi" w:hAnsiTheme="majorBidi" w:cstheme="majorBidi"/>
        </w:rPr>
        <w:t xml:space="preserve">Abdulraheem, M. O., Oloyede, I. O., Amuda-Yusuf, G., Raheem, W. M., Kola Alade, A., &amp; Chukwu, M. T. (2022). </w:t>
      </w:r>
      <w:r w:rsidRPr="000D43A1">
        <w:rPr>
          <w:rFonts w:asciiTheme="majorBidi" w:hAnsiTheme="majorBidi" w:cstheme="majorBidi"/>
          <w:i/>
          <w:iCs/>
        </w:rPr>
        <w:t>International Journal of Real Estate Studies INTREST Urban Green Space Accessibility in Ilorin City, Nigeria</w:t>
      </w:r>
      <w:r w:rsidRPr="000D43A1">
        <w:rPr>
          <w:rFonts w:asciiTheme="majorBidi" w:hAnsiTheme="majorBidi" w:cstheme="majorBidi"/>
        </w:rPr>
        <w:t xml:space="preserve">. </w:t>
      </w:r>
      <w:r w:rsidRPr="000D43A1">
        <w:rPr>
          <w:rFonts w:asciiTheme="majorBidi" w:hAnsiTheme="majorBidi" w:cstheme="majorBidi"/>
          <w:i/>
          <w:iCs/>
        </w:rPr>
        <w:t>1</w:t>
      </w:r>
      <w:r w:rsidRPr="000D43A1">
        <w:rPr>
          <w:rFonts w:asciiTheme="majorBidi" w:hAnsiTheme="majorBidi" w:cstheme="majorBidi"/>
        </w:rPr>
        <w:t>, 24–36.</w:t>
      </w:r>
    </w:p>
    <w:p w14:paraId="7DB7AB3E" w14:textId="55F4A628" w:rsidR="00771E13" w:rsidRPr="00771E13" w:rsidRDefault="000D43A1" w:rsidP="00771E13">
      <w:pPr>
        <w:widowControl w:val="0"/>
        <w:autoSpaceDE w:val="0"/>
        <w:autoSpaceDN w:val="0"/>
        <w:adjustRightInd w:val="0"/>
        <w:ind w:left="480" w:hanging="480"/>
        <w:rPr>
          <w:rFonts w:ascii="Times New Roman" w:hAnsi="Times New Roman" w:cs="Times New Roman"/>
          <w:noProof/>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00771E13" w:rsidRPr="00771E13">
        <w:rPr>
          <w:rFonts w:ascii="Times New Roman" w:hAnsi="Times New Roman" w:cs="Times New Roman"/>
          <w:noProof/>
          <w:szCs w:val="24"/>
        </w:rPr>
        <w:t xml:space="preserve">Fasihi H and Parizadi T (2020) Analysis of spatial equity and access to urban parks in Ilam, Iran. </w:t>
      </w:r>
      <w:r w:rsidR="00771E13" w:rsidRPr="00771E13">
        <w:rPr>
          <w:rFonts w:ascii="Times New Roman" w:hAnsi="Times New Roman" w:cs="Times New Roman"/>
          <w:i/>
          <w:iCs/>
          <w:noProof/>
          <w:szCs w:val="24"/>
        </w:rPr>
        <w:t>Journal of Environmental Management</w:t>
      </w:r>
      <w:r w:rsidR="00771E13" w:rsidRPr="00771E13">
        <w:rPr>
          <w:rFonts w:ascii="Times New Roman" w:hAnsi="Times New Roman" w:cs="Times New Roman"/>
          <w:noProof/>
          <w:szCs w:val="24"/>
        </w:rPr>
        <w:t xml:space="preserve"> 260(January). Elsevier Ltd: 110122.</w:t>
      </w:r>
    </w:p>
    <w:p w14:paraId="0A3166CF" w14:textId="77777777" w:rsidR="00771E13" w:rsidRPr="00771E13" w:rsidRDefault="00771E13" w:rsidP="00771E13">
      <w:pPr>
        <w:widowControl w:val="0"/>
        <w:autoSpaceDE w:val="0"/>
        <w:autoSpaceDN w:val="0"/>
        <w:adjustRightInd w:val="0"/>
        <w:ind w:left="480" w:hanging="480"/>
        <w:rPr>
          <w:rFonts w:ascii="Times New Roman" w:hAnsi="Times New Roman" w:cs="Times New Roman"/>
          <w:noProof/>
          <w:szCs w:val="24"/>
        </w:rPr>
      </w:pPr>
      <w:r w:rsidRPr="00771E13">
        <w:rPr>
          <w:rFonts w:ascii="Times New Roman" w:hAnsi="Times New Roman" w:cs="Times New Roman"/>
          <w:noProof/>
          <w:szCs w:val="24"/>
        </w:rPr>
        <w:t>karaj municipality (2022) karaj municipality. Available at: https://english.karaj.ir/home/?246097/subportal-english (accessed 29 September 2023).</w:t>
      </w:r>
    </w:p>
    <w:p w14:paraId="2441BB4A" w14:textId="77777777" w:rsidR="00771E13" w:rsidRPr="00771E13" w:rsidRDefault="00771E13" w:rsidP="00771E13">
      <w:pPr>
        <w:widowControl w:val="0"/>
        <w:autoSpaceDE w:val="0"/>
        <w:autoSpaceDN w:val="0"/>
        <w:adjustRightInd w:val="0"/>
        <w:ind w:left="480" w:hanging="480"/>
        <w:rPr>
          <w:rFonts w:ascii="Times New Roman" w:hAnsi="Times New Roman" w:cs="Times New Roman"/>
          <w:noProof/>
          <w:szCs w:val="24"/>
        </w:rPr>
      </w:pPr>
      <w:r w:rsidRPr="00771E13">
        <w:rPr>
          <w:rFonts w:ascii="Times New Roman" w:hAnsi="Times New Roman" w:cs="Times New Roman"/>
          <w:noProof/>
          <w:szCs w:val="24"/>
        </w:rPr>
        <w:t>Statistical Center of Iran (2021). Available at: https://www.amar.org.ir/ (accessed 10 October 2021).</w:t>
      </w:r>
    </w:p>
    <w:p w14:paraId="08BAC02E" w14:textId="77777777" w:rsidR="00771E13" w:rsidRPr="00771E13" w:rsidRDefault="00771E13" w:rsidP="00771E13">
      <w:pPr>
        <w:widowControl w:val="0"/>
        <w:autoSpaceDE w:val="0"/>
        <w:autoSpaceDN w:val="0"/>
        <w:adjustRightInd w:val="0"/>
        <w:ind w:left="480" w:hanging="480"/>
        <w:rPr>
          <w:rFonts w:ascii="Times New Roman" w:hAnsi="Times New Roman" w:cs="Times New Roman"/>
          <w:noProof/>
        </w:rPr>
      </w:pPr>
      <w:r w:rsidRPr="00771E13">
        <w:rPr>
          <w:rFonts w:ascii="Times New Roman" w:hAnsi="Times New Roman" w:cs="Times New Roman"/>
          <w:noProof/>
          <w:szCs w:val="24"/>
        </w:rPr>
        <w:t>World Population Review (2023) The Middle East Cities by Population 2023. Available at: https://worldpopulationreview.com/continents/the-middle-east/cities (accessed 20 May 2023).</w:t>
      </w:r>
    </w:p>
    <w:p w14:paraId="34EB6C39" w14:textId="224DE66C" w:rsidR="00C73D7E" w:rsidRPr="00044778" w:rsidRDefault="000D43A1" w:rsidP="00C73D7E">
      <w:pPr>
        <w:jc w:val="lowKashida"/>
        <w:rPr>
          <w:rFonts w:asciiTheme="majorBidi" w:hAnsiTheme="majorBidi" w:cstheme="majorBidi"/>
        </w:rPr>
      </w:pPr>
      <w:r>
        <w:rPr>
          <w:rFonts w:asciiTheme="majorBidi" w:hAnsiTheme="majorBidi" w:cstheme="majorBidi"/>
        </w:rPr>
        <w:fldChar w:fldCharType="end"/>
      </w:r>
    </w:p>
    <w:sectPr w:rsidR="00C73D7E" w:rsidRPr="00044778" w:rsidSect="00A80270">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7DEA4" w14:textId="77777777" w:rsidR="00A43D32" w:rsidRDefault="00A43D32" w:rsidP="00E46D01">
      <w:pPr>
        <w:spacing w:after="0" w:line="240" w:lineRule="auto"/>
      </w:pPr>
      <w:r>
        <w:separator/>
      </w:r>
    </w:p>
  </w:endnote>
  <w:endnote w:type="continuationSeparator" w:id="0">
    <w:p w14:paraId="6A8E38A2" w14:textId="77777777" w:rsidR="00A43D32" w:rsidRDefault="00A43D32" w:rsidP="00E46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231321"/>
      <w:docPartObj>
        <w:docPartGallery w:val="Page Numbers (Bottom of Page)"/>
        <w:docPartUnique/>
      </w:docPartObj>
    </w:sdtPr>
    <w:sdtEndPr>
      <w:rPr>
        <w:noProof/>
      </w:rPr>
    </w:sdtEndPr>
    <w:sdtContent>
      <w:p w14:paraId="3F36FA3E" w14:textId="7C6C0E2A" w:rsidR="00270657" w:rsidRDefault="002706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6C00A9" w14:textId="77777777" w:rsidR="00270657" w:rsidRDefault="00270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F30F3" w14:textId="77777777" w:rsidR="00A43D32" w:rsidRDefault="00A43D32" w:rsidP="00E46D01">
      <w:pPr>
        <w:spacing w:after="0" w:line="240" w:lineRule="auto"/>
      </w:pPr>
      <w:r>
        <w:separator/>
      </w:r>
    </w:p>
  </w:footnote>
  <w:footnote w:type="continuationSeparator" w:id="0">
    <w:p w14:paraId="5E879579" w14:textId="77777777" w:rsidR="00A43D32" w:rsidRDefault="00A43D32" w:rsidP="00E46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Y0MTcwtjQwNbO0NLRQ0lEKTi0uzszPAykwNq4FAIQ94bUtAAAA"/>
  </w:docVars>
  <w:rsids>
    <w:rsidRoot w:val="00A8004E"/>
    <w:rsid w:val="00000546"/>
    <w:rsid w:val="000028C0"/>
    <w:rsid w:val="00003734"/>
    <w:rsid w:val="00013C9D"/>
    <w:rsid w:val="00016999"/>
    <w:rsid w:val="00017824"/>
    <w:rsid w:val="000249E8"/>
    <w:rsid w:val="00024AC5"/>
    <w:rsid w:val="00025775"/>
    <w:rsid w:val="00025B30"/>
    <w:rsid w:val="0002639A"/>
    <w:rsid w:val="00036FBB"/>
    <w:rsid w:val="00040CC8"/>
    <w:rsid w:val="00043B91"/>
    <w:rsid w:val="00044778"/>
    <w:rsid w:val="000459FD"/>
    <w:rsid w:val="00050356"/>
    <w:rsid w:val="000616F5"/>
    <w:rsid w:val="00062C40"/>
    <w:rsid w:val="000641F8"/>
    <w:rsid w:val="00065031"/>
    <w:rsid w:val="00077B10"/>
    <w:rsid w:val="0008018E"/>
    <w:rsid w:val="000823A2"/>
    <w:rsid w:val="00082F78"/>
    <w:rsid w:val="00084FD4"/>
    <w:rsid w:val="00085480"/>
    <w:rsid w:val="00087E73"/>
    <w:rsid w:val="0009269E"/>
    <w:rsid w:val="00093525"/>
    <w:rsid w:val="000A645C"/>
    <w:rsid w:val="000A663A"/>
    <w:rsid w:val="000B0DC3"/>
    <w:rsid w:val="000B21A1"/>
    <w:rsid w:val="000B5F51"/>
    <w:rsid w:val="000C40BC"/>
    <w:rsid w:val="000D2EAF"/>
    <w:rsid w:val="000D3BEA"/>
    <w:rsid w:val="000D43A1"/>
    <w:rsid w:val="000D69AA"/>
    <w:rsid w:val="000E2580"/>
    <w:rsid w:val="000E63AD"/>
    <w:rsid w:val="000E719D"/>
    <w:rsid w:val="000E7CD7"/>
    <w:rsid w:val="000F2FB0"/>
    <w:rsid w:val="000F65D1"/>
    <w:rsid w:val="000F6B18"/>
    <w:rsid w:val="000F79DF"/>
    <w:rsid w:val="000F7C6D"/>
    <w:rsid w:val="00102ABD"/>
    <w:rsid w:val="001049CA"/>
    <w:rsid w:val="00106FF0"/>
    <w:rsid w:val="00117C4A"/>
    <w:rsid w:val="00122057"/>
    <w:rsid w:val="00126200"/>
    <w:rsid w:val="00126E26"/>
    <w:rsid w:val="001317F1"/>
    <w:rsid w:val="00134FAA"/>
    <w:rsid w:val="001403C8"/>
    <w:rsid w:val="001407BE"/>
    <w:rsid w:val="001452AA"/>
    <w:rsid w:val="00152B2A"/>
    <w:rsid w:val="00154B67"/>
    <w:rsid w:val="001565F6"/>
    <w:rsid w:val="001628E5"/>
    <w:rsid w:val="00163926"/>
    <w:rsid w:val="00163991"/>
    <w:rsid w:val="00165C9C"/>
    <w:rsid w:val="00174A27"/>
    <w:rsid w:val="00175F6B"/>
    <w:rsid w:val="001843C9"/>
    <w:rsid w:val="001847BE"/>
    <w:rsid w:val="00186582"/>
    <w:rsid w:val="00187DB2"/>
    <w:rsid w:val="00190265"/>
    <w:rsid w:val="00191B32"/>
    <w:rsid w:val="001966EA"/>
    <w:rsid w:val="001A05D2"/>
    <w:rsid w:val="001A4E91"/>
    <w:rsid w:val="001B0779"/>
    <w:rsid w:val="001B1D7E"/>
    <w:rsid w:val="001B3F57"/>
    <w:rsid w:val="001B7425"/>
    <w:rsid w:val="001D1CD3"/>
    <w:rsid w:val="001D1CE2"/>
    <w:rsid w:val="001D59A7"/>
    <w:rsid w:val="001D666D"/>
    <w:rsid w:val="001D6AB4"/>
    <w:rsid w:val="001E3459"/>
    <w:rsid w:val="001E56E4"/>
    <w:rsid w:val="001F5505"/>
    <w:rsid w:val="001F7156"/>
    <w:rsid w:val="00201082"/>
    <w:rsid w:val="00202119"/>
    <w:rsid w:val="00205F40"/>
    <w:rsid w:val="00211F6E"/>
    <w:rsid w:val="0021291F"/>
    <w:rsid w:val="0021413E"/>
    <w:rsid w:val="002225C7"/>
    <w:rsid w:val="00225F28"/>
    <w:rsid w:val="00230766"/>
    <w:rsid w:val="00232253"/>
    <w:rsid w:val="00241D7F"/>
    <w:rsid w:val="002525CA"/>
    <w:rsid w:val="00253142"/>
    <w:rsid w:val="00255E14"/>
    <w:rsid w:val="002567C8"/>
    <w:rsid w:val="00256822"/>
    <w:rsid w:val="00260670"/>
    <w:rsid w:val="0026192F"/>
    <w:rsid w:val="00262532"/>
    <w:rsid w:val="00270173"/>
    <w:rsid w:val="00270657"/>
    <w:rsid w:val="00271CD2"/>
    <w:rsid w:val="00272E8A"/>
    <w:rsid w:val="00282E23"/>
    <w:rsid w:val="00285EA9"/>
    <w:rsid w:val="002971AA"/>
    <w:rsid w:val="002A0AB4"/>
    <w:rsid w:val="002A0DED"/>
    <w:rsid w:val="002A1276"/>
    <w:rsid w:val="002A22EC"/>
    <w:rsid w:val="002A4C13"/>
    <w:rsid w:val="002B3D0D"/>
    <w:rsid w:val="002B6246"/>
    <w:rsid w:val="002B7C3A"/>
    <w:rsid w:val="002C2CA0"/>
    <w:rsid w:val="002D029F"/>
    <w:rsid w:val="002D4C53"/>
    <w:rsid w:val="002D750D"/>
    <w:rsid w:val="002E40F3"/>
    <w:rsid w:val="002E7906"/>
    <w:rsid w:val="002F21D0"/>
    <w:rsid w:val="002F7F36"/>
    <w:rsid w:val="003017EB"/>
    <w:rsid w:val="0030647B"/>
    <w:rsid w:val="00307D31"/>
    <w:rsid w:val="00310EAF"/>
    <w:rsid w:val="00313032"/>
    <w:rsid w:val="00314F27"/>
    <w:rsid w:val="0031543A"/>
    <w:rsid w:val="003154EB"/>
    <w:rsid w:val="00317817"/>
    <w:rsid w:val="003206C8"/>
    <w:rsid w:val="00323609"/>
    <w:rsid w:val="003244B0"/>
    <w:rsid w:val="0032602C"/>
    <w:rsid w:val="00326056"/>
    <w:rsid w:val="0033093A"/>
    <w:rsid w:val="0033191A"/>
    <w:rsid w:val="00332562"/>
    <w:rsid w:val="003338F8"/>
    <w:rsid w:val="0033792A"/>
    <w:rsid w:val="00341029"/>
    <w:rsid w:val="00342520"/>
    <w:rsid w:val="00344620"/>
    <w:rsid w:val="00346FA0"/>
    <w:rsid w:val="0035065B"/>
    <w:rsid w:val="0035261F"/>
    <w:rsid w:val="0035523E"/>
    <w:rsid w:val="003601E5"/>
    <w:rsid w:val="00361B7E"/>
    <w:rsid w:val="0037484C"/>
    <w:rsid w:val="00380060"/>
    <w:rsid w:val="00381888"/>
    <w:rsid w:val="00382554"/>
    <w:rsid w:val="00382F2D"/>
    <w:rsid w:val="00385077"/>
    <w:rsid w:val="00386605"/>
    <w:rsid w:val="00386FC9"/>
    <w:rsid w:val="0039199D"/>
    <w:rsid w:val="00391AC1"/>
    <w:rsid w:val="00394824"/>
    <w:rsid w:val="003969C3"/>
    <w:rsid w:val="003A13F1"/>
    <w:rsid w:val="003A3EB2"/>
    <w:rsid w:val="003A6CE0"/>
    <w:rsid w:val="003B19AC"/>
    <w:rsid w:val="003B5ECB"/>
    <w:rsid w:val="003B7E09"/>
    <w:rsid w:val="003C0743"/>
    <w:rsid w:val="003C0F48"/>
    <w:rsid w:val="003D61AF"/>
    <w:rsid w:val="003E1137"/>
    <w:rsid w:val="003E6488"/>
    <w:rsid w:val="003F3278"/>
    <w:rsid w:val="00401ED5"/>
    <w:rsid w:val="00403FFE"/>
    <w:rsid w:val="004138AF"/>
    <w:rsid w:val="00414642"/>
    <w:rsid w:val="004165D0"/>
    <w:rsid w:val="00420600"/>
    <w:rsid w:val="0042129E"/>
    <w:rsid w:val="0042211A"/>
    <w:rsid w:val="004257AF"/>
    <w:rsid w:val="00431EA9"/>
    <w:rsid w:val="004376C6"/>
    <w:rsid w:val="004407D0"/>
    <w:rsid w:val="00441CE4"/>
    <w:rsid w:val="004421DB"/>
    <w:rsid w:val="0044368E"/>
    <w:rsid w:val="00444399"/>
    <w:rsid w:val="0044783A"/>
    <w:rsid w:val="00452AD7"/>
    <w:rsid w:val="0045340E"/>
    <w:rsid w:val="004542DD"/>
    <w:rsid w:val="00461D2C"/>
    <w:rsid w:val="00464F05"/>
    <w:rsid w:val="0047299F"/>
    <w:rsid w:val="00472E6D"/>
    <w:rsid w:val="00474986"/>
    <w:rsid w:val="004749DB"/>
    <w:rsid w:val="004A37EA"/>
    <w:rsid w:val="004A6762"/>
    <w:rsid w:val="004B14A1"/>
    <w:rsid w:val="004B4DA0"/>
    <w:rsid w:val="004B5B7E"/>
    <w:rsid w:val="004B6D23"/>
    <w:rsid w:val="004C2164"/>
    <w:rsid w:val="004D10BD"/>
    <w:rsid w:val="004D296F"/>
    <w:rsid w:val="004D7426"/>
    <w:rsid w:val="004E13E2"/>
    <w:rsid w:val="004E4A02"/>
    <w:rsid w:val="004F06C3"/>
    <w:rsid w:val="004F3BBF"/>
    <w:rsid w:val="004F4968"/>
    <w:rsid w:val="00500E08"/>
    <w:rsid w:val="005021F3"/>
    <w:rsid w:val="0050241E"/>
    <w:rsid w:val="0050251B"/>
    <w:rsid w:val="00503E59"/>
    <w:rsid w:val="00512BA3"/>
    <w:rsid w:val="00515A14"/>
    <w:rsid w:val="00521DC6"/>
    <w:rsid w:val="00532283"/>
    <w:rsid w:val="005332EA"/>
    <w:rsid w:val="00535AA7"/>
    <w:rsid w:val="00537311"/>
    <w:rsid w:val="00544CFD"/>
    <w:rsid w:val="005476C6"/>
    <w:rsid w:val="00560C51"/>
    <w:rsid w:val="0056587F"/>
    <w:rsid w:val="00567172"/>
    <w:rsid w:val="0056740F"/>
    <w:rsid w:val="00573A13"/>
    <w:rsid w:val="005740BB"/>
    <w:rsid w:val="00583756"/>
    <w:rsid w:val="00584E35"/>
    <w:rsid w:val="0059108F"/>
    <w:rsid w:val="00595FC7"/>
    <w:rsid w:val="005A25DC"/>
    <w:rsid w:val="005B0C33"/>
    <w:rsid w:val="005B3F98"/>
    <w:rsid w:val="005C3C4A"/>
    <w:rsid w:val="005C7C48"/>
    <w:rsid w:val="005D0532"/>
    <w:rsid w:val="005D7E9B"/>
    <w:rsid w:val="005E195D"/>
    <w:rsid w:val="005E3159"/>
    <w:rsid w:val="005E322C"/>
    <w:rsid w:val="005E423C"/>
    <w:rsid w:val="005E43C1"/>
    <w:rsid w:val="005F226C"/>
    <w:rsid w:val="005F3E13"/>
    <w:rsid w:val="005F4E0C"/>
    <w:rsid w:val="005F73FC"/>
    <w:rsid w:val="00602B50"/>
    <w:rsid w:val="006034E4"/>
    <w:rsid w:val="006119ED"/>
    <w:rsid w:val="00620911"/>
    <w:rsid w:val="006217DC"/>
    <w:rsid w:val="00621D66"/>
    <w:rsid w:val="00621E17"/>
    <w:rsid w:val="006225FC"/>
    <w:rsid w:val="0062614D"/>
    <w:rsid w:val="006279B2"/>
    <w:rsid w:val="00627D26"/>
    <w:rsid w:val="006314FA"/>
    <w:rsid w:val="00631D9E"/>
    <w:rsid w:val="00631DE0"/>
    <w:rsid w:val="00636EB8"/>
    <w:rsid w:val="006475D9"/>
    <w:rsid w:val="006500E3"/>
    <w:rsid w:val="00650F2B"/>
    <w:rsid w:val="00651B12"/>
    <w:rsid w:val="00665FE4"/>
    <w:rsid w:val="00666828"/>
    <w:rsid w:val="00670B6E"/>
    <w:rsid w:val="00675A1E"/>
    <w:rsid w:val="00676108"/>
    <w:rsid w:val="00680957"/>
    <w:rsid w:val="00681E1B"/>
    <w:rsid w:val="00684CD1"/>
    <w:rsid w:val="00685009"/>
    <w:rsid w:val="006851B3"/>
    <w:rsid w:val="0069179F"/>
    <w:rsid w:val="00691B0C"/>
    <w:rsid w:val="00691E85"/>
    <w:rsid w:val="00694315"/>
    <w:rsid w:val="006B6CB9"/>
    <w:rsid w:val="006C081B"/>
    <w:rsid w:val="006C3B76"/>
    <w:rsid w:val="006C45FC"/>
    <w:rsid w:val="006D0A63"/>
    <w:rsid w:val="006D5D9C"/>
    <w:rsid w:val="006E1F47"/>
    <w:rsid w:val="006E3B9D"/>
    <w:rsid w:val="006E5322"/>
    <w:rsid w:val="006E5FED"/>
    <w:rsid w:val="006E61F2"/>
    <w:rsid w:val="006E674E"/>
    <w:rsid w:val="006E728C"/>
    <w:rsid w:val="006E7A55"/>
    <w:rsid w:val="006F0C9E"/>
    <w:rsid w:val="006F227B"/>
    <w:rsid w:val="006F2DD3"/>
    <w:rsid w:val="006F7049"/>
    <w:rsid w:val="006F7841"/>
    <w:rsid w:val="007065D3"/>
    <w:rsid w:val="00706EB1"/>
    <w:rsid w:val="007102A6"/>
    <w:rsid w:val="00716A9A"/>
    <w:rsid w:val="007219DA"/>
    <w:rsid w:val="00722094"/>
    <w:rsid w:val="0072642E"/>
    <w:rsid w:val="007324CB"/>
    <w:rsid w:val="007328B6"/>
    <w:rsid w:val="0073460D"/>
    <w:rsid w:val="00742285"/>
    <w:rsid w:val="007511A1"/>
    <w:rsid w:val="00751C89"/>
    <w:rsid w:val="007551B3"/>
    <w:rsid w:val="0075732E"/>
    <w:rsid w:val="0076218E"/>
    <w:rsid w:val="00762509"/>
    <w:rsid w:val="0076300C"/>
    <w:rsid w:val="007650B2"/>
    <w:rsid w:val="00771E13"/>
    <w:rsid w:val="00774B49"/>
    <w:rsid w:val="00774BED"/>
    <w:rsid w:val="00774C87"/>
    <w:rsid w:val="0077661F"/>
    <w:rsid w:val="00780502"/>
    <w:rsid w:val="00781CEA"/>
    <w:rsid w:val="0078452A"/>
    <w:rsid w:val="007857D9"/>
    <w:rsid w:val="00785A74"/>
    <w:rsid w:val="00797615"/>
    <w:rsid w:val="0079781F"/>
    <w:rsid w:val="007A1A2B"/>
    <w:rsid w:val="007A2399"/>
    <w:rsid w:val="007B1EF0"/>
    <w:rsid w:val="007C70B1"/>
    <w:rsid w:val="007D40B5"/>
    <w:rsid w:val="007D7040"/>
    <w:rsid w:val="007E2D44"/>
    <w:rsid w:val="007E6298"/>
    <w:rsid w:val="007F11F6"/>
    <w:rsid w:val="007F2E99"/>
    <w:rsid w:val="007F50C6"/>
    <w:rsid w:val="007F7516"/>
    <w:rsid w:val="00801AFE"/>
    <w:rsid w:val="00801DBA"/>
    <w:rsid w:val="00805027"/>
    <w:rsid w:val="008058E6"/>
    <w:rsid w:val="00806D61"/>
    <w:rsid w:val="00811132"/>
    <w:rsid w:val="008112E8"/>
    <w:rsid w:val="0081251B"/>
    <w:rsid w:val="00812B5A"/>
    <w:rsid w:val="008130A9"/>
    <w:rsid w:val="00813D00"/>
    <w:rsid w:val="008148C1"/>
    <w:rsid w:val="008272E9"/>
    <w:rsid w:val="00831BAA"/>
    <w:rsid w:val="008337AC"/>
    <w:rsid w:val="00840F4A"/>
    <w:rsid w:val="00841AB4"/>
    <w:rsid w:val="00843316"/>
    <w:rsid w:val="00843EB2"/>
    <w:rsid w:val="00846E74"/>
    <w:rsid w:val="008508F3"/>
    <w:rsid w:val="00851064"/>
    <w:rsid w:val="00853427"/>
    <w:rsid w:val="0085448B"/>
    <w:rsid w:val="00855AB2"/>
    <w:rsid w:val="00861A8D"/>
    <w:rsid w:val="00864570"/>
    <w:rsid w:val="008718E4"/>
    <w:rsid w:val="008754AA"/>
    <w:rsid w:val="008765C0"/>
    <w:rsid w:val="00877989"/>
    <w:rsid w:val="00881BE7"/>
    <w:rsid w:val="00885A64"/>
    <w:rsid w:val="008870C7"/>
    <w:rsid w:val="008877A3"/>
    <w:rsid w:val="00891BBA"/>
    <w:rsid w:val="008923F6"/>
    <w:rsid w:val="00894AA3"/>
    <w:rsid w:val="008A2997"/>
    <w:rsid w:val="008A392D"/>
    <w:rsid w:val="008A3C10"/>
    <w:rsid w:val="008A6A9C"/>
    <w:rsid w:val="008B2325"/>
    <w:rsid w:val="008B2EAD"/>
    <w:rsid w:val="008B3B44"/>
    <w:rsid w:val="008B3F97"/>
    <w:rsid w:val="008B46FD"/>
    <w:rsid w:val="008B521C"/>
    <w:rsid w:val="008B70F9"/>
    <w:rsid w:val="008C26F5"/>
    <w:rsid w:val="008C37BE"/>
    <w:rsid w:val="008C781F"/>
    <w:rsid w:val="008D028C"/>
    <w:rsid w:val="008D2CB7"/>
    <w:rsid w:val="008D40F3"/>
    <w:rsid w:val="008D6138"/>
    <w:rsid w:val="008D6BB2"/>
    <w:rsid w:val="008E39CC"/>
    <w:rsid w:val="008E4BC7"/>
    <w:rsid w:val="008E4D63"/>
    <w:rsid w:val="008F11B5"/>
    <w:rsid w:val="008F5594"/>
    <w:rsid w:val="00900DE4"/>
    <w:rsid w:val="0090226A"/>
    <w:rsid w:val="00905352"/>
    <w:rsid w:val="00906CA7"/>
    <w:rsid w:val="00913B11"/>
    <w:rsid w:val="00917BE7"/>
    <w:rsid w:val="00922321"/>
    <w:rsid w:val="00930034"/>
    <w:rsid w:val="009333D8"/>
    <w:rsid w:val="00937858"/>
    <w:rsid w:val="00940756"/>
    <w:rsid w:val="009476DF"/>
    <w:rsid w:val="00947B0F"/>
    <w:rsid w:val="00957101"/>
    <w:rsid w:val="00961A18"/>
    <w:rsid w:val="00962FBE"/>
    <w:rsid w:val="00963CC6"/>
    <w:rsid w:val="00966C95"/>
    <w:rsid w:val="0098011B"/>
    <w:rsid w:val="009818EE"/>
    <w:rsid w:val="00983848"/>
    <w:rsid w:val="00986536"/>
    <w:rsid w:val="009957D4"/>
    <w:rsid w:val="00995A32"/>
    <w:rsid w:val="00996AD9"/>
    <w:rsid w:val="009A4F8E"/>
    <w:rsid w:val="009A7559"/>
    <w:rsid w:val="009A772C"/>
    <w:rsid w:val="009B0E74"/>
    <w:rsid w:val="009B2736"/>
    <w:rsid w:val="009B40A5"/>
    <w:rsid w:val="009B6AB8"/>
    <w:rsid w:val="009C2C5E"/>
    <w:rsid w:val="009C4F62"/>
    <w:rsid w:val="009C7667"/>
    <w:rsid w:val="009C7CAB"/>
    <w:rsid w:val="009D0F49"/>
    <w:rsid w:val="009D1492"/>
    <w:rsid w:val="009D4AD6"/>
    <w:rsid w:val="009D6728"/>
    <w:rsid w:val="009E0194"/>
    <w:rsid w:val="009E4CE8"/>
    <w:rsid w:val="009E790A"/>
    <w:rsid w:val="009E79F1"/>
    <w:rsid w:val="009F0A4D"/>
    <w:rsid w:val="009F2BDB"/>
    <w:rsid w:val="009F4790"/>
    <w:rsid w:val="00A02021"/>
    <w:rsid w:val="00A02A9B"/>
    <w:rsid w:val="00A13BBC"/>
    <w:rsid w:val="00A14F72"/>
    <w:rsid w:val="00A2090A"/>
    <w:rsid w:val="00A228BD"/>
    <w:rsid w:val="00A23445"/>
    <w:rsid w:val="00A24914"/>
    <w:rsid w:val="00A24F8E"/>
    <w:rsid w:val="00A255CE"/>
    <w:rsid w:val="00A26980"/>
    <w:rsid w:val="00A31594"/>
    <w:rsid w:val="00A3222F"/>
    <w:rsid w:val="00A32469"/>
    <w:rsid w:val="00A326DD"/>
    <w:rsid w:val="00A33C18"/>
    <w:rsid w:val="00A347D0"/>
    <w:rsid w:val="00A37135"/>
    <w:rsid w:val="00A40FAE"/>
    <w:rsid w:val="00A413B0"/>
    <w:rsid w:val="00A43775"/>
    <w:rsid w:val="00A43D32"/>
    <w:rsid w:val="00A46EE9"/>
    <w:rsid w:val="00A50224"/>
    <w:rsid w:val="00A50658"/>
    <w:rsid w:val="00A51510"/>
    <w:rsid w:val="00A53682"/>
    <w:rsid w:val="00A578F8"/>
    <w:rsid w:val="00A617E2"/>
    <w:rsid w:val="00A624B6"/>
    <w:rsid w:val="00A62B95"/>
    <w:rsid w:val="00A64996"/>
    <w:rsid w:val="00A654BC"/>
    <w:rsid w:val="00A661A3"/>
    <w:rsid w:val="00A67265"/>
    <w:rsid w:val="00A70D58"/>
    <w:rsid w:val="00A71D1B"/>
    <w:rsid w:val="00A8004E"/>
    <w:rsid w:val="00A80270"/>
    <w:rsid w:val="00A83111"/>
    <w:rsid w:val="00A84DC0"/>
    <w:rsid w:val="00A85860"/>
    <w:rsid w:val="00A90653"/>
    <w:rsid w:val="00A939C1"/>
    <w:rsid w:val="00A93B64"/>
    <w:rsid w:val="00A96573"/>
    <w:rsid w:val="00A96DD2"/>
    <w:rsid w:val="00A97767"/>
    <w:rsid w:val="00A97E12"/>
    <w:rsid w:val="00AA2AA4"/>
    <w:rsid w:val="00AA7A12"/>
    <w:rsid w:val="00AB3C94"/>
    <w:rsid w:val="00AB4B15"/>
    <w:rsid w:val="00AC1383"/>
    <w:rsid w:val="00AC6B10"/>
    <w:rsid w:val="00AC7427"/>
    <w:rsid w:val="00AD2C15"/>
    <w:rsid w:val="00AD3AAB"/>
    <w:rsid w:val="00AE0D66"/>
    <w:rsid w:val="00AE17EE"/>
    <w:rsid w:val="00AE27A1"/>
    <w:rsid w:val="00AE494B"/>
    <w:rsid w:val="00AE6017"/>
    <w:rsid w:val="00AE6E06"/>
    <w:rsid w:val="00AF14F2"/>
    <w:rsid w:val="00AF16E5"/>
    <w:rsid w:val="00AF262B"/>
    <w:rsid w:val="00AF33DB"/>
    <w:rsid w:val="00AF52E8"/>
    <w:rsid w:val="00AF5D8A"/>
    <w:rsid w:val="00B05AD7"/>
    <w:rsid w:val="00B06959"/>
    <w:rsid w:val="00B06FEF"/>
    <w:rsid w:val="00B11365"/>
    <w:rsid w:val="00B16DB3"/>
    <w:rsid w:val="00B228AB"/>
    <w:rsid w:val="00B24D8E"/>
    <w:rsid w:val="00B307BD"/>
    <w:rsid w:val="00B45253"/>
    <w:rsid w:val="00B62BB8"/>
    <w:rsid w:val="00B663DE"/>
    <w:rsid w:val="00B7679A"/>
    <w:rsid w:val="00B80EE1"/>
    <w:rsid w:val="00B851B4"/>
    <w:rsid w:val="00B85A70"/>
    <w:rsid w:val="00B872DB"/>
    <w:rsid w:val="00B87D49"/>
    <w:rsid w:val="00B97F05"/>
    <w:rsid w:val="00BA08E6"/>
    <w:rsid w:val="00BA0FD7"/>
    <w:rsid w:val="00BA17CC"/>
    <w:rsid w:val="00BA443F"/>
    <w:rsid w:val="00BB2904"/>
    <w:rsid w:val="00BB5DF6"/>
    <w:rsid w:val="00BC0B59"/>
    <w:rsid w:val="00BC221D"/>
    <w:rsid w:val="00BC37EF"/>
    <w:rsid w:val="00BD136A"/>
    <w:rsid w:val="00BD1F52"/>
    <w:rsid w:val="00BD3C33"/>
    <w:rsid w:val="00BD75DF"/>
    <w:rsid w:val="00BE0F5F"/>
    <w:rsid w:val="00BE1978"/>
    <w:rsid w:val="00BE2019"/>
    <w:rsid w:val="00BE232E"/>
    <w:rsid w:val="00BE2C64"/>
    <w:rsid w:val="00BE3C6C"/>
    <w:rsid w:val="00BF0304"/>
    <w:rsid w:val="00BF18D4"/>
    <w:rsid w:val="00BF32ED"/>
    <w:rsid w:val="00BF5A01"/>
    <w:rsid w:val="00BF5B07"/>
    <w:rsid w:val="00C00ECF"/>
    <w:rsid w:val="00C051CF"/>
    <w:rsid w:val="00C05807"/>
    <w:rsid w:val="00C13D5A"/>
    <w:rsid w:val="00C162EE"/>
    <w:rsid w:val="00C163FA"/>
    <w:rsid w:val="00C219A2"/>
    <w:rsid w:val="00C22318"/>
    <w:rsid w:val="00C25800"/>
    <w:rsid w:val="00C30534"/>
    <w:rsid w:val="00C32B9D"/>
    <w:rsid w:val="00C37826"/>
    <w:rsid w:val="00C37FE5"/>
    <w:rsid w:val="00C42429"/>
    <w:rsid w:val="00C467A2"/>
    <w:rsid w:val="00C53A29"/>
    <w:rsid w:val="00C54D76"/>
    <w:rsid w:val="00C54E54"/>
    <w:rsid w:val="00C55DD1"/>
    <w:rsid w:val="00C572EB"/>
    <w:rsid w:val="00C57F9F"/>
    <w:rsid w:val="00C7044A"/>
    <w:rsid w:val="00C736D1"/>
    <w:rsid w:val="00C73D7E"/>
    <w:rsid w:val="00C74353"/>
    <w:rsid w:val="00C863D9"/>
    <w:rsid w:val="00C92363"/>
    <w:rsid w:val="00C93C08"/>
    <w:rsid w:val="00C94D43"/>
    <w:rsid w:val="00CA0B39"/>
    <w:rsid w:val="00CA150E"/>
    <w:rsid w:val="00CA2B59"/>
    <w:rsid w:val="00CA33F0"/>
    <w:rsid w:val="00CA59F5"/>
    <w:rsid w:val="00CB1C33"/>
    <w:rsid w:val="00CB2FB4"/>
    <w:rsid w:val="00CB383F"/>
    <w:rsid w:val="00CB464D"/>
    <w:rsid w:val="00CC31BB"/>
    <w:rsid w:val="00CC3271"/>
    <w:rsid w:val="00CC677E"/>
    <w:rsid w:val="00CC684B"/>
    <w:rsid w:val="00CD3792"/>
    <w:rsid w:val="00CD4C8C"/>
    <w:rsid w:val="00CE1A37"/>
    <w:rsid w:val="00CE4C95"/>
    <w:rsid w:val="00CE69A8"/>
    <w:rsid w:val="00CE7148"/>
    <w:rsid w:val="00CE7A89"/>
    <w:rsid w:val="00CF2230"/>
    <w:rsid w:val="00CF4849"/>
    <w:rsid w:val="00D032CE"/>
    <w:rsid w:val="00D05DAD"/>
    <w:rsid w:val="00D066DE"/>
    <w:rsid w:val="00D07B84"/>
    <w:rsid w:val="00D108B5"/>
    <w:rsid w:val="00D132CC"/>
    <w:rsid w:val="00D14467"/>
    <w:rsid w:val="00D16DD4"/>
    <w:rsid w:val="00D226F6"/>
    <w:rsid w:val="00D24B49"/>
    <w:rsid w:val="00D25354"/>
    <w:rsid w:val="00D26D4E"/>
    <w:rsid w:val="00D26FF6"/>
    <w:rsid w:val="00D27B90"/>
    <w:rsid w:val="00D32E87"/>
    <w:rsid w:val="00D35878"/>
    <w:rsid w:val="00D4340A"/>
    <w:rsid w:val="00D44E08"/>
    <w:rsid w:val="00D46855"/>
    <w:rsid w:val="00D47B55"/>
    <w:rsid w:val="00D5770D"/>
    <w:rsid w:val="00D63C0B"/>
    <w:rsid w:val="00D67D4D"/>
    <w:rsid w:val="00D67E7C"/>
    <w:rsid w:val="00D70077"/>
    <w:rsid w:val="00D73AA9"/>
    <w:rsid w:val="00D80B99"/>
    <w:rsid w:val="00D8156F"/>
    <w:rsid w:val="00D84668"/>
    <w:rsid w:val="00D87671"/>
    <w:rsid w:val="00D939BC"/>
    <w:rsid w:val="00D94CA1"/>
    <w:rsid w:val="00DA29D0"/>
    <w:rsid w:val="00DB457A"/>
    <w:rsid w:val="00DB45FC"/>
    <w:rsid w:val="00DB5888"/>
    <w:rsid w:val="00DB68BB"/>
    <w:rsid w:val="00DB761C"/>
    <w:rsid w:val="00DC1551"/>
    <w:rsid w:val="00DC4664"/>
    <w:rsid w:val="00DC68C4"/>
    <w:rsid w:val="00DD262E"/>
    <w:rsid w:val="00DD42A9"/>
    <w:rsid w:val="00DD554A"/>
    <w:rsid w:val="00DE030D"/>
    <w:rsid w:val="00DE1FE3"/>
    <w:rsid w:val="00DE2616"/>
    <w:rsid w:val="00DE51BE"/>
    <w:rsid w:val="00DE5547"/>
    <w:rsid w:val="00DE61A6"/>
    <w:rsid w:val="00DE63E3"/>
    <w:rsid w:val="00DE761D"/>
    <w:rsid w:val="00DF0141"/>
    <w:rsid w:val="00DF2551"/>
    <w:rsid w:val="00DF4D92"/>
    <w:rsid w:val="00E04490"/>
    <w:rsid w:val="00E04BE8"/>
    <w:rsid w:val="00E05AD2"/>
    <w:rsid w:val="00E06A34"/>
    <w:rsid w:val="00E07237"/>
    <w:rsid w:val="00E10B79"/>
    <w:rsid w:val="00E14FF1"/>
    <w:rsid w:val="00E15ACE"/>
    <w:rsid w:val="00E2258A"/>
    <w:rsid w:val="00E240DC"/>
    <w:rsid w:val="00E273BC"/>
    <w:rsid w:val="00E40BAA"/>
    <w:rsid w:val="00E42C8A"/>
    <w:rsid w:val="00E43077"/>
    <w:rsid w:val="00E43850"/>
    <w:rsid w:val="00E44B58"/>
    <w:rsid w:val="00E44C92"/>
    <w:rsid w:val="00E459C6"/>
    <w:rsid w:val="00E46D01"/>
    <w:rsid w:val="00E51B26"/>
    <w:rsid w:val="00E51B7E"/>
    <w:rsid w:val="00E57AE9"/>
    <w:rsid w:val="00E607AA"/>
    <w:rsid w:val="00E64570"/>
    <w:rsid w:val="00E73CA7"/>
    <w:rsid w:val="00E74D8A"/>
    <w:rsid w:val="00E775A5"/>
    <w:rsid w:val="00E810C6"/>
    <w:rsid w:val="00E85893"/>
    <w:rsid w:val="00E861CC"/>
    <w:rsid w:val="00E87D00"/>
    <w:rsid w:val="00E90ED4"/>
    <w:rsid w:val="00E926BE"/>
    <w:rsid w:val="00E92AFF"/>
    <w:rsid w:val="00E938A0"/>
    <w:rsid w:val="00E96456"/>
    <w:rsid w:val="00E97CBC"/>
    <w:rsid w:val="00EA0C24"/>
    <w:rsid w:val="00EB1756"/>
    <w:rsid w:val="00EB3B96"/>
    <w:rsid w:val="00EB4133"/>
    <w:rsid w:val="00EB42EA"/>
    <w:rsid w:val="00EB50B2"/>
    <w:rsid w:val="00EB5C6E"/>
    <w:rsid w:val="00EC07AD"/>
    <w:rsid w:val="00EC07FF"/>
    <w:rsid w:val="00EC1BD3"/>
    <w:rsid w:val="00EC6B54"/>
    <w:rsid w:val="00EC6E51"/>
    <w:rsid w:val="00EC74D8"/>
    <w:rsid w:val="00ED03E8"/>
    <w:rsid w:val="00ED1EBF"/>
    <w:rsid w:val="00ED33EB"/>
    <w:rsid w:val="00ED5309"/>
    <w:rsid w:val="00ED78BA"/>
    <w:rsid w:val="00EE1164"/>
    <w:rsid w:val="00EE1E29"/>
    <w:rsid w:val="00EE2C1F"/>
    <w:rsid w:val="00EF3E3D"/>
    <w:rsid w:val="00EF3FCE"/>
    <w:rsid w:val="00EF7CC6"/>
    <w:rsid w:val="00F006F4"/>
    <w:rsid w:val="00F02A39"/>
    <w:rsid w:val="00F10AF1"/>
    <w:rsid w:val="00F17CA6"/>
    <w:rsid w:val="00F2379D"/>
    <w:rsid w:val="00F238F0"/>
    <w:rsid w:val="00F253A6"/>
    <w:rsid w:val="00F32341"/>
    <w:rsid w:val="00F32BA1"/>
    <w:rsid w:val="00F36D63"/>
    <w:rsid w:val="00F370EC"/>
    <w:rsid w:val="00F43E58"/>
    <w:rsid w:val="00F44414"/>
    <w:rsid w:val="00F44FB7"/>
    <w:rsid w:val="00F45E8D"/>
    <w:rsid w:val="00F57902"/>
    <w:rsid w:val="00F6328F"/>
    <w:rsid w:val="00F70DD1"/>
    <w:rsid w:val="00F70F64"/>
    <w:rsid w:val="00F716ED"/>
    <w:rsid w:val="00F750C1"/>
    <w:rsid w:val="00F830DC"/>
    <w:rsid w:val="00F90891"/>
    <w:rsid w:val="00F90B4D"/>
    <w:rsid w:val="00F94896"/>
    <w:rsid w:val="00F96E2D"/>
    <w:rsid w:val="00F97870"/>
    <w:rsid w:val="00FA25F9"/>
    <w:rsid w:val="00FA288F"/>
    <w:rsid w:val="00FA4DBF"/>
    <w:rsid w:val="00FB1AF9"/>
    <w:rsid w:val="00FB1FC0"/>
    <w:rsid w:val="00FB40BA"/>
    <w:rsid w:val="00FC0AF0"/>
    <w:rsid w:val="00FC0D6B"/>
    <w:rsid w:val="00FC5956"/>
    <w:rsid w:val="00FC7A1E"/>
    <w:rsid w:val="00FD26A9"/>
    <w:rsid w:val="00FD6FAA"/>
    <w:rsid w:val="00FE52C5"/>
    <w:rsid w:val="00FF062E"/>
    <w:rsid w:val="00FF07D4"/>
    <w:rsid w:val="00FF401E"/>
    <w:rsid w:val="00FF506D"/>
    <w:rsid w:val="00FF63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DE3597"/>
  <w14:defaultImageDpi w14:val="32767"/>
  <w15:chartTrackingRefBased/>
  <w15:docId w15:val="{511B8908-93ED-4A5B-BA12-789CDD72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5DC"/>
    <w:rPr>
      <w:rFonts w:ascii="Segoe UI" w:hAnsi="Segoe UI" w:cs="Segoe UI"/>
      <w:sz w:val="18"/>
      <w:szCs w:val="18"/>
    </w:rPr>
  </w:style>
  <w:style w:type="character" w:styleId="CommentReference">
    <w:name w:val="annotation reference"/>
    <w:basedOn w:val="DefaultParagraphFont"/>
    <w:uiPriority w:val="99"/>
    <w:semiHidden/>
    <w:unhideWhenUsed/>
    <w:rsid w:val="008765C0"/>
    <w:rPr>
      <w:sz w:val="16"/>
      <w:szCs w:val="16"/>
    </w:rPr>
  </w:style>
  <w:style w:type="paragraph" w:styleId="CommentText">
    <w:name w:val="annotation text"/>
    <w:basedOn w:val="Normal"/>
    <w:link w:val="CommentTextChar"/>
    <w:uiPriority w:val="99"/>
    <w:unhideWhenUsed/>
    <w:rsid w:val="008765C0"/>
    <w:pPr>
      <w:spacing w:line="240" w:lineRule="auto"/>
    </w:pPr>
    <w:rPr>
      <w:sz w:val="20"/>
      <w:szCs w:val="20"/>
    </w:rPr>
  </w:style>
  <w:style w:type="character" w:customStyle="1" w:styleId="CommentTextChar">
    <w:name w:val="Comment Text Char"/>
    <w:basedOn w:val="DefaultParagraphFont"/>
    <w:link w:val="CommentText"/>
    <w:uiPriority w:val="99"/>
    <w:rsid w:val="008765C0"/>
    <w:rPr>
      <w:sz w:val="20"/>
      <w:szCs w:val="20"/>
    </w:rPr>
  </w:style>
  <w:style w:type="paragraph" w:styleId="CommentSubject">
    <w:name w:val="annotation subject"/>
    <w:basedOn w:val="CommentText"/>
    <w:next w:val="CommentText"/>
    <w:link w:val="CommentSubjectChar"/>
    <w:uiPriority w:val="99"/>
    <w:semiHidden/>
    <w:unhideWhenUsed/>
    <w:rsid w:val="008765C0"/>
    <w:rPr>
      <w:b/>
      <w:bCs/>
    </w:rPr>
  </w:style>
  <w:style w:type="character" w:customStyle="1" w:styleId="CommentSubjectChar">
    <w:name w:val="Comment Subject Char"/>
    <w:basedOn w:val="CommentTextChar"/>
    <w:link w:val="CommentSubject"/>
    <w:uiPriority w:val="99"/>
    <w:semiHidden/>
    <w:rsid w:val="008765C0"/>
    <w:rPr>
      <w:b/>
      <w:bCs/>
      <w:sz w:val="20"/>
      <w:szCs w:val="20"/>
    </w:rPr>
  </w:style>
  <w:style w:type="paragraph" w:styleId="ListParagraph">
    <w:name w:val="List Paragraph"/>
    <w:basedOn w:val="Normal"/>
    <w:uiPriority w:val="34"/>
    <w:qFormat/>
    <w:rsid w:val="00E05AD2"/>
    <w:pPr>
      <w:ind w:left="720"/>
      <w:contextualSpacing/>
    </w:pPr>
  </w:style>
  <w:style w:type="character" w:styleId="PlaceholderText">
    <w:name w:val="Placeholder Text"/>
    <w:basedOn w:val="DefaultParagraphFont"/>
    <w:uiPriority w:val="99"/>
    <w:semiHidden/>
    <w:rsid w:val="000249E8"/>
    <w:rPr>
      <w:color w:val="808080"/>
    </w:rPr>
  </w:style>
  <w:style w:type="table" w:styleId="TableGrid">
    <w:name w:val="Table Grid"/>
    <w:basedOn w:val="TableNormal"/>
    <w:uiPriority w:val="39"/>
    <w:rsid w:val="002A1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865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B6A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1A4E91"/>
    <w:rPr>
      <w:b/>
      <w:bCs/>
    </w:rPr>
  </w:style>
  <w:style w:type="paragraph" w:styleId="Revision">
    <w:name w:val="Revision"/>
    <w:hidden/>
    <w:uiPriority w:val="99"/>
    <w:semiHidden/>
    <w:rsid w:val="00E64570"/>
    <w:pPr>
      <w:spacing w:after="0" w:line="240" w:lineRule="auto"/>
    </w:pPr>
  </w:style>
  <w:style w:type="character" w:styleId="Hyperlink">
    <w:name w:val="Hyperlink"/>
    <w:basedOn w:val="DefaultParagraphFont"/>
    <w:uiPriority w:val="99"/>
    <w:unhideWhenUsed/>
    <w:rsid w:val="00E64570"/>
    <w:rPr>
      <w:color w:val="0563C1" w:themeColor="hyperlink"/>
      <w:u w:val="single"/>
    </w:rPr>
  </w:style>
  <w:style w:type="character" w:styleId="UnresolvedMention">
    <w:name w:val="Unresolved Mention"/>
    <w:basedOn w:val="DefaultParagraphFont"/>
    <w:uiPriority w:val="99"/>
    <w:semiHidden/>
    <w:unhideWhenUsed/>
    <w:rsid w:val="00E64570"/>
    <w:rPr>
      <w:color w:val="605E5C"/>
      <w:shd w:val="clear" w:color="auto" w:fill="E1DFDD"/>
    </w:rPr>
  </w:style>
  <w:style w:type="character" w:styleId="FollowedHyperlink">
    <w:name w:val="FollowedHyperlink"/>
    <w:basedOn w:val="DefaultParagraphFont"/>
    <w:uiPriority w:val="99"/>
    <w:semiHidden/>
    <w:unhideWhenUsed/>
    <w:rsid w:val="009C2C5E"/>
    <w:rPr>
      <w:color w:val="954F72" w:themeColor="followedHyperlink"/>
      <w:u w:val="single"/>
    </w:rPr>
  </w:style>
  <w:style w:type="paragraph" w:styleId="Header">
    <w:name w:val="header"/>
    <w:basedOn w:val="Normal"/>
    <w:link w:val="HeaderChar"/>
    <w:uiPriority w:val="99"/>
    <w:unhideWhenUsed/>
    <w:rsid w:val="00E46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D01"/>
  </w:style>
  <w:style w:type="paragraph" w:styleId="Footer">
    <w:name w:val="footer"/>
    <w:basedOn w:val="Normal"/>
    <w:link w:val="FooterChar"/>
    <w:uiPriority w:val="99"/>
    <w:unhideWhenUsed/>
    <w:rsid w:val="00E46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D01"/>
  </w:style>
  <w:style w:type="character" w:styleId="LineNumber">
    <w:name w:val="line number"/>
    <w:basedOn w:val="DefaultParagraphFont"/>
    <w:uiPriority w:val="99"/>
    <w:semiHidden/>
    <w:unhideWhenUsed/>
    <w:rsid w:val="00A80270"/>
  </w:style>
  <w:style w:type="paragraph" w:styleId="NormalWeb">
    <w:name w:val="Normal (Web)"/>
    <w:basedOn w:val="Normal"/>
    <w:uiPriority w:val="99"/>
    <w:semiHidden/>
    <w:unhideWhenUsed/>
    <w:rsid w:val="005332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1755">
      <w:bodyDiv w:val="1"/>
      <w:marLeft w:val="0"/>
      <w:marRight w:val="0"/>
      <w:marTop w:val="0"/>
      <w:marBottom w:val="0"/>
      <w:divBdr>
        <w:top w:val="none" w:sz="0" w:space="0" w:color="auto"/>
        <w:left w:val="none" w:sz="0" w:space="0" w:color="auto"/>
        <w:bottom w:val="none" w:sz="0" w:space="0" w:color="auto"/>
        <w:right w:val="none" w:sz="0" w:space="0" w:color="auto"/>
      </w:divBdr>
    </w:div>
    <w:div w:id="32731681">
      <w:bodyDiv w:val="1"/>
      <w:marLeft w:val="0"/>
      <w:marRight w:val="0"/>
      <w:marTop w:val="0"/>
      <w:marBottom w:val="0"/>
      <w:divBdr>
        <w:top w:val="none" w:sz="0" w:space="0" w:color="auto"/>
        <w:left w:val="none" w:sz="0" w:space="0" w:color="auto"/>
        <w:bottom w:val="none" w:sz="0" w:space="0" w:color="auto"/>
        <w:right w:val="none" w:sz="0" w:space="0" w:color="auto"/>
      </w:divBdr>
    </w:div>
    <w:div w:id="73743816">
      <w:bodyDiv w:val="1"/>
      <w:marLeft w:val="0"/>
      <w:marRight w:val="0"/>
      <w:marTop w:val="0"/>
      <w:marBottom w:val="0"/>
      <w:divBdr>
        <w:top w:val="none" w:sz="0" w:space="0" w:color="auto"/>
        <w:left w:val="none" w:sz="0" w:space="0" w:color="auto"/>
        <w:bottom w:val="none" w:sz="0" w:space="0" w:color="auto"/>
        <w:right w:val="none" w:sz="0" w:space="0" w:color="auto"/>
      </w:divBdr>
    </w:div>
    <w:div w:id="144317106">
      <w:bodyDiv w:val="1"/>
      <w:marLeft w:val="0"/>
      <w:marRight w:val="0"/>
      <w:marTop w:val="0"/>
      <w:marBottom w:val="0"/>
      <w:divBdr>
        <w:top w:val="none" w:sz="0" w:space="0" w:color="auto"/>
        <w:left w:val="none" w:sz="0" w:space="0" w:color="auto"/>
        <w:bottom w:val="none" w:sz="0" w:space="0" w:color="auto"/>
        <w:right w:val="none" w:sz="0" w:space="0" w:color="auto"/>
      </w:divBdr>
    </w:div>
    <w:div w:id="173998259">
      <w:bodyDiv w:val="1"/>
      <w:marLeft w:val="0"/>
      <w:marRight w:val="0"/>
      <w:marTop w:val="0"/>
      <w:marBottom w:val="0"/>
      <w:divBdr>
        <w:top w:val="none" w:sz="0" w:space="0" w:color="auto"/>
        <w:left w:val="none" w:sz="0" w:space="0" w:color="auto"/>
        <w:bottom w:val="none" w:sz="0" w:space="0" w:color="auto"/>
        <w:right w:val="none" w:sz="0" w:space="0" w:color="auto"/>
      </w:divBdr>
    </w:div>
    <w:div w:id="195124296">
      <w:bodyDiv w:val="1"/>
      <w:marLeft w:val="0"/>
      <w:marRight w:val="0"/>
      <w:marTop w:val="0"/>
      <w:marBottom w:val="0"/>
      <w:divBdr>
        <w:top w:val="none" w:sz="0" w:space="0" w:color="auto"/>
        <w:left w:val="none" w:sz="0" w:space="0" w:color="auto"/>
        <w:bottom w:val="none" w:sz="0" w:space="0" w:color="auto"/>
        <w:right w:val="none" w:sz="0" w:space="0" w:color="auto"/>
      </w:divBdr>
    </w:div>
    <w:div w:id="198276596">
      <w:bodyDiv w:val="1"/>
      <w:marLeft w:val="0"/>
      <w:marRight w:val="0"/>
      <w:marTop w:val="0"/>
      <w:marBottom w:val="0"/>
      <w:divBdr>
        <w:top w:val="none" w:sz="0" w:space="0" w:color="auto"/>
        <w:left w:val="none" w:sz="0" w:space="0" w:color="auto"/>
        <w:bottom w:val="none" w:sz="0" w:space="0" w:color="auto"/>
        <w:right w:val="none" w:sz="0" w:space="0" w:color="auto"/>
      </w:divBdr>
    </w:div>
    <w:div w:id="248855637">
      <w:bodyDiv w:val="1"/>
      <w:marLeft w:val="0"/>
      <w:marRight w:val="0"/>
      <w:marTop w:val="0"/>
      <w:marBottom w:val="0"/>
      <w:divBdr>
        <w:top w:val="none" w:sz="0" w:space="0" w:color="auto"/>
        <w:left w:val="none" w:sz="0" w:space="0" w:color="auto"/>
        <w:bottom w:val="none" w:sz="0" w:space="0" w:color="auto"/>
        <w:right w:val="none" w:sz="0" w:space="0" w:color="auto"/>
      </w:divBdr>
    </w:div>
    <w:div w:id="266353723">
      <w:bodyDiv w:val="1"/>
      <w:marLeft w:val="0"/>
      <w:marRight w:val="0"/>
      <w:marTop w:val="0"/>
      <w:marBottom w:val="0"/>
      <w:divBdr>
        <w:top w:val="none" w:sz="0" w:space="0" w:color="auto"/>
        <w:left w:val="none" w:sz="0" w:space="0" w:color="auto"/>
        <w:bottom w:val="none" w:sz="0" w:space="0" w:color="auto"/>
        <w:right w:val="none" w:sz="0" w:space="0" w:color="auto"/>
      </w:divBdr>
    </w:div>
    <w:div w:id="281156537">
      <w:bodyDiv w:val="1"/>
      <w:marLeft w:val="0"/>
      <w:marRight w:val="0"/>
      <w:marTop w:val="0"/>
      <w:marBottom w:val="0"/>
      <w:divBdr>
        <w:top w:val="none" w:sz="0" w:space="0" w:color="auto"/>
        <w:left w:val="none" w:sz="0" w:space="0" w:color="auto"/>
        <w:bottom w:val="none" w:sz="0" w:space="0" w:color="auto"/>
        <w:right w:val="none" w:sz="0" w:space="0" w:color="auto"/>
      </w:divBdr>
      <w:divsChild>
        <w:div w:id="483086228">
          <w:marLeft w:val="0"/>
          <w:marRight w:val="0"/>
          <w:marTop w:val="0"/>
          <w:marBottom w:val="0"/>
          <w:divBdr>
            <w:top w:val="single" w:sz="2" w:space="0" w:color="auto"/>
            <w:left w:val="single" w:sz="2" w:space="0" w:color="auto"/>
            <w:bottom w:val="single" w:sz="6" w:space="0" w:color="auto"/>
            <w:right w:val="single" w:sz="2" w:space="0" w:color="auto"/>
          </w:divBdr>
          <w:divsChild>
            <w:div w:id="1549803716">
              <w:marLeft w:val="0"/>
              <w:marRight w:val="0"/>
              <w:marTop w:val="100"/>
              <w:marBottom w:val="100"/>
              <w:divBdr>
                <w:top w:val="single" w:sz="2" w:space="0" w:color="D9D9E3"/>
                <w:left w:val="single" w:sz="2" w:space="0" w:color="D9D9E3"/>
                <w:bottom w:val="single" w:sz="2" w:space="0" w:color="D9D9E3"/>
                <w:right w:val="single" w:sz="2" w:space="0" w:color="D9D9E3"/>
              </w:divBdr>
              <w:divsChild>
                <w:div w:id="1247957157">
                  <w:marLeft w:val="0"/>
                  <w:marRight w:val="0"/>
                  <w:marTop w:val="0"/>
                  <w:marBottom w:val="0"/>
                  <w:divBdr>
                    <w:top w:val="single" w:sz="2" w:space="0" w:color="D9D9E3"/>
                    <w:left w:val="single" w:sz="2" w:space="0" w:color="D9D9E3"/>
                    <w:bottom w:val="single" w:sz="2" w:space="0" w:color="D9D9E3"/>
                    <w:right w:val="single" w:sz="2" w:space="0" w:color="D9D9E3"/>
                  </w:divBdr>
                  <w:divsChild>
                    <w:div w:id="1593733720">
                      <w:marLeft w:val="0"/>
                      <w:marRight w:val="0"/>
                      <w:marTop w:val="0"/>
                      <w:marBottom w:val="0"/>
                      <w:divBdr>
                        <w:top w:val="single" w:sz="2" w:space="0" w:color="D9D9E3"/>
                        <w:left w:val="single" w:sz="2" w:space="0" w:color="D9D9E3"/>
                        <w:bottom w:val="single" w:sz="2" w:space="0" w:color="D9D9E3"/>
                        <w:right w:val="single" w:sz="2" w:space="0" w:color="D9D9E3"/>
                      </w:divBdr>
                      <w:divsChild>
                        <w:div w:id="899941649">
                          <w:marLeft w:val="0"/>
                          <w:marRight w:val="0"/>
                          <w:marTop w:val="0"/>
                          <w:marBottom w:val="0"/>
                          <w:divBdr>
                            <w:top w:val="single" w:sz="2" w:space="0" w:color="D9D9E3"/>
                            <w:left w:val="single" w:sz="2" w:space="0" w:color="D9D9E3"/>
                            <w:bottom w:val="single" w:sz="2" w:space="0" w:color="D9D9E3"/>
                            <w:right w:val="single" w:sz="2" w:space="0" w:color="D9D9E3"/>
                          </w:divBdr>
                          <w:divsChild>
                            <w:div w:id="1607083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03854462">
      <w:bodyDiv w:val="1"/>
      <w:marLeft w:val="0"/>
      <w:marRight w:val="0"/>
      <w:marTop w:val="0"/>
      <w:marBottom w:val="0"/>
      <w:divBdr>
        <w:top w:val="none" w:sz="0" w:space="0" w:color="auto"/>
        <w:left w:val="none" w:sz="0" w:space="0" w:color="auto"/>
        <w:bottom w:val="none" w:sz="0" w:space="0" w:color="auto"/>
        <w:right w:val="none" w:sz="0" w:space="0" w:color="auto"/>
      </w:divBdr>
    </w:div>
    <w:div w:id="306323830">
      <w:bodyDiv w:val="1"/>
      <w:marLeft w:val="0"/>
      <w:marRight w:val="0"/>
      <w:marTop w:val="0"/>
      <w:marBottom w:val="0"/>
      <w:divBdr>
        <w:top w:val="none" w:sz="0" w:space="0" w:color="auto"/>
        <w:left w:val="none" w:sz="0" w:space="0" w:color="auto"/>
        <w:bottom w:val="none" w:sz="0" w:space="0" w:color="auto"/>
        <w:right w:val="none" w:sz="0" w:space="0" w:color="auto"/>
      </w:divBdr>
    </w:div>
    <w:div w:id="328213012">
      <w:bodyDiv w:val="1"/>
      <w:marLeft w:val="0"/>
      <w:marRight w:val="0"/>
      <w:marTop w:val="0"/>
      <w:marBottom w:val="0"/>
      <w:divBdr>
        <w:top w:val="none" w:sz="0" w:space="0" w:color="auto"/>
        <w:left w:val="none" w:sz="0" w:space="0" w:color="auto"/>
        <w:bottom w:val="none" w:sz="0" w:space="0" w:color="auto"/>
        <w:right w:val="none" w:sz="0" w:space="0" w:color="auto"/>
      </w:divBdr>
    </w:div>
    <w:div w:id="330178639">
      <w:bodyDiv w:val="1"/>
      <w:marLeft w:val="0"/>
      <w:marRight w:val="0"/>
      <w:marTop w:val="0"/>
      <w:marBottom w:val="0"/>
      <w:divBdr>
        <w:top w:val="none" w:sz="0" w:space="0" w:color="auto"/>
        <w:left w:val="none" w:sz="0" w:space="0" w:color="auto"/>
        <w:bottom w:val="none" w:sz="0" w:space="0" w:color="auto"/>
        <w:right w:val="none" w:sz="0" w:space="0" w:color="auto"/>
      </w:divBdr>
    </w:div>
    <w:div w:id="340281148">
      <w:bodyDiv w:val="1"/>
      <w:marLeft w:val="0"/>
      <w:marRight w:val="0"/>
      <w:marTop w:val="0"/>
      <w:marBottom w:val="0"/>
      <w:divBdr>
        <w:top w:val="none" w:sz="0" w:space="0" w:color="auto"/>
        <w:left w:val="none" w:sz="0" w:space="0" w:color="auto"/>
        <w:bottom w:val="none" w:sz="0" w:space="0" w:color="auto"/>
        <w:right w:val="none" w:sz="0" w:space="0" w:color="auto"/>
      </w:divBdr>
    </w:div>
    <w:div w:id="370882245">
      <w:bodyDiv w:val="1"/>
      <w:marLeft w:val="0"/>
      <w:marRight w:val="0"/>
      <w:marTop w:val="0"/>
      <w:marBottom w:val="0"/>
      <w:divBdr>
        <w:top w:val="none" w:sz="0" w:space="0" w:color="auto"/>
        <w:left w:val="none" w:sz="0" w:space="0" w:color="auto"/>
        <w:bottom w:val="none" w:sz="0" w:space="0" w:color="auto"/>
        <w:right w:val="none" w:sz="0" w:space="0" w:color="auto"/>
      </w:divBdr>
      <w:divsChild>
        <w:div w:id="443038321">
          <w:marLeft w:val="0"/>
          <w:marRight w:val="0"/>
          <w:marTop w:val="0"/>
          <w:marBottom w:val="0"/>
          <w:divBdr>
            <w:top w:val="none" w:sz="0" w:space="0" w:color="auto"/>
            <w:left w:val="none" w:sz="0" w:space="0" w:color="auto"/>
            <w:bottom w:val="none" w:sz="0" w:space="0" w:color="auto"/>
            <w:right w:val="none" w:sz="0" w:space="0" w:color="auto"/>
          </w:divBdr>
        </w:div>
      </w:divsChild>
    </w:div>
    <w:div w:id="406849640">
      <w:bodyDiv w:val="1"/>
      <w:marLeft w:val="0"/>
      <w:marRight w:val="0"/>
      <w:marTop w:val="0"/>
      <w:marBottom w:val="0"/>
      <w:divBdr>
        <w:top w:val="none" w:sz="0" w:space="0" w:color="auto"/>
        <w:left w:val="none" w:sz="0" w:space="0" w:color="auto"/>
        <w:bottom w:val="none" w:sz="0" w:space="0" w:color="auto"/>
        <w:right w:val="none" w:sz="0" w:space="0" w:color="auto"/>
      </w:divBdr>
    </w:div>
    <w:div w:id="412581686">
      <w:bodyDiv w:val="1"/>
      <w:marLeft w:val="0"/>
      <w:marRight w:val="0"/>
      <w:marTop w:val="0"/>
      <w:marBottom w:val="0"/>
      <w:divBdr>
        <w:top w:val="none" w:sz="0" w:space="0" w:color="auto"/>
        <w:left w:val="none" w:sz="0" w:space="0" w:color="auto"/>
        <w:bottom w:val="none" w:sz="0" w:space="0" w:color="auto"/>
        <w:right w:val="none" w:sz="0" w:space="0" w:color="auto"/>
      </w:divBdr>
    </w:div>
    <w:div w:id="413279057">
      <w:bodyDiv w:val="1"/>
      <w:marLeft w:val="0"/>
      <w:marRight w:val="0"/>
      <w:marTop w:val="0"/>
      <w:marBottom w:val="0"/>
      <w:divBdr>
        <w:top w:val="none" w:sz="0" w:space="0" w:color="auto"/>
        <w:left w:val="none" w:sz="0" w:space="0" w:color="auto"/>
        <w:bottom w:val="none" w:sz="0" w:space="0" w:color="auto"/>
        <w:right w:val="none" w:sz="0" w:space="0" w:color="auto"/>
      </w:divBdr>
    </w:div>
    <w:div w:id="436028647">
      <w:bodyDiv w:val="1"/>
      <w:marLeft w:val="0"/>
      <w:marRight w:val="0"/>
      <w:marTop w:val="0"/>
      <w:marBottom w:val="0"/>
      <w:divBdr>
        <w:top w:val="none" w:sz="0" w:space="0" w:color="auto"/>
        <w:left w:val="none" w:sz="0" w:space="0" w:color="auto"/>
        <w:bottom w:val="none" w:sz="0" w:space="0" w:color="auto"/>
        <w:right w:val="none" w:sz="0" w:space="0" w:color="auto"/>
      </w:divBdr>
    </w:div>
    <w:div w:id="493762157">
      <w:bodyDiv w:val="1"/>
      <w:marLeft w:val="0"/>
      <w:marRight w:val="0"/>
      <w:marTop w:val="0"/>
      <w:marBottom w:val="0"/>
      <w:divBdr>
        <w:top w:val="none" w:sz="0" w:space="0" w:color="auto"/>
        <w:left w:val="none" w:sz="0" w:space="0" w:color="auto"/>
        <w:bottom w:val="none" w:sz="0" w:space="0" w:color="auto"/>
        <w:right w:val="none" w:sz="0" w:space="0" w:color="auto"/>
      </w:divBdr>
    </w:div>
    <w:div w:id="521820466">
      <w:bodyDiv w:val="1"/>
      <w:marLeft w:val="0"/>
      <w:marRight w:val="0"/>
      <w:marTop w:val="0"/>
      <w:marBottom w:val="0"/>
      <w:divBdr>
        <w:top w:val="none" w:sz="0" w:space="0" w:color="auto"/>
        <w:left w:val="none" w:sz="0" w:space="0" w:color="auto"/>
        <w:bottom w:val="none" w:sz="0" w:space="0" w:color="auto"/>
        <w:right w:val="none" w:sz="0" w:space="0" w:color="auto"/>
      </w:divBdr>
    </w:div>
    <w:div w:id="559440218">
      <w:bodyDiv w:val="1"/>
      <w:marLeft w:val="0"/>
      <w:marRight w:val="0"/>
      <w:marTop w:val="0"/>
      <w:marBottom w:val="0"/>
      <w:divBdr>
        <w:top w:val="none" w:sz="0" w:space="0" w:color="auto"/>
        <w:left w:val="none" w:sz="0" w:space="0" w:color="auto"/>
        <w:bottom w:val="none" w:sz="0" w:space="0" w:color="auto"/>
        <w:right w:val="none" w:sz="0" w:space="0" w:color="auto"/>
      </w:divBdr>
    </w:div>
    <w:div w:id="567806281">
      <w:bodyDiv w:val="1"/>
      <w:marLeft w:val="0"/>
      <w:marRight w:val="0"/>
      <w:marTop w:val="0"/>
      <w:marBottom w:val="0"/>
      <w:divBdr>
        <w:top w:val="none" w:sz="0" w:space="0" w:color="auto"/>
        <w:left w:val="none" w:sz="0" w:space="0" w:color="auto"/>
        <w:bottom w:val="none" w:sz="0" w:space="0" w:color="auto"/>
        <w:right w:val="none" w:sz="0" w:space="0" w:color="auto"/>
      </w:divBdr>
    </w:div>
    <w:div w:id="620957775">
      <w:bodyDiv w:val="1"/>
      <w:marLeft w:val="0"/>
      <w:marRight w:val="0"/>
      <w:marTop w:val="0"/>
      <w:marBottom w:val="0"/>
      <w:divBdr>
        <w:top w:val="none" w:sz="0" w:space="0" w:color="auto"/>
        <w:left w:val="none" w:sz="0" w:space="0" w:color="auto"/>
        <w:bottom w:val="none" w:sz="0" w:space="0" w:color="auto"/>
        <w:right w:val="none" w:sz="0" w:space="0" w:color="auto"/>
      </w:divBdr>
    </w:div>
    <w:div w:id="637414439">
      <w:bodyDiv w:val="1"/>
      <w:marLeft w:val="0"/>
      <w:marRight w:val="0"/>
      <w:marTop w:val="0"/>
      <w:marBottom w:val="0"/>
      <w:divBdr>
        <w:top w:val="none" w:sz="0" w:space="0" w:color="auto"/>
        <w:left w:val="none" w:sz="0" w:space="0" w:color="auto"/>
        <w:bottom w:val="none" w:sz="0" w:space="0" w:color="auto"/>
        <w:right w:val="none" w:sz="0" w:space="0" w:color="auto"/>
      </w:divBdr>
    </w:div>
    <w:div w:id="691035578">
      <w:bodyDiv w:val="1"/>
      <w:marLeft w:val="0"/>
      <w:marRight w:val="0"/>
      <w:marTop w:val="0"/>
      <w:marBottom w:val="0"/>
      <w:divBdr>
        <w:top w:val="none" w:sz="0" w:space="0" w:color="auto"/>
        <w:left w:val="none" w:sz="0" w:space="0" w:color="auto"/>
        <w:bottom w:val="none" w:sz="0" w:space="0" w:color="auto"/>
        <w:right w:val="none" w:sz="0" w:space="0" w:color="auto"/>
      </w:divBdr>
    </w:div>
    <w:div w:id="725376392">
      <w:bodyDiv w:val="1"/>
      <w:marLeft w:val="0"/>
      <w:marRight w:val="0"/>
      <w:marTop w:val="0"/>
      <w:marBottom w:val="0"/>
      <w:divBdr>
        <w:top w:val="none" w:sz="0" w:space="0" w:color="auto"/>
        <w:left w:val="none" w:sz="0" w:space="0" w:color="auto"/>
        <w:bottom w:val="none" w:sz="0" w:space="0" w:color="auto"/>
        <w:right w:val="none" w:sz="0" w:space="0" w:color="auto"/>
      </w:divBdr>
      <w:divsChild>
        <w:div w:id="1344671620">
          <w:marLeft w:val="480"/>
          <w:marRight w:val="0"/>
          <w:marTop w:val="0"/>
          <w:marBottom w:val="0"/>
          <w:divBdr>
            <w:top w:val="none" w:sz="0" w:space="0" w:color="auto"/>
            <w:left w:val="none" w:sz="0" w:space="0" w:color="auto"/>
            <w:bottom w:val="none" w:sz="0" w:space="0" w:color="auto"/>
            <w:right w:val="none" w:sz="0" w:space="0" w:color="auto"/>
          </w:divBdr>
        </w:div>
        <w:div w:id="1282110495">
          <w:marLeft w:val="480"/>
          <w:marRight w:val="0"/>
          <w:marTop w:val="0"/>
          <w:marBottom w:val="0"/>
          <w:divBdr>
            <w:top w:val="none" w:sz="0" w:space="0" w:color="auto"/>
            <w:left w:val="none" w:sz="0" w:space="0" w:color="auto"/>
            <w:bottom w:val="none" w:sz="0" w:space="0" w:color="auto"/>
            <w:right w:val="none" w:sz="0" w:space="0" w:color="auto"/>
          </w:divBdr>
        </w:div>
        <w:div w:id="1832136296">
          <w:marLeft w:val="480"/>
          <w:marRight w:val="0"/>
          <w:marTop w:val="0"/>
          <w:marBottom w:val="0"/>
          <w:divBdr>
            <w:top w:val="none" w:sz="0" w:space="0" w:color="auto"/>
            <w:left w:val="none" w:sz="0" w:space="0" w:color="auto"/>
            <w:bottom w:val="none" w:sz="0" w:space="0" w:color="auto"/>
            <w:right w:val="none" w:sz="0" w:space="0" w:color="auto"/>
          </w:divBdr>
        </w:div>
        <w:div w:id="1878084169">
          <w:marLeft w:val="480"/>
          <w:marRight w:val="0"/>
          <w:marTop w:val="0"/>
          <w:marBottom w:val="0"/>
          <w:divBdr>
            <w:top w:val="none" w:sz="0" w:space="0" w:color="auto"/>
            <w:left w:val="none" w:sz="0" w:space="0" w:color="auto"/>
            <w:bottom w:val="none" w:sz="0" w:space="0" w:color="auto"/>
            <w:right w:val="none" w:sz="0" w:space="0" w:color="auto"/>
          </w:divBdr>
        </w:div>
        <w:div w:id="2013022339">
          <w:marLeft w:val="480"/>
          <w:marRight w:val="0"/>
          <w:marTop w:val="0"/>
          <w:marBottom w:val="0"/>
          <w:divBdr>
            <w:top w:val="none" w:sz="0" w:space="0" w:color="auto"/>
            <w:left w:val="none" w:sz="0" w:space="0" w:color="auto"/>
            <w:bottom w:val="none" w:sz="0" w:space="0" w:color="auto"/>
            <w:right w:val="none" w:sz="0" w:space="0" w:color="auto"/>
          </w:divBdr>
        </w:div>
        <w:div w:id="1687556436">
          <w:marLeft w:val="480"/>
          <w:marRight w:val="0"/>
          <w:marTop w:val="0"/>
          <w:marBottom w:val="0"/>
          <w:divBdr>
            <w:top w:val="none" w:sz="0" w:space="0" w:color="auto"/>
            <w:left w:val="none" w:sz="0" w:space="0" w:color="auto"/>
            <w:bottom w:val="none" w:sz="0" w:space="0" w:color="auto"/>
            <w:right w:val="none" w:sz="0" w:space="0" w:color="auto"/>
          </w:divBdr>
        </w:div>
        <w:div w:id="1256286465">
          <w:marLeft w:val="480"/>
          <w:marRight w:val="0"/>
          <w:marTop w:val="0"/>
          <w:marBottom w:val="0"/>
          <w:divBdr>
            <w:top w:val="none" w:sz="0" w:space="0" w:color="auto"/>
            <w:left w:val="none" w:sz="0" w:space="0" w:color="auto"/>
            <w:bottom w:val="none" w:sz="0" w:space="0" w:color="auto"/>
            <w:right w:val="none" w:sz="0" w:space="0" w:color="auto"/>
          </w:divBdr>
        </w:div>
        <w:div w:id="2059277279">
          <w:marLeft w:val="480"/>
          <w:marRight w:val="0"/>
          <w:marTop w:val="0"/>
          <w:marBottom w:val="0"/>
          <w:divBdr>
            <w:top w:val="none" w:sz="0" w:space="0" w:color="auto"/>
            <w:left w:val="none" w:sz="0" w:space="0" w:color="auto"/>
            <w:bottom w:val="none" w:sz="0" w:space="0" w:color="auto"/>
            <w:right w:val="none" w:sz="0" w:space="0" w:color="auto"/>
          </w:divBdr>
        </w:div>
        <w:div w:id="1490444639">
          <w:marLeft w:val="480"/>
          <w:marRight w:val="0"/>
          <w:marTop w:val="0"/>
          <w:marBottom w:val="0"/>
          <w:divBdr>
            <w:top w:val="none" w:sz="0" w:space="0" w:color="auto"/>
            <w:left w:val="none" w:sz="0" w:space="0" w:color="auto"/>
            <w:bottom w:val="none" w:sz="0" w:space="0" w:color="auto"/>
            <w:right w:val="none" w:sz="0" w:space="0" w:color="auto"/>
          </w:divBdr>
        </w:div>
      </w:divsChild>
    </w:div>
    <w:div w:id="827014206">
      <w:bodyDiv w:val="1"/>
      <w:marLeft w:val="0"/>
      <w:marRight w:val="0"/>
      <w:marTop w:val="0"/>
      <w:marBottom w:val="0"/>
      <w:divBdr>
        <w:top w:val="none" w:sz="0" w:space="0" w:color="auto"/>
        <w:left w:val="none" w:sz="0" w:space="0" w:color="auto"/>
        <w:bottom w:val="none" w:sz="0" w:space="0" w:color="auto"/>
        <w:right w:val="none" w:sz="0" w:space="0" w:color="auto"/>
      </w:divBdr>
    </w:div>
    <w:div w:id="856506327">
      <w:bodyDiv w:val="1"/>
      <w:marLeft w:val="0"/>
      <w:marRight w:val="0"/>
      <w:marTop w:val="0"/>
      <w:marBottom w:val="0"/>
      <w:divBdr>
        <w:top w:val="none" w:sz="0" w:space="0" w:color="auto"/>
        <w:left w:val="none" w:sz="0" w:space="0" w:color="auto"/>
        <w:bottom w:val="none" w:sz="0" w:space="0" w:color="auto"/>
        <w:right w:val="none" w:sz="0" w:space="0" w:color="auto"/>
      </w:divBdr>
    </w:div>
    <w:div w:id="868838519">
      <w:bodyDiv w:val="1"/>
      <w:marLeft w:val="0"/>
      <w:marRight w:val="0"/>
      <w:marTop w:val="0"/>
      <w:marBottom w:val="0"/>
      <w:divBdr>
        <w:top w:val="none" w:sz="0" w:space="0" w:color="auto"/>
        <w:left w:val="none" w:sz="0" w:space="0" w:color="auto"/>
        <w:bottom w:val="none" w:sz="0" w:space="0" w:color="auto"/>
        <w:right w:val="none" w:sz="0" w:space="0" w:color="auto"/>
      </w:divBdr>
    </w:div>
    <w:div w:id="942881900">
      <w:bodyDiv w:val="1"/>
      <w:marLeft w:val="0"/>
      <w:marRight w:val="0"/>
      <w:marTop w:val="0"/>
      <w:marBottom w:val="0"/>
      <w:divBdr>
        <w:top w:val="none" w:sz="0" w:space="0" w:color="auto"/>
        <w:left w:val="none" w:sz="0" w:space="0" w:color="auto"/>
        <w:bottom w:val="none" w:sz="0" w:space="0" w:color="auto"/>
        <w:right w:val="none" w:sz="0" w:space="0" w:color="auto"/>
      </w:divBdr>
    </w:div>
    <w:div w:id="1021056256">
      <w:bodyDiv w:val="1"/>
      <w:marLeft w:val="0"/>
      <w:marRight w:val="0"/>
      <w:marTop w:val="0"/>
      <w:marBottom w:val="0"/>
      <w:divBdr>
        <w:top w:val="none" w:sz="0" w:space="0" w:color="auto"/>
        <w:left w:val="none" w:sz="0" w:space="0" w:color="auto"/>
        <w:bottom w:val="none" w:sz="0" w:space="0" w:color="auto"/>
        <w:right w:val="none" w:sz="0" w:space="0" w:color="auto"/>
      </w:divBdr>
    </w:div>
    <w:div w:id="1033193417">
      <w:bodyDiv w:val="1"/>
      <w:marLeft w:val="0"/>
      <w:marRight w:val="0"/>
      <w:marTop w:val="0"/>
      <w:marBottom w:val="0"/>
      <w:divBdr>
        <w:top w:val="none" w:sz="0" w:space="0" w:color="auto"/>
        <w:left w:val="none" w:sz="0" w:space="0" w:color="auto"/>
        <w:bottom w:val="none" w:sz="0" w:space="0" w:color="auto"/>
        <w:right w:val="none" w:sz="0" w:space="0" w:color="auto"/>
      </w:divBdr>
    </w:div>
    <w:div w:id="1227646297">
      <w:bodyDiv w:val="1"/>
      <w:marLeft w:val="0"/>
      <w:marRight w:val="0"/>
      <w:marTop w:val="0"/>
      <w:marBottom w:val="0"/>
      <w:divBdr>
        <w:top w:val="none" w:sz="0" w:space="0" w:color="auto"/>
        <w:left w:val="none" w:sz="0" w:space="0" w:color="auto"/>
        <w:bottom w:val="none" w:sz="0" w:space="0" w:color="auto"/>
        <w:right w:val="none" w:sz="0" w:space="0" w:color="auto"/>
      </w:divBdr>
    </w:div>
    <w:div w:id="1242562793">
      <w:bodyDiv w:val="1"/>
      <w:marLeft w:val="0"/>
      <w:marRight w:val="0"/>
      <w:marTop w:val="0"/>
      <w:marBottom w:val="0"/>
      <w:divBdr>
        <w:top w:val="none" w:sz="0" w:space="0" w:color="auto"/>
        <w:left w:val="none" w:sz="0" w:space="0" w:color="auto"/>
        <w:bottom w:val="none" w:sz="0" w:space="0" w:color="auto"/>
        <w:right w:val="none" w:sz="0" w:space="0" w:color="auto"/>
      </w:divBdr>
    </w:div>
    <w:div w:id="1259367169">
      <w:bodyDiv w:val="1"/>
      <w:marLeft w:val="0"/>
      <w:marRight w:val="0"/>
      <w:marTop w:val="0"/>
      <w:marBottom w:val="0"/>
      <w:divBdr>
        <w:top w:val="none" w:sz="0" w:space="0" w:color="auto"/>
        <w:left w:val="none" w:sz="0" w:space="0" w:color="auto"/>
        <w:bottom w:val="none" w:sz="0" w:space="0" w:color="auto"/>
        <w:right w:val="none" w:sz="0" w:space="0" w:color="auto"/>
      </w:divBdr>
    </w:div>
    <w:div w:id="1266772747">
      <w:bodyDiv w:val="1"/>
      <w:marLeft w:val="0"/>
      <w:marRight w:val="0"/>
      <w:marTop w:val="0"/>
      <w:marBottom w:val="0"/>
      <w:divBdr>
        <w:top w:val="none" w:sz="0" w:space="0" w:color="auto"/>
        <w:left w:val="none" w:sz="0" w:space="0" w:color="auto"/>
        <w:bottom w:val="none" w:sz="0" w:space="0" w:color="auto"/>
        <w:right w:val="none" w:sz="0" w:space="0" w:color="auto"/>
      </w:divBdr>
    </w:div>
    <w:div w:id="1334918024">
      <w:bodyDiv w:val="1"/>
      <w:marLeft w:val="0"/>
      <w:marRight w:val="0"/>
      <w:marTop w:val="0"/>
      <w:marBottom w:val="0"/>
      <w:divBdr>
        <w:top w:val="none" w:sz="0" w:space="0" w:color="auto"/>
        <w:left w:val="none" w:sz="0" w:space="0" w:color="auto"/>
        <w:bottom w:val="none" w:sz="0" w:space="0" w:color="auto"/>
        <w:right w:val="none" w:sz="0" w:space="0" w:color="auto"/>
      </w:divBdr>
    </w:div>
    <w:div w:id="1338388114">
      <w:bodyDiv w:val="1"/>
      <w:marLeft w:val="0"/>
      <w:marRight w:val="0"/>
      <w:marTop w:val="0"/>
      <w:marBottom w:val="0"/>
      <w:divBdr>
        <w:top w:val="none" w:sz="0" w:space="0" w:color="auto"/>
        <w:left w:val="none" w:sz="0" w:space="0" w:color="auto"/>
        <w:bottom w:val="none" w:sz="0" w:space="0" w:color="auto"/>
        <w:right w:val="none" w:sz="0" w:space="0" w:color="auto"/>
      </w:divBdr>
    </w:div>
    <w:div w:id="1350369348">
      <w:bodyDiv w:val="1"/>
      <w:marLeft w:val="0"/>
      <w:marRight w:val="0"/>
      <w:marTop w:val="0"/>
      <w:marBottom w:val="0"/>
      <w:divBdr>
        <w:top w:val="none" w:sz="0" w:space="0" w:color="auto"/>
        <w:left w:val="none" w:sz="0" w:space="0" w:color="auto"/>
        <w:bottom w:val="none" w:sz="0" w:space="0" w:color="auto"/>
        <w:right w:val="none" w:sz="0" w:space="0" w:color="auto"/>
      </w:divBdr>
    </w:div>
    <w:div w:id="1376852133">
      <w:bodyDiv w:val="1"/>
      <w:marLeft w:val="0"/>
      <w:marRight w:val="0"/>
      <w:marTop w:val="0"/>
      <w:marBottom w:val="0"/>
      <w:divBdr>
        <w:top w:val="none" w:sz="0" w:space="0" w:color="auto"/>
        <w:left w:val="none" w:sz="0" w:space="0" w:color="auto"/>
        <w:bottom w:val="none" w:sz="0" w:space="0" w:color="auto"/>
        <w:right w:val="none" w:sz="0" w:space="0" w:color="auto"/>
      </w:divBdr>
    </w:div>
    <w:div w:id="1382941651">
      <w:bodyDiv w:val="1"/>
      <w:marLeft w:val="0"/>
      <w:marRight w:val="0"/>
      <w:marTop w:val="0"/>
      <w:marBottom w:val="0"/>
      <w:divBdr>
        <w:top w:val="none" w:sz="0" w:space="0" w:color="auto"/>
        <w:left w:val="none" w:sz="0" w:space="0" w:color="auto"/>
        <w:bottom w:val="none" w:sz="0" w:space="0" w:color="auto"/>
        <w:right w:val="none" w:sz="0" w:space="0" w:color="auto"/>
      </w:divBdr>
    </w:div>
    <w:div w:id="1383089856">
      <w:bodyDiv w:val="1"/>
      <w:marLeft w:val="0"/>
      <w:marRight w:val="0"/>
      <w:marTop w:val="0"/>
      <w:marBottom w:val="0"/>
      <w:divBdr>
        <w:top w:val="none" w:sz="0" w:space="0" w:color="auto"/>
        <w:left w:val="none" w:sz="0" w:space="0" w:color="auto"/>
        <w:bottom w:val="none" w:sz="0" w:space="0" w:color="auto"/>
        <w:right w:val="none" w:sz="0" w:space="0" w:color="auto"/>
      </w:divBdr>
    </w:div>
    <w:div w:id="1388147867">
      <w:bodyDiv w:val="1"/>
      <w:marLeft w:val="0"/>
      <w:marRight w:val="0"/>
      <w:marTop w:val="0"/>
      <w:marBottom w:val="0"/>
      <w:divBdr>
        <w:top w:val="none" w:sz="0" w:space="0" w:color="auto"/>
        <w:left w:val="none" w:sz="0" w:space="0" w:color="auto"/>
        <w:bottom w:val="none" w:sz="0" w:space="0" w:color="auto"/>
        <w:right w:val="none" w:sz="0" w:space="0" w:color="auto"/>
      </w:divBdr>
    </w:div>
    <w:div w:id="1397389915">
      <w:bodyDiv w:val="1"/>
      <w:marLeft w:val="0"/>
      <w:marRight w:val="0"/>
      <w:marTop w:val="0"/>
      <w:marBottom w:val="0"/>
      <w:divBdr>
        <w:top w:val="none" w:sz="0" w:space="0" w:color="auto"/>
        <w:left w:val="none" w:sz="0" w:space="0" w:color="auto"/>
        <w:bottom w:val="none" w:sz="0" w:space="0" w:color="auto"/>
        <w:right w:val="none" w:sz="0" w:space="0" w:color="auto"/>
      </w:divBdr>
    </w:div>
    <w:div w:id="1408574936">
      <w:bodyDiv w:val="1"/>
      <w:marLeft w:val="0"/>
      <w:marRight w:val="0"/>
      <w:marTop w:val="0"/>
      <w:marBottom w:val="0"/>
      <w:divBdr>
        <w:top w:val="none" w:sz="0" w:space="0" w:color="auto"/>
        <w:left w:val="none" w:sz="0" w:space="0" w:color="auto"/>
        <w:bottom w:val="none" w:sz="0" w:space="0" w:color="auto"/>
        <w:right w:val="none" w:sz="0" w:space="0" w:color="auto"/>
      </w:divBdr>
    </w:div>
    <w:div w:id="1415323025">
      <w:bodyDiv w:val="1"/>
      <w:marLeft w:val="0"/>
      <w:marRight w:val="0"/>
      <w:marTop w:val="0"/>
      <w:marBottom w:val="0"/>
      <w:divBdr>
        <w:top w:val="none" w:sz="0" w:space="0" w:color="auto"/>
        <w:left w:val="none" w:sz="0" w:space="0" w:color="auto"/>
        <w:bottom w:val="none" w:sz="0" w:space="0" w:color="auto"/>
        <w:right w:val="none" w:sz="0" w:space="0" w:color="auto"/>
      </w:divBdr>
    </w:div>
    <w:div w:id="1453088416">
      <w:bodyDiv w:val="1"/>
      <w:marLeft w:val="0"/>
      <w:marRight w:val="0"/>
      <w:marTop w:val="0"/>
      <w:marBottom w:val="0"/>
      <w:divBdr>
        <w:top w:val="none" w:sz="0" w:space="0" w:color="auto"/>
        <w:left w:val="none" w:sz="0" w:space="0" w:color="auto"/>
        <w:bottom w:val="none" w:sz="0" w:space="0" w:color="auto"/>
        <w:right w:val="none" w:sz="0" w:space="0" w:color="auto"/>
      </w:divBdr>
    </w:div>
    <w:div w:id="1597906529">
      <w:bodyDiv w:val="1"/>
      <w:marLeft w:val="0"/>
      <w:marRight w:val="0"/>
      <w:marTop w:val="0"/>
      <w:marBottom w:val="0"/>
      <w:divBdr>
        <w:top w:val="none" w:sz="0" w:space="0" w:color="auto"/>
        <w:left w:val="none" w:sz="0" w:space="0" w:color="auto"/>
        <w:bottom w:val="none" w:sz="0" w:space="0" w:color="auto"/>
        <w:right w:val="none" w:sz="0" w:space="0" w:color="auto"/>
      </w:divBdr>
    </w:div>
    <w:div w:id="1618370317">
      <w:bodyDiv w:val="1"/>
      <w:marLeft w:val="0"/>
      <w:marRight w:val="0"/>
      <w:marTop w:val="0"/>
      <w:marBottom w:val="0"/>
      <w:divBdr>
        <w:top w:val="none" w:sz="0" w:space="0" w:color="auto"/>
        <w:left w:val="none" w:sz="0" w:space="0" w:color="auto"/>
        <w:bottom w:val="none" w:sz="0" w:space="0" w:color="auto"/>
        <w:right w:val="none" w:sz="0" w:space="0" w:color="auto"/>
      </w:divBdr>
    </w:div>
    <w:div w:id="1627159799">
      <w:bodyDiv w:val="1"/>
      <w:marLeft w:val="0"/>
      <w:marRight w:val="0"/>
      <w:marTop w:val="0"/>
      <w:marBottom w:val="0"/>
      <w:divBdr>
        <w:top w:val="none" w:sz="0" w:space="0" w:color="auto"/>
        <w:left w:val="none" w:sz="0" w:space="0" w:color="auto"/>
        <w:bottom w:val="none" w:sz="0" w:space="0" w:color="auto"/>
        <w:right w:val="none" w:sz="0" w:space="0" w:color="auto"/>
      </w:divBdr>
    </w:div>
    <w:div w:id="1664698477">
      <w:bodyDiv w:val="1"/>
      <w:marLeft w:val="0"/>
      <w:marRight w:val="0"/>
      <w:marTop w:val="0"/>
      <w:marBottom w:val="0"/>
      <w:divBdr>
        <w:top w:val="none" w:sz="0" w:space="0" w:color="auto"/>
        <w:left w:val="none" w:sz="0" w:space="0" w:color="auto"/>
        <w:bottom w:val="none" w:sz="0" w:space="0" w:color="auto"/>
        <w:right w:val="none" w:sz="0" w:space="0" w:color="auto"/>
      </w:divBdr>
    </w:div>
    <w:div w:id="1679112843">
      <w:bodyDiv w:val="1"/>
      <w:marLeft w:val="0"/>
      <w:marRight w:val="0"/>
      <w:marTop w:val="0"/>
      <w:marBottom w:val="0"/>
      <w:divBdr>
        <w:top w:val="none" w:sz="0" w:space="0" w:color="auto"/>
        <w:left w:val="none" w:sz="0" w:space="0" w:color="auto"/>
        <w:bottom w:val="none" w:sz="0" w:space="0" w:color="auto"/>
        <w:right w:val="none" w:sz="0" w:space="0" w:color="auto"/>
      </w:divBdr>
    </w:div>
    <w:div w:id="1718973669">
      <w:bodyDiv w:val="1"/>
      <w:marLeft w:val="0"/>
      <w:marRight w:val="0"/>
      <w:marTop w:val="0"/>
      <w:marBottom w:val="0"/>
      <w:divBdr>
        <w:top w:val="none" w:sz="0" w:space="0" w:color="auto"/>
        <w:left w:val="none" w:sz="0" w:space="0" w:color="auto"/>
        <w:bottom w:val="none" w:sz="0" w:space="0" w:color="auto"/>
        <w:right w:val="none" w:sz="0" w:space="0" w:color="auto"/>
      </w:divBdr>
    </w:div>
    <w:div w:id="1770615857">
      <w:bodyDiv w:val="1"/>
      <w:marLeft w:val="0"/>
      <w:marRight w:val="0"/>
      <w:marTop w:val="0"/>
      <w:marBottom w:val="0"/>
      <w:divBdr>
        <w:top w:val="none" w:sz="0" w:space="0" w:color="auto"/>
        <w:left w:val="none" w:sz="0" w:space="0" w:color="auto"/>
        <w:bottom w:val="none" w:sz="0" w:space="0" w:color="auto"/>
        <w:right w:val="none" w:sz="0" w:space="0" w:color="auto"/>
      </w:divBdr>
    </w:div>
    <w:div w:id="1780569116">
      <w:bodyDiv w:val="1"/>
      <w:marLeft w:val="0"/>
      <w:marRight w:val="0"/>
      <w:marTop w:val="0"/>
      <w:marBottom w:val="0"/>
      <w:divBdr>
        <w:top w:val="none" w:sz="0" w:space="0" w:color="auto"/>
        <w:left w:val="none" w:sz="0" w:space="0" w:color="auto"/>
        <w:bottom w:val="none" w:sz="0" w:space="0" w:color="auto"/>
        <w:right w:val="none" w:sz="0" w:space="0" w:color="auto"/>
      </w:divBdr>
    </w:div>
    <w:div w:id="1833787454">
      <w:bodyDiv w:val="1"/>
      <w:marLeft w:val="0"/>
      <w:marRight w:val="0"/>
      <w:marTop w:val="0"/>
      <w:marBottom w:val="0"/>
      <w:divBdr>
        <w:top w:val="none" w:sz="0" w:space="0" w:color="auto"/>
        <w:left w:val="none" w:sz="0" w:space="0" w:color="auto"/>
        <w:bottom w:val="none" w:sz="0" w:space="0" w:color="auto"/>
        <w:right w:val="none" w:sz="0" w:space="0" w:color="auto"/>
      </w:divBdr>
    </w:div>
    <w:div w:id="1887982367">
      <w:bodyDiv w:val="1"/>
      <w:marLeft w:val="0"/>
      <w:marRight w:val="0"/>
      <w:marTop w:val="0"/>
      <w:marBottom w:val="0"/>
      <w:divBdr>
        <w:top w:val="none" w:sz="0" w:space="0" w:color="auto"/>
        <w:left w:val="none" w:sz="0" w:space="0" w:color="auto"/>
        <w:bottom w:val="none" w:sz="0" w:space="0" w:color="auto"/>
        <w:right w:val="none" w:sz="0" w:space="0" w:color="auto"/>
      </w:divBdr>
    </w:div>
    <w:div w:id="1918906500">
      <w:bodyDiv w:val="1"/>
      <w:marLeft w:val="0"/>
      <w:marRight w:val="0"/>
      <w:marTop w:val="0"/>
      <w:marBottom w:val="0"/>
      <w:divBdr>
        <w:top w:val="none" w:sz="0" w:space="0" w:color="auto"/>
        <w:left w:val="none" w:sz="0" w:space="0" w:color="auto"/>
        <w:bottom w:val="none" w:sz="0" w:space="0" w:color="auto"/>
        <w:right w:val="none" w:sz="0" w:space="0" w:color="auto"/>
      </w:divBdr>
    </w:div>
    <w:div w:id="2005933460">
      <w:bodyDiv w:val="1"/>
      <w:marLeft w:val="0"/>
      <w:marRight w:val="0"/>
      <w:marTop w:val="0"/>
      <w:marBottom w:val="0"/>
      <w:divBdr>
        <w:top w:val="none" w:sz="0" w:space="0" w:color="auto"/>
        <w:left w:val="none" w:sz="0" w:space="0" w:color="auto"/>
        <w:bottom w:val="none" w:sz="0" w:space="0" w:color="auto"/>
        <w:right w:val="none" w:sz="0" w:space="0" w:color="auto"/>
      </w:divBdr>
    </w:div>
    <w:div w:id="2048211750">
      <w:bodyDiv w:val="1"/>
      <w:marLeft w:val="0"/>
      <w:marRight w:val="0"/>
      <w:marTop w:val="0"/>
      <w:marBottom w:val="0"/>
      <w:divBdr>
        <w:top w:val="none" w:sz="0" w:space="0" w:color="auto"/>
        <w:left w:val="none" w:sz="0" w:space="0" w:color="auto"/>
        <w:bottom w:val="none" w:sz="0" w:space="0" w:color="auto"/>
        <w:right w:val="none" w:sz="0" w:space="0" w:color="auto"/>
      </w:divBdr>
      <w:divsChild>
        <w:div w:id="832137347">
          <w:marLeft w:val="480"/>
          <w:marRight w:val="0"/>
          <w:marTop w:val="0"/>
          <w:marBottom w:val="0"/>
          <w:divBdr>
            <w:top w:val="none" w:sz="0" w:space="0" w:color="auto"/>
            <w:left w:val="none" w:sz="0" w:space="0" w:color="auto"/>
            <w:bottom w:val="none" w:sz="0" w:space="0" w:color="auto"/>
            <w:right w:val="none" w:sz="0" w:space="0" w:color="auto"/>
          </w:divBdr>
        </w:div>
        <w:div w:id="403603320">
          <w:marLeft w:val="480"/>
          <w:marRight w:val="0"/>
          <w:marTop w:val="0"/>
          <w:marBottom w:val="0"/>
          <w:divBdr>
            <w:top w:val="none" w:sz="0" w:space="0" w:color="auto"/>
            <w:left w:val="none" w:sz="0" w:space="0" w:color="auto"/>
            <w:bottom w:val="none" w:sz="0" w:space="0" w:color="auto"/>
            <w:right w:val="none" w:sz="0" w:space="0" w:color="auto"/>
          </w:divBdr>
        </w:div>
        <w:div w:id="1399128486">
          <w:marLeft w:val="480"/>
          <w:marRight w:val="0"/>
          <w:marTop w:val="0"/>
          <w:marBottom w:val="0"/>
          <w:divBdr>
            <w:top w:val="none" w:sz="0" w:space="0" w:color="auto"/>
            <w:left w:val="none" w:sz="0" w:space="0" w:color="auto"/>
            <w:bottom w:val="none" w:sz="0" w:space="0" w:color="auto"/>
            <w:right w:val="none" w:sz="0" w:space="0" w:color="auto"/>
          </w:divBdr>
        </w:div>
        <w:div w:id="1113093248">
          <w:marLeft w:val="480"/>
          <w:marRight w:val="0"/>
          <w:marTop w:val="0"/>
          <w:marBottom w:val="0"/>
          <w:divBdr>
            <w:top w:val="none" w:sz="0" w:space="0" w:color="auto"/>
            <w:left w:val="none" w:sz="0" w:space="0" w:color="auto"/>
            <w:bottom w:val="none" w:sz="0" w:space="0" w:color="auto"/>
            <w:right w:val="none" w:sz="0" w:space="0" w:color="auto"/>
          </w:divBdr>
        </w:div>
        <w:div w:id="1892770188">
          <w:marLeft w:val="480"/>
          <w:marRight w:val="0"/>
          <w:marTop w:val="0"/>
          <w:marBottom w:val="0"/>
          <w:divBdr>
            <w:top w:val="none" w:sz="0" w:space="0" w:color="auto"/>
            <w:left w:val="none" w:sz="0" w:space="0" w:color="auto"/>
            <w:bottom w:val="none" w:sz="0" w:space="0" w:color="auto"/>
            <w:right w:val="none" w:sz="0" w:space="0" w:color="auto"/>
          </w:divBdr>
        </w:div>
        <w:div w:id="1291865566">
          <w:marLeft w:val="480"/>
          <w:marRight w:val="0"/>
          <w:marTop w:val="0"/>
          <w:marBottom w:val="0"/>
          <w:divBdr>
            <w:top w:val="none" w:sz="0" w:space="0" w:color="auto"/>
            <w:left w:val="none" w:sz="0" w:space="0" w:color="auto"/>
            <w:bottom w:val="none" w:sz="0" w:space="0" w:color="auto"/>
            <w:right w:val="none" w:sz="0" w:space="0" w:color="auto"/>
          </w:divBdr>
        </w:div>
        <w:div w:id="1290211554">
          <w:marLeft w:val="480"/>
          <w:marRight w:val="0"/>
          <w:marTop w:val="0"/>
          <w:marBottom w:val="0"/>
          <w:divBdr>
            <w:top w:val="none" w:sz="0" w:space="0" w:color="auto"/>
            <w:left w:val="none" w:sz="0" w:space="0" w:color="auto"/>
            <w:bottom w:val="none" w:sz="0" w:space="0" w:color="auto"/>
            <w:right w:val="none" w:sz="0" w:space="0" w:color="auto"/>
          </w:divBdr>
        </w:div>
        <w:div w:id="856042347">
          <w:marLeft w:val="480"/>
          <w:marRight w:val="0"/>
          <w:marTop w:val="0"/>
          <w:marBottom w:val="0"/>
          <w:divBdr>
            <w:top w:val="none" w:sz="0" w:space="0" w:color="auto"/>
            <w:left w:val="none" w:sz="0" w:space="0" w:color="auto"/>
            <w:bottom w:val="none" w:sz="0" w:space="0" w:color="auto"/>
            <w:right w:val="none" w:sz="0" w:space="0" w:color="auto"/>
          </w:divBdr>
        </w:div>
        <w:div w:id="828790749">
          <w:marLeft w:val="480"/>
          <w:marRight w:val="0"/>
          <w:marTop w:val="0"/>
          <w:marBottom w:val="0"/>
          <w:divBdr>
            <w:top w:val="none" w:sz="0" w:space="0" w:color="auto"/>
            <w:left w:val="none" w:sz="0" w:space="0" w:color="auto"/>
            <w:bottom w:val="none" w:sz="0" w:space="0" w:color="auto"/>
            <w:right w:val="none" w:sz="0" w:space="0" w:color="auto"/>
          </w:divBdr>
        </w:div>
        <w:div w:id="1533376188">
          <w:marLeft w:val="480"/>
          <w:marRight w:val="0"/>
          <w:marTop w:val="0"/>
          <w:marBottom w:val="0"/>
          <w:divBdr>
            <w:top w:val="none" w:sz="0" w:space="0" w:color="auto"/>
            <w:left w:val="none" w:sz="0" w:space="0" w:color="auto"/>
            <w:bottom w:val="none" w:sz="0" w:space="0" w:color="auto"/>
            <w:right w:val="none" w:sz="0" w:space="0" w:color="auto"/>
          </w:divBdr>
        </w:div>
        <w:div w:id="690957396">
          <w:marLeft w:val="480"/>
          <w:marRight w:val="0"/>
          <w:marTop w:val="0"/>
          <w:marBottom w:val="0"/>
          <w:divBdr>
            <w:top w:val="none" w:sz="0" w:space="0" w:color="auto"/>
            <w:left w:val="none" w:sz="0" w:space="0" w:color="auto"/>
            <w:bottom w:val="none" w:sz="0" w:space="0" w:color="auto"/>
            <w:right w:val="none" w:sz="0" w:space="0" w:color="auto"/>
          </w:divBdr>
        </w:div>
        <w:div w:id="887956138">
          <w:marLeft w:val="480"/>
          <w:marRight w:val="0"/>
          <w:marTop w:val="0"/>
          <w:marBottom w:val="0"/>
          <w:divBdr>
            <w:top w:val="none" w:sz="0" w:space="0" w:color="auto"/>
            <w:left w:val="none" w:sz="0" w:space="0" w:color="auto"/>
            <w:bottom w:val="none" w:sz="0" w:space="0" w:color="auto"/>
            <w:right w:val="none" w:sz="0" w:space="0" w:color="auto"/>
          </w:divBdr>
        </w:div>
        <w:div w:id="1566066327">
          <w:marLeft w:val="480"/>
          <w:marRight w:val="0"/>
          <w:marTop w:val="0"/>
          <w:marBottom w:val="0"/>
          <w:divBdr>
            <w:top w:val="none" w:sz="0" w:space="0" w:color="auto"/>
            <w:left w:val="none" w:sz="0" w:space="0" w:color="auto"/>
            <w:bottom w:val="none" w:sz="0" w:space="0" w:color="auto"/>
            <w:right w:val="none" w:sz="0" w:space="0" w:color="auto"/>
          </w:divBdr>
        </w:div>
        <w:div w:id="791705608">
          <w:marLeft w:val="480"/>
          <w:marRight w:val="0"/>
          <w:marTop w:val="0"/>
          <w:marBottom w:val="0"/>
          <w:divBdr>
            <w:top w:val="none" w:sz="0" w:space="0" w:color="auto"/>
            <w:left w:val="none" w:sz="0" w:space="0" w:color="auto"/>
            <w:bottom w:val="none" w:sz="0" w:space="0" w:color="auto"/>
            <w:right w:val="none" w:sz="0" w:space="0" w:color="auto"/>
          </w:divBdr>
        </w:div>
        <w:div w:id="2088846734">
          <w:marLeft w:val="480"/>
          <w:marRight w:val="0"/>
          <w:marTop w:val="0"/>
          <w:marBottom w:val="0"/>
          <w:divBdr>
            <w:top w:val="none" w:sz="0" w:space="0" w:color="auto"/>
            <w:left w:val="none" w:sz="0" w:space="0" w:color="auto"/>
            <w:bottom w:val="none" w:sz="0" w:space="0" w:color="auto"/>
            <w:right w:val="none" w:sz="0" w:space="0" w:color="auto"/>
          </w:divBdr>
        </w:div>
        <w:div w:id="2087873672">
          <w:marLeft w:val="480"/>
          <w:marRight w:val="0"/>
          <w:marTop w:val="0"/>
          <w:marBottom w:val="0"/>
          <w:divBdr>
            <w:top w:val="none" w:sz="0" w:space="0" w:color="auto"/>
            <w:left w:val="none" w:sz="0" w:space="0" w:color="auto"/>
            <w:bottom w:val="none" w:sz="0" w:space="0" w:color="auto"/>
            <w:right w:val="none" w:sz="0" w:space="0" w:color="auto"/>
          </w:divBdr>
        </w:div>
        <w:div w:id="1160079661">
          <w:marLeft w:val="480"/>
          <w:marRight w:val="0"/>
          <w:marTop w:val="0"/>
          <w:marBottom w:val="0"/>
          <w:divBdr>
            <w:top w:val="none" w:sz="0" w:space="0" w:color="auto"/>
            <w:left w:val="none" w:sz="0" w:space="0" w:color="auto"/>
            <w:bottom w:val="none" w:sz="0" w:space="0" w:color="auto"/>
            <w:right w:val="none" w:sz="0" w:space="0" w:color="auto"/>
          </w:divBdr>
        </w:div>
        <w:div w:id="2020882810">
          <w:marLeft w:val="480"/>
          <w:marRight w:val="0"/>
          <w:marTop w:val="0"/>
          <w:marBottom w:val="0"/>
          <w:divBdr>
            <w:top w:val="none" w:sz="0" w:space="0" w:color="auto"/>
            <w:left w:val="none" w:sz="0" w:space="0" w:color="auto"/>
            <w:bottom w:val="none" w:sz="0" w:space="0" w:color="auto"/>
            <w:right w:val="none" w:sz="0" w:space="0" w:color="auto"/>
          </w:divBdr>
        </w:div>
        <w:div w:id="132331351">
          <w:marLeft w:val="480"/>
          <w:marRight w:val="0"/>
          <w:marTop w:val="0"/>
          <w:marBottom w:val="0"/>
          <w:divBdr>
            <w:top w:val="none" w:sz="0" w:space="0" w:color="auto"/>
            <w:left w:val="none" w:sz="0" w:space="0" w:color="auto"/>
            <w:bottom w:val="none" w:sz="0" w:space="0" w:color="auto"/>
            <w:right w:val="none" w:sz="0" w:space="0" w:color="auto"/>
          </w:divBdr>
        </w:div>
        <w:div w:id="522136660">
          <w:marLeft w:val="480"/>
          <w:marRight w:val="0"/>
          <w:marTop w:val="0"/>
          <w:marBottom w:val="0"/>
          <w:divBdr>
            <w:top w:val="none" w:sz="0" w:space="0" w:color="auto"/>
            <w:left w:val="none" w:sz="0" w:space="0" w:color="auto"/>
            <w:bottom w:val="none" w:sz="0" w:space="0" w:color="auto"/>
            <w:right w:val="none" w:sz="0" w:space="0" w:color="auto"/>
          </w:divBdr>
        </w:div>
        <w:div w:id="911739710">
          <w:marLeft w:val="480"/>
          <w:marRight w:val="0"/>
          <w:marTop w:val="0"/>
          <w:marBottom w:val="0"/>
          <w:divBdr>
            <w:top w:val="none" w:sz="0" w:space="0" w:color="auto"/>
            <w:left w:val="none" w:sz="0" w:space="0" w:color="auto"/>
            <w:bottom w:val="none" w:sz="0" w:space="0" w:color="auto"/>
            <w:right w:val="none" w:sz="0" w:space="0" w:color="auto"/>
          </w:divBdr>
        </w:div>
        <w:div w:id="1373074767">
          <w:marLeft w:val="480"/>
          <w:marRight w:val="0"/>
          <w:marTop w:val="0"/>
          <w:marBottom w:val="0"/>
          <w:divBdr>
            <w:top w:val="none" w:sz="0" w:space="0" w:color="auto"/>
            <w:left w:val="none" w:sz="0" w:space="0" w:color="auto"/>
            <w:bottom w:val="none" w:sz="0" w:space="0" w:color="auto"/>
            <w:right w:val="none" w:sz="0" w:space="0" w:color="auto"/>
          </w:divBdr>
        </w:div>
        <w:div w:id="160656130">
          <w:marLeft w:val="480"/>
          <w:marRight w:val="0"/>
          <w:marTop w:val="0"/>
          <w:marBottom w:val="0"/>
          <w:divBdr>
            <w:top w:val="none" w:sz="0" w:space="0" w:color="auto"/>
            <w:left w:val="none" w:sz="0" w:space="0" w:color="auto"/>
            <w:bottom w:val="none" w:sz="0" w:space="0" w:color="auto"/>
            <w:right w:val="none" w:sz="0" w:space="0" w:color="auto"/>
          </w:divBdr>
        </w:div>
        <w:div w:id="1645967753">
          <w:marLeft w:val="480"/>
          <w:marRight w:val="0"/>
          <w:marTop w:val="0"/>
          <w:marBottom w:val="0"/>
          <w:divBdr>
            <w:top w:val="none" w:sz="0" w:space="0" w:color="auto"/>
            <w:left w:val="none" w:sz="0" w:space="0" w:color="auto"/>
            <w:bottom w:val="none" w:sz="0" w:space="0" w:color="auto"/>
            <w:right w:val="none" w:sz="0" w:space="0" w:color="auto"/>
          </w:divBdr>
        </w:div>
        <w:div w:id="640771896">
          <w:marLeft w:val="480"/>
          <w:marRight w:val="0"/>
          <w:marTop w:val="0"/>
          <w:marBottom w:val="0"/>
          <w:divBdr>
            <w:top w:val="none" w:sz="0" w:space="0" w:color="auto"/>
            <w:left w:val="none" w:sz="0" w:space="0" w:color="auto"/>
            <w:bottom w:val="none" w:sz="0" w:space="0" w:color="auto"/>
            <w:right w:val="none" w:sz="0" w:space="0" w:color="auto"/>
          </w:divBdr>
        </w:div>
        <w:div w:id="1833527285">
          <w:marLeft w:val="480"/>
          <w:marRight w:val="0"/>
          <w:marTop w:val="0"/>
          <w:marBottom w:val="0"/>
          <w:divBdr>
            <w:top w:val="none" w:sz="0" w:space="0" w:color="auto"/>
            <w:left w:val="none" w:sz="0" w:space="0" w:color="auto"/>
            <w:bottom w:val="none" w:sz="0" w:space="0" w:color="auto"/>
            <w:right w:val="none" w:sz="0" w:space="0" w:color="auto"/>
          </w:divBdr>
        </w:div>
        <w:div w:id="1004673253">
          <w:marLeft w:val="480"/>
          <w:marRight w:val="0"/>
          <w:marTop w:val="0"/>
          <w:marBottom w:val="0"/>
          <w:divBdr>
            <w:top w:val="none" w:sz="0" w:space="0" w:color="auto"/>
            <w:left w:val="none" w:sz="0" w:space="0" w:color="auto"/>
            <w:bottom w:val="none" w:sz="0" w:space="0" w:color="auto"/>
            <w:right w:val="none" w:sz="0" w:space="0" w:color="auto"/>
          </w:divBdr>
        </w:div>
        <w:div w:id="266039376">
          <w:marLeft w:val="480"/>
          <w:marRight w:val="0"/>
          <w:marTop w:val="0"/>
          <w:marBottom w:val="0"/>
          <w:divBdr>
            <w:top w:val="none" w:sz="0" w:space="0" w:color="auto"/>
            <w:left w:val="none" w:sz="0" w:space="0" w:color="auto"/>
            <w:bottom w:val="none" w:sz="0" w:space="0" w:color="auto"/>
            <w:right w:val="none" w:sz="0" w:space="0" w:color="auto"/>
          </w:divBdr>
        </w:div>
        <w:div w:id="1744526024">
          <w:marLeft w:val="480"/>
          <w:marRight w:val="0"/>
          <w:marTop w:val="0"/>
          <w:marBottom w:val="0"/>
          <w:divBdr>
            <w:top w:val="none" w:sz="0" w:space="0" w:color="auto"/>
            <w:left w:val="none" w:sz="0" w:space="0" w:color="auto"/>
            <w:bottom w:val="none" w:sz="0" w:space="0" w:color="auto"/>
            <w:right w:val="none" w:sz="0" w:space="0" w:color="auto"/>
          </w:divBdr>
        </w:div>
        <w:div w:id="1294480415">
          <w:marLeft w:val="480"/>
          <w:marRight w:val="0"/>
          <w:marTop w:val="0"/>
          <w:marBottom w:val="0"/>
          <w:divBdr>
            <w:top w:val="none" w:sz="0" w:space="0" w:color="auto"/>
            <w:left w:val="none" w:sz="0" w:space="0" w:color="auto"/>
            <w:bottom w:val="none" w:sz="0" w:space="0" w:color="auto"/>
            <w:right w:val="none" w:sz="0" w:space="0" w:color="auto"/>
          </w:divBdr>
        </w:div>
        <w:div w:id="291181607">
          <w:marLeft w:val="480"/>
          <w:marRight w:val="0"/>
          <w:marTop w:val="0"/>
          <w:marBottom w:val="0"/>
          <w:divBdr>
            <w:top w:val="none" w:sz="0" w:space="0" w:color="auto"/>
            <w:left w:val="none" w:sz="0" w:space="0" w:color="auto"/>
            <w:bottom w:val="none" w:sz="0" w:space="0" w:color="auto"/>
            <w:right w:val="none" w:sz="0" w:space="0" w:color="auto"/>
          </w:divBdr>
        </w:div>
        <w:div w:id="698972033">
          <w:marLeft w:val="480"/>
          <w:marRight w:val="0"/>
          <w:marTop w:val="0"/>
          <w:marBottom w:val="0"/>
          <w:divBdr>
            <w:top w:val="none" w:sz="0" w:space="0" w:color="auto"/>
            <w:left w:val="none" w:sz="0" w:space="0" w:color="auto"/>
            <w:bottom w:val="none" w:sz="0" w:space="0" w:color="auto"/>
            <w:right w:val="none" w:sz="0" w:space="0" w:color="auto"/>
          </w:divBdr>
        </w:div>
        <w:div w:id="909967691">
          <w:marLeft w:val="480"/>
          <w:marRight w:val="0"/>
          <w:marTop w:val="0"/>
          <w:marBottom w:val="0"/>
          <w:divBdr>
            <w:top w:val="none" w:sz="0" w:space="0" w:color="auto"/>
            <w:left w:val="none" w:sz="0" w:space="0" w:color="auto"/>
            <w:bottom w:val="none" w:sz="0" w:space="0" w:color="auto"/>
            <w:right w:val="none" w:sz="0" w:space="0" w:color="auto"/>
          </w:divBdr>
        </w:div>
        <w:div w:id="543250642">
          <w:marLeft w:val="480"/>
          <w:marRight w:val="0"/>
          <w:marTop w:val="0"/>
          <w:marBottom w:val="0"/>
          <w:divBdr>
            <w:top w:val="none" w:sz="0" w:space="0" w:color="auto"/>
            <w:left w:val="none" w:sz="0" w:space="0" w:color="auto"/>
            <w:bottom w:val="none" w:sz="0" w:space="0" w:color="auto"/>
            <w:right w:val="none" w:sz="0" w:space="0" w:color="auto"/>
          </w:divBdr>
        </w:div>
        <w:div w:id="202522225">
          <w:marLeft w:val="480"/>
          <w:marRight w:val="0"/>
          <w:marTop w:val="0"/>
          <w:marBottom w:val="0"/>
          <w:divBdr>
            <w:top w:val="none" w:sz="0" w:space="0" w:color="auto"/>
            <w:left w:val="none" w:sz="0" w:space="0" w:color="auto"/>
            <w:bottom w:val="none" w:sz="0" w:space="0" w:color="auto"/>
            <w:right w:val="none" w:sz="0" w:space="0" w:color="auto"/>
          </w:divBdr>
        </w:div>
        <w:div w:id="13381528">
          <w:marLeft w:val="480"/>
          <w:marRight w:val="0"/>
          <w:marTop w:val="0"/>
          <w:marBottom w:val="0"/>
          <w:divBdr>
            <w:top w:val="none" w:sz="0" w:space="0" w:color="auto"/>
            <w:left w:val="none" w:sz="0" w:space="0" w:color="auto"/>
            <w:bottom w:val="none" w:sz="0" w:space="0" w:color="auto"/>
            <w:right w:val="none" w:sz="0" w:space="0" w:color="auto"/>
          </w:divBdr>
        </w:div>
        <w:div w:id="2098019700">
          <w:marLeft w:val="480"/>
          <w:marRight w:val="0"/>
          <w:marTop w:val="0"/>
          <w:marBottom w:val="0"/>
          <w:divBdr>
            <w:top w:val="none" w:sz="0" w:space="0" w:color="auto"/>
            <w:left w:val="none" w:sz="0" w:space="0" w:color="auto"/>
            <w:bottom w:val="none" w:sz="0" w:space="0" w:color="auto"/>
            <w:right w:val="none" w:sz="0" w:space="0" w:color="auto"/>
          </w:divBdr>
        </w:div>
        <w:div w:id="830679929">
          <w:marLeft w:val="480"/>
          <w:marRight w:val="0"/>
          <w:marTop w:val="0"/>
          <w:marBottom w:val="0"/>
          <w:divBdr>
            <w:top w:val="none" w:sz="0" w:space="0" w:color="auto"/>
            <w:left w:val="none" w:sz="0" w:space="0" w:color="auto"/>
            <w:bottom w:val="none" w:sz="0" w:space="0" w:color="auto"/>
            <w:right w:val="none" w:sz="0" w:space="0" w:color="auto"/>
          </w:divBdr>
        </w:div>
        <w:div w:id="1161577327">
          <w:marLeft w:val="480"/>
          <w:marRight w:val="0"/>
          <w:marTop w:val="0"/>
          <w:marBottom w:val="0"/>
          <w:divBdr>
            <w:top w:val="none" w:sz="0" w:space="0" w:color="auto"/>
            <w:left w:val="none" w:sz="0" w:space="0" w:color="auto"/>
            <w:bottom w:val="none" w:sz="0" w:space="0" w:color="auto"/>
            <w:right w:val="none" w:sz="0" w:space="0" w:color="auto"/>
          </w:divBdr>
        </w:div>
        <w:div w:id="351078234">
          <w:marLeft w:val="480"/>
          <w:marRight w:val="0"/>
          <w:marTop w:val="0"/>
          <w:marBottom w:val="0"/>
          <w:divBdr>
            <w:top w:val="none" w:sz="0" w:space="0" w:color="auto"/>
            <w:left w:val="none" w:sz="0" w:space="0" w:color="auto"/>
            <w:bottom w:val="none" w:sz="0" w:space="0" w:color="auto"/>
            <w:right w:val="none" w:sz="0" w:space="0" w:color="auto"/>
          </w:divBdr>
        </w:div>
        <w:div w:id="176698281">
          <w:marLeft w:val="480"/>
          <w:marRight w:val="0"/>
          <w:marTop w:val="0"/>
          <w:marBottom w:val="0"/>
          <w:divBdr>
            <w:top w:val="none" w:sz="0" w:space="0" w:color="auto"/>
            <w:left w:val="none" w:sz="0" w:space="0" w:color="auto"/>
            <w:bottom w:val="none" w:sz="0" w:space="0" w:color="auto"/>
            <w:right w:val="none" w:sz="0" w:space="0" w:color="auto"/>
          </w:divBdr>
        </w:div>
        <w:div w:id="1715428321">
          <w:marLeft w:val="480"/>
          <w:marRight w:val="0"/>
          <w:marTop w:val="0"/>
          <w:marBottom w:val="0"/>
          <w:divBdr>
            <w:top w:val="none" w:sz="0" w:space="0" w:color="auto"/>
            <w:left w:val="none" w:sz="0" w:space="0" w:color="auto"/>
            <w:bottom w:val="none" w:sz="0" w:space="0" w:color="auto"/>
            <w:right w:val="none" w:sz="0" w:space="0" w:color="auto"/>
          </w:divBdr>
        </w:div>
        <w:div w:id="1475758397">
          <w:marLeft w:val="480"/>
          <w:marRight w:val="0"/>
          <w:marTop w:val="0"/>
          <w:marBottom w:val="0"/>
          <w:divBdr>
            <w:top w:val="none" w:sz="0" w:space="0" w:color="auto"/>
            <w:left w:val="none" w:sz="0" w:space="0" w:color="auto"/>
            <w:bottom w:val="none" w:sz="0" w:space="0" w:color="auto"/>
            <w:right w:val="none" w:sz="0" w:space="0" w:color="auto"/>
          </w:divBdr>
        </w:div>
        <w:div w:id="1012876106">
          <w:marLeft w:val="480"/>
          <w:marRight w:val="0"/>
          <w:marTop w:val="0"/>
          <w:marBottom w:val="0"/>
          <w:divBdr>
            <w:top w:val="none" w:sz="0" w:space="0" w:color="auto"/>
            <w:left w:val="none" w:sz="0" w:space="0" w:color="auto"/>
            <w:bottom w:val="none" w:sz="0" w:space="0" w:color="auto"/>
            <w:right w:val="none" w:sz="0" w:space="0" w:color="auto"/>
          </w:divBdr>
        </w:div>
        <w:div w:id="155073396">
          <w:marLeft w:val="480"/>
          <w:marRight w:val="0"/>
          <w:marTop w:val="0"/>
          <w:marBottom w:val="0"/>
          <w:divBdr>
            <w:top w:val="none" w:sz="0" w:space="0" w:color="auto"/>
            <w:left w:val="none" w:sz="0" w:space="0" w:color="auto"/>
            <w:bottom w:val="none" w:sz="0" w:space="0" w:color="auto"/>
            <w:right w:val="none" w:sz="0" w:space="0" w:color="auto"/>
          </w:divBdr>
        </w:div>
        <w:div w:id="1814986100">
          <w:marLeft w:val="480"/>
          <w:marRight w:val="0"/>
          <w:marTop w:val="0"/>
          <w:marBottom w:val="0"/>
          <w:divBdr>
            <w:top w:val="none" w:sz="0" w:space="0" w:color="auto"/>
            <w:left w:val="none" w:sz="0" w:space="0" w:color="auto"/>
            <w:bottom w:val="none" w:sz="0" w:space="0" w:color="auto"/>
            <w:right w:val="none" w:sz="0" w:space="0" w:color="auto"/>
          </w:divBdr>
        </w:div>
        <w:div w:id="1769349100">
          <w:marLeft w:val="480"/>
          <w:marRight w:val="0"/>
          <w:marTop w:val="0"/>
          <w:marBottom w:val="0"/>
          <w:divBdr>
            <w:top w:val="none" w:sz="0" w:space="0" w:color="auto"/>
            <w:left w:val="none" w:sz="0" w:space="0" w:color="auto"/>
            <w:bottom w:val="none" w:sz="0" w:space="0" w:color="auto"/>
            <w:right w:val="none" w:sz="0" w:space="0" w:color="auto"/>
          </w:divBdr>
        </w:div>
        <w:div w:id="842357267">
          <w:marLeft w:val="480"/>
          <w:marRight w:val="0"/>
          <w:marTop w:val="0"/>
          <w:marBottom w:val="0"/>
          <w:divBdr>
            <w:top w:val="none" w:sz="0" w:space="0" w:color="auto"/>
            <w:left w:val="none" w:sz="0" w:space="0" w:color="auto"/>
            <w:bottom w:val="none" w:sz="0" w:space="0" w:color="auto"/>
            <w:right w:val="none" w:sz="0" w:space="0" w:color="auto"/>
          </w:divBdr>
        </w:div>
        <w:div w:id="809900571">
          <w:marLeft w:val="480"/>
          <w:marRight w:val="0"/>
          <w:marTop w:val="0"/>
          <w:marBottom w:val="0"/>
          <w:divBdr>
            <w:top w:val="none" w:sz="0" w:space="0" w:color="auto"/>
            <w:left w:val="none" w:sz="0" w:space="0" w:color="auto"/>
            <w:bottom w:val="none" w:sz="0" w:space="0" w:color="auto"/>
            <w:right w:val="none" w:sz="0" w:space="0" w:color="auto"/>
          </w:divBdr>
        </w:div>
        <w:div w:id="169490681">
          <w:marLeft w:val="480"/>
          <w:marRight w:val="0"/>
          <w:marTop w:val="0"/>
          <w:marBottom w:val="0"/>
          <w:divBdr>
            <w:top w:val="none" w:sz="0" w:space="0" w:color="auto"/>
            <w:left w:val="none" w:sz="0" w:space="0" w:color="auto"/>
            <w:bottom w:val="none" w:sz="0" w:space="0" w:color="auto"/>
            <w:right w:val="none" w:sz="0" w:space="0" w:color="auto"/>
          </w:divBdr>
        </w:div>
        <w:div w:id="1156337704">
          <w:marLeft w:val="480"/>
          <w:marRight w:val="0"/>
          <w:marTop w:val="0"/>
          <w:marBottom w:val="0"/>
          <w:divBdr>
            <w:top w:val="none" w:sz="0" w:space="0" w:color="auto"/>
            <w:left w:val="none" w:sz="0" w:space="0" w:color="auto"/>
            <w:bottom w:val="none" w:sz="0" w:space="0" w:color="auto"/>
            <w:right w:val="none" w:sz="0" w:space="0" w:color="auto"/>
          </w:divBdr>
        </w:div>
        <w:div w:id="1074818924">
          <w:marLeft w:val="480"/>
          <w:marRight w:val="0"/>
          <w:marTop w:val="0"/>
          <w:marBottom w:val="0"/>
          <w:divBdr>
            <w:top w:val="none" w:sz="0" w:space="0" w:color="auto"/>
            <w:left w:val="none" w:sz="0" w:space="0" w:color="auto"/>
            <w:bottom w:val="none" w:sz="0" w:space="0" w:color="auto"/>
            <w:right w:val="none" w:sz="0" w:space="0" w:color="auto"/>
          </w:divBdr>
        </w:div>
        <w:div w:id="838886261">
          <w:marLeft w:val="480"/>
          <w:marRight w:val="0"/>
          <w:marTop w:val="0"/>
          <w:marBottom w:val="0"/>
          <w:divBdr>
            <w:top w:val="none" w:sz="0" w:space="0" w:color="auto"/>
            <w:left w:val="none" w:sz="0" w:space="0" w:color="auto"/>
            <w:bottom w:val="none" w:sz="0" w:space="0" w:color="auto"/>
            <w:right w:val="none" w:sz="0" w:space="0" w:color="auto"/>
          </w:divBdr>
        </w:div>
        <w:div w:id="552741925">
          <w:marLeft w:val="480"/>
          <w:marRight w:val="0"/>
          <w:marTop w:val="0"/>
          <w:marBottom w:val="0"/>
          <w:divBdr>
            <w:top w:val="none" w:sz="0" w:space="0" w:color="auto"/>
            <w:left w:val="none" w:sz="0" w:space="0" w:color="auto"/>
            <w:bottom w:val="none" w:sz="0" w:space="0" w:color="auto"/>
            <w:right w:val="none" w:sz="0" w:space="0" w:color="auto"/>
          </w:divBdr>
        </w:div>
        <w:div w:id="242030116">
          <w:marLeft w:val="480"/>
          <w:marRight w:val="0"/>
          <w:marTop w:val="0"/>
          <w:marBottom w:val="0"/>
          <w:divBdr>
            <w:top w:val="none" w:sz="0" w:space="0" w:color="auto"/>
            <w:left w:val="none" w:sz="0" w:space="0" w:color="auto"/>
            <w:bottom w:val="none" w:sz="0" w:space="0" w:color="auto"/>
            <w:right w:val="none" w:sz="0" w:space="0" w:color="auto"/>
          </w:divBdr>
        </w:div>
        <w:div w:id="1941523582">
          <w:marLeft w:val="480"/>
          <w:marRight w:val="0"/>
          <w:marTop w:val="0"/>
          <w:marBottom w:val="0"/>
          <w:divBdr>
            <w:top w:val="none" w:sz="0" w:space="0" w:color="auto"/>
            <w:left w:val="none" w:sz="0" w:space="0" w:color="auto"/>
            <w:bottom w:val="none" w:sz="0" w:space="0" w:color="auto"/>
            <w:right w:val="none" w:sz="0" w:space="0" w:color="auto"/>
          </w:divBdr>
        </w:div>
        <w:div w:id="786042018">
          <w:marLeft w:val="480"/>
          <w:marRight w:val="0"/>
          <w:marTop w:val="0"/>
          <w:marBottom w:val="0"/>
          <w:divBdr>
            <w:top w:val="none" w:sz="0" w:space="0" w:color="auto"/>
            <w:left w:val="none" w:sz="0" w:space="0" w:color="auto"/>
            <w:bottom w:val="none" w:sz="0" w:space="0" w:color="auto"/>
            <w:right w:val="none" w:sz="0" w:space="0" w:color="auto"/>
          </w:divBdr>
        </w:div>
        <w:div w:id="869953375">
          <w:marLeft w:val="480"/>
          <w:marRight w:val="0"/>
          <w:marTop w:val="0"/>
          <w:marBottom w:val="0"/>
          <w:divBdr>
            <w:top w:val="none" w:sz="0" w:space="0" w:color="auto"/>
            <w:left w:val="none" w:sz="0" w:space="0" w:color="auto"/>
            <w:bottom w:val="none" w:sz="0" w:space="0" w:color="auto"/>
            <w:right w:val="none" w:sz="0" w:space="0" w:color="auto"/>
          </w:divBdr>
        </w:div>
        <w:div w:id="1076636529">
          <w:marLeft w:val="480"/>
          <w:marRight w:val="0"/>
          <w:marTop w:val="0"/>
          <w:marBottom w:val="0"/>
          <w:divBdr>
            <w:top w:val="none" w:sz="0" w:space="0" w:color="auto"/>
            <w:left w:val="none" w:sz="0" w:space="0" w:color="auto"/>
            <w:bottom w:val="none" w:sz="0" w:space="0" w:color="auto"/>
            <w:right w:val="none" w:sz="0" w:space="0" w:color="auto"/>
          </w:divBdr>
        </w:div>
        <w:div w:id="766344959">
          <w:marLeft w:val="480"/>
          <w:marRight w:val="0"/>
          <w:marTop w:val="0"/>
          <w:marBottom w:val="0"/>
          <w:divBdr>
            <w:top w:val="none" w:sz="0" w:space="0" w:color="auto"/>
            <w:left w:val="none" w:sz="0" w:space="0" w:color="auto"/>
            <w:bottom w:val="none" w:sz="0" w:space="0" w:color="auto"/>
            <w:right w:val="none" w:sz="0" w:space="0" w:color="auto"/>
          </w:divBdr>
        </w:div>
        <w:div w:id="714811726">
          <w:marLeft w:val="480"/>
          <w:marRight w:val="0"/>
          <w:marTop w:val="0"/>
          <w:marBottom w:val="0"/>
          <w:divBdr>
            <w:top w:val="none" w:sz="0" w:space="0" w:color="auto"/>
            <w:left w:val="none" w:sz="0" w:space="0" w:color="auto"/>
            <w:bottom w:val="none" w:sz="0" w:space="0" w:color="auto"/>
            <w:right w:val="none" w:sz="0" w:space="0" w:color="auto"/>
          </w:divBdr>
        </w:div>
        <w:div w:id="770467075">
          <w:marLeft w:val="480"/>
          <w:marRight w:val="0"/>
          <w:marTop w:val="0"/>
          <w:marBottom w:val="0"/>
          <w:divBdr>
            <w:top w:val="none" w:sz="0" w:space="0" w:color="auto"/>
            <w:left w:val="none" w:sz="0" w:space="0" w:color="auto"/>
            <w:bottom w:val="none" w:sz="0" w:space="0" w:color="auto"/>
            <w:right w:val="none" w:sz="0" w:space="0" w:color="auto"/>
          </w:divBdr>
        </w:div>
        <w:div w:id="1365520930">
          <w:marLeft w:val="480"/>
          <w:marRight w:val="0"/>
          <w:marTop w:val="0"/>
          <w:marBottom w:val="0"/>
          <w:divBdr>
            <w:top w:val="none" w:sz="0" w:space="0" w:color="auto"/>
            <w:left w:val="none" w:sz="0" w:space="0" w:color="auto"/>
            <w:bottom w:val="none" w:sz="0" w:space="0" w:color="auto"/>
            <w:right w:val="none" w:sz="0" w:space="0" w:color="auto"/>
          </w:divBdr>
        </w:div>
        <w:div w:id="1617983789">
          <w:marLeft w:val="480"/>
          <w:marRight w:val="0"/>
          <w:marTop w:val="0"/>
          <w:marBottom w:val="0"/>
          <w:divBdr>
            <w:top w:val="none" w:sz="0" w:space="0" w:color="auto"/>
            <w:left w:val="none" w:sz="0" w:space="0" w:color="auto"/>
            <w:bottom w:val="none" w:sz="0" w:space="0" w:color="auto"/>
            <w:right w:val="none" w:sz="0" w:space="0" w:color="auto"/>
          </w:divBdr>
        </w:div>
        <w:div w:id="1466697099">
          <w:marLeft w:val="480"/>
          <w:marRight w:val="0"/>
          <w:marTop w:val="0"/>
          <w:marBottom w:val="0"/>
          <w:divBdr>
            <w:top w:val="none" w:sz="0" w:space="0" w:color="auto"/>
            <w:left w:val="none" w:sz="0" w:space="0" w:color="auto"/>
            <w:bottom w:val="none" w:sz="0" w:space="0" w:color="auto"/>
            <w:right w:val="none" w:sz="0" w:space="0" w:color="auto"/>
          </w:divBdr>
        </w:div>
        <w:div w:id="1074745057">
          <w:marLeft w:val="480"/>
          <w:marRight w:val="0"/>
          <w:marTop w:val="0"/>
          <w:marBottom w:val="0"/>
          <w:divBdr>
            <w:top w:val="none" w:sz="0" w:space="0" w:color="auto"/>
            <w:left w:val="none" w:sz="0" w:space="0" w:color="auto"/>
            <w:bottom w:val="none" w:sz="0" w:space="0" w:color="auto"/>
            <w:right w:val="none" w:sz="0" w:space="0" w:color="auto"/>
          </w:divBdr>
        </w:div>
        <w:div w:id="446630944">
          <w:marLeft w:val="480"/>
          <w:marRight w:val="0"/>
          <w:marTop w:val="0"/>
          <w:marBottom w:val="0"/>
          <w:divBdr>
            <w:top w:val="none" w:sz="0" w:space="0" w:color="auto"/>
            <w:left w:val="none" w:sz="0" w:space="0" w:color="auto"/>
            <w:bottom w:val="none" w:sz="0" w:space="0" w:color="auto"/>
            <w:right w:val="none" w:sz="0" w:space="0" w:color="auto"/>
          </w:divBdr>
        </w:div>
        <w:div w:id="619413001">
          <w:marLeft w:val="480"/>
          <w:marRight w:val="0"/>
          <w:marTop w:val="0"/>
          <w:marBottom w:val="0"/>
          <w:divBdr>
            <w:top w:val="none" w:sz="0" w:space="0" w:color="auto"/>
            <w:left w:val="none" w:sz="0" w:space="0" w:color="auto"/>
            <w:bottom w:val="none" w:sz="0" w:space="0" w:color="auto"/>
            <w:right w:val="none" w:sz="0" w:space="0" w:color="auto"/>
          </w:divBdr>
        </w:div>
        <w:div w:id="1176530725">
          <w:marLeft w:val="480"/>
          <w:marRight w:val="0"/>
          <w:marTop w:val="0"/>
          <w:marBottom w:val="0"/>
          <w:divBdr>
            <w:top w:val="none" w:sz="0" w:space="0" w:color="auto"/>
            <w:left w:val="none" w:sz="0" w:space="0" w:color="auto"/>
            <w:bottom w:val="none" w:sz="0" w:space="0" w:color="auto"/>
            <w:right w:val="none" w:sz="0" w:space="0" w:color="auto"/>
          </w:divBdr>
        </w:div>
        <w:div w:id="109056452">
          <w:marLeft w:val="480"/>
          <w:marRight w:val="0"/>
          <w:marTop w:val="0"/>
          <w:marBottom w:val="0"/>
          <w:divBdr>
            <w:top w:val="none" w:sz="0" w:space="0" w:color="auto"/>
            <w:left w:val="none" w:sz="0" w:space="0" w:color="auto"/>
            <w:bottom w:val="none" w:sz="0" w:space="0" w:color="auto"/>
            <w:right w:val="none" w:sz="0" w:space="0" w:color="auto"/>
          </w:divBdr>
        </w:div>
        <w:div w:id="333342350">
          <w:marLeft w:val="480"/>
          <w:marRight w:val="0"/>
          <w:marTop w:val="0"/>
          <w:marBottom w:val="0"/>
          <w:divBdr>
            <w:top w:val="none" w:sz="0" w:space="0" w:color="auto"/>
            <w:left w:val="none" w:sz="0" w:space="0" w:color="auto"/>
            <w:bottom w:val="none" w:sz="0" w:space="0" w:color="auto"/>
            <w:right w:val="none" w:sz="0" w:space="0" w:color="auto"/>
          </w:divBdr>
        </w:div>
        <w:div w:id="12152086">
          <w:marLeft w:val="480"/>
          <w:marRight w:val="0"/>
          <w:marTop w:val="0"/>
          <w:marBottom w:val="0"/>
          <w:divBdr>
            <w:top w:val="none" w:sz="0" w:space="0" w:color="auto"/>
            <w:left w:val="none" w:sz="0" w:space="0" w:color="auto"/>
            <w:bottom w:val="none" w:sz="0" w:space="0" w:color="auto"/>
            <w:right w:val="none" w:sz="0" w:space="0" w:color="auto"/>
          </w:divBdr>
        </w:div>
        <w:div w:id="465395914">
          <w:marLeft w:val="480"/>
          <w:marRight w:val="0"/>
          <w:marTop w:val="0"/>
          <w:marBottom w:val="0"/>
          <w:divBdr>
            <w:top w:val="none" w:sz="0" w:space="0" w:color="auto"/>
            <w:left w:val="none" w:sz="0" w:space="0" w:color="auto"/>
            <w:bottom w:val="none" w:sz="0" w:space="0" w:color="auto"/>
            <w:right w:val="none" w:sz="0" w:space="0" w:color="auto"/>
          </w:divBdr>
        </w:div>
        <w:div w:id="1308126362">
          <w:marLeft w:val="480"/>
          <w:marRight w:val="0"/>
          <w:marTop w:val="0"/>
          <w:marBottom w:val="0"/>
          <w:divBdr>
            <w:top w:val="none" w:sz="0" w:space="0" w:color="auto"/>
            <w:left w:val="none" w:sz="0" w:space="0" w:color="auto"/>
            <w:bottom w:val="none" w:sz="0" w:space="0" w:color="auto"/>
            <w:right w:val="none" w:sz="0" w:space="0" w:color="auto"/>
          </w:divBdr>
        </w:div>
        <w:div w:id="1842622867">
          <w:marLeft w:val="480"/>
          <w:marRight w:val="0"/>
          <w:marTop w:val="0"/>
          <w:marBottom w:val="0"/>
          <w:divBdr>
            <w:top w:val="none" w:sz="0" w:space="0" w:color="auto"/>
            <w:left w:val="none" w:sz="0" w:space="0" w:color="auto"/>
            <w:bottom w:val="none" w:sz="0" w:space="0" w:color="auto"/>
            <w:right w:val="none" w:sz="0" w:space="0" w:color="auto"/>
          </w:divBdr>
        </w:div>
        <w:div w:id="1611739079">
          <w:marLeft w:val="480"/>
          <w:marRight w:val="0"/>
          <w:marTop w:val="0"/>
          <w:marBottom w:val="0"/>
          <w:divBdr>
            <w:top w:val="none" w:sz="0" w:space="0" w:color="auto"/>
            <w:left w:val="none" w:sz="0" w:space="0" w:color="auto"/>
            <w:bottom w:val="none" w:sz="0" w:space="0" w:color="auto"/>
            <w:right w:val="none" w:sz="0" w:space="0" w:color="auto"/>
          </w:divBdr>
        </w:div>
        <w:div w:id="2142915575">
          <w:marLeft w:val="480"/>
          <w:marRight w:val="0"/>
          <w:marTop w:val="0"/>
          <w:marBottom w:val="0"/>
          <w:divBdr>
            <w:top w:val="none" w:sz="0" w:space="0" w:color="auto"/>
            <w:left w:val="none" w:sz="0" w:space="0" w:color="auto"/>
            <w:bottom w:val="none" w:sz="0" w:space="0" w:color="auto"/>
            <w:right w:val="none" w:sz="0" w:space="0" w:color="auto"/>
          </w:divBdr>
        </w:div>
        <w:div w:id="1885483516">
          <w:marLeft w:val="480"/>
          <w:marRight w:val="0"/>
          <w:marTop w:val="0"/>
          <w:marBottom w:val="0"/>
          <w:divBdr>
            <w:top w:val="none" w:sz="0" w:space="0" w:color="auto"/>
            <w:left w:val="none" w:sz="0" w:space="0" w:color="auto"/>
            <w:bottom w:val="none" w:sz="0" w:space="0" w:color="auto"/>
            <w:right w:val="none" w:sz="0" w:space="0" w:color="auto"/>
          </w:divBdr>
        </w:div>
        <w:div w:id="688795974">
          <w:marLeft w:val="480"/>
          <w:marRight w:val="0"/>
          <w:marTop w:val="0"/>
          <w:marBottom w:val="0"/>
          <w:divBdr>
            <w:top w:val="none" w:sz="0" w:space="0" w:color="auto"/>
            <w:left w:val="none" w:sz="0" w:space="0" w:color="auto"/>
            <w:bottom w:val="none" w:sz="0" w:space="0" w:color="auto"/>
            <w:right w:val="none" w:sz="0" w:space="0" w:color="auto"/>
          </w:divBdr>
        </w:div>
        <w:div w:id="1477187013">
          <w:marLeft w:val="480"/>
          <w:marRight w:val="0"/>
          <w:marTop w:val="0"/>
          <w:marBottom w:val="0"/>
          <w:divBdr>
            <w:top w:val="none" w:sz="0" w:space="0" w:color="auto"/>
            <w:left w:val="none" w:sz="0" w:space="0" w:color="auto"/>
            <w:bottom w:val="none" w:sz="0" w:space="0" w:color="auto"/>
            <w:right w:val="none" w:sz="0" w:space="0" w:color="auto"/>
          </w:divBdr>
        </w:div>
        <w:div w:id="1174882545">
          <w:marLeft w:val="480"/>
          <w:marRight w:val="0"/>
          <w:marTop w:val="0"/>
          <w:marBottom w:val="0"/>
          <w:divBdr>
            <w:top w:val="none" w:sz="0" w:space="0" w:color="auto"/>
            <w:left w:val="none" w:sz="0" w:space="0" w:color="auto"/>
            <w:bottom w:val="none" w:sz="0" w:space="0" w:color="auto"/>
            <w:right w:val="none" w:sz="0" w:space="0" w:color="auto"/>
          </w:divBdr>
        </w:div>
        <w:div w:id="1397977242">
          <w:marLeft w:val="480"/>
          <w:marRight w:val="0"/>
          <w:marTop w:val="0"/>
          <w:marBottom w:val="0"/>
          <w:divBdr>
            <w:top w:val="none" w:sz="0" w:space="0" w:color="auto"/>
            <w:left w:val="none" w:sz="0" w:space="0" w:color="auto"/>
            <w:bottom w:val="none" w:sz="0" w:space="0" w:color="auto"/>
            <w:right w:val="none" w:sz="0" w:space="0" w:color="auto"/>
          </w:divBdr>
        </w:div>
        <w:div w:id="1731153244">
          <w:marLeft w:val="480"/>
          <w:marRight w:val="0"/>
          <w:marTop w:val="0"/>
          <w:marBottom w:val="0"/>
          <w:divBdr>
            <w:top w:val="none" w:sz="0" w:space="0" w:color="auto"/>
            <w:left w:val="none" w:sz="0" w:space="0" w:color="auto"/>
            <w:bottom w:val="none" w:sz="0" w:space="0" w:color="auto"/>
            <w:right w:val="none" w:sz="0" w:space="0" w:color="auto"/>
          </w:divBdr>
        </w:div>
        <w:div w:id="1386028077">
          <w:marLeft w:val="480"/>
          <w:marRight w:val="0"/>
          <w:marTop w:val="0"/>
          <w:marBottom w:val="0"/>
          <w:divBdr>
            <w:top w:val="none" w:sz="0" w:space="0" w:color="auto"/>
            <w:left w:val="none" w:sz="0" w:space="0" w:color="auto"/>
            <w:bottom w:val="none" w:sz="0" w:space="0" w:color="auto"/>
            <w:right w:val="none" w:sz="0" w:space="0" w:color="auto"/>
          </w:divBdr>
        </w:div>
        <w:div w:id="1814062753">
          <w:marLeft w:val="480"/>
          <w:marRight w:val="0"/>
          <w:marTop w:val="0"/>
          <w:marBottom w:val="0"/>
          <w:divBdr>
            <w:top w:val="none" w:sz="0" w:space="0" w:color="auto"/>
            <w:left w:val="none" w:sz="0" w:space="0" w:color="auto"/>
            <w:bottom w:val="none" w:sz="0" w:space="0" w:color="auto"/>
            <w:right w:val="none" w:sz="0" w:space="0" w:color="auto"/>
          </w:divBdr>
        </w:div>
        <w:div w:id="1311136782">
          <w:marLeft w:val="480"/>
          <w:marRight w:val="0"/>
          <w:marTop w:val="0"/>
          <w:marBottom w:val="0"/>
          <w:divBdr>
            <w:top w:val="none" w:sz="0" w:space="0" w:color="auto"/>
            <w:left w:val="none" w:sz="0" w:space="0" w:color="auto"/>
            <w:bottom w:val="none" w:sz="0" w:space="0" w:color="auto"/>
            <w:right w:val="none" w:sz="0" w:space="0" w:color="auto"/>
          </w:divBdr>
        </w:div>
        <w:div w:id="773982808">
          <w:marLeft w:val="480"/>
          <w:marRight w:val="0"/>
          <w:marTop w:val="0"/>
          <w:marBottom w:val="0"/>
          <w:divBdr>
            <w:top w:val="none" w:sz="0" w:space="0" w:color="auto"/>
            <w:left w:val="none" w:sz="0" w:space="0" w:color="auto"/>
            <w:bottom w:val="none" w:sz="0" w:space="0" w:color="auto"/>
            <w:right w:val="none" w:sz="0" w:space="0" w:color="auto"/>
          </w:divBdr>
        </w:div>
        <w:div w:id="1597056868">
          <w:marLeft w:val="480"/>
          <w:marRight w:val="0"/>
          <w:marTop w:val="0"/>
          <w:marBottom w:val="0"/>
          <w:divBdr>
            <w:top w:val="none" w:sz="0" w:space="0" w:color="auto"/>
            <w:left w:val="none" w:sz="0" w:space="0" w:color="auto"/>
            <w:bottom w:val="none" w:sz="0" w:space="0" w:color="auto"/>
            <w:right w:val="none" w:sz="0" w:space="0" w:color="auto"/>
          </w:divBdr>
        </w:div>
        <w:div w:id="1054082487">
          <w:marLeft w:val="480"/>
          <w:marRight w:val="0"/>
          <w:marTop w:val="0"/>
          <w:marBottom w:val="0"/>
          <w:divBdr>
            <w:top w:val="none" w:sz="0" w:space="0" w:color="auto"/>
            <w:left w:val="none" w:sz="0" w:space="0" w:color="auto"/>
            <w:bottom w:val="none" w:sz="0" w:space="0" w:color="auto"/>
            <w:right w:val="none" w:sz="0" w:space="0" w:color="auto"/>
          </w:divBdr>
        </w:div>
        <w:div w:id="1079055381">
          <w:marLeft w:val="480"/>
          <w:marRight w:val="0"/>
          <w:marTop w:val="0"/>
          <w:marBottom w:val="0"/>
          <w:divBdr>
            <w:top w:val="none" w:sz="0" w:space="0" w:color="auto"/>
            <w:left w:val="none" w:sz="0" w:space="0" w:color="auto"/>
            <w:bottom w:val="none" w:sz="0" w:space="0" w:color="auto"/>
            <w:right w:val="none" w:sz="0" w:space="0" w:color="auto"/>
          </w:divBdr>
        </w:div>
        <w:div w:id="133719945">
          <w:marLeft w:val="480"/>
          <w:marRight w:val="0"/>
          <w:marTop w:val="0"/>
          <w:marBottom w:val="0"/>
          <w:divBdr>
            <w:top w:val="none" w:sz="0" w:space="0" w:color="auto"/>
            <w:left w:val="none" w:sz="0" w:space="0" w:color="auto"/>
            <w:bottom w:val="none" w:sz="0" w:space="0" w:color="auto"/>
            <w:right w:val="none" w:sz="0" w:space="0" w:color="auto"/>
          </w:divBdr>
        </w:div>
        <w:div w:id="246308531">
          <w:marLeft w:val="480"/>
          <w:marRight w:val="0"/>
          <w:marTop w:val="0"/>
          <w:marBottom w:val="0"/>
          <w:divBdr>
            <w:top w:val="none" w:sz="0" w:space="0" w:color="auto"/>
            <w:left w:val="none" w:sz="0" w:space="0" w:color="auto"/>
            <w:bottom w:val="none" w:sz="0" w:space="0" w:color="auto"/>
            <w:right w:val="none" w:sz="0" w:space="0" w:color="auto"/>
          </w:divBdr>
        </w:div>
        <w:div w:id="468402683">
          <w:marLeft w:val="480"/>
          <w:marRight w:val="0"/>
          <w:marTop w:val="0"/>
          <w:marBottom w:val="0"/>
          <w:divBdr>
            <w:top w:val="none" w:sz="0" w:space="0" w:color="auto"/>
            <w:left w:val="none" w:sz="0" w:space="0" w:color="auto"/>
            <w:bottom w:val="none" w:sz="0" w:space="0" w:color="auto"/>
            <w:right w:val="none" w:sz="0" w:space="0" w:color="auto"/>
          </w:divBdr>
        </w:div>
        <w:div w:id="1639342465">
          <w:marLeft w:val="480"/>
          <w:marRight w:val="0"/>
          <w:marTop w:val="0"/>
          <w:marBottom w:val="0"/>
          <w:divBdr>
            <w:top w:val="none" w:sz="0" w:space="0" w:color="auto"/>
            <w:left w:val="none" w:sz="0" w:space="0" w:color="auto"/>
            <w:bottom w:val="none" w:sz="0" w:space="0" w:color="auto"/>
            <w:right w:val="none" w:sz="0" w:space="0" w:color="auto"/>
          </w:divBdr>
        </w:div>
        <w:div w:id="1238904234">
          <w:marLeft w:val="480"/>
          <w:marRight w:val="0"/>
          <w:marTop w:val="0"/>
          <w:marBottom w:val="0"/>
          <w:divBdr>
            <w:top w:val="none" w:sz="0" w:space="0" w:color="auto"/>
            <w:left w:val="none" w:sz="0" w:space="0" w:color="auto"/>
            <w:bottom w:val="none" w:sz="0" w:space="0" w:color="auto"/>
            <w:right w:val="none" w:sz="0" w:space="0" w:color="auto"/>
          </w:divBdr>
        </w:div>
        <w:div w:id="1533684327">
          <w:marLeft w:val="480"/>
          <w:marRight w:val="0"/>
          <w:marTop w:val="0"/>
          <w:marBottom w:val="0"/>
          <w:divBdr>
            <w:top w:val="none" w:sz="0" w:space="0" w:color="auto"/>
            <w:left w:val="none" w:sz="0" w:space="0" w:color="auto"/>
            <w:bottom w:val="none" w:sz="0" w:space="0" w:color="auto"/>
            <w:right w:val="none" w:sz="0" w:space="0" w:color="auto"/>
          </w:divBdr>
        </w:div>
        <w:div w:id="949628521">
          <w:marLeft w:val="480"/>
          <w:marRight w:val="0"/>
          <w:marTop w:val="0"/>
          <w:marBottom w:val="0"/>
          <w:divBdr>
            <w:top w:val="none" w:sz="0" w:space="0" w:color="auto"/>
            <w:left w:val="none" w:sz="0" w:space="0" w:color="auto"/>
            <w:bottom w:val="none" w:sz="0" w:space="0" w:color="auto"/>
            <w:right w:val="none" w:sz="0" w:space="0" w:color="auto"/>
          </w:divBdr>
        </w:div>
      </w:divsChild>
    </w:div>
    <w:div w:id="2051614162">
      <w:bodyDiv w:val="1"/>
      <w:marLeft w:val="0"/>
      <w:marRight w:val="0"/>
      <w:marTop w:val="0"/>
      <w:marBottom w:val="0"/>
      <w:divBdr>
        <w:top w:val="none" w:sz="0" w:space="0" w:color="auto"/>
        <w:left w:val="none" w:sz="0" w:space="0" w:color="auto"/>
        <w:bottom w:val="none" w:sz="0" w:space="0" w:color="auto"/>
        <w:right w:val="none" w:sz="0" w:space="0" w:color="auto"/>
      </w:divBdr>
    </w:div>
    <w:div w:id="2054696715">
      <w:bodyDiv w:val="1"/>
      <w:marLeft w:val="0"/>
      <w:marRight w:val="0"/>
      <w:marTop w:val="0"/>
      <w:marBottom w:val="0"/>
      <w:divBdr>
        <w:top w:val="none" w:sz="0" w:space="0" w:color="auto"/>
        <w:left w:val="none" w:sz="0" w:space="0" w:color="auto"/>
        <w:bottom w:val="none" w:sz="0" w:space="0" w:color="auto"/>
        <w:right w:val="none" w:sz="0" w:space="0" w:color="auto"/>
      </w:divBdr>
    </w:div>
    <w:div w:id="2073773131">
      <w:bodyDiv w:val="1"/>
      <w:marLeft w:val="0"/>
      <w:marRight w:val="0"/>
      <w:marTop w:val="0"/>
      <w:marBottom w:val="0"/>
      <w:divBdr>
        <w:top w:val="none" w:sz="0" w:space="0" w:color="auto"/>
        <w:left w:val="none" w:sz="0" w:space="0" w:color="auto"/>
        <w:bottom w:val="none" w:sz="0" w:space="0" w:color="auto"/>
        <w:right w:val="none" w:sz="0" w:space="0" w:color="auto"/>
      </w:divBdr>
    </w:div>
    <w:div w:id="2122726726">
      <w:bodyDiv w:val="1"/>
      <w:marLeft w:val="0"/>
      <w:marRight w:val="0"/>
      <w:marTop w:val="0"/>
      <w:marBottom w:val="0"/>
      <w:divBdr>
        <w:top w:val="none" w:sz="0" w:space="0" w:color="auto"/>
        <w:left w:val="none" w:sz="0" w:space="0" w:color="auto"/>
        <w:bottom w:val="none" w:sz="0" w:space="0" w:color="auto"/>
        <w:right w:val="none" w:sz="0" w:space="0" w:color="auto"/>
      </w:divBdr>
      <w:divsChild>
        <w:div w:id="1026714341">
          <w:marLeft w:val="0"/>
          <w:marRight w:val="0"/>
          <w:marTop w:val="0"/>
          <w:marBottom w:val="0"/>
          <w:divBdr>
            <w:top w:val="single" w:sz="2" w:space="0" w:color="auto"/>
            <w:left w:val="single" w:sz="2" w:space="0" w:color="auto"/>
            <w:bottom w:val="single" w:sz="6" w:space="0" w:color="auto"/>
            <w:right w:val="single" w:sz="2" w:space="0" w:color="auto"/>
          </w:divBdr>
          <w:divsChild>
            <w:div w:id="1207792773">
              <w:marLeft w:val="0"/>
              <w:marRight w:val="0"/>
              <w:marTop w:val="100"/>
              <w:marBottom w:val="100"/>
              <w:divBdr>
                <w:top w:val="single" w:sz="2" w:space="0" w:color="D9D9E3"/>
                <w:left w:val="single" w:sz="2" w:space="0" w:color="D9D9E3"/>
                <w:bottom w:val="single" w:sz="2" w:space="0" w:color="D9D9E3"/>
                <w:right w:val="single" w:sz="2" w:space="0" w:color="D9D9E3"/>
              </w:divBdr>
              <w:divsChild>
                <w:div w:id="348265045">
                  <w:marLeft w:val="0"/>
                  <w:marRight w:val="0"/>
                  <w:marTop w:val="0"/>
                  <w:marBottom w:val="0"/>
                  <w:divBdr>
                    <w:top w:val="single" w:sz="2" w:space="0" w:color="D9D9E3"/>
                    <w:left w:val="single" w:sz="2" w:space="0" w:color="D9D9E3"/>
                    <w:bottom w:val="single" w:sz="2" w:space="0" w:color="D9D9E3"/>
                    <w:right w:val="single" w:sz="2" w:space="0" w:color="D9D9E3"/>
                  </w:divBdr>
                  <w:divsChild>
                    <w:div w:id="675230571">
                      <w:marLeft w:val="0"/>
                      <w:marRight w:val="0"/>
                      <w:marTop w:val="0"/>
                      <w:marBottom w:val="0"/>
                      <w:divBdr>
                        <w:top w:val="single" w:sz="2" w:space="0" w:color="D9D9E3"/>
                        <w:left w:val="single" w:sz="2" w:space="0" w:color="D9D9E3"/>
                        <w:bottom w:val="single" w:sz="2" w:space="0" w:color="D9D9E3"/>
                        <w:right w:val="single" w:sz="2" w:space="0" w:color="D9D9E3"/>
                      </w:divBdr>
                      <w:divsChild>
                        <w:div w:id="1785340281">
                          <w:marLeft w:val="0"/>
                          <w:marRight w:val="0"/>
                          <w:marTop w:val="0"/>
                          <w:marBottom w:val="0"/>
                          <w:divBdr>
                            <w:top w:val="single" w:sz="2" w:space="0" w:color="D9D9E3"/>
                            <w:left w:val="single" w:sz="2" w:space="0" w:color="D9D9E3"/>
                            <w:bottom w:val="single" w:sz="2" w:space="0" w:color="D9D9E3"/>
                            <w:right w:val="single" w:sz="2" w:space="0" w:color="D9D9E3"/>
                          </w:divBdr>
                          <w:divsChild>
                            <w:div w:id="1523661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3689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E1D6ED-1A7F-4450-98E1-A8A0BAC94FBC}">
  <we:reference id="wa104382081" version="1.55.1.0" store="en-US" storeType="OMEX"/>
  <we:alternateReferences>
    <we:reference id="wa104382081" version="1.55.1.0" store="WA104382081" storeType="OMEX"/>
  </we:alternateReferences>
  <we:properties>
    <we:property name="MENDELEY_CITATIONS" value="[{&quot;citationID&quot;:&quot;MENDELEY_CITATION_c6175fe4-8b1e-4c4f-8eb3-326b925fccfe&quot;,&quot;properties&quot;:{&quot;noteIndex&quot;:0},&quot;isEdited&quot;:false,&quot;manualOverride&quot;:{&quot;isManuallyOverridden&quot;:false,&quot;citeprocText&quot;:&quot;(Zhang et al., 2024)&quot;,&quot;manualOverrideText&quot;:&quot;&quot;},&quot;citationTag&quot;:&quot;MENDELEY_CITATION_v3_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&quot;,&quot;citationItems&quot;:[{&quot;id&quot;:&quot;b8351e8f-f4e3-3371-8ea8-585f9e721094&quot;,&quot;itemData&quot;:{&quot;type&quot;:&quot;article-journal&quot;,&quot;id&quot;:&quot;b8351e8f-f4e3-3371-8ea8-585f9e721094&quot;,&quot;title&quot;:&quot;Policies for Equity in Access to Urban Green Space: A Spatial Perspective of the Chinese National Forest City Policy&quot;,&quot;author&quot;:[{&quot;family&quot;:&quot;Zhang&quot;,&quot;given&quot;:&quot;Zhenyu&quot;,&quot;parse-names&quot;:false,&quot;dropping-particle&quot;:&quot;&quot;,&quot;non-dropping-particle&quot;:&quot;&quot;},{&quot;family&quot;:&quot;Cenci&quot;,&quot;given&quot;:&quot;Jeremy&quot;,&quot;parse-names&quot;:false,&quot;dropping-particle&quot;:&quot;&quot;,&quot;non-dropping-particle&quot;:&quot;&quot;},{&quot;family&quot;:&quot;Zhang&quot;,&quot;given&quot;:&quot;Jiazhen&quot;,&quot;parse-names&quot;:false,&quot;dropping-particle&quot;:&quot;&quot;,&quot;non-dropping-particle&quot;:&quot;&quot;}],&quot;container-title&quot;:&quot;Forests&quot;,&quot;container-title-short&quot;:&quot;Forests&quot;,&quot;DOI&quot;:&quot;10.3390/f15040608&quot;,&quot;ISSN&quot;:&quot;19994907&quot;,&quot;issued&quot;:{&quot;date-parts&quot;:[[2024]]},&quot;abstract&quot;:&quot;The development of China’s high-density urbanisation process has made people aware of the widespread injustice in urban green space (UGS) as a means to improving residents’ well-being. The Chinese National Forest City (NFCC) policy is one of China’s construction models that aims to develop urban greening and reduce the inequality of residents’ well-being. This study used a combination of qualitative research and index quantification to explore the relationship between the spatial distribution of NFCCs and the factors affecting inequality in green space allocation and their impacts. The results of the study show that changes in indicators in NFCC policy reflect the national government’s decision-making orientation towards achieving environmental equity, and that the main factors affecting the unequal spatial distribution of NFCCs are highly correlated with inequality in UGS resources. This study analysed the NFCC policy from a new perspective and provides useful information for the development of national forest policy in order to ensure sufficient green space in China and the elimination of environmental inequity.&quot;,&quot;issue&quot;:&quot;4&quot;,&quot;volume&quot;:&quot;15&quot;},&quot;isTemporary&quot;:false}]},{&quot;citationID&quot;:&quot;MENDELEY_CITATION_0443e75b-23e3-4466-8d9c-9b52acd44c33&quot;,&quot;properties&quot;:{&quot;noteIndex&quot;:0},&quot;isEdited&quot;:false,&quot;manualOverride&quot;:{&quot;isManuallyOverridden&quot;:true,&quot;citeprocText&quot;:&quot;(Haaland &amp;#38; van den Bosch, 2015)&quot;,&quot;manualOverrideText&quot;:&quot;Haaland and van den Bosch (2015)&quot;},&quot;citationTag&quot;:&quot;MENDELEY_CITATION_v3_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&quot;,&quot;citationItems&quot;:[{&quot;id&quot;:&quot;d542722d-2102-37f5-9c29-fccb3b4bd25e&quot;,&quot;itemData&quot;:{&quot;type&quot;:&quot;article-journal&quot;,&quot;id&quot;:&quot;d542722d-2102-37f5-9c29-fccb3b4bd25e&quot;,&quot;title&quot;:&quot;Challenges and strategies for urban green-space planning in cities undergoing densification: A review&quot;,&quot;author&quot;:[{&quot;family&quot;:&quot;Haaland&quot;,&quot;given&quot;:&quot;Christine&quot;,&quot;parse-names&quot;:false,&quot;dropping-particle&quot;:&quot;&quot;,&quot;non-dropping-particle&quot;:&quot;&quot;},{&quot;family&quot;:&quot;Bosch&quot;,&quot;given&quot;:&quot;Cecil Konijnendijk&quot;,&quot;parse-names&quot;:false,&quot;dropping-particle&quot;:&quot;&quot;,&quot;non-dropping-particle&quot;:&quot;van den&quot;}],&quot;container-title&quot;:&quot;Urban Forestry and Urban Greening&quot;,&quot;container-title-short&quot;:&quot;Urban For Urban Green&quot;,&quot;DOI&quot;:&quot;10.1016/j.ufug.2015.07.009&quot;,&quot;ISSN&quot;:&quot;16108167&quot;,&quot;URL&quot;:&quot;http://dx.doi.org/10.1016/j.ufug.2015.07.009&quot;,&quot;issued&quot;:{&quot;date-parts&quot;:[[2015]]},&quot;page&quot;:&quot;760-771&quot;,&quot;abstract&quot;:&quot;The compact city approach has gained global impact as a planning approach for sustainable development in areas with increasing urban population. Through densification and compact building, the approach aims to counteract negative effects of urban sprawl in terms of ineffective land-use and related environmental problems. In spite of its benefits various problems and challenges are associated with implementing the compact city approach. This review looks at the effects of urban densification and compact city development on urban green space and its planning. It identifies problems, challenges and strategies of urban green space planning during densification processes. Findings confirm that urban densification processes, including consolidation and infill development, can pose a threat to urban green space. However, the literature on the compact city approach often lacks specific suggestions for urban green space conservation and planning. Provision of urban green space in compact city environments and during densification processes is described as a major challenge. Loss of private urban green space rarely seems offset by provision of more public green space. Several ways are identified to deal with these challenges, while also highlighting research gaps, e.g., as to how loss of green space quantity can be offset by increased green space quality.&quot;,&quot;publisher&quot;:&quot;Elsevier GmbH.&quot;,&quot;issue&quot;:&quot;4&quot;,&quot;volume&quot;:&quot;14&quot;},&quot;isTemporary&quot;:false}]},{&quot;citationID&quot;:&quot;MENDELEY_CITATION_6e4eb438-a919-4a3f-9279-b261b7a69782&quot;,&quot;properties&quot;:{&quot;noteIndex&quot;:0},&quot;isEdited&quot;:false,&quot;manualOverride&quot;:{&quot;isManuallyOverridden&quot;:true,&quot;citeprocText&quot;:&quot;(Kim et al., 2022)&quot;,&quot;manualOverrideText&quot;:&quot;Kim et al. (2022)&quot;},&quot;citationTag&quot;:&quot;MENDELEY_CITATION_v3_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&quot;,&quot;citationItems&quot;:[{&quot;id&quot;:&quot;8203cc8b-c0a3-3314-a9f3-2d11557e963e&quot;,&quot;itemData&quot;:{&quot;type&quot;:&quot;article-journal&quot;,&quot;id&quot;:&quot;8203cc8b-c0a3-3314-a9f3-2d11557e963e&quot;,&quot;title&quot;:&quot;Spatial preference heterogeneity in policies for improving urban green spaces&quot;,&quot;author&quot;:[{&quot;family&quot;:&quot;Kim&quot;,&quot;given&quot;:&quot;Jiyeon&quot;,&quot;parse-names&quot;:false,&quot;dropping-particle&quot;:&quot;&quot;,&quot;non-dropping-particle&quot;:&quot;&quot;},{&quot;family&quot;:&quot;Choi&quot;,&quot;given&quot;:&quot;Nakhoon&quot;,&quot;parse-names&quot;:false,&quot;dropping-particle&quot;:&quot;&quot;,&quot;non-dropping-particle&quot;:&quot;&quot;},{&quot;family&quot;:&quot;Lee&quot;,&quot;given&quot;:&quot;Dong Kun&quot;,&quot;parse-names&quot;:false,&quot;dropping-particle&quot;:&quot;&quot;,&quot;non-dropping-particle&quot;:&quot;&quot;}],&quot;container-title&quot;:&quot;Urban Forestry and Urban Greening&quot;,&quot;container-title-short&quot;:&quot;Urban For Urban Green&quot;,&quot;DOI&quot;:&quot;10.1016/j.ufug.2022.127781&quot;,&quot;ISSN&quot;:&quot;16108167&quot;,&quot;issued&quot;:{&quot;date-parts&quot;:[[2022]]},&quot;abstract&quot;:&quot;Urban green spaces (UGSs) enhance the quality of urban dwellers’ lives. Thus, efficient policies for improving UGSs—which should reflect urban residents’ needs—are necessary. Additionally, it is crucial to manage the spatial distribution of residents’ preferences to find regions that can produce greater utility within limited budgets. Using online surveys conducted in 2015, which obtained 414 valid responses, this study analyzed urban residents’ preferences for UGS improvement policies and investigated spatial preference heterogeneity for such policies in the planned city of Seongnam, South Korea. A mixed logit model was applied to analyze policy preferences, and the preference heterogeneity level was assessed by coefficient of variation. Additionally, hot spot analysis was performed to examine spatial heterogeneity. The Getis-ord Gi* was computed to identify the spatial clusters of the estimated coefficients and the marginal willingness to pay (WTP). The results indicated a high preference for enhancing quality and connectivity. While the results showed that preference heterogeneity existed in each UGS improvement policy, heterogeneity levels differed per attribute. Statistically significant local spatial clusters of estimated coefficients and marginal WTP were observed for each UGS improvement policy despite global autocorrelation being insignificant. It was observed that estimate coefficients with low coefficient of variation can make extensive spatial clusters; otherwise, the opposite trend might occur. Additionally, marginal WTP hot spots did not change according to attribute but appeared in similar locations. Therefore, spatial heterogeneity analysis is necessary to manage UGSs with higher net utilities given limited budgets. These findings will ensure the satisfaction of all urban residents by identifying their preferences for UGS policies. They will also help prioritize cost-effective implementation of policy considering spatial preference heterogeneity.&quot;,&quot;issue&quot;:&quot;October&quot;,&quot;volume&quot;:&quot;78&quot;},&quot;isTemporary&quot;:false}]},{&quot;citationID&quot;:&quot;MENDELEY_CITATION_c1a2766c-844d-44d7-9354-94482c20168d&quot;,&quot;properties&quot;:{&quot;noteIndex&quot;:0},&quot;isEdited&quot;:false,&quot;manualOverride&quot;:{&quot;isManuallyOverridden&quot;:true,&quot;citeprocText&quot;:&quot;(Wu et al., 2018)&quot;,&quot;manualOverrideText&quot;:&quot;Wu et al. (2018)&quot;},&quot;citationTag&quot;:&quot;MENDELEY_CITATION_v3_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&quot;,&quot;citationItems&quot;:[{&quot;id&quot;:&quot;90b8e9a8-a179-3034-b105-e58f01f6bcb4&quot;,&quot;itemData&quot;:{&quot;type&quot;:&quot;article-journal&quot;,&quot;id&quot;:&quot;90b8e9a8-a179-3034-b105-e58f01f6bcb4&quot;,&quot;title&quot;:&quot;Dismantling the fence for social justice? Evidence based on the inequity of urban green space accessibility in the central urban area of Beijing&quot;,&quot;author&quot;:[{&quot;family&quot;:&quot;Wu&quot;,&quot;given&quot;:&quot;Jiayu&quot;,&quot;parse-names&quot;:false,&quot;dropping-particle&quot;:&quot;&quot;,&quot;non-dropping-particle&quot;:&quot;&quot;},{&quot;family&quot;:&quot;He&quot;,&quot;given&quot;:&quot;Qingsong&quot;,&quot;parse-names&quot;:false,&quot;dropping-particle&quot;:&quot;&quot;,&quot;non-dropping-particle&quot;:&quot;&quot;},{&quot;family&quot;:&quot;Chen&quot;,&quot;given&quot;:&quot;Yunwen&quot;,&quot;parse-names&quot;:false,&quot;dropping-particle&quot;:&quot;&quot;,&quot;non-dropping-particle&quot;:&quot;&quot;},{&quot;family&quot;:&quot;Lin&quot;,&quot;given&quot;:&quot;Jian&quot;,&quot;parse-names&quot;:false,&quot;dropping-particle&quot;:&quot;&quot;,&quot;non-dropping-particle&quot;:&quot;&quot;},{&quot;family&quot;:&quot;Wang&quot;,&quot;given&quot;:&quot;Shantong&quot;,&quot;parse-names&quot;:false,&quot;dropping-particle&quot;:&quot;&quot;,&quot;non-dropping-particle&quot;:&quot;&quot;}],&quot;container-title&quot;:&quot;Environment and Planning B: Urban Analytics and City Science&quot;,&quot;container-title-short&quot;:&quot;Environ Plan B Urban Anal City Sci&quot;,&quot;DOI&quot;:&quot;10.1177/2399808318793139&quot;,&quot;ISSN&quot;:&quot;23998091&quot;,&quot;issued&quot;:{&quot;date-parts&quot;:[[2018]]},&quot;abstract&quot;:&quot;Gated communities have become a common feature in recent decades and have been shown to lead to social inequality to the detriment of the poorest social classes. Because access to urban green space is crucial for both physical health and spiritual pleasure, it is often regarded as an indicator of social justice; however, there are many references to the current inequity in urban green space accessibility. Our study aimed first to measure the potential spatial accessibility of green space in the central urban area of Beijing; then to evaluate the socio-economic disparities in green space accessibility; and finally, to assess the effect of the policy of “opening up gated residential communities” on urban green space accessibility. We adopt the Gaussian-based two-step floating catchment to assess the spatial accessibility of green spaces in each residential zone in the central area of Beijing, and the ordinary least squares model was used to evaluate the inequity in accessibility caused by socio-economic disparities. The results reveal that lower income residential zones have remarkably lower access to green spaces. Next, by comparing the differences in accessibility equity between two comparable scenarios in which all communities have dismantled their fences, we unexpectedly find that the inequity of access to urban green space does not improve but becomes more pronounced. We attribute this result to socio-spatial polarization. Our findings can be used by urban planners to target current urban planning system reform and by policymakers to focus closely on the gradual spatial polarization between the rich and the poor.&quot;},&quot;isTemporary&quot;:false}]},{&quot;citationID&quot;:&quot;MENDELEY_CITATION_ec2c10b3-4370-4575-a2da-0c9dd98025b2&quot;,&quot;properties&quot;:{&quot;noteIndex&quot;:0},&quot;isEdited&quot;:false,&quot;manualOverride&quot;:{&quot;isManuallyOverridden&quot;:true,&quot;citeprocText&quot;:&quot;(Wolch et al., 2014)&quot;,&quot;manualOverrideText&quot;:&quot;Wolch et al. (2014)&quot;},&quot;citationTag&quot;:&quot;MENDELEY_CITATION_v3_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&quot;,&quot;citationItems&quot;:[{&quot;id&quot;:&quot;59a4c79b-661e-38db-8585-0fe22b324a64&quot;,&quot;itemData&quot;:{&quot;type&quot;:&quot;article-journal&quot;,&quot;id&quot;:&quot;59a4c79b-661e-38db-8585-0fe22b324a64&quot;,&quot;title&quot;:&quot;Urban green space, public health, and environmental justice: The challenge of making cities 'just green enough'&quot;,&quot;author&quot;:[{&quot;family&quot;:&quot;Wolch&quot;,&quot;given&quot;:&quot;Jennifer R.&quot;,&quot;parse-names&quot;:false,&quot;dropping-particle&quot;:&quot;&quot;,&quot;non-dropping-particle&quot;:&quot;&quot;},{&quot;family&quot;:&quot;Byrne&quot;,&quot;given&quot;:&quot;Jason&quot;,&quot;parse-names&quot;:false,&quot;dropping-particle&quot;:&quot;&quot;,&quot;non-dropping-particle&quot;:&quot;&quot;},{&quot;family&quot;:&quot;Newell&quot;,&quot;given&quot;:&quot;Joshua P.&quot;,&quot;parse-names&quot;:false,&quot;dropping-particle&quot;:&quot;&quot;,&quot;non-dropping-particle&quot;:&quot;&quot;}],&quot;container-title&quot;:&quot;Landscape and Urban Planning&quot;,&quot;container-title-short&quot;:&quot;Landsc Urban Plan&quot;,&quot;DOI&quot;:&quot;10.1016/j.landurbplan.2014.01.017&quot;,&quot;ISSN&quot;:&quot;01692046&quot;,&quot;issued&quot;:{&quot;date-parts&quot;:[[2014]]},&quot;page&quot;:&quot;234-244&quot;,&quot;abstract&quot;:&quot;Urban green space, such as parks, forests, green roofs, streams, and community gardens, provides critical ecosystem services. Green space also promotes physical activity, psychological well-being, and the general public health of urban residents. This paper reviews the Anglo-American literature on urban green space, especially parks, and compares efforts to green US and Chinese cities. Most studies reveal that the distribution of such space often disproportionately benefits predominantly White and more affluent communities. Access to green space is therefore increasingly recognized as an environmental justice issue. Many US cities have implemented strategies to increase the supply of urban green space, especially in park-poor neighborhoods. Strategies include greening of remnant urban land and reuse of obsolete or underutilized transportation infrastructure. Similar strategies are being employed in Chinese cities where there is more state control of land supply but similar market incentives for urban greening. In both contexts, however, urban green space strategies may be paradoxical: while the creation of new green space to address environmental justice problems can make neighborhoods healthier and more esthetically attractive, it also can increase housing costs and property values. Ultimately, this can lead to gentrification and a displacement of the very residents the green space strategies were designed to benefit. Urban planners, designers, and ecologists, therefore, need to focus on urban green space strategies that are 'just green enough' and that explicitly protect social as well as ecological sustainability. © 2014 Elsevier B.V.&quot;,&quot;volume&quot;:&quot;125&quot;},&quot;isTemporary&quot;:false}]},{&quot;citationID&quot;:&quot;MENDELEY_CITATION_7059391b-5fe9-41cb-90f6-79b2a756a7c4&quot;,&quot;properties&quot;:{&quot;noteIndex&quot;:0},&quot;isEdited&quot;:false,&quot;manualOverride&quot;:{&quot;isManuallyOverridden&quot;:true,&quot;citeprocText&quot;:&quot;(Abdulraheem et al., 2022)&quot;,&quot;manualOverrideText&quot;:&quot;Abdulraheem et al. (2022)&quot;},&quot;citationTag&quot;:&quot;MENDELEY_CITATION_v3_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&quot;,&quot;citationItems&quot;:[{&quot;id&quot;:&quot;56153619-b39d-372e-8024-c2faba7df684&quot;,&quot;itemData&quot;:{&quot;type&quot;:&quot;article-journal&quot;,&quot;id&quot;:&quot;56153619-b39d-372e-8024-c2faba7df684&quot;,&quot;title&quot;:&quot;International Journal of Real Estate Studies INTREST Urban Green Space Accessibility in Ilorin City, Nigeria&quot;,&quot;author&quot;:[{&quot;family&quot;:&quot;Abdulraheem&quot;,&quot;given&quot;:&quot;Maimuna Orire&quot;,&quot;parse-names&quot;:false,&quot;dropping-particle&quot;:&quot;&quot;,&quot;non-dropping-particle&quot;:&quot;&quot;},{&quot;family&quot;:&quot;Oloyede&quot;,&quot;given&quot;:&quot;Ismail Orire&quot;,&quot;parse-names&quot;:false,&quot;dropping-particle&quot;:&quot;&quot;,&quot;non-dropping-particle&quot;:&quot;&quot;},{&quot;family&quot;:&quot;Amuda-Yusuf&quot;,&quot;given&quot;:&quot;Ganiyu&quot;,&quot;parse-names&quot;:false,&quot;dropping-particle&quot;:&quot;&quot;,&quot;non-dropping-particle&quot;:&quot;&quot;},{&quot;family&quot;:&quot;Raheem&quot;,&quot;given&quot;:&quot;Wasiu Mayowa&quot;,&quot;parse-names&quot;:false,&quot;dropping-particle&quot;:&quot;&quot;,&quot;non-dropping-particle&quot;:&quot;&quot;},{&quot;family&quot;:&quot;Kola Alade&quot;,&quot;given&quot;:&quot;Azeez&quot;,&quot;parse-names&quot;:false,&quot;dropping-particle&quot;:&quot;&quot;,&quot;non-dropping-particle&quot;:&quot;&quot;},{&quot;family&quot;:&quot;Chukwu&quot;,&quot;given&quot;:&quot;Michaelmary Tochukwu&quot;,&quot;parse-names&quot;:false,&quot;dropping-particle&quot;:&quot;&quot;,&quot;non-dropping-particle&quot;:&quot;&quot;}],&quot;ISSN&quot;:&quot;2231-7643&quot;,&quot;issued&quot;:{&quot;date-parts&quot;:[[2022]]},&quot;page&quot;:&quot;24-36&quot;,&quot;abstract&quot;:&quot;Urban green space (UGS) is a very important determinant of social and environmental fairness. Many developing countries are faced with a dearth of public green spaces and Ilorin in Nigeria is no exception. Despite the numerous benefits of these facilities, they are still the target of encroachment by other land uses. The study assesses green space distribution in Ilorin City, using the World Health Organization (WHO) standard indicators to evaluate its accessibility and availability. The primary instruments used are the Geographic Information System (ArcMap 10.3), Google Earth Engine (GEE), and administrative shapefiles of Ilorin West and South Local Government Areas. The results show that UGS is inadequate and only one out of the fourteen wards in the city meets the WHO 9m 2 green space standard and also offers 64.2 percent public access within a 300m distance radius. This result implies that Ilorin is not developing along the path of sustainability since the dearth of green space predisposes its inhabitants to immense danger. A recommendation was made for the design of a comprehensive green space master plan for the city. This shall put a check on the city's growth to foster sustainable development.&quot;,&quot;volume&quot;:&quot;1&quot;,&quot;container-title-short&quot;:&quot;&quot;},&quot;isTemporary&quot;:false}]},{&quot;citationID&quot;:&quot;MENDELEY_CITATION_be1f6488-d914-42f4-990b-d0d4f794c1ce&quot;,&quot;properties&quot;:{&quot;noteIndex&quot;:0},&quot;isEdited&quot;:false,&quot;manualOverride&quot;:{&quot;isManuallyOverridden&quot;:true,&quot;citeprocText&quot;:&quot;(Sikorska et al., 2020)&quot;,&quot;manualOverrideText&quot;:&quot;Sikorska et al. (2020)&quot;},&quot;citationTag&quot;:&quot;MENDELEY_CITATION_v3_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&quot;,&quot;citationItems&quot;:[{&quot;id&quot;:&quot;8f37f63f-883d-384b-a0c6-41f00d244f0f&quot;,&quot;itemData&quot;:{&quot;type&quot;:&quot;article-journal&quot;,&quot;id&quot;:&quot;8f37f63f-883d-384b-a0c6-41f00d244f0f&quot;,&quot;title&quot;:&quot;The role of informal green spaces in reducing inequalities in urban green space availability to children and seniors&quot;,&quot;author&quot;:[{&quot;family&quot;:&quot;Sikorska&quot;,&quot;given&quot;:&quot;Daria&quot;,&quot;parse-names&quot;:false,&quot;dropping-particle&quot;:&quot;&quot;,&quot;non-dropping-particle&quot;:&quot;&quot;},{&quot;family&quot;:&quot;Łaszkiewicz&quot;,&quot;given&quot;:&quot;Edyta&quot;,&quot;parse-names&quot;:false,&quot;dropping-particle&quot;:&quot;&quot;,&quot;non-dropping-particle&quot;:&quot;&quot;},{&quot;family&quot;:&quot;Krauze&quot;,&quot;given&quot;:&quot;Kinga&quot;,&quot;parse-names&quot;:false,&quot;dropping-particle&quot;:&quot;&quot;,&quot;non-dropping-particle&quot;:&quot;&quot;},{&quot;family&quot;:&quot;Sikorski&quot;,&quot;given&quot;:&quot;Piotr&quot;,&quot;parse-names&quot;:false,&quot;dropping-particle&quot;:&quot;&quot;,&quot;non-dropping-particle&quot;:&quot;&quot;}],&quot;container-title&quot;:&quot;Environmental Science and Policy&quot;,&quot;container-title-short&quot;:&quot;Environ Sci Policy&quot;,&quot;DOI&quot;:&quot;10.1016/j.envsci.2020.03.007&quot;,&quot;ISSN&quot;:&quot;18736416&quot;,&quot;issued&quot;:{&quot;date-parts&quot;:[[2020]]},&quot;page&quot;:&quot;144-154&quot;,&quot;abstract&quot;:&quot;Urban green spaces (UGS) offer a wide range of ecosystem services to city dwellers, contributing to their health and well-being. The resources of formally designated UGS, such as parks and forests, are frequently underprovided, however. This results in unequal access to UGS, which has become an environmental justice issue. We investigated the potential of informal green spaces (IGS) to complement existing formal UGS to reduce distributional inequity in UGS availability. We focused on the most vulnerable groups of citizens, children and elderly residents, for whom the availability of UGS plays a particularly important role. The study was performed in two Eastern-European cities, Warsaw and Łódź, both characterised by a well-developed system of UGS but of different spatial composition and UGS configuration. We focus on unmanaged areas within IGS and link them to the provisioning of recreational ecosystem services, such as enabling direct contact with nature. We identified different categories of formal and informal UGS based on publicly available data, supported by NDVI values, followed by UGS availability analysis of formal and informal UGS in the service area of 300 m for each residential building. We found that informal UGS are equally important as formal ones, and they may contribute to better access to selected urban ecosystem services. Both cities are characterised by unequal distribution of formal UGS. In Łódź, children are least favoured in terms of UGS availability, while in Warsaw, elderly citizens are most excluded. In both cities, it is the green areas associated with transportation routes communication routes, multi-family housing and agricultural lands along with grasslands that have the greatest potential to improve the equal availability of UGS to residents. We propose maintaining various types of unmanaged green areas in cities to help limit disparities to UGS access, and it would also increase their importance in the provisioning of recreational ecosystem services.&quot;,&quot;issue&quot;:&quot;September 2019&quot;,&quot;volume&quot;:&quot;108&quot;},&quot;isTemporary&quot;:false}]},{&quot;citationID&quot;:&quot;MENDELEY_CITATION_a39c0449-fe38-43ba-8126-54a41a89d1b8&quot;,&quot;properties&quot;:{&quot;noteIndex&quot;:0},&quot;isEdited&quot;:false,&quot;manualOverride&quot;:{&quot;isManuallyOverridden&quot;:false,&quot;citeprocText&quot;:&quot;(City of Karaj Urban Planning Department, 2007; Department, 2007)&quot;,&quot;manualOverrideText&quot;:&quot;&quot;},&quot;citationTag&quot;:&quot;MENDELEY_CITATION_v3_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&quot;,&quot;citationItems&quot;:[{&quot;id&quot;:&quot;1ecd3308-d84d-3ac8-80ba-4a694607136a&quot;,&quot;itemData&quot;:{&quot;type&quot;:&quot;report&quot;,&quot;id&quot;:&quot;1ecd3308-d84d-3ac8-80ba-4a694607136a&quot;,&quot;title&quot;:&quot;Karaj Comprehensive Plan&quot;,&quot;author&quot;:[{&quot;family&quot;:&quot;City of Karaj Urban Planning Department&quot;,&quot;given&quot;:&quot;&quot;,&quot;parse-names&quot;:false,&quot;dropping-particle&quot;:&quot;&quot;,&quot;non-dropping-particle&quot;:&quot;&quot;}],&quot;ISBN&quot;:&quot;9781626239777&quot;,&quot;issued&quot;:{&quot;date-parts&quot;:[[2007]]},&quot;container-title-short&quot;:&quot;&quot;},&quot;isTemporary&quot;:false},{&quot;id&quot;:&quot;f5f556a6-d816-326b-989d-143e80827e0c&quot;,&quot;itemData&quot;:{&quot;type&quot;:&quot;report&quot;,&quot;id&quot;:&quot;f5f556a6-d816-326b-989d-143e80827e0c&quot;,&quot;title&quot;:&quot;Karaj Detailed Plan&quot;,&quot;author&quot;:[{&quot;family&quot;:&quot;Department&quot;,&quot;given&quot;:&quot;City of Karaj Urban Planning&quot;,&quot;parse-names&quot;:false,&quot;dropping-particle&quot;:&quot;&quot;,&quot;non-dropping-particle&quot;:&quot;&quot;}],&quot;issued&quot;:{&quot;date-parts&quot;:[[2007]]},&quot;container-title-short&quot;:&quot;&quot;},&quot;isTemporary&quot;:false}]},{&quot;citationID&quot;:&quot;MENDELEY_CITATION_00a22d21-de1d-48bf-8bd3-e47e93c322e7&quot;,&quot;properties&quot;:{&quot;noteIndex&quot;:0},&quot;isEdited&quot;:false,&quot;manualOverride&quot;:{&quot;isManuallyOverridden&quot;:false,&quot;citeprocText&quot;:&quot;(City of Karaj Urban Planning Department, 2007)&quot;,&quot;manualOverrideText&quot;:&quot;&quot;},&quot;citationTag&quot;:&quot;MENDELEY_CITATION_v3_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&quot;,&quot;citationItems&quot;:[{&quot;id&quot;:&quot;1ecd3308-d84d-3ac8-80ba-4a694607136a&quot;,&quot;itemData&quot;:{&quot;type&quot;:&quot;report&quot;,&quot;id&quot;:&quot;1ecd3308-d84d-3ac8-80ba-4a694607136a&quot;,&quot;title&quot;:&quot;Karaj Comprehensive Plan&quot;,&quot;author&quot;:[{&quot;family&quot;:&quot;City of Karaj Urban Planning Department&quot;,&quot;given&quot;:&quot;&quot;,&quot;parse-names&quot;:false,&quot;dropping-particle&quot;:&quot;&quot;,&quot;non-dropping-particle&quot;:&quot;&quot;}],&quot;ISBN&quot;:&quot;9781626239777&quot;,&quot;issued&quot;:{&quot;date-parts&quot;:[[2007]]},&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D229E-DC7C-44E3-9993-14629FD63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ali_khaleghy</dc:creator>
  <cp:keywords/>
  <dc:description/>
  <cp:lastModifiedBy>Malekzadeh, Milad</cp:lastModifiedBy>
  <cp:revision>11</cp:revision>
  <cp:lastPrinted>2023-10-11T19:50:00Z</cp:lastPrinted>
  <dcterms:created xsi:type="dcterms:W3CDTF">2024-10-17T11:00:00Z</dcterms:created>
  <dcterms:modified xsi:type="dcterms:W3CDTF">2025-11-16T08:48:00Z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http://www.zotero.org/styles/sage-harvard</vt:lpwstr>
  </property>
  <property fmtid="{D5CDD505-2E9C-101B-9397-08002B2CF9AE}" pid="17" name="Mendeley Recent Style Name 7_1">
    <vt:lpwstr>SAGE - Harvard</vt:lpwstr>
  </property>
  <property fmtid="{D5CDD505-2E9C-101B-9397-08002B2CF9AE}" pid="18" name="Mendeley Recent Style Id 8_1">
    <vt:lpwstr>http://www.zotero.org/styles/science-of-the-total-environment</vt:lpwstr>
  </property>
  <property fmtid="{D5CDD505-2E9C-101B-9397-08002B2CF9AE}" pid="19" name="Mendeley Recent Style Name 8_1">
    <vt:lpwstr>Science of the Total Environment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http://www.zotero.org/styles/sage-harvard</vt:lpwstr>
  </property>
  <property fmtid="{D5CDD505-2E9C-101B-9397-08002B2CF9AE}" pid="24" name="Mendeley Unique User Id_1">
    <vt:lpwstr>eeb74da1-9a49-3a69-aeae-2fb5aa23342c</vt:lpwstr>
  </property>
  <property fmtid="{D5CDD505-2E9C-101B-9397-08002B2CF9AE}" pid="25" name="GrammarlyDocumentId">
    <vt:lpwstr>555c41303a87ef0d80bfd6b851edc9c27195870d743130cd4594efaadc71a813</vt:lpwstr>
  </property>
</Properties>
</file>