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125A8A" w14:textId="70B5BE52" w:rsidR="003E6F08" w:rsidRPr="002E7FA0" w:rsidRDefault="00DA465B" w:rsidP="003E6F08">
      <w:pPr>
        <w:rPr>
          <w:rFonts w:cs="Times New Roman"/>
          <w:b/>
          <w:bCs/>
          <w:sz w:val="24"/>
          <w:szCs w:val="24"/>
        </w:rPr>
      </w:pPr>
      <w:bookmarkStart w:id="0" w:name="_GoBack"/>
      <w:r w:rsidRPr="00DA465B">
        <w:rPr>
          <w:rFonts w:cs="Times New Roman"/>
          <w:b/>
          <w:bCs/>
          <w:sz w:val="24"/>
          <w:szCs w:val="24"/>
        </w:rPr>
        <w:t xml:space="preserve">Supplementary material – </w:t>
      </w:r>
      <w:r w:rsidR="003E6F08" w:rsidRPr="002E7FA0">
        <w:rPr>
          <w:rFonts w:cs="Times New Roman"/>
          <w:b/>
          <w:bCs/>
          <w:sz w:val="24"/>
          <w:szCs w:val="24"/>
        </w:rPr>
        <w:t>Appendix C: Key Steps in the Assessment Process</w:t>
      </w:r>
    </w:p>
    <w:p w14:paraId="5A280718" w14:textId="77777777" w:rsidR="003E6F08" w:rsidRPr="002E7FA0" w:rsidRDefault="003E6F08" w:rsidP="003E6F08">
      <w:pPr>
        <w:rPr>
          <w:rFonts w:cs="Times New Roman"/>
          <w:sz w:val="24"/>
          <w:szCs w:val="24"/>
        </w:rPr>
      </w:pPr>
      <w:r w:rsidRPr="002E7FA0">
        <w:rPr>
          <w:rFonts w:cs="Times New Roman"/>
          <w:sz w:val="24"/>
          <w:szCs w:val="24"/>
        </w:rPr>
        <w:t>This appendix outlines the standardized steps of the assessment process implemented under the BPM framework. The process is divided into six key stages, each described below:</w:t>
      </w:r>
    </w:p>
    <w:p w14:paraId="4CA50EF1" w14:textId="77777777" w:rsidR="003E6F08" w:rsidRPr="002E7FA0" w:rsidRDefault="003E6F08" w:rsidP="003E6F08">
      <w:pPr>
        <w:numPr>
          <w:ilvl w:val="0"/>
          <w:numId w:val="1"/>
        </w:numPr>
        <w:spacing w:line="278" w:lineRule="auto"/>
        <w:rPr>
          <w:rFonts w:cs="Times New Roman"/>
          <w:sz w:val="24"/>
          <w:szCs w:val="24"/>
        </w:rPr>
      </w:pPr>
      <w:r w:rsidRPr="002E7FA0">
        <w:rPr>
          <w:rFonts w:cs="Times New Roman"/>
          <w:sz w:val="24"/>
          <w:szCs w:val="24"/>
        </w:rPr>
        <w:t>Planning and Scheduling: This initial stage involves identifying the relevant course units and determining the number of test rounds (examinations) to be conducted each semester. It also includes estimating the required resources—such as examination room availability, proctoring personnel, and time allocations—to ensure the feasibility of the proposed schedule.</w:t>
      </w:r>
    </w:p>
    <w:p w14:paraId="733B0A9D" w14:textId="77777777" w:rsidR="003E6F08" w:rsidRPr="002E7FA0" w:rsidRDefault="003E6F08" w:rsidP="003E6F08">
      <w:pPr>
        <w:numPr>
          <w:ilvl w:val="0"/>
          <w:numId w:val="1"/>
        </w:numPr>
        <w:spacing w:line="278" w:lineRule="auto"/>
        <w:rPr>
          <w:rFonts w:cs="Times New Roman"/>
          <w:sz w:val="24"/>
          <w:szCs w:val="24"/>
        </w:rPr>
      </w:pPr>
      <w:r w:rsidRPr="002E7FA0">
        <w:rPr>
          <w:rFonts w:cs="Times New Roman"/>
          <w:sz w:val="24"/>
          <w:szCs w:val="24"/>
        </w:rPr>
        <w:t xml:space="preserve">Test Development and Validation: At this stage, test instruments are designed to align closely with the intended learning outcomes of each course. The draft tests undergo a cross-departmental review in which </w:t>
      </w:r>
      <w:r w:rsidRPr="00291D77">
        <w:rPr>
          <w:rFonts w:cs="Times New Roman"/>
          <w:sz w:val="24"/>
          <w:szCs w:val="24"/>
        </w:rPr>
        <w:t>lecturers</w:t>
      </w:r>
      <w:r w:rsidRPr="002E7FA0">
        <w:rPr>
          <w:rFonts w:cs="Times New Roman"/>
          <w:sz w:val="24"/>
          <w:szCs w:val="24"/>
        </w:rPr>
        <w:t xml:space="preserve"> from different departments examine and validate the content, ensuring that each test is fair, reliable, and in line with academic standards.</w:t>
      </w:r>
    </w:p>
    <w:p w14:paraId="3B132BC9" w14:textId="77777777" w:rsidR="003E6F08" w:rsidRPr="002E7FA0" w:rsidRDefault="003E6F08" w:rsidP="003E6F08">
      <w:pPr>
        <w:numPr>
          <w:ilvl w:val="0"/>
          <w:numId w:val="1"/>
        </w:numPr>
        <w:spacing w:line="278" w:lineRule="auto"/>
        <w:rPr>
          <w:rFonts w:cs="Times New Roman"/>
          <w:sz w:val="24"/>
          <w:szCs w:val="24"/>
        </w:rPr>
      </w:pPr>
      <w:r w:rsidRPr="002E7FA0">
        <w:rPr>
          <w:rFonts w:cs="Times New Roman"/>
          <w:sz w:val="24"/>
          <w:szCs w:val="24"/>
        </w:rPr>
        <w:t>Exam Administration and Supervision: This stage covers the logistical organization and oversight of the exams. It begins with student registration and the assignment of unique candidate identification codes to anonymize exam papers. Examinations are then scheduled in designated rooms with proctors from other departments assigned to each room to ensure impartial oversight. During the exam sessions, monitoring is carried out both directly (in-person supervision) and via an online dashboard that provides real-time oversight of all examination activities.</w:t>
      </w:r>
    </w:p>
    <w:p w14:paraId="69839682" w14:textId="77777777" w:rsidR="003E6F08" w:rsidRPr="002E7FA0" w:rsidRDefault="003E6F08" w:rsidP="003E6F08">
      <w:pPr>
        <w:numPr>
          <w:ilvl w:val="0"/>
          <w:numId w:val="1"/>
        </w:numPr>
        <w:spacing w:line="278" w:lineRule="auto"/>
        <w:rPr>
          <w:rFonts w:cs="Times New Roman"/>
          <w:sz w:val="24"/>
          <w:szCs w:val="24"/>
        </w:rPr>
      </w:pPr>
      <w:r w:rsidRPr="002E7FA0">
        <w:rPr>
          <w:rFonts w:cs="Times New Roman"/>
          <w:sz w:val="24"/>
          <w:szCs w:val="24"/>
        </w:rPr>
        <w:t>Grading and Quality Assurance: After the exams, a double-blind grading process is employed to mark student submissions, ensuring that graders remain impartial and student identities are concealed. The results from multiple graders are then cross-checked, and any scoring discrepancies are identified and resolved through a moderation process. This quality assurance step helps maintain consistency and accuracy in grading across different evaluators.</w:t>
      </w:r>
    </w:p>
    <w:p w14:paraId="7831E6EB" w14:textId="77777777" w:rsidR="003E6F08" w:rsidRPr="002E7FA0" w:rsidRDefault="003E6F08" w:rsidP="003E6F08">
      <w:pPr>
        <w:numPr>
          <w:ilvl w:val="0"/>
          <w:numId w:val="1"/>
        </w:numPr>
        <w:spacing w:line="278" w:lineRule="auto"/>
        <w:rPr>
          <w:rFonts w:cs="Times New Roman"/>
          <w:sz w:val="24"/>
          <w:szCs w:val="24"/>
        </w:rPr>
      </w:pPr>
      <w:proofErr w:type="spellStart"/>
      <w:r w:rsidRPr="002E7FA0">
        <w:rPr>
          <w:rFonts w:cs="Times New Roman"/>
          <w:sz w:val="24"/>
          <w:szCs w:val="24"/>
        </w:rPr>
        <w:t>Regrading</w:t>
      </w:r>
      <w:proofErr w:type="spellEnd"/>
      <w:r w:rsidRPr="002E7FA0">
        <w:rPr>
          <w:rFonts w:cs="Times New Roman"/>
          <w:sz w:val="24"/>
          <w:szCs w:val="24"/>
        </w:rPr>
        <w:t xml:space="preserve"> and Appeals: The system provides a structured mechanism for handling regrading requests and appeals. Students can submit regrade requests through an online portal if they believe there has been a grading error. Each request is reviewed by authorized staff, with decisions documented along with the supporting rationale or evidence. This process ensures transparency and creates an audit trail for any grade changes or appeals.</w:t>
      </w:r>
    </w:p>
    <w:p w14:paraId="2D74C294" w14:textId="77777777" w:rsidR="003E6F08" w:rsidRPr="002E7FA0" w:rsidRDefault="003E6F08" w:rsidP="003E6F08">
      <w:pPr>
        <w:numPr>
          <w:ilvl w:val="0"/>
          <w:numId w:val="1"/>
        </w:numPr>
        <w:spacing w:line="278" w:lineRule="auto"/>
        <w:rPr>
          <w:rFonts w:cs="Times New Roman"/>
          <w:sz w:val="24"/>
          <w:szCs w:val="24"/>
        </w:rPr>
      </w:pPr>
      <w:r w:rsidRPr="002E7FA0">
        <w:rPr>
          <w:rFonts w:cs="Times New Roman"/>
          <w:sz w:val="24"/>
          <w:szCs w:val="24"/>
        </w:rPr>
        <w:t xml:space="preserve">Archiving and Reporting: All assessment data and related documentation are </w:t>
      </w:r>
      <w:proofErr w:type="gramStart"/>
      <w:r w:rsidRPr="002E7FA0">
        <w:rPr>
          <w:rFonts w:cs="Times New Roman"/>
          <w:sz w:val="24"/>
          <w:szCs w:val="24"/>
        </w:rPr>
        <w:t>systematically</w:t>
      </w:r>
      <w:proofErr w:type="gramEnd"/>
      <w:r w:rsidRPr="002E7FA0">
        <w:rPr>
          <w:rFonts w:cs="Times New Roman"/>
          <w:sz w:val="24"/>
          <w:szCs w:val="24"/>
        </w:rPr>
        <w:t xml:space="preserve"> archived in accordance with regulatory guidelines and institutional policies. Additionally, the system generates analytical reports and visualizations (such as score distribution charts and performance summaries), which are exported for department-level review. These reports enable academic departments and administrators </w:t>
      </w:r>
      <w:r w:rsidRPr="002E7FA0">
        <w:rPr>
          <w:rFonts w:cs="Times New Roman"/>
          <w:sz w:val="24"/>
          <w:szCs w:val="24"/>
        </w:rPr>
        <w:lastRenderedPageBreak/>
        <w:t xml:space="preserve">to </w:t>
      </w:r>
      <w:proofErr w:type="spellStart"/>
      <w:r w:rsidRPr="002E7FA0">
        <w:rPr>
          <w:rFonts w:cs="Times New Roman"/>
          <w:sz w:val="24"/>
          <w:szCs w:val="24"/>
        </w:rPr>
        <w:t>analy</w:t>
      </w:r>
      <w:r>
        <w:rPr>
          <w:rFonts w:cs="Times New Roman"/>
          <w:sz w:val="24"/>
          <w:szCs w:val="24"/>
        </w:rPr>
        <w:t>s</w:t>
      </w:r>
      <w:r w:rsidRPr="002E7FA0">
        <w:rPr>
          <w:rFonts w:cs="Times New Roman"/>
          <w:sz w:val="24"/>
          <w:szCs w:val="24"/>
        </w:rPr>
        <w:t>e</w:t>
      </w:r>
      <w:proofErr w:type="spellEnd"/>
      <w:r w:rsidRPr="002E7FA0">
        <w:rPr>
          <w:rFonts w:cs="Times New Roman"/>
          <w:sz w:val="24"/>
          <w:szCs w:val="24"/>
        </w:rPr>
        <w:t xml:space="preserve"> assessment outcomes and engage in evidence-based discussions for continuous improvement.</w:t>
      </w:r>
    </w:p>
    <w:p w14:paraId="73596F52" w14:textId="77777777" w:rsidR="003E6F08" w:rsidRPr="002E7FA0" w:rsidRDefault="003E6F08" w:rsidP="003E6F08">
      <w:pPr>
        <w:rPr>
          <w:rFonts w:cs="Times New Roman"/>
          <w:b/>
          <w:bCs/>
          <w:sz w:val="24"/>
          <w:szCs w:val="24"/>
        </w:rPr>
      </w:pPr>
      <w:r w:rsidRPr="002E7FA0">
        <w:rPr>
          <w:rFonts w:cs="Times New Roman"/>
          <w:b/>
          <w:bCs/>
          <w:i/>
          <w:iCs/>
          <w:sz w:val="24"/>
          <w:szCs w:val="24"/>
        </w:rPr>
        <w:t xml:space="preserve">A process flowchart summarizing these steps is presented in Fig.1.  </w:t>
      </w:r>
      <w:proofErr w:type="gramStart"/>
      <w:r w:rsidRPr="002E7FA0">
        <w:rPr>
          <w:rFonts w:cs="Times New Roman"/>
          <w:b/>
          <w:bCs/>
          <w:i/>
          <w:iCs/>
          <w:sz w:val="24"/>
          <w:szCs w:val="24"/>
        </w:rPr>
        <w:t>to</w:t>
      </w:r>
      <w:proofErr w:type="gramEnd"/>
      <w:r w:rsidRPr="002E7FA0">
        <w:rPr>
          <w:rFonts w:cs="Times New Roman"/>
          <w:b/>
          <w:bCs/>
          <w:i/>
          <w:iCs/>
          <w:sz w:val="24"/>
          <w:szCs w:val="24"/>
        </w:rPr>
        <w:t xml:space="preserve"> visually illustrate the end-to-end assessment process.</w:t>
      </w:r>
    </w:p>
    <w:bookmarkEnd w:id="0"/>
    <w:p w14:paraId="791C9806" w14:textId="77777777" w:rsidR="00D8660F" w:rsidRDefault="00D8660F"/>
    <w:sectPr w:rsidR="00D866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AD87649"/>
    <w:multiLevelType w:val="multilevel"/>
    <w:tmpl w:val="32787A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3F31"/>
    <w:rsid w:val="003E6F08"/>
    <w:rsid w:val="005B57A5"/>
    <w:rsid w:val="00913F31"/>
    <w:rsid w:val="00AC5916"/>
    <w:rsid w:val="00D8660F"/>
    <w:rsid w:val="00DA46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714B4"/>
  <w15:chartTrackingRefBased/>
  <w15:docId w15:val="{B5E36016-56F2-4D57-8D70-513A31A30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vi-VN"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6F08"/>
    <w:pPr>
      <w:spacing w:line="259" w:lineRule="auto"/>
    </w:pPr>
    <w:rPr>
      <w:rFonts w:ascii="Times New Roman" w:hAnsi="Times New Roman"/>
      <w:sz w:val="28"/>
      <w:szCs w:val="22"/>
      <w:lang w:val="en-US"/>
    </w:rPr>
  </w:style>
  <w:style w:type="paragraph" w:styleId="Heading1">
    <w:name w:val="heading 1"/>
    <w:basedOn w:val="Normal"/>
    <w:next w:val="Normal"/>
    <w:link w:val="Heading1Char"/>
    <w:uiPriority w:val="9"/>
    <w:qFormat/>
    <w:rsid w:val="00913F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13F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13F31"/>
    <w:pPr>
      <w:keepNext/>
      <w:keepLines/>
      <w:spacing w:before="160" w:after="80"/>
      <w:outlineLvl w:val="2"/>
    </w:pPr>
    <w:rPr>
      <w:rFonts w:eastAsiaTheme="majorEastAsia"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913F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3F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3F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3F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3F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3F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3F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13F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3F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3F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3F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3F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3F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3F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3F31"/>
    <w:rPr>
      <w:rFonts w:eastAsiaTheme="majorEastAsia" w:cstheme="majorBidi"/>
      <w:color w:val="272727" w:themeColor="text1" w:themeTint="D8"/>
    </w:rPr>
  </w:style>
  <w:style w:type="paragraph" w:styleId="Title">
    <w:name w:val="Title"/>
    <w:basedOn w:val="Normal"/>
    <w:next w:val="Normal"/>
    <w:link w:val="TitleChar"/>
    <w:uiPriority w:val="10"/>
    <w:qFormat/>
    <w:rsid w:val="00913F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3F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3F31"/>
    <w:pPr>
      <w:numPr>
        <w:ilvl w:val="1"/>
      </w:numPr>
    </w:pPr>
    <w:rPr>
      <w:rFonts w:eastAsiaTheme="majorEastAsia" w:cstheme="majorBidi"/>
      <w:color w:val="595959" w:themeColor="text1" w:themeTint="A6"/>
      <w:spacing w:val="15"/>
      <w:szCs w:val="28"/>
    </w:rPr>
  </w:style>
  <w:style w:type="character" w:customStyle="1" w:styleId="SubtitleChar">
    <w:name w:val="Subtitle Char"/>
    <w:basedOn w:val="DefaultParagraphFont"/>
    <w:link w:val="Subtitle"/>
    <w:uiPriority w:val="11"/>
    <w:rsid w:val="00913F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3F31"/>
    <w:pPr>
      <w:spacing w:before="160"/>
      <w:jc w:val="center"/>
    </w:pPr>
    <w:rPr>
      <w:i/>
      <w:iCs/>
      <w:color w:val="404040" w:themeColor="text1" w:themeTint="BF"/>
    </w:rPr>
  </w:style>
  <w:style w:type="character" w:customStyle="1" w:styleId="QuoteChar">
    <w:name w:val="Quote Char"/>
    <w:basedOn w:val="DefaultParagraphFont"/>
    <w:link w:val="Quote"/>
    <w:uiPriority w:val="29"/>
    <w:rsid w:val="00913F31"/>
    <w:rPr>
      <w:i/>
      <w:iCs/>
      <w:color w:val="404040" w:themeColor="text1" w:themeTint="BF"/>
    </w:rPr>
  </w:style>
  <w:style w:type="paragraph" w:styleId="ListParagraph">
    <w:name w:val="List Paragraph"/>
    <w:basedOn w:val="Normal"/>
    <w:uiPriority w:val="34"/>
    <w:qFormat/>
    <w:rsid w:val="00913F31"/>
    <w:pPr>
      <w:ind w:left="720"/>
      <w:contextualSpacing/>
    </w:pPr>
  </w:style>
  <w:style w:type="character" w:styleId="IntenseEmphasis">
    <w:name w:val="Intense Emphasis"/>
    <w:basedOn w:val="DefaultParagraphFont"/>
    <w:uiPriority w:val="21"/>
    <w:qFormat/>
    <w:rsid w:val="00913F31"/>
    <w:rPr>
      <w:i/>
      <w:iCs/>
      <w:color w:val="0F4761" w:themeColor="accent1" w:themeShade="BF"/>
    </w:rPr>
  </w:style>
  <w:style w:type="paragraph" w:styleId="IntenseQuote">
    <w:name w:val="Intense Quote"/>
    <w:basedOn w:val="Normal"/>
    <w:next w:val="Normal"/>
    <w:link w:val="IntenseQuoteChar"/>
    <w:uiPriority w:val="30"/>
    <w:qFormat/>
    <w:rsid w:val="00913F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3F31"/>
    <w:rPr>
      <w:i/>
      <w:iCs/>
      <w:color w:val="0F4761" w:themeColor="accent1" w:themeShade="BF"/>
    </w:rPr>
  </w:style>
  <w:style w:type="character" w:styleId="IntenseReference">
    <w:name w:val="Intense Reference"/>
    <w:basedOn w:val="DefaultParagraphFont"/>
    <w:uiPriority w:val="32"/>
    <w:qFormat/>
    <w:rsid w:val="00913F3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456</Words>
  <Characters>2601</Characters>
  <Application>Microsoft Office Word</Application>
  <DocSecurity>0</DocSecurity>
  <Lines>21</Lines>
  <Paragraphs>6</Paragraphs>
  <ScaleCrop>false</ScaleCrop>
  <Company/>
  <LinksUpToDate>false</LinksUpToDate>
  <CharactersWithSpaces>3051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Hoàng Anh</dc:creator>
  <cp:keywords/>
  <dc:description/>
  <cp:lastModifiedBy>Kevin Emerald</cp:lastModifiedBy>
  <cp:revision>3</cp:revision>
  <dcterms:created xsi:type="dcterms:W3CDTF">2025-11-25T06:24:00Z</dcterms:created>
  <dcterms:modified xsi:type="dcterms:W3CDTF">2026-02-24T12:15:00Z</dcterms:modified>
</cp:coreProperties>
</file>