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D81EB" w14:textId="59C92C9C" w:rsidR="001F1C59" w:rsidRPr="001504C1" w:rsidRDefault="00A05BE7" w:rsidP="00A05BE7">
      <w:pPr>
        <w:pStyle w:val="Heading1"/>
      </w:pPr>
      <w:r>
        <w:t xml:space="preserve">Supplement 6: </w:t>
      </w:r>
      <w:r>
        <w:rPr>
          <w:lang w:val="en-US"/>
        </w:rPr>
        <w:t>G</w:t>
      </w:r>
      <w:proofErr w:type="spellStart"/>
      <w:r w:rsidR="001F1C59" w:rsidRPr="003266F3">
        <w:t>lossary</w:t>
      </w:r>
      <w:proofErr w:type="spellEnd"/>
    </w:p>
    <w:p w14:paraId="2D6DE718" w14:textId="77777777" w:rsidR="005947EC" w:rsidRPr="00DC14F1" w:rsidRDefault="005947EC" w:rsidP="003266F3">
      <w:r w:rsidRPr="005947EC">
        <w:rPr>
          <w:b/>
        </w:rPr>
        <w:t>Abductive reasoning.</w:t>
      </w:r>
      <w:r>
        <w:rPr>
          <w:b/>
        </w:rPr>
        <w:t xml:space="preserve"> </w:t>
      </w:r>
      <w:r w:rsidR="00DC14F1">
        <w:t xml:space="preserve">Abductive </w:t>
      </w:r>
      <w:r w:rsidR="00C16F95">
        <w:t xml:space="preserve">reasoning (abductive </w:t>
      </w:r>
      <w:r w:rsidR="003266F3">
        <w:t>inquiry</w:t>
      </w:r>
      <w:r w:rsidR="00C16F95">
        <w:t>,</w:t>
      </w:r>
      <w:r w:rsidR="00DC14F1">
        <w:t xml:space="preserve"> </w:t>
      </w:r>
      <w:r w:rsidR="00DC14F1" w:rsidRPr="003266F3">
        <w:t>abduction</w:t>
      </w:r>
      <w:r w:rsidR="00C16F95">
        <w:t>)</w:t>
      </w:r>
      <w:r w:rsidR="00DC14F1" w:rsidRPr="003266F3">
        <w:t xml:space="preserve"> </w:t>
      </w:r>
      <w:r w:rsidR="003266F3" w:rsidRPr="003266F3">
        <w:t>infers the best possible explanation through systematically moving between theory and empirical evidence</w:t>
      </w:r>
      <w:r w:rsidR="003266F3">
        <w:t>.</w:t>
      </w:r>
    </w:p>
    <w:p w14:paraId="6C474B93" w14:textId="77777777" w:rsidR="00E914DB" w:rsidRPr="003266F3" w:rsidRDefault="00E914DB" w:rsidP="003266F3">
      <w:pPr>
        <w:pStyle w:val="Reference"/>
      </w:pPr>
      <w:r w:rsidRPr="003266F3">
        <w:t>For more information, see:</w:t>
      </w:r>
    </w:p>
    <w:p w14:paraId="062B27AA" w14:textId="77777777" w:rsidR="00E914DB" w:rsidRDefault="00E914DB" w:rsidP="003266F3">
      <w:pPr>
        <w:pStyle w:val="Reference"/>
      </w:pPr>
      <w:r w:rsidRPr="003266F3">
        <w:t>Dubois A, Gadde LE (2002) Systematic combining: An abductive approach to case research. Journal of Business Research 55(7): 553–560.</w:t>
      </w:r>
    </w:p>
    <w:p w14:paraId="409D4F8B" w14:textId="77777777" w:rsidR="00EB2423" w:rsidRPr="003266F3" w:rsidRDefault="00EB2423" w:rsidP="003266F3">
      <w:pPr>
        <w:pStyle w:val="Reference"/>
      </w:pPr>
      <w:r>
        <w:t xml:space="preserve">Saldana, J (2011) </w:t>
      </w:r>
      <w:r w:rsidRPr="00EB2423">
        <w:rPr>
          <w:i/>
        </w:rPr>
        <w:t>Fundamentals of Qualitative Research</w:t>
      </w:r>
      <w:r>
        <w:t>. New York: Oxford University Press.</w:t>
      </w:r>
    </w:p>
    <w:p w14:paraId="6E015678" w14:textId="77777777" w:rsidR="005947EC" w:rsidRDefault="005947EC" w:rsidP="003266F3">
      <w:r w:rsidRPr="005947EC">
        <w:rPr>
          <w:b/>
        </w:rPr>
        <w:t>Action research.</w:t>
      </w:r>
      <w:r w:rsidRPr="005B2934">
        <w:t xml:space="preserve"> </w:t>
      </w:r>
      <w:r w:rsidR="00311101">
        <w:t xml:space="preserve">Action research aims at a practical contribution in effecting change through including action in the research design and promoting proactive participation in the research process.  </w:t>
      </w:r>
      <w:r w:rsidR="00311101" w:rsidRPr="00311101">
        <w:rPr>
          <w:i/>
        </w:rPr>
        <w:t>Participatory action research</w:t>
      </w:r>
      <w:r w:rsidR="00311101">
        <w:t xml:space="preserve"> and</w:t>
      </w:r>
      <w:r>
        <w:t xml:space="preserve"> </w:t>
      </w:r>
      <w:r w:rsidRPr="00311101">
        <w:rPr>
          <w:i/>
        </w:rPr>
        <w:t>Participatory research</w:t>
      </w:r>
      <w:r w:rsidRPr="00547C23">
        <w:t xml:space="preserve"> </w:t>
      </w:r>
      <w:r w:rsidR="00311101">
        <w:t>are similar approaches highlighting the participative aspect or action research.</w:t>
      </w:r>
    </w:p>
    <w:p w14:paraId="445F24AB" w14:textId="77777777" w:rsidR="00E914DB" w:rsidRDefault="00E914DB" w:rsidP="003266F3">
      <w:pPr>
        <w:pStyle w:val="Reference"/>
      </w:pPr>
      <w:r w:rsidRPr="00E914DB">
        <w:t>For more information, see:</w:t>
      </w:r>
    </w:p>
    <w:p w14:paraId="110E7D54" w14:textId="77777777" w:rsidR="00E914DB" w:rsidRDefault="00E914DB" w:rsidP="003266F3">
      <w:pPr>
        <w:pStyle w:val="Reference"/>
      </w:pPr>
      <w:r w:rsidRPr="00E914DB">
        <w:t>Cassell C, Johnson P (2006) Action research: Explaining the diversity. Human Relations 59(6): 783–814.</w:t>
      </w:r>
    </w:p>
    <w:p w14:paraId="73EAC4BF" w14:textId="77777777" w:rsidR="00E914DB" w:rsidRDefault="00E914DB" w:rsidP="003266F3">
      <w:pPr>
        <w:pStyle w:val="Reference"/>
      </w:pPr>
      <w:r w:rsidRPr="00E914DB">
        <w:t>Cohen L, Manion L, Morrison K (2018) Chapter 22: Action research. In: Cohen L, Manion L, Morrison K (eds) Research Methods in Education. Milton Park: Routledge, 440–456.</w:t>
      </w:r>
    </w:p>
    <w:p w14:paraId="108ACD4C" w14:textId="77777777" w:rsidR="00E421E0" w:rsidRDefault="00E421E0" w:rsidP="003266F3">
      <w:pPr>
        <w:pStyle w:val="Reference"/>
      </w:pPr>
      <w:r w:rsidRPr="00E421E0">
        <w:t>Lewin K (1946) Action research and minority problems. Journal of Social Issues 2(4): 34–46.</w:t>
      </w:r>
    </w:p>
    <w:p w14:paraId="37F2A477" w14:textId="77777777" w:rsidR="00E421E0" w:rsidRPr="00E914DB" w:rsidRDefault="00E421E0" w:rsidP="003266F3">
      <w:pPr>
        <w:pStyle w:val="Reference"/>
      </w:pPr>
      <w:r w:rsidRPr="00E421E0">
        <w:t>Walter M (2009) Participatory action research. In: Bryman A (ed) Social Research Methods. London: Falmer Press, 151–158.</w:t>
      </w:r>
    </w:p>
    <w:p w14:paraId="729C4A7C" w14:textId="77777777" w:rsidR="005947EC" w:rsidRPr="00311101" w:rsidRDefault="005947EC" w:rsidP="003266F3">
      <w:r w:rsidRPr="00311101">
        <w:rPr>
          <w:b/>
        </w:rPr>
        <w:t>Activism.</w:t>
      </w:r>
      <w:r w:rsidR="00311101">
        <w:rPr>
          <w:b/>
        </w:rPr>
        <w:t xml:space="preserve"> </w:t>
      </w:r>
      <w:r w:rsidR="00311101">
        <w:t>In the work context, employee activism refers to pursuing workplace changes</w:t>
      </w:r>
      <w:r w:rsidR="0005426C">
        <w:t xml:space="preserve"> emerging from bottom-up. Often such changes somehow challenge accustomed power hierarchies, and are thus radical in nature.</w:t>
      </w:r>
    </w:p>
    <w:p w14:paraId="70E26E68" w14:textId="77777777" w:rsidR="00E914DB" w:rsidRDefault="00E914DB" w:rsidP="003266F3">
      <w:pPr>
        <w:pStyle w:val="Reference"/>
      </w:pPr>
      <w:r w:rsidRPr="00E914DB">
        <w:t>For more information, see:</w:t>
      </w:r>
    </w:p>
    <w:p w14:paraId="39B27342" w14:textId="77777777" w:rsidR="0005426C" w:rsidRPr="00E914DB" w:rsidRDefault="0005426C" w:rsidP="003266F3">
      <w:pPr>
        <w:pStyle w:val="Reference"/>
      </w:pPr>
      <w:r w:rsidRPr="0005426C">
        <w:t>Scully M, Segal A</w:t>
      </w:r>
      <w:r>
        <w:t xml:space="preserve"> (2002)</w:t>
      </w:r>
      <w:r w:rsidRPr="0005426C">
        <w:t xml:space="preserve"> Passion with an umbrella: Grassroots activists in the workplace. In</w:t>
      </w:r>
      <w:r>
        <w:t xml:space="preserve">: Lounsbury M, Ventresca MJ (eds) </w:t>
      </w:r>
      <w:r w:rsidRPr="0005426C">
        <w:t>Social structure and organizations revisited</w:t>
      </w:r>
      <w:r>
        <w:t>.</w:t>
      </w:r>
      <w:r w:rsidRPr="0005426C">
        <w:t xml:space="preserve"> </w:t>
      </w:r>
      <w:r>
        <w:t xml:space="preserve">Bingley: </w:t>
      </w:r>
      <w:r w:rsidRPr="0005426C">
        <w:t>Emerald Group Publishing Limited</w:t>
      </w:r>
      <w:r>
        <w:t>,</w:t>
      </w:r>
      <w:r w:rsidRPr="0005426C">
        <w:t xml:space="preserve"> </w:t>
      </w:r>
      <w:r>
        <w:t>125–</w:t>
      </w:r>
      <w:r w:rsidRPr="0005426C">
        <w:t>168</w:t>
      </w:r>
      <w:r>
        <w:t>.</w:t>
      </w:r>
    </w:p>
    <w:p w14:paraId="0DFC7EF9" w14:textId="77777777" w:rsidR="005947EC" w:rsidRPr="0005426C" w:rsidRDefault="005947EC" w:rsidP="003266F3">
      <w:pPr>
        <w:rPr>
          <w:b/>
        </w:rPr>
      </w:pPr>
      <w:r w:rsidRPr="0005426C">
        <w:rPr>
          <w:b/>
        </w:rPr>
        <w:t>Adaptive cycle.</w:t>
      </w:r>
      <w:r w:rsidR="0005426C">
        <w:rPr>
          <w:b/>
        </w:rPr>
        <w:t xml:space="preserve"> </w:t>
      </w:r>
      <w:r w:rsidR="0005426C">
        <w:t>The adaptive cycle refers to stages of growing, developing, collapsing, and reorienting. Successful navigation of all stages is necessary for the creation of resilience.</w:t>
      </w:r>
      <w:r w:rsidRPr="0005426C">
        <w:rPr>
          <w:b/>
        </w:rPr>
        <w:t xml:space="preserve"> </w:t>
      </w:r>
    </w:p>
    <w:p w14:paraId="2A9FE1B0" w14:textId="77777777" w:rsidR="00E914DB" w:rsidRDefault="00E914DB" w:rsidP="003266F3">
      <w:pPr>
        <w:pStyle w:val="Reference"/>
      </w:pPr>
      <w:r w:rsidRPr="00E914DB">
        <w:t>For more information, see:</w:t>
      </w:r>
    </w:p>
    <w:p w14:paraId="52A1DE80" w14:textId="77777777" w:rsidR="00E914DB" w:rsidRPr="00E914DB" w:rsidRDefault="00E914DB" w:rsidP="003266F3">
      <w:pPr>
        <w:pStyle w:val="Reference"/>
      </w:pPr>
      <w:r w:rsidRPr="00E914DB">
        <w:t xml:space="preserve">Fath BD, Dean CA, </w:t>
      </w:r>
      <w:proofErr w:type="spellStart"/>
      <w:r w:rsidRPr="00E914DB">
        <w:t>Katzmair</w:t>
      </w:r>
      <w:proofErr w:type="spellEnd"/>
      <w:r w:rsidRPr="00E914DB">
        <w:t xml:space="preserve"> H (2015) Navigating the adaptive cycle: An approach to managing the resilience of social systems. Ecology and Society 20(2): 24–33.</w:t>
      </w:r>
    </w:p>
    <w:p w14:paraId="26E1ABDE" w14:textId="77777777" w:rsidR="005947EC" w:rsidRPr="00DC14F1" w:rsidRDefault="005947EC" w:rsidP="003266F3">
      <w:r w:rsidRPr="0005426C">
        <w:rPr>
          <w:b/>
        </w:rPr>
        <w:t>Agency.</w:t>
      </w:r>
      <w:r w:rsidRPr="00DC14F1">
        <w:t xml:space="preserve"> </w:t>
      </w:r>
      <w:r w:rsidR="00A91F9D">
        <w:t>In social sciences, a</w:t>
      </w:r>
      <w:r w:rsidR="0062165C">
        <w:t xml:space="preserve">gency refers to the capacity </w:t>
      </w:r>
      <w:r w:rsidR="00A91F9D">
        <w:t>t</w:t>
      </w:r>
      <w:r w:rsidR="0062165C">
        <w:t xml:space="preserve">o </w:t>
      </w:r>
      <w:r w:rsidR="00A91F9D">
        <w:t>act which is socially constructed. It can be individual or collective</w:t>
      </w:r>
      <w:r w:rsidRPr="00DC14F1">
        <w:t xml:space="preserve">. </w:t>
      </w:r>
    </w:p>
    <w:p w14:paraId="3A8B358C" w14:textId="77777777" w:rsidR="00E914DB" w:rsidRDefault="00E914DB" w:rsidP="003266F3">
      <w:pPr>
        <w:pStyle w:val="Reference"/>
      </w:pPr>
      <w:r w:rsidRPr="00E914DB">
        <w:lastRenderedPageBreak/>
        <w:t>For more information, see:</w:t>
      </w:r>
    </w:p>
    <w:p w14:paraId="099203CB" w14:textId="77777777" w:rsidR="00A91F9D" w:rsidRPr="00E914DB" w:rsidRDefault="00A91F9D" w:rsidP="003266F3">
      <w:pPr>
        <w:pStyle w:val="Reference"/>
      </w:pPr>
      <w:r>
        <w:t>Barker, C (2002)</w:t>
      </w:r>
      <w:r w:rsidRPr="00A91F9D">
        <w:t xml:space="preserve"> Making Sense of Cultural Studies Central Problems and Critical Debates. </w:t>
      </w:r>
      <w:r>
        <w:t>London: SAGE.</w:t>
      </w:r>
    </w:p>
    <w:p w14:paraId="41A8449C" w14:textId="77777777" w:rsidR="005947EC" w:rsidRPr="00755E24" w:rsidRDefault="005947EC" w:rsidP="003266F3">
      <w:r w:rsidRPr="00A91F9D">
        <w:rPr>
          <w:b/>
        </w:rPr>
        <w:t>Audience analysis.</w:t>
      </w:r>
      <w:r w:rsidRPr="00755E24">
        <w:t xml:space="preserve"> </w:t>
      </w:r>
      <w:r w:rsidR="00A91F9D">
        <w:t>An audience analysis refers to a trainer’s or facilitator’s familiarization with the knowledge and needs of a particular audience prior to a learning event.</w:t>
      </w:r>
    </w:p>
    <w:p w14:paraId="6F5CE18C" w14:textId="77777777" w:rsidR="00E914DB" w:rsidRDefault="00E914DB" w:rsidP="003266F3">
      <w:pPr>
        <w:pStyle w:val="Reference"/>
      </w:pPr>
      <w:r w:rsidRPr="00E914DB">
        <w:t>For more information, see:</w:t>
      </w:r>
    </w:p>
    <w:p w14:paraId="59459FA2" w14:textId="77777777" w:rsidR="00A91F9D" w:rsidRPr="00E914DB" w:rsidRDefault="00A91F9D" w:rsidP="003266F3">
      <w:pPr>
        <w:pStyle w:val="Reference"/>
      </w:pPr>
      <w:r w:rsidRPr="00A91F9D">
        <w:t>Berge ZL, Garcia KM, Graham MA (2022) Tailoring workplace training to generational preferences. Journal of Educational Technology 19(1): 35–41.</w:t>
      </w:r>
    </w:p>
    <w:p w14:paraId="5F09F9B8" w14:textId="77777777" w:rsidR="005947EC" w:rsidRPr="00755E24" w:rsidRDefault="005947EC" w:rsidP="003266F3">
      <w:r w:rsidRPr="00A91F9D">
        <w:rPr>
          <w:b/>
        </w:rPr>
        <w:t>Behavioral intention.</w:t>
      </w:r>
      <w:r w:rsidRPr="00755E24">
        <w:t xml:space="preserve"> </w:t>
      </w:r>
      <w:r w:rsidR="00A91F9D">
        <w:t>Behavioral intention in the work context refers to employees’ willingness to try and the effort they are prepared to extent towards completing an action.</w:t>
      </w:r>
    </w:p>
    <w:p w14:paraId="1CBDE8F4" w14:textId="77777777" w:rsidR="00E914DB" w:rsidRDefault="00E914DB" w:rsidP="003266F3">
      <w:pPr>
        <w:pStyle w:val="Reference"/>
      </w:pPr>
      <w:r w:rsidRPr="00E914DB">
        <w:t>For more information, see:</w:t>
      </w:r>
    </w:p>
    <w:p w14:paraId="3C9E9BB4" w14:textId="77777777" w:rsidR="00A91F9D" w:rsidRPr="00E914DB" w:rsidRDefault="00A91F9D" w:rsidP="003266F3">
      <w:pPr>
        <w:pStyle w:val="Reference"/>
      </w:pPr>
      <w:r w:rsidRPr="00A91F9D">
        <w:t>Berge ZL, Garcia KM, Graham MA (2022) Tailoring workplace training to generational preferences. Journal of Educational Technology 19(1): 35–41.</w:t>
      </w:r>
    </w:p>
    <w:p w14:paraId="2BC811AC" w14:textId="77777777" w:rsidR="005947EC" w:rsidRPr="002A0D27" w:rsidRDefault="005947EC" w:rsidP="003266F3">
      <w:r w:rsidRPr="002A0D27">
        <w:rPr>
          <w:b/>
        </w:rPr>
        <w:t>Coaching.</w:t>
      </w:r>
      <w:r w:rsidRPr="002A0D27">
        <w:t xml:space="preserve"> </w:t>
      </w:r>
      <w:r w:rsidR="005E7104" w:rsidRPr="002A0D27">
        <w:t xml:space="preserve">Organizational coaching refers to a coach guiding a </w:t>
      </w:r>
      <w:proofErr w:type="spellStart"/>
      <w:r w:rsidR="005E7104" w:rsidRPr="002A0D27">
        <w:t>coachee</w:t>
      </w:r>
      <w:proofErr w:type="spellEnd"/>
      <w:r w:rsidR="005E7104" w:rsidRPr="002A0D27">
        <w:t xml:space="preserve"> (or a group of </w:t>
      </w:r>
      <w:proofErr w:type="spellStart"/>
      <w:r w:rsidR="005E7104" w:rsidRPr="002A0D27">
        <w:t>coachees</w:t>
      </w:r>
      <w:proofErr w:type="spellEnd"/>
      <w:r w:rsidR="005E7104" w:rsidRPr="002A0D27">
        <w:t>) through a personal or professional development process in partnership.</w:t>
      </w:r>
    </w:p>
    <w:p w14:paraId="355ABFB0" w14:textId="77777777" w:rsidR="00E914DB" w:rsidRDefault="00E914DB" w:rsidP="003266F3">
      <w:pPr>
        <w:pStyle w:val="Reference"/>
      </w:pPr>
      <w:r w:rsidRPr="002A0D27">
        <w:t>For more information, see:</w:t>
      </w:r>
    </w:p>
    <w:p w14:paraId="7578925C" w14:textId="77777777" w:rsidR="005E7104" w:rsidRPr="00E914DB" w:rsidRDefault="005E7104" w:rsidP="003266F3">
      <w:pPr>
        <w:pStyle w:val="Reference"/>
      </w:pPr>
      <w:proofErr w:type="spellStart"/>
      <w:r w:rsidRPr="005E7104">
        <w:t>Ciporen</w:t>
      </w:r>
      <w:proofErr w:type="spellEnd"/>
      <w:r w:rsidRPr="005E7104">
        <w:t xml:space="preserve"> R</w:t>
      </w:r>
      <w:r>
        <w:t xml:space="preserve"> (2015)</w:t>
      </w:r>
      <w:r w:rsidRPr="005E7104">
        <w:t xml:space="preserve"> The emerging field of executive and organizational coaching: An overview. New Directions for Adult and Continuing Education. </w:t>
      </w:r>
      <w:r>
        <w:t>2015(148)</w:t>
      </w:r>
      <w:r w:rsidRPr="005E7104">
        <w:t>:</w:t>
      </w:r>
      <w:r>
        <w:t xml:space="preserve"> </w:t>
      </w:r>
      <w:r w:rsidRPr="005E7104">
        <w:t>5</w:t>
      </w:r>
      <w:r>
        <w:t>–</w:t>
      </w:r>
      <w:r w:rsidRPr="005E7104">
        <w:t>15.</w:t>
      </w:r>
    </w:p>
    <w:p w14:paraId="2D93C1F1" w14:textId="77777777" w:rsidR="005947EC" w:rsidRPr="00FA5605" w:rsidRDefault="005947EC" w:rsidP="003266F3">
      <w:r w:rsidRPr="00FA5605">
        <w:rPr>
          <w:b/>
        </w:rPr>
        <w:t xml:space="preserve">Community of interest. </w:t>
      </w:r>
      <w:r w:rsidR="00FA5605">
        <w:t>In action research, the community of interest refers to the social context where the research is carried out.</w:t>
      </w:r>
    </w:p>
    <w:p w14:paraId="18841165" w14:textId="77777777" w:rsidR="005947EC" w:rsidRPr="00755E24" w:rsidRDefault="005947EC" w:rsidP="003266F3">
      <w:r w:rsidRPr="00FA5605">
        <w:rPr>
          <w:b/>
        </w:rPr>
        <w:t>Comprehensive mediation model.</w:t>
      </w:r>
      <w:r w:rsidR="00FA5605" w:rsidRPr="00FA5605">
        <w:rPr>
          <w:b/>
        </w:rPr>
        <w:t xml:space="preserve"> </w:t>
      </w:r>
      <w:r w:rsidR="00FA5605">
        <w:t>Herrman’s comprehensive mediation model takes into consideration the antecedents, the process, the short-term outcomes, and the long-term outcomes of workplace mediation.</w:t>
      </w:r>
      <w:r w:rsidRPr="00755E24">
        <w:t xml:space="preserve"> </w:t>
      </w:r>
    </w:p>
    <w:p w14:paraId="1D9C172D" w14:textId="77777777" w:rsidR="00E914DB" w:rsidRDefault="00E914DB" w:rsidP="003266F3">
      <w:pPr>
        <w:pStyle w:val="Reference"/>
      </w:pPr>
      <w:r w:rsidRPr="00E914DB">
        <w:t>For more information, see:</w:t>
      </w:r>
    </w:p>
    <w:p w14:paraId="0831D7C4" w14:textId="77777777" w:rsidR="00FA5605" w:rsidRPr="00E914DB" w:rsidRDefault="00FA5605" w:rsidP="003266F3">
      <w:pPr>
        <w:pStyle w:val="Reference"/>
      </w:pPr>
      <w:r w:rsidRPr="00FA5605">
        <w:t xml:space="preserve">Bollen K, </w:t>
      </w:r>
      <w:proofErr w:type="spellStart"/>
      <w:r w:rsidRPr="00FA5605">
        <w:t>Euwema</w:t>
      </w:r>
      <w:proofErr w:type="spellEnd"/>
      <w:r w:rsidRPr="00FA5605">
        <w:t xml:space="preserve"> M (2013) Workplace mediation: An underdeveloped research area. Negotiation Journal 29(3): 329–353.</w:t>
      </w:r>
    </w:p>
    <w:p w14:paraId="7B2F3970" w14:textId="77777777" w:rsidR="005947EC" w:rsidRPr="00755E24" w:rsidRDefault="00E421E0" w:rsidP="003266F3">
      <w:r w:rsidRPr="00FB6A69">
        <w:rPr>
          <w:b/>
        </w:rPr>
        <w:t>Critical facilitation</w:t>
      </w:r>
      <w:r w:rsidR="005947EC" w:rsidRPr="00FB6A69">
        <w:rPr>
          <w:b/>
        </w:rPr>
        <w:t>.</w:t>
      </w:r>
      <w:r w:rsidR="005947EC" w:rsidRPr="00755E24">
        <w:t xml:space="preserve"> </w:t>
      </w:r>
      <w:r w:rsidR="00FB6A69">
        <w:t>Critical facilitation refers to facilitators’ ability to engage in dialogue with training participants while simultaneously sustaining critical self-reflection on the influence of such engagement on the participants. In essence, critical facilitation refers to facilitators’ need for awareness in not directing the discussion but nurturing dialogue.</w:t>
      </w:r>
    </w:p>
    <w:p w14:paraId="5DBB8994" w14:textId="77777777" w:rsidR="00E914DB" w:rsidRDefault="00E914DB" w:rsidP="003266F3">
      <w:pPr>
        <w:pStyle w:val="Reference"/>
      </w:pPr>
      <w:r w:rsidRPr="00E914DB">
        <w:t>For more information, see:</w:t>
      </w:r>
    </w:p>
    <w:p w14:paraId="7E99D166" w14:textId="77777777" w:rsidR="00E421E0" w:rsidRPr="00E914DB" w:rsidRDefault="00E421E0" w:rsidP="003266F3">
      <w:pPr>
        <w:pStyle w:val="Reference"/>
      </w:pPr>
      <w:r w:rsidRPr="00E421E0">
        <w:t xml:space="preserve">Gregory WJ, </w:t>
      </w:r>
      <w:proofErr w:type="spellStart"/>
      <w:r w:rsidRPr="00E421E0">
        <w:t>Romm</w:t>
      </w:r>
      <w:proofErr w:type="spellEnd"/>
      <w:r w:rsidRPr="00E421E0">
        <w:t xml:space="preserve"> NR (2001) Critical facilitation: Learning through intervention in group processes. Management Learning 32(4): 453–467.</w:t>
      </w:r>
    </w:p>
    <w:p w14:paraId="6E031FB3" w14:textId="77777777" w:rsidR="005947EC" w:rsidRPr="00755E24" w:rsidRDefault="005947EC" w:rsidP="003266F3">
      <w:r w:rsidRPr="00662F44">
        <w:rPr>
          <w:b/>
        </w:rPr>
        <w:lastRenderedPageBreak/>
        <w:t>Dialogue.</w:t>
      </w:r>
      <w:r w:rsidRPr="00755E24">
        <w:t xml:space="preserve"> </w:t>
      </w:r>
      <w:r w:rsidR="00FB6A69">
        <w:t>Dialogue refers to</w:t>
      </w:r>
      <w:r w:rsidR="00CF5BAD">
        <w:t xml:space="preserve"> joint discussion and reflection, where shared understanding is achieved. It includes voicing one’s own perspectives, listening to others’ perceptions, respecting differing viewpoints, and suspending judgment.</w:t>
      </w:r>
    </w:p>
    <w:p w14:paraId="08E41ABB" w14:textId="77777777" w:rsidR="00E914DB" w:rsidRDefault="00E914DB" w:rsidP="003266F3">
      <w:pPr>
        <w:pStyle w:val="Reference"/>
      </w:pPr>
      <w:r w:rsidRPr="00E914DB">
        <w:t>For more information, see:</w:t>
      </w:r>
    </w:p>
    <w:p w14:paraId="31E21F6C" w14:textId="77777777" w:rsidR="00FB6A69" w:rsidRPr="00E914DB" w:rsidRDefault="00FB6A69" w:rsidP="003266F3">
      <w:pPr>
        <w:pStyle w:val="Reference"/>
      </w:pPr>
      <w:r w:rsidRPr="00FB6A69">
        <w:t>Isaacs W (1999) Dialogue and the Art of Thinking Together. New York: Currency.</w:t>
      </w:r>
    </w:p>
    <w:p w14:paraId="4ADC4182" w14:textId="77777777" w:rsidR="005947EC" w:rsidRPr="00755E24" w:rsidRDefault="005947EC" w:rsidP="003266F3">
      <w:r w:rsidRPr="009E7D69">
        <w:rPr>
          <w:b/>
        </w:rPr>
        <w:t>Facilitation.</w:t>
      </w:r>
      <w:r w:rsidR="009E7D69">
        <w:t xml:space="preserve"> In the organizational context, f</w:t>
      </w:r>
      <w:r w:rsidR="00CF5BAD">
        <w:t xml:space="preserve">acilitation refers to </w:t>
      </w:r>
      <w:r w:rsidR="009E7D69">
        <w:t>making a process (such as change or learning) easier for those involved. A facilitator may be internal or external.</w:t>
      </w:r>
    </w:p>
    <w:p w14:paraId="7EC9F8CE" w14:textId="77777777" w:rsidR="00E914DB" w:rsidRDefault="00E914DB" w:rsidP="003266F3">
      <w:pPr>
        <w:pStyle w:val="Reference"/>
      </w:pPr>
      <w:r w:rsidRPr="00E914DB">
        <w:t>For more information, see:</w:t>
      </w:r>
    </w:p>
    <w:p w14:paraId="255AFC36" w14:textId="77777777" w:rsidR="00E914DB" w:rsidRPr="00E914DB" w:rsidRDefault="00E914DB" w:rsidP="003266F3">
      <w:pPr>
        <w:pStyle w:val="Reference"/>
      </w:pPr>
      <w:r w:rsidRPr="00E914DB">
        <w:t>Ellinger AD, Bostrom RP (2002) An examination of managers’ beliefs about their roles as facilitators of learning. Management Learning 33(2): 147–179.</w:t>
      </w:r>
    </w:p>
    <w:p w14:paraId="2E8A6362" w14:textId="77777777" w:rsidR="005947EC" w:rsidRPr="00755E24" w:rsidRDefault="005947EC" w:rsidP="003266F3">
      <w:r w:rsidRPr="009E7D69">
        <w:rPr>
          <w:b/>
        </w:rPr>
        <w:t>Ideal speech situations</w:t>
      </w:r>
      <w:r w:rsidR="009E7D69" w:rsidRPr="009E7D69">
        <w:rPr>
          <w:b/>
        </w:rPr>
        <w:t>.</w:t>
      </w:r>
      <w:r w:rsidR="009E7D69">
        <w:t xml:space="preserve"> Ideal speech situations have four conditions: (1) equal inclusion, (2) equal voice, (3) honesty, and (4) voluntariness. </w:t>
      </w:r>
    </w:p>
    <w:p w14:paraId="0E13702F" w14:textId="77777777" w:rsidR="00E914DB" w:rsidRDefault="00E914DB" w:rsidP="003266F3">
      <w:pPr>
        <w:pStyle w:val="Reference"/>
      </w:pPr>
      <w:r w:rsidRPr="00E914DB">
        <w:t>For more information, see:</w:t>
      </w:r>
    </w:p>
    <w:p w14:paraId="1AC37CCA" w14:textId="77777777" w:rsidR="00E914DB" w:rsidRPr="00E914DB" w:rsidRDefault="00E914DB" w:rsidP="003266F3">
      <w:pPr>
        <w:pStyle w:val="Reference"/>
      </w:pPr>
      <w:r w:rsidRPr="00E914DB">
        <w:t>Gareis E (2010) Habermas to the rescue. Business Communication Quarterly 73(2):166–175.</w:t>
      </w:r>
    </w:p>
    <w:p w14:paraId="58971052" w14:textId="77777777" w:rsidR="005947EC" w:rsidRPr="00463CE2" w:rsidRDefault="005947EC" w:rsidP="003266F3">
      <w:r w:rsidRPr="00463CE2">
        <w:rPr>
          <w:b/>
        </w:rPr>
        <w:t xml:space="preserve">Idiosyncratic deals. </w:t>
      </w:r>
      <w:r w:rsidR="00463CE2">
        <w:t>I-deals refer to negotiated individualized work arrangements, such as flexible working hours.</w:t>
      </w:r>
    </w:p>
    <w:p w14:paraId="365A09CF" w14:textId="77777777" w:rsidR="00E914DB" w:rsidRDefault="00E914DB" w:rsidP="003266F3">
      <w:pPr>
        <w:pStyle w:val="Reference"/>
      </w:pPr>
      <w:r w:rsidRPr="00E914DB">
        <w:t>For more information, see:</w:t>
      </w:r>
    </w:p>
    <w:p w14:paraId="373712E1" w14:textId="77777777" w:rsidR="00E421E0" w:rsidRPr="00E914DB" w:rsidRDefault="00E421E0" w:rsidP="003266F3">
      <w:pPr>
        <w:pStyle w:val="Reference"/>
      </w:pPr>
      <w:r w:rsidRPr="00E421E0">
        <w:t xml:space="preserve">Tims M, </w:t>
      </w:r>
      <w:proofErr w:type="spellStart"/>
      <w:r w:rsidRPr="00E421E0">
        <w:t>Kooij</w:t>
      </w:r>
      <w:proofErr w:type="spellEnd"/>
      <w:r w:rsidRPr="00E421E0">
        <w:t xml:space="preserve"> D (2018) The active employee: Reconsidering the role of the individual worker in relation to the work context. In: Cooper C (ed) Current Issues in Work and Organizational Psychology. London: Routledge, 205–218.</w:t>
      </w:r>
    </w:p>
    <w:p w14:paraId="56DC22EB" w14:textId="77777777" w:rsidR="005947EC" w:rsidRPr="00EB2423" w:rsidRDefault="005947EC" w:rsidP="003266F3">
      <w:r w:rsidRPr="00EB2423">
        <w:rPr>
          <w:b/>
        </w:rPr>
        <w:t>Inductive reasoning.</w:t>
      </w:r>
      <w:r w:rsidR="00EB2423">
        <w:rPr>
          <w:b/>
        </w:rPr>
        <w:t xml:space="preserve"> </w:t>
      </w:r>
      <w:r w:rsidR="00EB2423">
        <w:t>Inductive reasoning (inductive inquiry, induction) refers to logical reasoning starting from empirical evidence and building towards a theoretical explanation.</w:t>
      </w:r>
    </w:p>
    <w:p w14:paraId="563481C3" w14:textId="77777777" w:rsidR="00E914DB" w:rsidRDefault="00E914DB" w:rsidP="003266F3">
      <w:pPr>
        <w:pStyle w:val="Reference"/>
      </w:pPr>
      <w:r w:rsidRPr="00E914DB">
        <w:t>For more information, see:</w:t>
      </w:r>
    </w:p>
    <w:p w14:paraId="3763015D" w14:textId="77777777" w:rsidR="00311101" w:rsidRDefault="00EB2423" w:rsidP="00EB2423">
      <w:pPr>
        <w:pStyle w:val="Reference"/>
      </w:pPr>
      <w:r>
        <w:t xml:space="preserve">Glaser BG, Strauss AL (2012) </w:t>
      </w:r>
      <w:r w:rsidR="00311101">
        <w:t>The d</w:t>
      </w:r>
      <w:r w:rsidRPr="00311101">
        <w:t>iscovery of grounded theory: Strategies for qualitative research</w:t>
      </w:r>
      <w:r w:rsidRPr="00EB2423">
        <w:t xml:space="preserve">. </w:t>
      </w:r>
      <w:r w:rsidR="00311101">
        <w:t xml:space="preserve">New Brunswick: </w:t>
      </w:r>
      <w:proofErr w:type="spellStart"/>
      <w:r w:rsidR="00311101">
        <w:t>AldineTransaction</w:t>
      </w:r>
      <w:proofErr w:type="spellEnd"/>
      <w:r w:rsidR="00311101">
        <w:t>.</w:t>
      </w:r>
    </w:p>
    <w:p w14:paraId="6C38195C" w14:textId="77777777" w:rsidR="00EB2423" w:rsidRPr="00E914DB" w:rsidRDefault="00EB2423" w:rsidP="00EB2423">
      <w:pPr>
        <w:pStyle w:val="Reference"/>
      </w:pPr>
      <w:r>
        <w:t xml:space="preserve">Saldana, J (2011) </w:t>
      </w:r>
      <w:r w:rsidRPr="00311101">
        <w:t>Fundamentals of Qualitative Research</w:t>
      </w:r>
      <w:r>
        <w:t>. New York: Oxford University Press.</w:t>
      </w:r>
    </w:p>
    <w:p w14:paraId="3F31D0B0" w14:textId="77777777" w:rsidR="005947EC" w:rsidRPr="00755E24" w:rsidRDefault="005947EC" w:rsidP="003266F3">
      <w:r w:rsidRPr="00463CE2">
        <w:rPr>
          <w:b/>
        </w:rPr>
        <w:t>Informal workplace trainers.</w:t>
      </w:r>
      <w:r w:rsidRPr="00755E24">
        <w:t xml:space="preserve"> </w:t>
      </w:r>
      <w:r w:rsidR="00463CE2">
        <w:t>Informal workplace trainers are supervisors and colleagues without a formal training mandate who help employees and colleagues learn the necessary information and skills to complete their work tasks.</w:t>
      </w:r>
    </w:p>
    <w:p w14:paraId="751FC9EC" w14:textId="77777777" w:rsidR="00E914DB" w:rsidRDefault="00E914DB" w:rsidP="003266F3">
      <w:pPr>
        <w:pStyle w:val="Reference"/>
      </w:pPr>
      <w:r w:rsidRPr="00E914DB">
        <w:t>For more information, see:</w:t>
      </w:r>
    </w:p>
    <w:p w14:paraId="5F9268B4" w14:textId="77777777" w:rsidR="00E421E0" w:rsidRPr="00E914DB" w:rsidRDefault="00E421E0" w:rsidP="003266F3">
      <w:pPr>
        <w:pStyle w:val="Reference"/>
      </w:pPr>
      <w:r w:rsidRPr="005E7104">
        <w:t xml:space="preserve">Poell RF, </w:t>
      </w:r>
      <w:proofErr w:type="spellStart"/>
      <w:r w:rsidRPr="005E7104">
        <w:t>Krogt</w:t>
      </w:r>
      <w:proofErr w:type="spellEnd"/>
      <w:r w:rsidRPr="005E7104">
        <w:t xml:space="preserve"> FJVD, </w:t>
      </w:r>
      <w:proofErr w:type="spellStart"/>
      <w:r w:rsidRPr="005E7104">
        <w:t>Vermulst</w:t>
      </w:r>
      <w:proofErr w:type="spellEnd"/>
      <w:r w:rsidRPr="005E7104">
        <w:t xml:space="preserve"> AA, et al. </w:t>
      </w:r>
      <w:r w:rsidRPr="00E421E0">
        <w:t>(2006) Roles of informal workplace trainers in different organizational contexts: Empirical evidence from Australian companies. Human Resource Development Quarterly 17(2): 175–198.</w:t>
      </w:r>
    </w:p>
    <w:p w14:paraId="0EC7B8E8" w14:textId="77777777" w:rsidR="005947EC" w:rsidRPr="00A91F9D" w:rsidRDefault="005947EC" w:rsidP="003266F3">
      <w:r w:rsidRPr="00A91F9D">
        <w:rPr>
          <w:b/>
        </w:rPr>
        <w:lastRenderedPageBreak/>
        <w:t>Interpretive research.</w:t>
      </w:r>
      <w:r w:rsidR="00A91F9D">
        <w:rPr>
          <w:b/>
        </w:rPr>
        <w:t xml:space="preserve"> </w:t>
      </w:r>
      <w:r w:rsidR="00FA5605">
        <w:t>Interpretive research emphasizes the study subjects’ own search for meaning and subjective experience using thick contextual description in order to enhance understanding.</w:t>
      </w:r>
    </w:p>
    <w:p w14:paraId="1F0D44E5" w14:textId="77777777" w:rsidR="00E914DB" w:rsidRDefault="00E914DB" w:rsidP="003266F3">
      <w:pPr>
        <w:pStyle w:val="Reference"/>
      </w:pPr>
      <w:r w:rsidRPr="00E914DB">
        <w:t xml:space="preserve">For more </w:t>
      </w:r>
      <w:r w:rsidRPr="003266F3">
        <w:t>information</w:t>
      </w:r>
      <w:r w:rsidRPr="00E914DB">
        <w:t>, see:</w:t>
      </w:r>
    </w:p>
    <w:p w14:paraId="5B18C9E6" w14:textId="77777777" w:rsidR="00E421E0" w:rsidRPr="00E914DB" w:rsidRDefault="00E421E0" w:rsidP="003266F3">
      <w:pPr>
        <w:pStyle w:val="Reference"/>
      </w:pPr>
      <w:r w:rsidRPr="005E7104">
        <w:t xml:space="preserve">Welch C, </w:t>
      </w:r>
      <w:proofErr w:type="spellStart"/>
      <w:r w:rsidRPr="005E7104">
        <w:t>Piekkari</w:t>
      </w:r>
      <w:proofErr w:type="spellEnd"/>
      <w:r w:rsidRPr="005E7104">
        <w:t xml:space="preserve"> R, </w:t>
      </w:r>
      <w:proofErr w:type="spellStart"/>
      <w:r w:rsidRPr="005E7104">
        <w:t>Plakoyiannaki</w:t>
      </w:r>
      <w:proofErr w:type="spellEnd"/>
      <w:r w:rsidRPr="005E7104">
        <w:t xml:space="preserve"> E, et al. </w:t>
      </w:r>
      <w:r w:rsidRPr="00E421E0">
        <w:t xml:space="preserve">(2011) </w:t>
      </w:r>
      <w:proofErr w:type="spellStart"/>
      <w:r w:rsidRPr="00E421E0">
        <w:t>Theorising</w:t>
      </w:r>
      <w:proofErr w:type="spellEnd"/>
      <w:r w:rsidRPr="00E421E0">
        <w:t xml:space="preserve"> from case studies: Towards a pluralist future for international business research. Journal of International Business Studies 42(5): 740–762.</w:t>
      </w:r>
    </w:p>
    <w:p w14:paraId="61066C0C" w14:textId="77777777" w:rsidR="005947EC" w:rsidRPr="00755E24" w:rsidRDefault="005947EC" w:rsidP="003266F3">
      <w:r w:rsidRPr="009E7D69">
        <w:rPr>
          <w:b/>
        </w:rPr>
        <w:t>Job crafting.</w:t>
      </w:r>
      <w:r w:rsidRPr="00755E24">
        <w:t xml:space="preserve"> </w:t>
      </w:r>
      <w:r w:rsidR="009E7D69">
        <w:t xml:space="preserve">Job crafting refers to employees’ self-initiated changes to (1) job tasks, (2) relational interactions at work, or (3) </w:t>
      </w:r>
      <w:r w:rsidR="0081015A">
        <w:t xml:space="preserve">personal </w:t>
      </w:r>
      <w:r w:rsidR="009E7D69">
        <w:t>views on work.</w:t>
      </w:r>
    </w:p>
    <w:p w14:paraId="4E6BECFD" w14:textId="77777777" w:rsidR="00E914DB" w:rsidRDefault="00E914DB" w:rsidP="003266F3">
      <w:pPr>
        <w:pStyle w:val="Reference"/>
      </w:pPr>
      <w:r w:rsidRPr="00E914DB">
        <w:t>For more information, see:</w:t>
      </w:r>
    </w:p>
    <w:p w14:paraId="1D6F7D94" w14:textId="77777777" w:rsidR="00E421E0" w:rsidRPr="00E914DB" w:rsidRDefault="00E421E0" w:rsidP="003266F3">
      <w:pPr>
        <w:pStyle w:val="Reference"/>
      </w:pPr>
      <w:r w:rsidRPr="00E421E0">
        <w:t xml:space="preserve">Tims M, </w:t>
      </w:r>
      <w:proofErr w:type="spellStart"/>
      <w:r w:rsidRPr="00E421E0">
        <w:t>Kooij</w:t>
      </w:r>
      <w:proofErr w:type="spellEnd"/>
      <w:r w:rsidRPr="00E421E0">
        <w:t xml:space="preserve"> D (2018) The active employee: Reconsidering the role of the individual worker in relation to the work context. In: Cooper C (ed) Current Issues in Work and Organizational Psychology. London: Routledge, 205–218.</w:t>
      </w:r>
    </w:p>
    <w:p w14:paraId="59315E2C" w14:textId="77777777" w:rsidR="005947EC" w:rsidRPr="00755E24" w:rsidRDefault="005947EC" w:rsidP="003266F3">
      <w:r w:rsidRPr="007E4491">
        <w:rPr>
          <w:b/>
        </w:rPr>
        <w:t>Meaning-making</w:t>
      </w:r>
      <w:r w:rsidRPr="00755E24">
        <w:t>.</w:t>
      </w:r>
      <w:r w:rsidR="007E4491">
        <w:t xml:space="preserve"> Meaning-making refers to how individuals negotiate meaning from social contexts and encounters.</w:t>
      </w:r>
    </w:p>
    <w:p w14:paraId="55F69BCB" w14:textId="77777777" w:rsidR="00E914DB" w:rsidRDefault="00E914DB" w:rsidP="003266F3">
      <w:pPr>
        <w:pStyle w:val="Reference"/>
      </w:pPr>
      <w:r w:rsidRPr="00E914DB">
        <w:t>For more information, see:</w:t>
      </w:r>
    </w:p>
    <w:p w14:paraId="70C3A478" w14:textId="77777777" w:rsidR="00E914DB" w:rsidRDefault="00E914DB" w:rsidP="003266F3">
      <w:pPr>
        <w:pStyle w:val="Reference"/>
      </w:pPr>
      <w:r w:rsidRPr="005E7104">
        <w:t xml:space="preserve">Ahmadi, F, </w:t>
      </w:r>
      <w:proofErr w:type="spellStart"/>
      <w:r w:rsidRPr="005E7104">
        <w:t>Cetrez</w:t>
      </w:r>
      <w:proofErr w:type="spellEnd"/>
      <w:r w:rsidRPr="005E7104">
        <w:t xml:space="preserve">, ÖA, Akhavan, S, et al. </w:t>
      </w:r>
      <w:r w:rsidRPr="00E914DB">
        <w:t>(2022) Meaning-making coping with COVID-19 in academic settings: The case of Sweden. Illness, Crisis &amp; Loss 30(4): 770–794.</w:t>
      </w:r>
    </w:p>
    <w:p w14:paraId="1C8974C0" w14:textId="77777777" w:rsidR="007E4491" w:rsidRPr="00E914DB" w:rsidRDefault="007E4491" w:rsidP="003266F3">
      <w:pPr>
        <w:pStyle w:val="Reference"/>
      </w:pPr>
      <w:r w:rsidRPr="007E4491">
        <w:t>Drewery W (2016) A social constructionist approach to restorative conferencing. In: Hopkins B (ed) Restorative Theory in Practice. London: Jessica Kingsley, 154–166.</w:t>
      </w:r>
    </w:p>
    <w:p w14:paraId="6050A59E" w14:textId="77777777" w:rsidR="005947EC" w:rsidRPr="00755E24" w:rsidRDefault="005947EC" w:rsidP="003266F3">
      <w:r w:rsidRPr="00465936">
        <w:rPr>
          <w:b/>
        </w:rPr>
        <w:t>Motivation.</w:t>
      </w:r>
      <w:r w:rsidR="00845C88">
        <w:t xml:space="preserve"> </w:t>
      </w:r>
      <w:r w:rsidR="00465936">
        <w:t>Motivation refers to what energizes and directs behavior. Roughly, motivation can be intrinsic (internally motivated volitional behavior) or extrinsic (externally motivated controlled or instrumental behavior).</w:t>
      </w:r>
    </w:p>
    <w:p w14:paraId="10EE7D43" w14:textId="77777777" w:rsidR="00E914DB" w:rsidRDefault="00E914DB" w:rsidP="003266F3">
      <w:pPr>
        <w:pStyle w:val="Reference"/>
      </w:pPr>
      <w:r w:rsidRPr="00E914DB">
        <w:t>For more information, see:</w:t>
      </w:r>
    </w:p>
    <w:p w14:paraId="2848252B" w14:textId="77777777" w:rsidR="00465936" w:rsidRPr="00E914DB" w:rsidRDefault="00465936" w:rsidP="003266F3">
      <w:pPr>
        <w:pStyle w:val="Reference"/>
      </w:pPr>
      <w:r w:rsidRPr="00465936">
        <w:t>Ryan RM, Deci EL (2017) Self-determination theory: Basic psychological needs in motivation, development, and wellness. New York: Guilford publications.</w:t>
      </w:r>
    </w:p>
    <w:p w14:paraId="72C6B471" w14:textId="77777777" w:rsidR="005947EC" w:rsidRPr="00547C23" w:rsidRDefault="005947EC" w:rsidP="003266F3">
      <w:pPr>
        <w:rPr>
          <w:rFonts w:eastAsia="Times New Roman"/>
          <w:lang w:eastAsia="fi-FI"/>
        </w:rPr>
      </w:pPr>
      <w:r w:rsidRPr="00755614">
        <w:rPr>
          <w:b/>
          <w:lang w:eastAsia="fi-FI"/>
        </w:rPr>
        <w:t>Mutual understanding.</w:t>
      </w:r>
      <w:r w:rsidRPr="00547C23">
        <w:rPr>
          <w:lang w:eastAsia="fi-FI"/>
        </w:rPr>
        <w:t xml:space="preserve"> </w:t>
      </w:r>
      <w:r w:rsidR="00465936">
        <w:rPr>
          <w:lang w:eastAsia="fi-FI"/>
        </w:rPr>
        <w:t>Achieving mutual understanding refers to being able to participate in reciprocal reflexivity, including self-questioning, at the intersection of subjectivities and intersubjectivity.</w:t>
      </w:r>
    </w:p>
    <w:p w14:paraId="4C053A60" w14:textId="77777777" w:rsidR="00E914DB" w:rsidRDefault="00E914DB" w:rsidP="003266F3">
      <w:pPr>
        <w:pStyle w:val="Reference"/>
      </w:pPr>
      <w:r w:rsidRPr="00E914DB">
        <w:t>For more information, see:</w:t>
      </w:r>
    </w:p>
    <w:p w14:paraId="7F9D614B" w14:textId="77777777" w:rsidR="00E914DB" w:rsidRPr="00E914DB" w:rsidRDefault="00E914DB" w:rsidP="003266F3">
      <w:pPr>
        <w:pStyle w:val="Reference"/>
      </w:pPr>
      <w:proofErr w:type="spellStart"/>
      <w:r w:rsidRPr="00E914DB">
        <w:t>Eneau</w:t>
      </w:r>
      <w:proofErr w:type="spellEnd"/>
      <w:r w:rsidRPr="00E914DB">
        <w:t xml:space="preserve"> J, Bertrand E (2019) Communicative Practices in Work and Training Contexts: Exercising Transformative Authority? In: Fleming T, </w:t>
      </w:r>
      <w:proofErr w:type="spellStart"/>
      <w:r w:rsidRPr="00E914DB">
        <w:t>Kokkos</w:t>
      </w:r>
      <w:proofErr w:type="spellEnd"/>
      <w:r w:rsidRPr="00E914DB">
        <w:t xml:space="preserve"> A, Finnegan F (eds) European Perspectives on Transformation Theory. Cham: Palgrave Macmillan, 111–126.</w:t>
      </w:r>
    </w:p>
    <w:p w14:paraId="53AA7414" w14:textId="77777777" w:rsidR="005947EC" w:rsidRPr="00755E24" w:rsidRDefault="005947EC" w:rsidP="003266F3">
      <w:r w:rsidRPr="00755614">
        <w:rPr>
          <w:b/>
        </w:rPr>
        <w:t>Negative brainstorming.</w:t>
      </w:r>
      <w:r w:rsidRPr="00755E24">
        <w:t xml:space="preserve"> </w:t>
      </w:r>
      <w:r w:rsidR="00755614">
        <w:t>Negative or reverse brainstorming refers to creating ideas through reverse questions, such as “how can I cause the problem” instead of “how can I resolve the problem”.</w:t>
      </w:r>
    </w:p>
    <w:p w14:paraId="4D340A97" w14:textId="77777777" w:rsidR="00E914DB" w:rsidRDefault="00E914DB" w:rsidP="003266F3">
      <w:pPr>
        <w:pStyle w:val="Reference"/>
      </w:pPr>
      <w:r w:rsidRPr="00E914DB">
        <w:lastRenderedPageBreak/>
        <w:t>For more information, see:</w:t>
      </w:r>
    </w:p>
    <w:p w14:paraId="60872F33" w14:textId="77777777" w:rsidR="00E914DB" w:rsidRPr="00E914DB" w:rsidRDefault="00E914DB" w:rsidP="003266F3">
      <w:pPr>
        <w:pStyle w:val="Reference"/>
      </w:pPr>
      <w:r w:rsidRPr="00E914DB">
        <w:t>Evans N (2012) Destroying collaboration and knowledge sharing in the workplace: A reverse brainstorming approach. Knowledge Management Research &amp; Practice 10(2): 175–187.</w:t>
      </w:r>
    </w:p>
    <w:p w14:paraId="3D2AAA65" w14:textId="77777777" w:rsidR="005947EC" w:rsidRPr="00755E24" w:rsidRDefault="005947EC" w:rsidP="003266F3">
      <w:r w:rsidRPr="009E7D69">
        <w:rPr>
          <w:b/>
        </w:rPr>
        <w:t>Personal initiative.</w:t>
      </w:r>
      <w:r w:rsidRPr="00755E24">
        <w:t xml:space="preserve"> </w:t>
      </w:r>
      <w:r w:rsidR="009E7D69">
        <w:t>Personal initiative refers to pro-company behaviors that are (1) self-starting, (2) proactive (or future oriented), and (3) persistent.</w:t>
      </w:r>
    </w:p>
    <w:p w14:paraId="28D7A9A1" w14:textId="77777777" w:rsidR="00E914DB" w:rsidRDefault="00E914DB" w:rsidP="003266F3">
      <w:pPr>
        <w:pStyle w:val="Reference"/>
      </w:pPr>
      <w:r w:rsidRPr="00E914DB">
        <w:t>For more information, see:</w:t>
      </w:r>
    </w:p>
    <w:p w14:paraId="74933D28" w14:textId="77777777" w:rsidR="00E421E0" w:rsidRPr="00E914DB" w:rsidRDefault="00E421E0" w:rsidP="003266F3">
      <w:pPr>
        <w:pStyle w:val="Reference"/>
      </w:pPr>
      <w:r w:rsidRPr="00E421E0">
        <w:t xml:space="preserve">Tims M, </w:t>
      </w:r>
      <w:proofErr w:type="spellStart"/>
      <w:r w:rsidRPr="00E421E0">
        <w:t>Kooij</w:t>
      </w:r>
      <w:proofErr w:type="spellEnd"/>
      <w:r w:rsidRPr="00E421E0">
        <w:t xml:space="preserve"> D (2018) The active employee: Reconsidering the role of the individual worker in relation to the work context. In: Cooper C (ed) Current Issues in Work and Organizational Psychology. London: Routledge, 205–218.</w:t>
      </w:r>
    </w:p>
    <w:p w14:paraId="4F9E2629" w14:textId="77777777" w:rsidR="005947EC" w:rsidRPr="00755E24" w:rsidRDefault="005947EC" w:rsidP="003266F3">
      <w:r w:rsidRPr="00755614">
        <w:rPr>
          <w:b/>
        </w:rPr>
        <w:t>Positive change.</w:t>
      </w:r>
      <w:r w:rsidRPr="00755E24">
        <w:t xml:space="preserve"> </w:t>
      </w:r>
      <w:r w:rsidR="00755614">
        <w:t>In the organizational context, positive change refers to change which is more affirmative than harmful in terms of employee responses and organizational outcomes.</w:t>
      </w:r>
    </w:p>
    <w:p w14:paraId="012ACBD7" w14:textId="77777777" w:rsidR="00E914DB" w:rsidRDefault="00E914DB" w:rsidP="003266F3">
      <w:pPr>
        <w:pStyle w:val="Reference"/>
      </w:pPr>
      <w:r w:rsidRPr="00E914DB">
        <w:t>For more information, see:</w:t>
      </w:r>
    </w:p>
    <w:p w14:paraId="61DA9B85" w14:textId="77777777" w:rsidR="00755614" w:rsidRPr="00E914DB" w:rsidRDefault="00755614" w:rsidP="00755614">
      <w:pPr>
        <w:pStyle w:val="Reference"/>
      </w:pPr>
      <w:r>
        <w:t>Avey JB, Wernsing TS, Luthans F (2008) Can Positive Employees Help Positive</w:t>
      </w:r>
      <w:r w:rsidR="00035C81">
        <w:t xml:space="preserve"> </w:t>
      </w:r>
      <w:r>
        <w:t>Organizational Change? Impact of Psychological Capital and Emotions on Relevant Attitudes and</w:t>
      </w:r>
      <w:r w:rsidR="00035C81">
        <w:t xml:space="preserve"> </w:t>
      </w:r>
      <w:r>
        <w:t>Behaviors. Journal of Applied Behavioral Science 44(1): 48–70.</w:t>
      </w:r>
    </w:p>
    <w:p w14:paraId="1A8D21CD" w14:textId="77777777" w:rsidR="005947EC" w:rsidRPr="00755E24" w:rsidRDefault="005947EC" w:rsidP="003266F3">
      <w:r w:rsidRPr="006E1DF0">
        <w:rPr>
          <w:b/>
        </w:rPr>
        <w:t xml:space="preserve">Post-training environment. </w:t>
      </w:r>
      <w:r w:rsidR="006E1DF0">
        <w:t>Post-training environment refers to the socio-spatial workplace following a designated training event, such as a workshop.</w:t>
      </w:r>
    </w:p>
    <w:p w14:paraId="3356644E" w14:textId="77777777" w:rsidR="00E914DB" w:rsidRDefault="00E914DB" w:rsidP="003266F3">
      <w:pPr>
        <w:pStyle w:val="Reference"/>
      </w:pPr>
      <w:r w:rsidRPr="00E914DB">
        <w:t>For more information, see:</w:t>
      </w:r>
    </w:p>
    <w:p w14:paraId="1452CBF8" w14:textId="77777777" w:rsidR="006E1DF0" w:rsidRPr="00E914DB" w:rsidRDefault="006E1DF0" w:rsidP="003266F3">
      <w:pPr>
        <w:pStyle w:val="Reference"/>
      </w:pPr>
      <w:r w:rsidRPr="006E1DF0">
        <w:t>Dixit R, Sinha V (2022) Investigating tools and techniques to promote workplace training transfer. Journal of Workplace Learning 34(6): 513–531.</w:t>
      </w:r>
    </w:p>
    <w:p w14:paraId="4767B572" w14:textId="77777777" w:rsidR="005947EC" w:rsidRPr="00755E24" w:rsidRDefault="005947EC" w:rsidP="003266F3">
      <w:r w:rsidRPr="00293B18">
        <w:rPr>
          <w:b/>
        </w:rPr>
        <w:t>Psychological safety</w:t>
      </w:r>
      <w:r w:rsidRPr="00755E24">
        <w:t xml:space="preserve">. </w:t>
      </w:r>
      <w:r w:rsidR="00293B18">
        <w:t>Psychological safety refers to an individual’s belief that he or she can speak up without the risk of humiliation or punishment.</w:t>
      </w:r>
    </w:p>
    <w:p w14:paraId="70A8B3C6" w14:textId="77777777" w:rsidR="00E914DB" w:rsidRDefault="00E914DB" w:rsidP="003266F3">
      <w:pPr>
        <w:pStyle w:val="Reference"/>
      </w:pPr>
      <w:r w:rsidRPr="00E914DB">
        <w:t>For more information, see:</w:t>
      </w:r>
    </w:p>
    <w:p w14:paraId="13059936" w14:textId="77777777" w:rsidR="00293B18" w:rsidRPr="00E914DB" w:rsidRDefault="00293B18" w:rsidP="003266F3">
      <w:pPr>
        <w:pStyle w:val="Reference"/>
      </w:pPr>
      <w:r>
        <w:t xml:space="preserve">Edmondson AC, Mortensen M. (2021) </w:t>
      </w:r>
      <w:r w:rsidRPr="00293B18">
        <w:t>What psychological safety looks like in a hybrid wor</w:t>
      </w:r>
      <w:r>
        <w:t xml:space="preserve">kplace. Harvard Business Review </w:t>
      </w:r>
      <w:r w:rsidR="0021035C">
        <w:t>Fall 2021(Special Issue): 87–90</w:t>
      </w:r>
      <w:r w:rsidRPr="00293B18">
        <w:t>.</w:t>
      </w:r>
    </w:p>
    <w:p w14:paraId="58D35DD8" w14:textId="77777777" w:rsidR="005947EC" w:rsidRPr="00547C23" w:rsidRDefault="005947EC" w:rsidP="003266F3">
      <w:r w:rsidRPr="00D71245">
        <w:rPr>
          <w:b/>
        </w:rPr>
        <w:t>Recovery.</w:t>
      </w:r>
      <w:r>
        <w:t xml:space="preserve"> </w:t>
      </w:r>
      <w:r w:rsidR="00D71245">
        <w:t xml:space="preserve">Recovery refers to employees’ unwinding, recuperation, and restoration from daily work. </w:t>
      </w:r>
    </w:p>
    <w:p w14:paraId="3FC40E45" w14:textId="77777777" w:rsidR="00E914DB" w:rsidRDefault="00E914DB" w:rsidP="003266F3">
      <w:pPr>
        <w:pStyle w:val="Reference"/>
      </w:pPr>
      <w:r w:rsidRPr="00E914DB">
        <w:t>For more information, see:</w:t>
      </w:r>
    </w:p>
    <w:p w14:paraId="5F644EFF" w14:textId="77777777" w:rsidR="006E1DF0" w:rsidRPr="00E914DB" w:rsidRDefault="006E1DF0" w:rsidP="003266F3">
      <w:pPr>
        <w:pStyle w:val="Reference"/>
      </w:pPr>
      <w:r w:rsidRPr="006E1DF0">
        <w:t>Sonnentag S, Cheng BH, Parker SL</w:t>
      </w:r>
      <w:r>
        <w:t xml:space="preserve"> (2022)</w:t>
      </w:r>
      <w:r w:rsidRPr="006E1DF0">
        <w:t xml:space="preserve"> Recovery from work: Advancing the field toward the future. Annual Review of Organizational Psycholo</w:t>
      </w:r>
      <w:r w:rsidR="00D71245">
        <w:t>gy and Organizational Behavior 9</w:t>
      </w:r>
      <w:r w:rsidRPr="006E1DF0">
        <w:t>:</w:t>
      </w:r>
      <w:r w:rsidR="00D71245">
        <w:t xml:space="preserve"> </w:t>
      </w:r>
      <w:r w:rsidRPr="006E1DF0">
        <w:t>33</w:t>
      </w:r>
      <w:r w:rsidR="00D71245">
        <w:t>–</w:t>
      </w:r>
      <w:r w:rsidRPr="006E1DF0">
        <w:t>60.</w:t>
      </w:r>
    </w:p>
    <w:p w14:paraId="263775FD" w14:textId="77777777" w:rsidR="005947EC" w:rsidRPr="00B30AA0" w:rsidRDefault="005947EC" w:rsidP="003266F3">
      <w:r w:rsidRPr="00B30AA0">
        <w:rPr>
          <w:b/>
        </w:rPr>
        <w:t>Reflection.</w:t>
      </w:r>
      <w:r w:rsidRPr="00B30AA0">
        <w:t xml:space="preserve"> </w:t>
      </w:r>
      <w:r w:rsidR="00B30AA0" w:rsidRPr="00B30AA0">
        <w:t>Reflection seeks to understand one’s own or others’ assumptions underlying behavior. Critical reflection aims to challenge such assupmtions.</w:t>
      </w:r>
    </w:p>
    <w:p w14:paraId="38B62D39" w14:textId="77777777" w:rsidR="00E914DB" w:rsidRPr="00B30AA0" w:rsidRDefault="00E914DB" w:rsidP="003266F3">
      <w:pPr>
        <w:pStyle w:val="Reference"/>
      </w:pPr>
      <w:r w:rsidRPr="00B30AA0">
        <w:t>For more information, see:</w:t>
      </w:r>
    </w:p>
    <w:p w14:paraId="3FF1B408" w14:textId="77777777" w:rsidR="00B30AA0" w:rsidRPr="003A6F3A" w:rsidRDefault="00B30AA0" w:rsidP="003266F3">
      <w:pPr>
        <w:pStyle w:val="Reference"/>
        <w:rPr>
          <w:highlight w:val="yellow"/>
        </w:rPr>
      </w:pPr>
      <w:proofErr w:type="spellStart"/>
      <w:r w:rsidRPr="00B30AA0">
        <w:lastRenderedPageBreak/>
        <w:t>Kokkos</w:t>
      </w:r>
      <w:proofErr w:type="spellEnd"/>
      <w:r w:rsidRPr="00B30AA0">
        <w:t xml:space="preserve"> A</w:t>
      </w:r>
      <w:r>
        <w:t xml:space="preserve"> (2019)</w:t>
      </w:r>
      <w:r w:rsidRPr="00B30AA0">
        <w:t xml:space="preserve"> Introducing the method transformation theory in educational practice. </w:t>
      </w:r>
      <w:r w:rsidRPr="00E914DB">
        <w:t xml:space="preserve">In: Fleming T, </w:t>
      </w:r>
      <w:proofErr w:type="spellStart"/>
      <w:r w:rsidRPr="00E914DB">
        <w:t>Kokkos</w:t>
      </w:r>
      <w:proofErr w:type="spellEnd"/>
      <w:r w:rsidRPr="00E914DB">
        <w:t xml:space="preserve"> A, Finnegan F (eds) European Perspectives on Transformation Theory. Cham: Palgrave Macmillan,</w:t>
      </w:r>
      <w:r>
        <w:t xml:space="preserve"> </w:t>
      </w:r>
      <w:r w:rsidRPr="00B30AA0">
        <w:t>129</w:t>
      </w:r>
      <w:r>
        <w:t>–1</w:t>
      </w:r>
      <w:r w:rsidRPr="00B30AA0">
        <w:t>44.</w:t>
      </w:r>
    </w:p>
    <w:p w14:paraId="369465F5" w14:textId="77777777" w:rsidR="005947EC" w:rsidRPr="00B30AA0" w:rsidRDefault="005947EC" w:rsidP="003266F3">
      <w:r w:rsidRPr="00B30AA0">
        <w:rPr>
          <w:b/>
        </w:rPr>
        <w:t xml:space="preserve">Renewal. </w:t>
      </w:r>
      <w:r w:rsidR="00B30AA0" w:rsidRPr="00B30AA0">
        <w:t>In the adaptive cycle, renewal refers to a reorganization or reorientation, which helps the system escape along the cycle onto a new future development trajectory.</w:t>
      </w:r>
      <w:r w:rsidRPr="00B30AA0">
        <w:t xml:space="preserve"> </w:t>
      </w:r>
    </w:p>
    <w:p w14:paraId="761833AE" w14:textId="77777777" w:rsidR="00E914DB" w:rsidRDefault="00E914DB" w:rsidP="003266F3">
      <w:pPr>
        <w:pStyle w:val="Reference"/>
      </w:pPr>
      <w:r w:rsidRPr="00B30AA0">
        <w:t>For more information, see:</w:t>
      </w:r>
    </w:p>
    <w:p w14:paraId="19838596" w14:textId="77777777" w:rsidR="00B30AA0" w:rsidRPr="00E914DB" w:rsidRDefault="00B30AA0" w:rsidP="003266F3">
      <w:pPr>
        <w:pStyle w:val="Reference"/>
      </w:pPr>
      <w:r w:rsidRPr="00B30AA0">
        <w:t xml:space="preserve">Fath BD, Dean CA, </w:t>
      </w:r>
      <w:proofErr w:type="spellStart"/>
      <w:r w:rsidRPr="00B30AA0">
        <w:t>Katzmair</w:t>
      </w:r>
      <w:proofErr w:type="spellEnd"/>
      <w:r w:rsidRPr="00B30AA0">
        <w:t xml:space="preserve"> H (2015) Navigating the adaptive cycle: An approach to managing the resilience of social systems. Ecology and Society 20(2): 24–33.</w:t>
      </w:r>
    </w:p>
    <w:p w14:paraId="65A88A35" w14:textId="77777777" w:rsidR="005947EC" w:rsidRPr="00755E24" w:rsidRDefault="005947EC" w:rsidP="003266F3">
      <w:r w:rsidRPr="0021354B">
        <w:rPr>
          <w:b/>
        </w:rPr>
        <w:t>Restorative practices.</w:t>
      </w:r>
      <w:r w:rsidR="0021354B">
        <w:t xml:space="preserve"> Restorative practices frame organizational objectives in universal terms and approach equality through a positive vision (“we want a workplace that is…” rather than “we want to avoid…”).</w:t>
      </w:r>
      <w:r w:rsidR="00841FBB">
        <w:t xml:space="preserve"> This can mean, for example, taking special care of conducting </w:t>
      </w:r>
      <w:r w:rsidR="00841FBB" w:rsidRPr="00841FBB">
        <w:t xml:space="preserve">participant interaction with respect, compassion, involvement and careful listening. </w:t>
      </w:r>
      <w:r w:rsidR="00841FBB">
        <w:t>R</w:t>
      </w:r>
      <w:r w:rsidR="00841FBB" w:rsidRPr="00841FBB">
        <w:t xml:space="preserve">estorative conduct </w:t>
      </w:r>
      <w:r w:rsidR="00841FBB">
        <w:t>is</w:t>
      </w:r>
      <w:r w:rsidR="00841FBB" w:rsidRPr="00841FBB">
        <w:t xml:space="preserve"> a way to strengthen relationships and help people change the way they treat each other in </w:t>
      </w:r>
      <w:r w:rsidR="00841FBB">
        <w:t>organiz</w:t>
      </w:r>
      <w:r w:rsidR="00841FBB" w:rsidRPr="00841FBB">
        <w:t>ational settings</w:t>
      </w:r>
      <w:r w:rsidR="00841FBB">
        <w:t xml:space="preserve">, including </w:t>
      </w:r>
      <w:r w:rsidR="00841FBB" w:rsidRPr="00841FBB">
        <w:t>increased sensitivity to other people's situations and new tools to solve issues together.</w:t>
      </w:r>
    </w:p>
    <w:p w14:paraId="0DCAEE5F" w14:textId="77777777" w:rsidR="00E914DB" w:rsidRDefault="00E914DB" w:rsidP="003266F3">
      <w:pPr>
        <w:pStyle w:val="Reference"/>
      </w:pPr>
      <w:r w:rsidRPr="00E914DB">
        <w:t>For more information, see:</w:t>
      </w:r>
    </w:p>
    <w:p w14:paraId="3D276131" w14:textId="77777777" w:rsidR="00E914DB" w:rsidRDefault="00E914DB" w:rsidP="003266F3">
      <w:pPr>
        <w:pStyle w:val="Reference"/>
      </w:pPr>
      <w:r w:rsidRPr="00E914DB">
        <w:t>Drewery W (2016) A social constructionist approach to restorative conferencing. In: Hopkins B (ed) Restorative Theory in Practice. London: Jessica Kingsley, 154–166.</w:t>
      </w:r>
    </w:p>
    <w:p w14:paraId="2AC874DC" w14:textId="77777777" w:rsidR="00E914DB" w:rsidRDefault="00E914DB" w:rsidP="003266F3">
      <w:pPr>
        <w:pStyle w:val="Reference"/>
      </w:pPr>
      <w:r w:rsidRPr="00E914DB">
        <w:t>Eisenberg DT (2016) The restorative workplace: An organizational learning approach to discrimination. University of Richmond Law Review 50(2): 487–556.</w:t>
      </w:r>
    </w:p>
    <w:p w14:paraId="6737F084" w14:textId="77777777" w:rsidR="00841FBB" w:rsidRPr="00E914DB" w:rsidRDefault="00841FBB" w:rsidP="003266F3">
      <w:pPr>
        <w:pStyle w:val="Reference"/>
      </w:pPr>
      <w:r w:rsidRPr="00841FBB">
        <w:t>Lambert C, Johnstone G, Green S, Shipley R (2011) Building restorative relationships for the workplace: Goodwin Development Trust’s journey with restorative approaches. University of Hull.</w:t>
      </w:r>
    </w:p>
    <w:p w14:paraId="6812D490" w14:textId="77777777" w:rsidR="005947EC" w:rsidRPr="00755E24" w:rsidRDefault="005947EC" w:rsidP="003266F3">
      <w:r w:rsidRPr="00A238B3">
        <w:rPr>
          <w:b/>
        </w:rPr>
        <w:t>Reteaming.</w:t>
      </w:r>
      <w:r w:rsidRPr="00755E24">
        <w:t xml:space="preserve"> </w:t>
      </w:r>
      <w:r w:rsidR="00A238B3">
        <w:t>Reteaming in the organizational context refers to conscious efforts in bringing people together (or apart) at work.</w:t>
      </w:r>
    </w:p>
    <w:p w14:paraId="357185A2" w14:textId="77777777" w:rsidR="00E914DB" w:rsidRPr="005E7104" w:rsidRDefault="00E914DB" w:rsidP="003266F3">
      <w:pPr>
        <w:pStyle w:val="Reference"/>
        <w:rPr>
          <w:lang w:val="fi-FI"/>
        </w:rPr>
      </w:pPr>
      <w:r w:rsidRPr="005E7104">
        <w:rPr>
          <w:lang w:val="fi-FI"/>
        </w:rPr>
        <w:t>For more information, see:</w:t>
      </w:r>
    </w:p>
    <w:p w14:paraId="5F207237" w14:textId="77777777" w:rsidR="00E914DB" w:rsidRDefault="00E914DB" w:rsidP="003266F3">
      <w:pPr>
        <w:pStyle w:val="Reference"/>
      </w:pPr>
      <w:r w:rsidRPr="00E914DB">
        <w:rPr>
          <w:lang w:val="fi-FI"/>
        </w:rPr>
        <w:t xml:space="preserve">Ahola T, Furman B (2021) Reteaming-valmennus, Yksilöiden ja yhteisöjen ratkaisukeskeinen kehittämismenetelmä. </w:t>
      </w:r>
      <w:proofErr w:type="spellStart"/>
      <w:r w:rsidRPr="00E914DB">
        <w:t>Keuruu</w:t>
      </w:r>
      <w:proofErr w:type="spellEnd"/>
      <w:r w:rsidRPr="00E914DB">
        <w:t xml:space="preserve">: </w:t>
      </w:r>
      <w:proofErr w:type="spellStart"/>
      <w:r w:rsidRPr="00E914DB">
        <w:t>Lyhytterapiainstituutti</w:t>
      </w:r>
      <w:proofErr w:type="spellEnd"/>
      <w:r w:rsidRPr="00E914DB">
        <w:t xml:space="preserve"> Oy.</w:t>
      </w:r>
    </w:p>
    <w:p w14:paraId="7ACA8410" w14:textId="77777777" w:rsidR="00A238B3" w:rsidRPr="00E914DB" w:rsidRDefault="00A238B3" w:rsidP="003266F3">
      <w:pPr>
        <w:pStyle w:val="Reference"/>
      </w:pPr>
      <w:r>
        <w:t>Helfand H (2020)</w:t>
      </w:r>
      <w:r w:rsidRPr="00A238B3">
        <w:t xml:space="preserve"> Dynamic reteaming: The art and wisdom of changing teams.</w:t>
      </w:r>
      <w:r>
        <w:t xml:space="preserve"> Sebastopol: </w:t>
      </w:r>
      <w:r w:rsidRPr="00A238B3">
        <w:t>O'R</w:t>
      </w:r>
      <w:r>
        <w:t>eilly Media, Inc.</w:t>
      </w:r>
    </w:p>
    <w:p w14:paraId="46396315" w14:textId="77777777" w:rsidR="005947EC" w:rsidRPr="00755E24" w:rsidRDefault="005947EC" w:rsidP="003266F3">
      <w:r w:rsidRPr="00A238B3">
        <w:rPr>
          <w:b/>
        </w:rPr>
        <w:t>Self-compassion.</w:t>
      </w:r>
      <w:r w:rsidRPr="00755E24">
        <w:t xml:space="preserve"> </w:t>
      </w:r>
      <w:r w:rsidR="00A238B3">
        <w:t>Self-compassion refers to kindness shown to oneself, including mindfulness of the self and an understanding of shared humanity.</w:t>
      </w:r>
    </w:p>
    <w:p w14:paraId="229AED7B" w14:textId="77777777" w:rsidR="00E914DB" w:rsidRDefault="00E914DB" w:rsidP="003266F3">
      <w:pPr>
        <w:pStyle w:val="Reference"/>
      </w:pPr>
      <w:r w:rsidRPr="00E914DB">
        <w:t>For more information, see:</w:t>
      </w:r>
    </w:p>
    <w:p w14:paraId="2C953AC9" w14:textId="77777777" w:rsidR="00A238B3" w:rsidRPr="00E914DB" w:rsidRDefault="00A238B3" w:rsidP="003266F3">
      <w:pPr>
        <w:pStyle w:val="Reference"/>
      </w:pPr>
      <w:r w:rsidRPr="00A238B3">
        <w:t>Neff KD. Self‐compassion, self‐esteem, and well‐being. Social and personali</w:t>
      </w:r>
      <w:r>
        <w:t xml:space="preserve">ty psychology compass </w:t>
      </w:r>
      <w:r w:rsidRPr="00A238B3">
        <w:t>5(1):</w:t>
      </w:r>
      <w:r>
        <w:t xml:space="preserve"> </w:t>
      </w:r>
      <w:r w:rsidRPr="00A238B3">
        <w:t>1</w:t>
      </w:r>
      <w:r>
        <w:t>–1</w:t>
      </w:r>
      <w:r w:rsidRPr="00A238B3">
        <w:t>2.</w:t>
      </w:r>
    </w:p>
    <w:p w14:paraId="73FD0636" w14:textId="77777777" w:rsidR="005947EC" w:rsidRPr="00755E24" w:rsidRDefault="005947EC" w:rsidP="003266F3">
      <w:r w:rsidRPr="00F525FC">
        <w:rPr>
          <w:b/>
        </w:rPr>
        <w:lastRenderedPageBreak/>
        <w:t>Self-determination theory.</w:t>
      </w:r>
      <w:r w:rsidRPr="00755E24">
        <w:t xml:space="preserve"> </w:t>
      </w:r>
      <w:r w:rsidR="00F525FC">
        <w:t>Self-determination theory is an organismic approach to human behavior suggesting that motivation can be differentiated along a continuum from controlled to autonomous</w:t>
      </w:r>
      <w:r w:rsidR="00F525FC" w:rsidRPr="00F525FC">
        <w:t xml:space="preserve"> </w:t>
      </w:r>
      <w:r w:rsidR="00F525FC">
        <w:t>and that the socio-contextual fulfillment of three psychological needs (autonomy, competence, relatedness) influences individuals’ vitality and wellbeing.</w:t>
      </w:r>
    </w:p>
    <w:p w14:paraId="4CE4339D" w14:textId="77777777" w:rsidR="00E914DB" w:rsidRDefault="00E914DB" w:rsidP="003266F3">
      <w:pPr>
        <w:pStyle w:val="Reference"/>
      </w:pPr>
      <w:r w:rsidRPr="00E914DB">
        <w:t>For more information, see:</w:t>
      </w:r>
    </w:p>
    <w:p w14:paraId="699CDA63" w14:textId="77777777" w:rsidR="00E421E0" w:rsidRPr="00E421E0" w:rsidRDefault="00E421E0" w:rsidP="003266F3">
      <w:pPr>
        <w:pStyle w:val="Reference"/>
      </w:pPr>
      <w:r w:rsidRPr="00E421E0">
        <w:t>Ryan RM, Deci EL (2000) Self-determination theory and the facilitation of intrinsic motivation, social development, and wellbeing. American Psychologist 55(1): 68–78.</w:t>
      </w:r>
    </w:p>
    <w:p w14:paraId="4172E553" w14:textId="77777777" w:rsidR="00E421E0" w:rsidRPr="00E914DB" w:rsidRDefault="00E421E0" w:rsidP="003266F3">
      <w:pPr>
        <w:pStyle w:val="Reference"/>
      </w:pPr>
      <w:r w:rsidRPr="00E421E0">
        <w:t>Ryan RM, Deci EL (2017) Self-determination theory: Basic psychological needs in motivation, development, and wellness. New York: Guilford publications.</w:t>
      </w:r>
    </w:p>
    <w:p w14:paraId="6FD4876D" w14:textId="77777777" w:rsidR="005947EC" w:rsidRPr="007E4491" w:rsidRDefault="005947EC" w:rsidP="003266F3">
      <w:r w:rsidRPr="007E4491">
        <w:rPr>
          <w:b/>
        </w:rPr>
        <w:t xml:space="preserve">Self-efficacy. </w:t>
      </w:r>
      <w:r w:rsidR="007E4491">
        <w:t>Self-efficacy refers to an individual’s perception of his or her own ability in dealing with events, situations or circumstances.</w:t>
      </w:r>
    </w:p>
    <w:p w14:paraId="475C5E7A" w14:textId="77777777" w:rsidR="00E914DB" w:rsidRDefault="00E914DB" w:rsidP="003266F3">
      <w:pPr>
        <w:pStyle w:val="Reference"/>
      </w:pPr>
      <w:r w:rsidRPr="00E914DB">
        <w:t>For more information, see:</w:t>
      </w:r>
    </w:p>
    <w:p w14:paraId="3DA14E27" w14:textId="77777777" w:rsidR="007E4491" w:rsidRPr="00E914DB" w:rsidRDefault="007E4491" w:rsidP="003266F3">
      <w:pPr>
        <w:pStyle w:val="Reference"/>
      </w:pPr>
      <w:r>
        <w:t xml:space="preserve">Bandura, A (1982) </w:t>
      </w:r>
      <w:r w:rsidRPr="007E4491">
        <w:t>Self-Efficacy Mechanism in Human Agency. The American psychol</w:t>
      </w:r>
      <w:r>
        <w:t>ogist 37(</w:t>
      </w:r>
      <w:r w:rsidRPr="007E4491">
        <w:t>2</w:t>
      </w:r>
      <w:r>
        <w:t>): 122–147.</w:t>
      </w:r>
    </w:p>
    <w:p w14:paraId="70401438" w14:textId="77777777" w:rsidR="005947EC" w:rsidRPr="00755E24" w:rsidRDefault="005947EC" w:rsidP="003266F3">
      <w:r w:rsidRPr="008F1AA8">
        <w:rPr>
          <w:b/>
        </w:rPr>
        <w:t>Sensemaking.</w:t>
      </w:r>
      <w:r w:rsidRPr="00755E24">
        <w:t xml:space="preserve"> </w:t>
      </w:r>
      <w:r w:rsidR="008F1AA8">
        <w:t>Sensemaking is the process through which organizations and individuals retrospectively develop a rationalization for current actions.</w:t>
      </w:r>
    </w:p>
    <w:p w14:paraId="65549151" w14:textId="77777777" w:rsidR="00E914DB" w:rsidRDefault="00E914DB" w:rsidP="003266F3">
      <w:pPr>
        <w:pStyle w:val="Reference"/>
      </w:pPr>
      <w:r w:rsidRPr="00E914DB">
        <w:t>For more information, see:</w:t>
      </w:r>
    </w:p>
    <w:p w14:paraId="7857BCB2" w14:textId="77777777" w:rsidR="008F1AA8" w:rsidRPr="00E914DB" w:rsidRDefault="008F1AA8" w:rsidP="003266F3">
      <w:pPr>
        <w:pStyle w:val="Reference"/>
      </w:pPr>
      <w:r>
        <w:t xml:space="preserve">Weick KE, </w:t>
      </w:r>
      <w:r w:rsidRPr="008F1AA8">
        <w:t>Sutcliffe</w:t>
      </w:r>
      <w:r>
        <w:t xml:space="preserve"> KM</w:t>
      </w:r>
      <w:r w:rsidRPr="008F1AA8">
        <w:t>, Obstfeld</w:t>
      </w:r>
      <w:r>
        <w:t xml:space="preserve"> D (2005) </w:t>
      </w:r>
      <w:r w:rsidRPr="008F1AA8">
        <w:t xml:space="preserve">Organizing </w:t>
      </w:r>
      <w:r>
        <w:t>and the Process of Sensemaking.</w:t>
      </w:r>
      <w:r w:rsidRPr="008F1AA8">
        <w:t xml:space="preserve"> Organiza</w:t>
      </w:r>
      <w:r>
        <w:t xml:space="preserve">tion science </w:t>
      </w:r>
      <w:r w:rsidRPr="008F1AA8">
        <w:t>16</w:t>
      </w:r>
      <w:r>
        <w:t>(</w:t>
      </w:r>
      <w:r w:rsidRPr="008F1AA8">
        <w:t>4</w:t>
      </w:r>
      <w:r>
        <w:t xml:space="preserve">); </w:t>
      </w:r>
      <w:r w:rsidRPr="008F1AA8">
        <w:t>409–421.</w:t>
      </w:r>
    </w:p>
    <w:p w14:paraId="58EEE48F" w14:textId="77777777" w:rsidR="005947EC" w:rsidRPr="00755E24" w:rsidRDefault="005947EC" w:rsidP="003266F3">
      <w:r w:rsidRPr="00A84300">
        <w:rPr>
          <w:b/>
        </w:rPr>
        <w:t>Situated learning.</w:t>
      </w:r>
      <w:r w:rsidRPr="00755E24">
        <w:t xml:space="preserve"> </w:t>
      </w:r>
      <w:r w:rsidR="00A84300">
        <w:t>Situated learning in the organizational sphere refers to training which takes place in the work context.</w:t>
      </w:r>
    </w:p>
    <w:p w14:paraId="5FC3315E" w14:textId="77777777" w:rsidR="00E914DB" w:rsidRDefault="00E914DB" w:rsidP="003266F3">
      <w:pPr>
        <w:pStyle w:val="Reference"/>
      </w:pPr>
      <w:r w:rsidRPr="00E914DB">
        <w:t>For more information, see:</w:t>
      </w:r>
    </w:p>
    <w:p w14:paraId="5E49C0CF" w14:textId="77777777" w:rsidR="00E421E0" w:rsidRDefault="00E421E0" w:rsidP="003266F3">
      <w:pPr>
        <w:pStyle w:val="Reference"/>
      </w:pPr>
      <w:r w:rsidRPr="00E421E0">
        <w:t>Gherardi S, Nicolini D, Odella F (1998) Toward a social understanding of how people learn in organizations: The notion of situated curriculum. Management Learning 29(3): 273–297.</w:t>
      </w:r>
    </w:p>
    <w:p w14:paraId="4E76A0FC" w14:textId="77777777" w:rsidR="00C405A1" w:rsidRPr="00E914DB" w:rsidRDefault="00C405A1" w:rsidP="003266F3">
      <w:pPr>
        <w:pStyle w:val="Reference"/>
      </w:pPr>
      <w:r w:rsidRPr="00C405A1">
        <w:t>Ste</w:t>
      </w:r>
      <w:r>
        <w:t>in DS (2001)</w:t>
      </w:r>
      <w:r w:rsidRPr="00C405A1">
        <w:t xml:space="preserve"> Situated learning and planned training on the job. Advances in Deve</w:t>
      </w:r>
      <w:r>
        <w:t xml:space="preserve">loping Human Resources </w:t>
      </w:r>
      <w:r w:rsidRPr="00C405A1">
        <w:t>3(4):</w:t>
      </w:r>
      <w:r>
        <w:t xml:space="preserve"> </w:t>
      </w:r>
      <w:r w:rsidRPr="00C405A1">
        <w:t>415</w:t>
      </w:r>
      <w:r>
        <w:t>–4</w:t>
      </w:r>
      <w:r w:rsidRPr="00C405A1">
        <w:t>24.</w:t>
      </w:r>
    </w:p>
    <w:p w14:paraId="380AD0F1" w14:textId="77777777" w:rsidR="005947EC" w:rsidRPr="00755E24" w:rsidRDefault="005947EC" w:rsidP="003266F3">
      <w:r w:rsidRPr="006E1DF0">
        <w:rPr>
          <w:b/>
        </w:rPr>
        <w:t>Training transfer.</w:t>
      </w:r>
      <w:r w:rsidRPr="00755E24">
        <w:t xml:space="preserve"> </w:t>
      </w:r>
      <w:r w:rsidR="006E1DF0">
        <w:t>Training transfer means the application of trained knowledge and skills to everyday work.</w:t>
      </w:r>
    </w:p>
    <w:p w14:paraId="11FE8EE3" w14:textId="77777777" w:rsidR="00E914DB" w:rsidRDefault="00E914DB" w:rsidP="003266F3">
      <w:pPr>
        <w:pStyle w:val="Reference"/>
      </w:pPr>
      <w:r w:rsidRPr="00E914DB">
        <w:t>For more information, see:</w:t>
      </w:r>
    </w:p>
    <w:p w14:paraId="6DBC4C11" w14:textId="77777777" w:rsidR="00E914DB" w:rsidRDefault="00E914DB" w:rsidP="003266F3">
      <w:pPr>
        <w:pStyle w:val="Reference"/>
      </w:pPr>
      <w:r w:rsidRPr="00E914DB">
        <w:t>Dixit R, Sinha V (2022) Investigating tools and techniques to promote workplace training transfer. Journal of Workplace Learning 34(6): 513–531.</w:t>
      </w:r>
    </w:p>
    <w:p w14:paraId="6BBF0B74" w14:textId="77777777" w:rsidR="00E421E0" w:rsidRDefault="00E421E0" w:rsidP="003266F3">
      <w:pPr>
        <w:pStyle w:val="Reference"/>
      </w:pPr>
      <w:r w:rsidRPr="00E421E0">
        <w:t>Huang J, Ran S, Blume B (2017) Understanding training transfer from the adaptive performance perspective. In: Brown K (ed) The Cambridge Handbook of Workplace Training and Employee Development. Cambridge: Cambridge University Press, 75–97.</w:t>
      </w:r>
    </w:p>
    <w:p w14:paraId="1B2754E8" w14:textId="77777777" w:rsidR="00E421E0" w:rsidRPr="00E914DB" w:rsidRDefault="00E421E0" w:rsidP="003266F3">
      <w:pPr>
        <w:pStyle w:val="Reference"/>
      </w:pPr>
      <w:r w:rsidRPr="00E421E0">
        <w:t xml:space="preserve">Mehner L, </w:t>
      </w:r>
      <w:proofErr w:type="spellStart"/>
      <w:r w:rsidRPr="00E421E0">
        <w:t>Rothenbusch</w:t>
      </w:r>
      <w:proofErr w:type="spellEnd"/>
      <w:r w:rsidRPr="00E421E0">
        <w:t xml:space="preserve"> S, Kauffeld S (2024) How to maximize the impact of workplace training: a mixed-method analysis of social support, training transfer and knowledge sharing. European Journal </w:t>
      </w:r>
      <w:r w:rsidRPr="00E421E0">
        <w:lastRenderedPageBreak/>
        <w:t xml:space="preserve">of Work and Organizational Psychology. </w:t>
      </w:r>
      <w:proofErr w:type="spellStart"/>
      <w:r w:rsidRPr="00E421E0">
        <w:t>Epub</w:t>
      </w:r>
      <w:proofErr w:type="spellEnd"/>
      <w:r w:rsidRPr="00E421E0">
        <w:t xml:space="preserve"> ahead of print 6 Mar 2024. DOI: 10.1080/1359432X.2024.2319082.</w:t>
      </w:r>
    </w:p>
    <w:p w14:paraId="4EF1142F" w14:textId="77777777" w:rsidR="005947EC" w:rsidRPr="00AD2898" w:rsidRDefault="005947EC" w:rsidP="003266F3">
      <w:r w:rsidRPr="00AD2898">
        <w:rPr>
          <w:b/>
        </w:rPr>
        <w:t>Wellbeing.</w:t>
      </w:r>
      <w:r w:rsidRPr="00AD2898">
        <w:t xml:space="preserve"> </w:t>
      </w:r>
      <w:r w:rsidR="00AD2898" w:rsidRPr="00AD2898">
        <w:t>Workplace wellbeing refers to physical comfort and health, mental health, and positive attitudes towards work. It reaches beyond a momentary subjective state to view also the work context and the employees’ work-related confidence.</w:t>
      </w:r>
    </w:p>
    <w:p w14:paraId="11A028FE" w14:textId="77777777" w:rsidR="00E914DB" w:rsidRPr="00AD2898" w:rsidRDefault="00E914DB" w:rsidP="003266F3">
      <w:pPr>
        <w:pStyle w:val="Reference"/>
      </w:pPr>
      <w:r w:rsidRPr="00AD2898">
        <w:t>For more information, see:</w:t>
      </w:r>
    </w:p>
    <w:p w14:paraId="48514A8D" w14:textId="77777777" w:rsidR="00E421E0" w:rsidRPr="00AD2898" w:rsidRDefault="00E421E0" w:rsidP="003266F3">
      <w:pPr>
        <w:pStyle w:val="Reference"/>
      </w:pPr>
      <w:r w:rsidRPr="00AD2898">
        <w:t>Leiter MP, Cooper CL (2018) The state of the art of workplace wellbeing. In: Cooper C (ed) Current issues in work and organizational psychology. London: Routledge, 1–10.</w:t>
      </w:r>
    </w:p>
    <w:p w14:paraId="71A5D87D" w14:textId="77777777" w:rsidR="00E421E0" w:rsidRPr="00AD2898" w:rsidRDefault="00E421E0" w:rsidP="003266F3">
      <w:pPr>
        <w:pStyle w:val="Reference"/>
      </w:pPr>
      <w:r w:rsidRPr="00AD2898">
        <w:t>World Health Organization (2004) Promoting mental health: Concepts, emerging evidence, practice. Summary report. Geneva: World Health Organization.</w:t>
      </w:r>
    </w:p>
    <w:p w14:paraId="026F2861" w14:textId="77777777" w:rsidR="005947EC" w:rsidRPr="006A23A0" w:rsidRDefault="005947EC" w:rsidP="003266F3">
      <w:r w:rsidRPr="006A23A0">
        <w:rPr>
          <w:b/>
        </w:rPr>
        <w:t>Work and organizational psychology.</w:t>
      </w:r>
      <w:r w:rsidRPr="006A23A0">
        <w:t xml:space="preserve"> </w:t>
      </w:r>
      <w:r w:rsidR="006A23A0" w:rsidRPr="006A23A0">
        <w:t>Work and organizational psychology refers to the interconnection between work psychology, which focuses on individual employees and their wellbeing through issues such as career choices and health, and organizational psychology, which focuses on organizational prosperity through issues such as leadership and performance.</w:t>
      </w:r>
    </w:p>
    <w:p w14:paraId="7D6CB32D" w14:textId="77777777" w:rsidR="00E914DB" w:rsidRPr="006A23A0" w:rsidRDefault="00E914DB" w:rsidP="003266F3">
      <w:pPr>
        <w:pStyle w:val="Reference"/>
      </w:pPr>
      <w:r w:rsidRPr="006A23A0">
        <w:t>For more information, see:</w:t>
      </w:r>
    </w:p>
    <w:p w14:paraId="4E22D06B" w14:textId="77777777" w:rsidR="006A23A0" w:rsidRPr="006A23A0" w:rsidRDefault="006A23A0" w:rsidP="003266F3">
      <w:pPr>
        <w:pStyle w:val="Reference"/>
      </w:pPr>
      <w:r w:rsidRPr="006A23A0">
        <w:t xml:space="preserve">Chimel N, </w:t>
      </w:r>
      <w:proofErr w:type="spellStart"/>
      <w:r w:rsidRPr="006A23A0">
        <w:t>Fraccaroli</w:t>
      </w:r>
      <w:proofErr w:type="spellEnd"/>
      <w:r w:rsidRPr="006A23A0">
        <w:t xml:space="preserve"> F, Sverke M</w:t>
      </w:r>
      <w:r>
        <w:t xml:space="preserve"> (eds)</w:t>
      </w:r>
      <w:r w:rsidRPr="006A23A0">
        <w:t xml:space="preserve"> (2017) An Introduction to Work and Organizational Psychology: An International Perspective. John Wiley &amp; Sons</w:t>
      </w:r>
      <w:r>
        <w:t>.</w:t>
      </w:r>
    </w:p>
    <w:p w14:paraId="28A26839" w14:textId="77777777" w:rsidR="005947EC" w:rsidRPr="00755E24" w:rsidRDefault="005947EC" w:rsidP="003266F3">
      <w:r w:rsidRPr="00FA5605">
        <w:rPr>
          <w:b/>
        </w:rPr>
        <w:t>Workplace mediation.</w:t>
      </w:r>
      <w:r w:rsidR="00FA5605">
        <w:t xml:space="preserve"> Workplace mediation is an organizational practice aiming at resolving workplace conflicts constructively and non-judicially.</w:t>
      </w:r>
    </w:p>
    <w:p w14:paraId="798513E4" w14:textId="77777777" w:rsidR="00E914DB" w:rsidRDefault="00E914DB" w:rsidP="003266F3">
      <w:pPr>
        <w:pStyle w:val="Reference"/>
      </w:pPr>
      <w:r w:rsidRPr="00E914DB">
        <w:t>For more information, see:</w:t>
      </w:r>
    </w:p>
    <w:p w14:paraId="01591315" w14:textId="77777777" w:rsidR="00E914DB" w:rsidRPr="00E914DB" w:rsidRDefault="00E914DB" w:rsidP="003266F3">
      <w:pPr>
        <w:pStyle w:val="Reference"/>
      </w:pPr>
      <w:r w:rsidRPr="00E914DB">
        <w:t xml:space="preserve">Bollen K, </w:t>
      </w:r>
      <w:proofErr w:type="spellStart"/>
      <w:r w:rsidRPr="00E914DB">
        <w:t>Euwema</w:t>
      </w:r>
      <w:proofErr w:type="spellEnd"/>
      <w:r w:rsidRPr="00E914DB">
        <w:t xml:space="preserve"> M (2013) Workplace mediation: An underdeveloped research area. Negotiation Journal 29(3): 329–353.</w:t>
      </w:r>
    </w:p>
    <w:p w14:paraId="513DCCD7" w14:textId="77777777" w:rsidR="005947EC" w:rsidRPr="00AD2898" w:rsidRDefault="005947EC" w:rsidP="003266F3">
      <w:r w:rsidRPr="00AD2898">
        <w:rPr>
          <w:b/>
        </w:rPr>
        <w:t>Workplace training.</w:t>
      </w:r>
      <w:r w:rsidRPr="00AD2898">
        <w:t xml:space="preserve"> </w:t>
      </w:r>
      <w:r w:rsidR="00140BDF" w:rsidRPr="00AD2898">
        <w:t>Workplace training is a dedicated effort toward developing</w:t>
      </w:r>
      <w:r w:rsidR="00AD2898" w:rsidRPr="00AD2898">
        <w:t xml:space="preserve"> the</w:t>
      </w:r>
      <w:r w:rsidR="00140BDF" w:rsidRPr="00AD2898">
        <w:t xml:space="preserve"> skills</w:t>
      </w:r>
      <w:r w:rsidR="00AD2898" w:rsidRPr="00AD2898">
        <w:t xml:space="preserve"> employees need</w:t>
      </w:r>
      <w:r w:rsidR="00140BDF" w:rsidRPr="00AD2898">
        <w:t xml:space="preserve"> on the job, most often initiated and paid for by employers.</w:t>
      </w:r>
    </w:p>
    <w:p w14:paraId="4AE8477F" w14:textId="77777777" w:rsidR="00E914DB" w:rsidRPr="00AD2898" w:rsidRDefault="00E914DB" w:rsidP="003266F3">
      <w:pPr>
        <w:pStyle w:val="Reference"/>
      </w:pPr>
      <w:r w:rsidRPr="00AD2898">
        <w:t>For more information, see:</w:t>
      </w:r>
    </w:p>
    <w:p w14:paraId="4C0BADF3" w14:textId="77777777" w:rsidR="00E421E0" w:rsidRPr="0082718A" w:rsidRDefault="00AD2898" w:rsidP="003266F3">
      <w:pPr>
        <w:pStyle w:val="Reference"/>
        <w:rPr>
          <w:highlight w:val="yellow"/>
        </w:rPr>
      </w:pPr>
      <w:proofErr w:type="spellStart"/>
      <w:r w:rsidRPr="00AD2898">
        <w:t>Bassanini</w:t>
      </w:r>
      <w:proofErr w:type="spellEnd"/>
      <w:r w:rsidRPr="00AD2898">
        <w:t xml:space="preserve"> A, Booth AL, B</w:t>
      </w:r>
      <w:r>
        <w:t>runello G, De Paola M, Leuven E (2005)</w:t>
      </w:r>
      <w:r w:rsidRPr="00AD2898">
        <w:t xml:space="preserve"> Workplace training in Europe. Avail</w:t>
      </w:r>
      <w:r>
        <w:t>able at SSRN 756405.</w:t>
      </w:r>
    </w:p>
    <w:p w14:paraId="771D22CF" w14:textId="77777777" w:rsidR="005947EC" w:rsidRPr="00140BDF" w:rsidRDefault="005947EC" w:rsidP="003266F3">
      <w:r w:rsidRPr="00140BDF">
        <w:rPr>
          <w:b/>
        </w:rPr>
        <w:t>Writing-in-interaction.</w:t>
      </w:r>
      <w:r w:rsidRPr="00140BDF">
        <w:rPr>
          <w:i/>
        </w:rPr>
        <w:t xml:space="preserve"> </w:t>
      </w:r>
      <w:r w:rsidR="00140BDF" w:rsidRPr="00140BDF">
        <w:t>Writing-in-interaction studies writing as a social activity focusing on the interactive process of writing – preferably by hand – rather than the textual product.</w:t>
      </w:r>
      <w:r w:rsidRPr="00140BDF">
        <w:t xml:space="preserve"> </w:t>
      </w:r>
    </w:p>
    <w:p w14:paraId="33CD4FBE" w14:textId="77777777" w:rsidR="00E914DB" w:rsidRPr="00140BDF" w:rsidRDefault="00E914DB" w:rsidP="003266F3">
      <w:pPr>
        <w:pStyle w:val="Reference"/>
      </w:pPr>
      <w:r w:rsidRPr="00140BDF">
        <w:t>For more information, see:</w:t>
      </w:r>
    </w:p>
    <w:p w14:paraId="6678FF44" w14:textId="77777777" w:rsidR="00E421E0" w:rsidRPr="00140BDF" w:rsidRDefault="00E421E0" w:rsidP="003266F3">
      <w:pPr>
        <w:pStyle w:val="Reference"/>
      </w:pPr>
      <w:proofErr w:type="spellStart"/>
      <w:r w:rsidRPr="00140BDF">
        <w:t>Mondada</w:t>
      </w:r>
      <w:proofErr w:type="spellEnd"/>
      <w:r w:rsidRPr="00140BDF">
        <w:t xml:space="preserve"> L, </w:t>
      </w:r>
      <w:proofErr w:type="spellStart"/>
      <w:r w:rsidRPr="00140BDF">
        <w:t>Svinhufvud</w:t>
      </w:r>
      <w:proofErr w:type="spellEnd"/>
      <w:r w:rsidRPr="00140BDF">
        <w:t xml:space="preserve"> K (2016) Writing-in-interaction: Studying writing as a multimodal phenomenon in social interaction. Language and Dialogue 6(1): 1–53.</w:t>
      </w:r>
    </w:p>
    <w:p w14:paraId="4AE5CC56" w14:textId="77777777" w:rsidR="00E914DB" w:rsidRDefault="00E421E0" w:rsidP="003266F3">
      <w:pPr>
        <w:pStyle w:val="Reference"/>
      </w:pPr>
      <w:r w:rsidRPr="00140BDF">
        <w:t>Nissi R, Lehtinen E (2022) Digital documenting practices: Collaborative writing in workplace training. Written Communication 39(4): 564–599.</w:t>
      </w:r>
    </w:p>
    <w:sectPr w:rsidR="00E914DB">
      <w:headerReference w:type="even" r:id="rId7"/>
      <w:headerReference w:type="default" r:id="rId8"/>
      <w:footerReference w:type="even" r:id="rId9"/>
      <w:footerReference w:type="default" r:id="rId10"/>
      <w:headerReference w:type="first" r:id="rId11"/>
      <w:footerReference w:type="first" r:id="rId12"/>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A4AB2" w14:textId="77777777" w:rsidR="00F30820" w:rsidRDefault="00F30820">
      <w:pPr>
        <w:spacing w:after="0" w:line="240" w:lineRule="auto"/>
      </w:pPr>
      <w:r>
        <w:separator/>
      </w:r>
    </w:p>
  </w:endnote>
  <w:endnote w:type="continuationSeparator" w:id="0">
    <w:p w14:paraId="096D7A70" w14:textId="77777777" w:rsidR="00F30820" w:rsidRDefault="00F30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4E7AC6" w14:textId="77777777" w:rsidR="00000000" w:rsidRDefault="00000000" w:rsidP="003266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BE064E" w14:textId="77777777" w:rsidR="00000000" w:rsidRDefault="00000000" w:rsidP="003266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4AF73" w14:textId="77777777" w:rsidR="00000000" w:rsidRDefault="00000000" w:rsidP="00326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C01BD" w14:textId="77777777" w:rsidR="00F30820" w:rsidRDefault="00F30820">
      <w:pPr>
        <w:spacing w:after="0" w:line="240" w:lineRule="auto"/>
      </w:pPr>
      <w:r>
        <w:separator/>
      </w:r>
    </w:p>
  </w:footnote>
  <w:footnote w:type="continuationSeparator" w:id="0">
    <w:p w14:paraId="12D1056F" w14:textId="77777777" w:rsidR="00F30820" w:rsidRDefault="00F30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1EF65" w14:textId="77777777" w:rsidR="00000000" w:rsidRDefault="00000000" w:rsidP="003266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EF217" w14:textId="77777777" w:rsidR="00000000" w:rsidRDefault="00000000" w:rsidP="003266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92EF2" w14:textId="77777777" w:rsidR="00000000" w:rsidRDefault="00000000" w:rsidP="003266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62214"/>
    <w:multiLevelType w:val="multilevel"/>
    <w:tmpl w:val="1CF2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A79EE"/>
    <w:multiLevelType w:val="hybridMultilevel"/>
    <w:tmpl w:val="C3449E5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10A51A2"/>
    <w:multiLevelType w:val="hybridMultilevel"/>
    <w:tmpl w:val="ECDA2B2E"/>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24550C68"/>
    <w:multiLevelType w:val="hybridMultilevel"/>
    <w:tmpl w:val="31C480A6"/>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25E27EAC"/>
    <w:multiLevelType w:val="multilevel"/>
    <w:tmpl w:val="C912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5B7C4F"/>
    <w:multiLevelType w:val="hybridMultilevel"/>
    <w:tmpl w:val="479225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5C32832"/>
    <w:multiLevelType w:val="hybridMultilevel"/>
    <w:tmpl w:val="9782C26A"/>
    <w:lvl w:ilvl="0" w:tplc="F6E0B882">
      <w:start w:val="1"/>
      <w:numFmt w:val="bullet"/>
      <w:lvlText w:val=""/>
      <w:lvlJc w:val="left"/>
      <w:pPr>
        <w:tabs>
          <w:tab w:val="num" w:pos="720"/>
        </w:tabs>
        <w:ind w:left="720" w:hanging="360"/>
      </w:pPr>
      <w:rPr>
        <w:rFonts w:ascii="Symbol" w:hAnsi="Symbol" w:hint="default"/>
      </w:rPr>
    </w:lvl>
    <w:lvl w:ilvl="1" w:tplc="067AF494" w:tentative="1">
      <w:start w:val="1"/>
      <w:numFmt w:val="bullet"/>
      <w:lvlText w:val=""/>
      <w:lvlJc w:val="left"/>
      <w:pPr>
        <w:tabs>
          <w:tab w:val="num" w:pos="1440"/>
        </w:tabs>
        <w:ind w:left="1440" w:hanging="360"/>
      </w:pPr>
      <w:rPr>
        <w:rFonts w:ascii="Symbol" w:hAnsi="Symbol" w:hint="default"/>
      </w:rPr>
    </w:lvl>
    <w:lvl w:ilvl="2" w:tplc="8FB2405E" w:tentative="1">
      <w:start w:val="1"/>
      <w:numFmt w:val="bullet"/>
      <w:lvlText w:val=""/>
      <w:lvlJc w:val="left"/>
      <w:pPr>
        <w:tabs>
          <w:tab w:val="num" w:pos="2160"/>
        </w:tabs>
        <w:ind w:left="2160" w:hanging="360"/>
      </w:pPr>
      <w:rPr>
        <w:rFonts w:ascii="Symbol" w:hAnsi="Symbol" w:hint="default"/>
      </w:rPr>
    </w:lvl>
    <w:lvl w:ilvl="3" w:tplc="AAF04C9A" w:tentative="1">
      <w:start w:val="1"/>
      <w:numFmt w:val="bullet"/>
      <w:lvlText w:val=""/>
      <w:lvlJc w:val="left"/>
      <w:pPr>
        <w:tabs>
          <w:tab w:val="num" w:pos="2880"/>
        </w:tabs>
        <w:ind w:left="2880" w:hanging="360"/>
      </w:pPr>
      <w:rPr>
        <w:rFonts w:ascii="Symbol" w:hAnsi="Symbol" w:hint="default"/>
      </w:rPr>
    </w:lvl>
    <w:lvl w:ilvl="4" w:tplc="2D52236A" w:tentative="1">
      <w:start w:val="1"/>
      <w:numFmt w:val="bullet"/>
      <w:lvlText w:val=""/>
      <w:lvlJc w:val="left"/>
      <w:pPr>
        <w:tabs>
          <w:tab w:val="num" w:pos="3600"/>
        </w:tabs>
        <w:ind w:left="3600" w:hanging="360"/>
      </w:pPr>
      <w:rPr>
        <w:rFonts w:ascii="Symbol" w:hAnsi="Symbol" w:hint="default"/>
      </w:rPr>
    </w:lvl>
    <w:lvl w:ilvl="5" w:tplc="FA44A2F8" w:tentative="1">
      <w:start w:val="1"/>
      <w:numFmt w:val="bullet"/>
      <w:lvlText w:val=""/>
      <w:lvlJc w:val="left"/>
      <w:pPr>
        <w:tabs>
          <w:tab w:val="num" w:pos="4320"/>
        </w:tabs>
        <w:ind w:left="4320" w:hanging="360"/>
      </w:pPr>
      <w:rPr>
        <w:rFonts w:ascii="Symbol" w:hAnsi="Symbol" w:hint="default"/>
      </w:rPr>
    </w:lvl>
    <w:lvl w:ilvl="6" w:tplc="80665DC8" w:tentative="1">
      <w:start w:val="1"/>
      <w:numFmt w:val="bullet"/>
      <w:lvlText w:val=""/>
      <w:lvlJc w:val="left"/>
      <w:pPr>
        <w:tabs>
          <w:tab w:val="num" w:pos="5040"/>
        </w:tabs>
        <w:ind w:left="5040" w:hanging="360"/>
      </w:pPr>
      <w:rPr>
        <w:rFonts w:ascii="Symbol" w:hAnsi="Symbol" w:hint="default"/>
      </w:rPr>
    </w:lvl>
    <w:lvl w:ilvl="7" w:tplc="3FE472B6" w:tentative="1">
      <w:start w:val="1"/>
      <w:numFmt w:val="bullet"/>
      <w:lvlText w:val=""/>
      <w:lvlJc w:val="left"/>
      <w:pPr>
        <w:tabs>
          <w:tab w:val="num" w:pos="5760"/>
        </w:tabs>
        <w:ind w:left="5760" w:hanging="360"/>
      </w:pPr>
      <w:rPr>
        <w:rFonts w:ascii="Symbol" w:hAnsi="Symbol" w:hint="default"/>
      </w:rPr>
    </w:lvl>
    <w:lvl w:ilvl="8" w:tplc="552007C8"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D204C3"/>
    <w:multiLevelType w:val="hybridMultilevel"/>
    <w:tmpl w:val="BCA81BB6"/>
    <w:lvl w:ilvl="0" w:tplc="926CC5E0">
      <w:start w:val="1"/>
      <w:numFmt w:val="bullet"/>
      <w:lvlText w:val=""/>
      <w:lvlJc w:val="left"/>
      <w:pPr>
        <w:tabs>
          <w:tab w:val="num" w:pos="720"/>
        </w:tabs>
        <w:ind w:left="720" w:hanging="360"/>
      </w:pPr>
      <w:rPr>
        <w:rFonts w:ascii="Symbol" w:hAnsi="Symbol" w:hint="default"/>
      </w:rPr>
    </w:lvl>
    <w:lvl w:ilvl="1" w:tplc="D0E47B50" w:tentative="1">
      <w:start w:val="1"/>
      <w:numFmt w:val="bullet"/>
      <w:lvlText w:val=""/>
      <w:lvlJc w:val="left"/>
      <w:pPr>
        <w:tabs>
          <w:tab w:val="num" w:pos="1440"/>
        </w:tabs>
        <w:ind w:left="1440" w:hanging="360"/>
      </w:pPr>
      <w:rPr>
        <w:rFonts w:ascii="Symbol" w:hAnsi="Symbol" w:hint="default"/>
      </w:rPr>
    </w:lvl>
    <w:lvl w:ilvl="2" w:tplc="373EAD04" w:tentative="1">
      <w:start w:val="1"/>
      <w:numFmt w:val="bullet"/>
      <w:lvlText w:val=""/>
      <w:lvlJc w:val="left"/>
      <w:pPr>
        <w:tabs>
          <w:tab w:val="num" w:pos="2160"/>
        </w:tabs>
        <w:ind w:left="2160" w:hanging="360"/>
      </w:pPr>
      <w:rPr>
        <w:rFonts w:ascii="Symbol" w:hAnsi="Symbol" w:hint="default"/>
      </w:rPr>
    </w:lvl>
    <w:lvl w:ilvl="3" w:tplc="1E865494" w:tentative="1">
      <w:start w:val="1"/>
      <w:numFmt w:val="bullet"/>
      <w:lvlText w:val=""/>
      <w:lvlJc w:val="left"/>
      <w:pPr>
        <w:tabs>
          <w:tab w:val="num" w:pos="2880"/>
        </w:tabs>
        <w:ind w:left="2880" w:hanging="360"/>
      </w:pPr>
      <w:rPr>
        <w:rFonts w:ascii="Symbol" w:hAnsi="Symbol" w:hint="default"/>
      </w:rPr>
    </w:lvl>
    <w:lvl w:ilvl="4" w:tplc="4056AEA8" w:tentative="1">
      <w:start w:val="1"/>
      <w:numFmt w:val="bullet"/>
      <w:lvlText w:val=""/>
      <w:lvlJc w:val="left"/>
      <w:pPr>
        <w:tabs>
          <w:tab w:val="num" w:pos="3600"/>
        </w:tabs>
        <w:ind w:left="3600" w:hanging="360"/>
      </w:pPr>
      <w:rPr>
        <w:rFonts w:ascii="Symbol" w:hAnsi="Symbol" w:hint="default"/>
      </w:rPr>
    </w:lvl>
    <w:lvl w:ilvl="5" w:tplc="F12CCF30" w:tentative="1">
      <w:start w:val="1"/>
      <w:numFmt w:val="bullet"/>
      <w:lvlText w:val=""/>
      <w:lvlJc w:val="left"/>
      <w:pPr>
        <w:tabs>
          <w:tab w:val="num" w:pos="4320"/>
        </w:tabs>
        <w:ind w:left="4320" w:hanging="360"/>
      </w:pPr>
      <w:rPr>
        <w:rFonts w:ascii="Symbol" w:hAnsi="Symbol" w:hint="default"/>
      </w:rPr>
    </w:lvl>
    <w:lvl w:ilvl="6" w:tplc="F198E1A6" w:tentative="1">
      <w:start w:val="1"/>
      <w:numFmt w:val="bullet"/>
      <w:lvlText w:val=""/>
      <w:lvlJc w:val="left"/>
      <w:pPr>
        <w:tabs>
          <w:tab w:val="num" w:pos="5040"/>
        </w:tabs>
        <w:ind w:left="5040" w:hanging="360"/>
      </w:pPr>
      <w:rPr>
        <w:rFonts w:ascii="Symbol" w:hAnsi="Symbol" w:hint="default"/>
      </w:rPr>
    </w:lvl>
    <w:lvl w:ilvl="7" w:tplc="171CECAC" w:tentative="1">
      <w:start w:val="1"/>
      <w:numFmt w:val="bullet"/>
      <w:lvlText w:val=""/>
      <w:lvlJc w:val="left"/>
      <w:pPr>
        <w:tabs>
          <w:tab w:val="num" w:pos="5760"/>
        </w:tabs>
        <w:ind w:left="5760" w:hanging="360"/>
      </w:pPr>
      <w:rPr>
        <w:rFonts w:ascii="Symbol" w:hAnsi="Symbol" w:hint="default"/>
      </w:rPr>
    </w:lvl>
    <w:lvl w:ilvl="8" w:tplc="3B7EB65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AA842C6"/>
    <w:multiLevelType w:val="hybridMultilevel"/>
    <w:tmpl w:val="C6DED5C8"/>
    <w:lvl w:ilvl="0" w:tplc="F9BAF342">
      <w:start w:val="1"/>
      <w:numFmt w:val="bullet"/>
      <w:lvlText w:val=""/>
      <w:lvlJc w:val="left"/>
      <w:pPr>
        <w:tabs>
          <w:tab w:val="num" w:pos="720"/>
        </w:tabs>
        <w:ind w:left="720" w:hanging="360"/>
      </w:pPr>
      <w:rPr>
        <w:rFonts w:ascii="Symbol" w:hAnsi="Symbol" w:hint="default"/>
      </w:rPr>
    </w:lvl>
    <w:lvl w:ilvl="1" w:tplc="B6382F3E" w:tentative="1">
      <w:start w:val="1"/>
      <w:numFmt w:val="bullet"/>
      <w:lvlText w:val=""/>
      <w:lvlJc w:val="left"/>
      <w:pPr>
        <w:tabs>
          <w:tab w:val="num" w:pos="1440"/>
        </w:tabs>
        <w:ind w:left="1440" w:hanging="360"/>
      </w:pPr>
      <w:rPr>
        <w:rFonts w:ascii="Symbol" w:hAnsi="Symbol" w:hint="default"/>
      </w:rPr>
    </w:lvl>
    <w:lvl w:ilvl="2" w:tplc="AA285FD2" w:tentative="1">
      <w:start w:val="1"/>
      <w:numFmt w:val="bullet"/>
      <w:lvlText w:val=""/>
      <w:lvlJc w:val="left"/>
      <w:pPr>
        <w:tabs>
          <w:tab w:val="num" w:pos="2160"/>
        </w:tabs>
        <w:ind w:left="2160" w:hanging="360"/>
      </w:pPr>
      <w:rPr>
        <w:rFonts w:ascii="Symbol" w:hAnsi="Symbol" w:hint="default"/>
      </w:rPr>
    </w:lvl>
    <w:lvl w:ilvl="3" w:tplc="72AEF3FE" w:tentative="1">
      <w:start w:val="1"/>
      <w:numFmt w:val="bullet"/>
      <w:lvlText w:val=""/>
      <w:lvlJc w:val="left"/>
      <w:pPr>
        <w:tabs>
          <w:tab w:val="num" w:pos="2880"/>
        </w:tabs>
        <w:ind w:left="2880" w:hanging="360"/>
      </w:pPr>
      <w:rPr>
        <w:rFonts w:ascii="Symbol" w:hAnsi="Symbol" w:hint="default"/>
      </w:rPr>
    </w:lvl>
    <w:lvl w:ilvl="4" w:tplc="E4D2EC4A" w:tentative="1">
      <w:start w:val="1"/>
      <w:numFmt w:val="bullet"/>
      <w:lvlText w:val=""/>
      <w:lvlJc w:val="left"/>
      <w:pPr>
        <w:tabs>
          <w:tab w:val="num" w:pos="3600"/>
        </w:tabs>
        <w:ind w:left="3600" w:hanging="360"/>
      </w:pPr>
      <w:rPr>
        <w:rFonts w:ascii="Symbol" w:hAnsi="Symbol" w:hint="default"/>
      </w:rPr>
    </w:lvl>
    <w:lvl w:ilvl="5" w:tplc="58C4D652" w:tentative="1">
      <w:start w:val="1"/>
      <w:numFmt w:val="bullet"/>
      <w:lvlText w:val=""/>
      <w:lvlJc w:val="left"/>
      <w:pPr>
        <w:tabs>
          <w:tab w:val="num" w:pos="4320"/>
        </w:tabs>
        <w:ind w:left="4320" w:hanging="360"/>
      </w:pPr>
      <w:rPr>
        <w:rFonts w:ascii="Symbol" w:hAnsi="Symbol" w:hint="default"/>
      </w:rPr>
    </w:lvl>
    <w:lvl w:ilvl="6" w:tplc="B91E6B88" w:tentative="1">
      <w:start w:val="1"/>
      <w:numFmt w:val="bullet"/>
      <w:lvlText w:val=""/>
      <w:lvlJc w:val="left"/>
      <w:pPr>
        <w:tabs>
          <w:tab w:val="num" w:pos="5040"/>
        </w:tabs>
        <w:ind w:left="5040" w:hanging="360"/>
      </w:pPr>
      <w:rPr>
        <w:rFonts w:ascii="Symbol" w:hAnsi="Symbol" w:hint="default"/>
      </w:rPr>
    </w:lvl>
    <w:lvl w:ilvl="7" w:tplc="D2989706" w:tentative="1">
      <w:start w:val="1"/>
      <w:numFmt w:val="bullet"/>
      <w:lvlText w:val=""/>
      <w:lvlJc w:val="left"/>
      <w:pPr>
        <w:tabs>
          <w:tab w:val="num" w:pos="5760"/>
        </w:tabs>
        <w:ind w:left="5760" w:hanging="360"/>
      </w:pPr>
      <w:rPr>
        <w:rFonts w:ascii="Symbol" w:hAnsi="Symbol" w:hint="default"/>
      </w:rPr>
    </w:lvl>
    <w:lvl w:ilvl="8" w:tplc="283CC7F8"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4AB25F74"/>
    <w:multiLevelType w:val="hybridMultilevel"/>
    <w:tmpl w:val="47F62A0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4F1771B6"/>
    <w:multiLevelType w:val="multilevel"/>
    <w:tmpl w:val="2790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771CA1"/>
    <w:multiLevelType w:val="multilevel"/>
    <w:tmpl w:val="08F27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1E17753"/>
    <w:multiLevelType w:val="hybridMultilevel"/>
    <w:tmpl w:val="DA6C0AF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5473108A"/>
    <w:multiLevelType w:val="hybridMultilevel"/>
    <w:tmpl w:val="41F81FD0"/>
    <w:lvl w:ilvl="0" w:tplc="DFD6D2BC">
      <w:start w:val="1"/>
      <w:numFmt w:val="bullet"/>
      <w:lvlText w:val=""/>
      <w:lvlJc w:val="left"/>
      <w:pPr>
        <w:tabs>
          <w:tab w:val="num" w:pos="720"/>
        </w:tabs>
        <w:ind w:left="720" w:hanging="360"/>
      </w:pPr>
      <w:rPr>
        <w:rFonts w:ascii="Symbol" w:hAnsi="Symbol" w:hint="default"/>
      </w:rPr>
    </w:lvl>
    <w:lvl w:ilvl="1" w:tplc="154C5AA2" w:tentative="1">
      <w:start w:val="1"/>
      <w:numFmt w:val="bullet"/>
      <w:lvlText w:val=""/>
      <w:lvlJc w:val="left"/>
      <w:pPr>
        <w:tabs>
          <w:tab w:val="num" w:pos="1440"/>
        </w:tabs>
        <w:ind w:left="1440" w:hanging="360"/>
      </w:pPr>
      <w:rPr>
        <w:rFonts w:ascii="Symbol" w:hAnsi="Symbol" w:hint="default"/>
      </w:rPr>
    </w:lvl>
    <w:lvl w:ilvl="2" w:tplc="78420BFC" w:tentative="1">
      <w:start w:val="1"/>
      <w:numFmt w:val="bullet"/>
      <w:lvlText w:val=""/>
      <w:lvlJc w:val="left"/>
      <w:pPr>
        <w:tabs>
          <w:tab w:val="num" w:pos="2160"/>
        </w:tabs>
        <w:ind w:left="2160" w:hanging="360"/>
      </w:pPr>
      <w:rPr>
        <w:rFonts w:ascii="Symbol" w:hAnsi="Symbol" w:hint="default"/>
      </w:rPr>
    </w:lvl>
    <w:lvl w:ilvl="3" w:tplc="11AEA9C2" w:tentative="1">
      <w:start w:val="1"/>
      <w:numFmt w:val="bullet"/>
      <w:lvlText w:val=""/>
      <w:lvlJc w:val="left"/>
      <w:pPr>
        <w:tabs>
          <w:tab w:val="num" w:pos="2880"/>
        </w:tabs>
        <w:ind w:left="2880" w:hanging="360"/>
      </w:pPr>
      <w:rPr>
        <w:rFonts w:ascii="Symbol" w:hAnsi="Symbol" w:hint="default"/>
      </w:rPr>
    </w:lvl>
    <w:lvl w:ilvl="4" w:tplc="F00CAA64" w:tentative="1">
      <w:start w:val="1"/>
      <w:numFmt w:val="bullet"/>
      <w:lvlText w:val=""/>
      <w:lvlJc w:val="left"/>
      <w:pPr>
        <w:tabs>
          <w:tab w:val="num" w:pos="3600"/>
        </w:tabs>
        <w:ind w:left="3600" w:hanging="360"/>
      </w:pPr>
      <w:rPr>
        <w:rFonts w:ascii="Symbol" w:hAnsi="Symbol" w:hint="default"/>
      </w:rPr>
    </w:lvl>
    <w:lvl w:ilvl="5" w:tplc="5F944C64" w:tentative="1">
      <w:start w:val="1"/>
      <w:numFmt w:val="bullet"/>
      <w:lvlText w:val=""/>
      <w:lvlJc w:val="left"/>
      <w:pPr>
        <w:tabs>
          <w:tab w:val="num" w:pos="4320"/>
        </w:tabs>
        <w:ind w:left="4320" w:hanging="360"/>
      </w:pPr>
      <w:rPr>
        <w:rFonts w:ascii="Symbol" w:hAnsi="Symbol" w:hint="default"/>
      </w:rPr>
    </w:lvl>
    <w:lvl w:ilvl="6" w:tplc="E5B032DC" w:tentative="1">
      <w:start w:val="1"/>
      <w:numFmt w:val="bullet"/>
      <w:lvlText w:val=""/>
      <w:lvlJc w:val="left"/>
      <w:pPr>
        <w:tabs>
          <w:tab w:val="num" w:pos="5040"/>
        </w:tabs>
        <w:ind w:left="5040" w:hanging="360"/>
      </w:pPr>
      <w:rPr>
        <w:rFonts w:ascii="Symbol" w:hAnsi="Symbol" w:hint="default"/>
      </w:rPr>
    </w:lvl>
    <w:lvl w:ilvl="7" w:tplc="89D42BFC" w:tentative="1">
      <w:start w:val="1"/>
      <w:numFmt w:val="bullet"/>
      <w:lvlText w:val=""/>
      <w:lvlJc w:val="left"/>
      <w:pPr>
        <w:tabs>
          <w:tab w:val="num" w:pos="5760"/>
        </w:tabs>
        <w:ind w:left="5760" w:hanging="360"/>
      </w:pPr>
      <w:rPr>
        <w:rFonts w:ascii="Symbol" w:hAnsi="Symbol" w:hint="default"/>
      </w:rPr>
    </w:lvl>
    <w:lvl w:ilvl="8" w:tplc="BC686D80"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C114124"/>
    <w:multiLevelType w:val="hybridMultilevel"/>
    <w:tmpl w:val="9B56B19C"/>
    <w:lvl w:ilvl="0" w:tplc="040B0011">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5D490D1B"/>
    <w:multiLevelType w:val="hybridMultilevel"/>
    <w:tmpl w:val="FEE2D95A"/>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66F34602"/>
    <w:multiLevelType w:val="hybridMultilevel"/>
    <w:tmpl w:val="ECDA2B2E"/>
    <w:lvl w:ilvl="0" w:tplc="040B0011">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7" w15:restartNumberingAfterBreak="0">
    <w:nsid w:val="6CBE07E1"/>
    <w:multiLevelType w:val="multilevel"/>
    <w:tmpl w:val="C0CE1934"/>
    <w:lvl w:ilvl="0">
      <w:start w:val="1"/>
      <w:numFmt w:val="decimal"/>
      <w:lvlText w:val="%1."/>
      <w:lvlJc w:val="left"/>
      <w:pPr>
        <w:ind w:left="360" w:hanging="360"/>
      </w:pPr>
      <w:rPr>
        <w:lang w:val="en-US"/>
      </w:rPr>
    </w:lvl>
    <w:lvl w:ilvl="1">
      <w:start w:val="1"/>
      <w:numFmt w:val="decimal"/>
      <w:pStyle w:val="Heading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30388C"/>
    <w:multiLevelType w:val="hybridMultilevel"/>
    <w:tmpl w:val="17580D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7CB15A39"/>
    <w:multiLevelType w:val="multilevel"/>
    <w:tmpl w:val="2A5C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CD0D43"/>
    <w:multiLevelType w:val="hybridMultilevel"/>
    <w:tmpl w:val="E0268C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788885577">
    <w:abstractNumId w:val="5"/>
  </w:num>
  <w:num w:numId="2" w16cid:durableId="1990556263">
    <w:abstractNumId w:val="17"/>
  </w:num>
  <w:num w:numId="3" w16cid:durableId="2138833630">
    <w:abstractNumId w:val="1"/>
  </w:num>
  <w:num w:numId="4" w16cid:durableId="1635408629">
    <w:abstractNumId w:val="3"/>
  </w:num>
  <w:num w:numId="5" w16cid:durableId="799151636">
    <w:abstractNumId w:val="11"/>
  </w:num>
  <w:num w:numId="6" w16cid:durableId="54596504">
    <w:abstractNumId w:val="15"/>
  </w:num>
  <w:num w:numId="7" w16cid:durableId="1278830694">
    <w:abstractNumId w:val="14"/>
  </w:num>
  <w:num w:numId="8" w16cid:durableId="1678073668">
    <w:abstractNumId w:val="18"/>
  </w:num>
  <w:num w:numId="9" w16cid:durableId="2074817008">
    <w:abstractNumId w:val="20"/>
  </w:num>
  <w:num w:numId="10" w16cid:durableId="134107961">
    <w:abstractNumId w:val="2"/>
  </w:num>
  <w:num w:numId="11" w16cid:durableId="142476370">
    <w:abstractNumId w:val="16"/>
  </w:num>
  <w:num w:numId="12" w16cid:durableId="391584124">
    <w:abstractNumId w:val="12"/>
  </w:num>
  <w:num w:numId="13" w16cid:durableId="1874002749">
    <w:abstractNumId w:val="6"/>
  </w:num>
  <w:num w:numId="14" w16cid:durableId="1786581375">
    <w:abstractNumId w:val="13"/>
  </w:num>
  <w:num w:numId="15" w16cid:durableId="1291473493">
    <w:abstractNumId w:val="8"/>
  </w:num>
  <w:num w:numId="16" w16cid:durableId="2044285857">
    <w:abstractNumId w:val="7"/>
  </w:num>
  <w:num w:numId="17" w16cid:durableId="1531457219">
    <w:abstractNumId w:val="9"/>
  </w:num>
  <w:num w:numId="18" w16cid:durableId="1239556634">
    <w:abstractNumId w:val="19"/>
  </w:num>
  <w:num w:numId="19" w16cid:durableId="1256327425">
    <w:abstractNumId w:val="10"/>
  </w:num>
  <w:num w:numId="20" w16cid:durableId="391730223">
    <w:abstractNumId w:val="0"/>
  </w:num>
  <w:num w:numId="21" w16cid:durableId="430201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C59"/>
    <w:rsid w:val="0000197F"/>
    <w:rsid w:val="00035C81"/>
    <w:rsid w:val="0005426C"/>
    <w:rsid w:val="00140BDF"/>
    <w:rsid w:val="00144FDF"/>
    <w:rsid w:val="001E3A6D"/>
    <w:rsid w:val="001F1C59"/>
    <w:rsid w:val="0021035C"/>
    <w:rsid w:val="0021354B"/>
    <w:rsid w:val="00236E71"/>
    <w:rsid w:val="00293B18"/>
    <w:rsid w:val="002A0D27"/>
    <w:rsid w:val="00311101"/>
    <w:rsid w:val="003266F3"/>
    <w:rsid w:val="003337E8"/>
    <w:rsid w:val="00374E40"/>
    <w:rsid w:val="003A6F3A"/>
    <w:rsid w:val="00463CE2"/>
    <w:rsid w:val="00465936"/>
    <w:rsid w:val="004C5037"/>
    <w:rsid w:val="00547C23"/>
    <w:rsid w:val="005947EC"/>
    <w:rsid w:val="005B2934"/>
    <w:rsid w:val="005C1269"/>
    <w:rsid w:val="005E7104"/>
    <w:rsid w:val="0062165C"/>
    <w:rsid w:val="00662F44"/>
    <w:rsid w:val="006A23A0"/>
    <w:rsid w:val="006E1DF0"/>
    <w:rsid w:val="00755614"/>
    <w:rsid w:val="00755E24"/>
    <w:rsid w:val="00786673"/>
    <w:rsid w:val="007E4491"/>
    <w:rsid w:val="0081015A"/>
    <w:rsid w:val="0082718A"/>
    <w:rsid w:val="00836ACB"/>
    <w:rsid w:val="00841FBB"/>
    <w:rsid w:val="00845C88"/>
    <w:rsid w:val="008E4DF1"/>
    <w:rsid w:val="008F1AA8"/>
    <w:rsid w:val="009E7D69"/>
    <w:rsid w:val="00A05BE7"/>
    <w:rsid w:val="00A238B3"/>
    <w:rsid w:val="00A84300"/>
    <w:rsid w:val="00A91F9D"/>
    <w:rsid w:val="00AD2898"/>
    <w:rsid w:val="00B01636"/>
    <w:rsid w:val="00B30AA0"/>
    <w:rsid w:val="00B50B1A"/>
    <w:rsid w:val="00C16F95"/>
    <w:rsid w:val="00C405A1"/>
    <w:rsid w:val="00CF5BAD"/>
    <w:rsid w:val="00D36EC5"/>
    <w:rsid w:val="00D71245"/>
    <w:rsid w:val="00DC14F1"/>
    <w:rsid w:val="00E421E0"/>
    <w:rsid w:val="00E914DB"/>
    <w:rsid w:val="00E979BA"/>
    <w:rsid w:val="00EB2423"/>
    <w:rsid w:val="00F30820"/>
    <w:rsid w:val="00F525FC"/>
    <w:rsid w:val="00FA5605"/>
    <w:rsid w:val="00FB6A6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ADA3D"/>
  <w15:chartTrackingRefBased/>
  <w15:docId w15:val="{28C66079-23E2-46EC-A50A-86D0627FA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6F3"/>
    <w:pPr>
      <w:spacing w:after="360" w:line="276" w:lineRule="auto"/>
      <w:jc w:val="both"/>
    </w:pPr>
    <w:rPr>
      <w:rFonts w:ascii="Times New Roman" w:hAnsi="Times New Roman" w:cs="Times New Roman"/>
      <w:color w:val="000000" w:themeColor="text1"/>
      <w:sz w:val="24"/>
      <w:szCs w:val="24"/>
      <w:lang w:val="en-US"/>
    </w:rPr>
  </w:style>
  <w:style w:type="paragraph" w:styleId="Heading1">
    <w:name w:val="heading 1"/>
    <w:basedOn w:val="Normal"/>
    <w:next w:val="Normal"/>
    <w:link w:val="Heading1Char"/>
    <w:uiPriority w:val="9"/>
    <w:qFormat/>
    <w:rsid w:val="003266F3"/>
    <w:pPr>
      <w:keepNext/>
      <w:keepLines/>
      <w:spacing w:before="240" w:after="480" w:line="360" w:lineRule="auto"/>
      <w:contextualSpacing/>
      <w:jc w:val="center"/>
      <w:outlineLvl w:val="0"/>
    </w:pPr>
    <w:rPr>
      <w:rFonts w:eastAsiaTheme="majorEastAsia"/>
      <w:b/>
      <w:sz w:val="40"/>
      <w:lang w:val="en-GB"/>
    </w:rPr>
  </w:style>
  <w:style w:type="paragraph" w:styleId="Heading2">
    <w:name w:val="heading 2"/>
    <w:basedOn w:val="Normal"/>
    <w:next w:val="Normal"/>
    <w:link w:val="Heading2Char"/>
    <w:uiPriority w:val="9"/>
    <w:unhideWhenUsed/>
    <w:qFormat/>
    <w:rsid w:val="003266F3"/>
    <w:pPr>
      <w:keepNext/>
      <w:keepLines/>
      <w:spacing w:before="720" w:line="360" w:lineRule="auto"/>
      <w:outlineLvl w:val="1"/>
    </w:pPr>
    <w:rPr>
      <w:rFonts w:eastAsiaTheme="majorEastAsia"/>
      <w:b/>
      <w:sz w:val="32"/>
      <w:lang w:val="en-GB"/>
    </w:rPr>
  </w:style>
  <w:style w:type="paragraph" w:styleId="Heading3">
    <w:name w:val="heading 3"/>
    <w:basedOn w:val="Normal"/>
    <w:next w:val="Normal"/>
    <w:link w:val="Heading3Char"/>
    <w:uiPriority w:val="9"/>
    <w:unhideWhenUsed/>
    <w:qFormat/>
    <w:rsid w:val="001F1C59"/>
    <w:pPr>
      <w:keepNext/>
      <w:keepLines/>
      <w:numPr>
        <w:ilvl w:val="1"/>
        <w:numId w:val="2"/>
      </w:numPr>
      <w:spacing w:before="40" w:line="360" w:lineRule="auto"/>
      <w:ind w:left="567" w:hanging="567"/>
      <w:outlineLvl w:val="2"/>
    </w:pPr>
    <w:rPr>
      <w:rFonts w:eastAsiaTheme="majorEastAsia"/>
      <w:b/>
      <w: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66F3"/>
    <w:rPr>
      <w:rFonts w:ascii="Times New Roman" w:eastAsiaTheme="majorEastAsia" w:hAnsi="Times New Roman" w:cs="Times New Roman"/>
      <w:b/>
      <w:color w:val="000000" w:themeColor="text1"/>
      <w:sz w:val="40"/>
      <w:szCs w:val="24"/>
      <w:lang w:val="en-GB"/>
    </w:rPr>
  </w:style>
  <w:style w:type="character" w:customStyle="1" w:styleId="Heading2Char">
    <w:name w:val="Heading 2 Char"/>
    <w:basedOn w:val="DefaultParagraphFont"/>
    <w:link w:val="Heading2"/>
    <w:uiPriority w:val="9"/>
    <w:rsid w:val="003266F3"/>
    <w:rPr>
      <w:rFonts w:ascii="Times New Roman" w:eastAsiaTheme="majorEastAsia" w:hAnsi="Times New Roman" w:cs="Times New Roman"/>
      <w:b/>
      <w:color w:val="000000" w:themeColor="text1"/>
      <w:sz w:val="32"/>
      <w:szCs w:val="24"/>
      <w:lang w:val="en-GB"/>
    </w:rPr>
  </w:style>
  <w:style w:type="character" w:customStyle="1" w:styleId="Heading3Char">
    <w:name w:val="Heading 3 Char"/>
    <w:basedOn w:val="DefaultParagraphFont"/>
    <w:link w:val="Heading3"/>
    <w:uiPriority w:val="9"/>
    <w:rsid w:val="001F1C59"/>
    <w:rPr>
      <w:rFonts w:ascii="Times New Roman" w:eastAsiaTheme="majorEastAsia" w:hAnsi="Times New Roman" w:cs="Times New Roman"/>
      <w:b/>
      <w:i/>
      <w:color w:val="000000" w:themeColor="text1"/>
      <w:sz w:val="24"/>
      <w:szCs w:val="24"/>
      <w:lang w:val="en-GB"/>
    </w:rPr>
  </w:style>
  <w:style w:type="character" w:styleId="Hyperlink">
    <w:name w:val="Hyperlink"/>
    <w:basedOn w:val="DefaultParagraphFont"/>
    <w:uiPriority w:val="99"/>
    <w:unhideWhenUsed/>
    <w:rsid w:val="001F1C59"/>
    <w:rPr>
      <w:color w:val="0563C1" w:themeColor="hyperlink"/>
      <w:u w:val="single"/>
    </w:rPr>
  </w:style>
  <w:style w:type="character" w:styleId="FollowedHyperlink">
    <w:name w:val="FollowedHyperlink"/>
    <w:basedOn w:val="DefaultParagraphFont"/>
    <w:uiPriority w:val="99"/>
    <w:semiHidden/>
    <w:unhideWhenUsed/>
    <w:rsid w:val="001F1C59"/>
    <w:rPr>
      <w:color w:val="954F72" w:themeColor="followedHyperlink"/>
      <w:u w:val="single"/>
    </w:rPr>
  </w:style>
  <w:style w:type="paragraph" w:styleId="NormalWeb">
    <w:name w:val="Normal (Web)"/>
    <w:basedOn w:val="Normal"/>
    <w:uiPriority w:val="99"/>
    <w:unhideWhenUsed/>
    <w:rsid w:val="001F1C59"/>
    <w:pPr>
      <w:spacing w:before="100" w:beforeAutospacing="1" w:after="100" w:afterAutospacing="1" w:line="240" w:lineRule="auto"/>
    </w:pPr>
    <w:rPr>
      <w:rFonts w:eastAsiaTheme="minorEastAsia"/>
      <w:lang w:eastAsia="fi-FI"/>
    </w:rPr>
  </w:style>
  <w:style w:type="paragraph" w:styleId="ListParagraph">
    <w:name w:val="List Paragraph"/>
    <w:basedOn w:val="Normal"/>
    <w:uiPriority w:val="34"/>
    <w:qFormat/>
    <w:rsid w:val="001F1C59"/>
    <w:pPr>
      <w:ind w:left="720"/>
      <w:contextualSpacing/>
    </w:pPr>
  </w:style>
  <w:style w:type="character" w:styleId="CommentReference">
    <w:name w:val="annotation reference"/>
    <w:basedOn w:val="DefaultParagraphFont"/>
    <w:uiPriority w:val="99"/>
    <w:semiHidden/>
    <w:unhideWhenUsed/>
    <w:rsid w:val="001F1C59"/>
    <w:rPr>
      <w:sz w:val="16"/>
      <w:szCs w:val="16"/>
    </w:rPr>
  </w:style>
  <w:style w:type="paragraph" w:styleId="CommentText">
    <w:name w:val="annotation text"/>
    <w:basedOn w:val="Normal"/>
    <w:link w:val="CommentTextChar"/>
    <w:uiPriority w:val="99"/>
    <w:unhideWhenUsed/>
    <w:rsid w:val="001F1C59"/>
    <w:pPr>
      <w:spacing w:line="240" w:lineRule="auto"/>
    </w:pPr>
    <w:rPr>
      <w:sz w:val="20"/>
      <w:szCs w:val="20"/>
    </w:rPr>
  </w:style>
  <w:style w:type="character" w:customStyle="1" w:styleId="CommentTextChar">
    <w:name w:val="Comment Text Char"/>
    <w:basedOn w:val="DefaultParagraphFont"/>
    <w:link w:val="CommentText"/>
    <w:uiPriority w:val="99"/>
    <w:rsid w:val="001F1C59"/>
    <w:rPr>
      <w:sz w:val="20"/>
      <w:szCs w:val="20"/>
    </w:rPr>
  </w:style>
  <w:style w:type="paragraph" w:styleId="CommentSubject">
    <w:name w:val="annotation subject"/>
    <w:basedOn w:val="CommentText"/>
    <w:next w:val="CommentText"/>
    <w:link w:val="CommentSubjectChar"/>
    <w:uiPriority w:val="99"/>
    <w:semiHidden/>
    <w:unhideWhenUsed/>
    <w:rsid w:val="001F1C59"/>
    <w:rPr>
      <w:b/>
      <w:bCs/>
    </w:rPr>
  </w:style>
  <w:style w:type="character" w:customStyle="1" w:styleId="CommentSubjectChar">
    <w:name w:val="Comment Subject Char"/>
    <w:basedOn w:val="CommentTextChar"/>
    <w:link w:val="CommentSubject"/>
    <w:uiPriority w:val="99"/>
    <w:semiHidden/>
    <w:rsid w:val="001F1C59"/>
    <w:rPr>
      <w:b/>
      <w:bCs/>
      <w:sz w:val="20"/>
      <w:szCs w:val="20"/>
    </w:rPr>
  </w:style>
  <w:style w:type="paragraph" w:styleId="BalloonText">
    <w:name w:val="Balloon Text"/>
    <w:basedOn w:val="Normal"/>
    <w:link w:val="BalloonTextChar"/>
    <w:uiPriority w:val="99"/>
    <w:semiHidden/>
    <w:unhideWhenUsed/>
    <w:rsid w:val="001F1C59"/>
    <w:pPr>
      <w:spacing w:after="0" w:line="240" w:lineRule="auto"/>
    </w:pPr>
    <w:rPr>
      <w:rFonts w:ascii="Segoe UI" w:hAnsi="Segoe UI" w:cs="Segoe UI"/>
      <w:sz w:val="20"/>
      <w:szCs w:val="18"/>
    </w:rPr>
  </w:style>
  <w:style w:type="character" w:customStyle="1" w:styleId="BalloonTextChar">
    <w:name w:val="Balloon Text Char"/>
    <w:basedOn w:val="DefaultParagraphFont"/>
    <w:link w:val="BalloonText"/>
    <w:uiPriority w:val="99"/>
    <w:semiHidden/>
    <w:rsid w:val="001F1C59"/>
    <w:rPr>
      <w:rFonts w:ascii="Segoe UI" w:hAnsi="Segoe UI" w:cs="Segoe UI"/>
      <w:sz w:val="20"/>
      <w:szCs w:val="18"/>
    </w:rPr>
  </w:style>
  <w:style w:type="paragraph" w:styleId="PlainText">
    <w:name w:val="Plain Text"/>
    <w:basedOn w:val="Normal"/>
    <w:link w:val="PlainTextChar"/>
    <w:uiPriority w:val="99"/>
    <w:unhideWhenUsed/>
    <w:rsid w:val="001F1C59"/>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1F1C59"/>
    <w:rPr>
      <w:rFonts w:ascii="Calibri" w:hAnsi="Calibri" w:cs="Calibri"/>
    </w:rPr>
  </w:style>
  <w:style w:type="table" w:styleId="TableGrid">
    <w:name w:val="Table Grid"/>
    <w:basedOn w:val="TableNormal"/>
    <w:uiPriority w:val="39"/>
    <w:rsid w:val="001F1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F1C59"/>
    <w:pPr>
      <w:spacing w:after="0" w:line="240" w:lineRule="auto"/>
    </w:pPr>
  </w:style>
  <w:style w:type="character" w:styleId="Emphasis">
    <w:name w:val="Emphasis"/>
    <w:basedOn w:val="DefaultParagraphFont"/>
    <w:uiPriority w:val="20"/>
    <w:qFormat/>
    <w:rsid w:val="001F1C59"/>
    <w:rPr>
      <w:i/>
      <w:iCs/>
    </w:rPr>
  </w:style>
  <w:style w:type="character" w:styleId="Strong">
    <w:name w:val="Strong"/>
    <w:basedOn w:val="DefaultParagraphFont"/>
    <w:uiPriority w:val="22"/>
    <w:qFormat/>
    <w:rsid w:val="001F1C59"/>
    <w:rPr>
      <w:b/>
      <w:bCs/>
    </w:rPr>
  </w:style>
  <w:style w:type="paragraph" w:styleId="Header">
    <w:name w:val="header"/>
    <w:basedOn w:val="Normal"/>
    <w:link w:val="HeaderChar"/>
    <w:uiPriority w:val="99"/>
    <w:unhideWhenUsed/>
    <w:rsid w:val="001F1C59"/>
    <w:pPr>
      <w:tabs>
        <w:tab w:val="center" w:pos="4819"/>
        <w:tab w:val="right" w:pos="9638"/>
      </w:tabs>
      <w:spacing w:after="0" w:line="240" w:lineRule="auto"/>
    </w:pPr>
  </w:style>
  <w:style w:type="character" w:customStyle="1" w:styleId="HeaderChar">
    <w:name w:val="Header Char"/>
    <w:basedOn w:val="DefaultParagraphFont"/>
    <w:link w:val="Header"/>
    <w:uiPriority w:val="99"/>
    <w:rsid w:val="001F1C59"/>
  </w:style>
  <w:style w:type="paragraph" w:styleId="Footer">
    <w:name w:val="footer"/>
    <w:basedOn w:val="Normal"/>
    <w:link w:val="FooterChar"/>
    <w:uiPriority w:val="99"/>
    <w:unhideWhenUsed/>
    <w:rsid w:val="001F1C59"/>
    <w:pPr>
      <w:tabs>
        <w:tab w:val="center" w:pos="4819"/>
        <w:tab w:val="right" w:pos="9638"/>
      </w:tabs>
      <w:spacing w:after="0" w:line="240" w:lineRule="auto"/>
    </w:pPr>
  </w:style>
  <w:style w:type="character" w:customStyle="1" w:styleId="FooterChar">
    <w:name w:val="Footer Char"/>
    <w:basedOn w:val="DefaultParagraphFont"/>
    <w:link w:val="Footer"/>
    <w:uiPriority w:val="99"/>
    <w:rsid w:val="001F1C59"/>
  </w:style>
  <w:style w:type="paragraph" w:customStyle="1" w:styleId="Reference">
    <w:name w:val="Reference"/>
    <w:basedOn w:val="Normal"/>
    <w:link w:val="ReferenceChar"/>
    <w:qFormat/>
    <w:rsid w:val="003266F3"/>
    <w:pPr>
      <w:ind w:left="709" w:hanging="142"/>
      <w:contextualSpacing/>
    </w:pPr>
    <w:rPr>
      <w:sz w:val="22"/>
    </w:rPr>
  </w:style>
  <w:style w:type="character" w:customStyle="1" w:styleId="ReferenceChar">
    <w:name w:val="Reference Char"/>
    <w:basedOn w:val="DefaultParagraphFont"/>
    <w:link w:val="Reference"/>
    <w:rsid w:val="003266F3"/>
    <w:rPr>
      <w:rFonts w:ascii="Times New Roman" w:hAnsi="Times New Roman" w:cs="Times New Roman"/>
      <w:color w:val="000000" w:themeColor="text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1376770">
      <w:bodyDiv w:val="1"/>
      <w:marLeft w:val="0"/>
      <w:marRight w:val="0"/>
      <w:marTop w:val="0"/>
      <w:marBottom w:val="0"/>
      <w:divBdr>
        <w:top w:val="none" w:sz="0" w:space="0" w:color="auto"/>
        <w:left w:val="none" w:sz="0" w:space="0" w:color="auto"/>
        <w:bottom w:val="none" w:sz="0" w:space="0" w:color="auto"/>
        <w:right w:val="none" w:sz="0" w:space="0" w:color="auto"/>
      </w:divBdr>
      <w:divsChild>
        <w:div w:id="703678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8</Pages>
  <Words>2750</Words>
  <Characters>15676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18390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Riikka Harikkala-Laihinen</dc:creator>
  <cp:keywords/>
  <dc:description/>
  <cp:lastModifiedBy>Purna Chandra</cp:lastModifiedBy>
  <cp:revision>35</cp:revision>
  <dcterms:created xsi:type="dcterms:W3CDTF">2024-05-27T07:07:00Z</dcterms:created>
  <dcterms:modified xsi:type="dcterms:W3CDTF">2024-07-09T19:10:00Z</dcterms:modified>
</cp:coreProperties>
</file>