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EB" w:rsidRPr="00D77761" w:rsidRDefault="00605BEB" w:rsidP="00605BE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761">
        <w:rPr>
          <w:rFonts w:ascii="Times New Roman" w:eastAsia="Times New Roman" w:hAnsi="Times New Roman" w:cs="Times New Roman"/>
          <w:b/>
          <w:bCs/>
          <w:sz w:val="28"/>
          <w:szCs w:val="28"/>
        </w:rPr>
        <w:t>APPENDIX A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Activity reports and investment guidelines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77761">
        <w:rPr>
          <w:rFonts w:asciiTheme="majorBidi" w:hAnsiTheme="majorBidi" w:cstheme="majorBidi"/>
          <w:sz w:val="24"/>
          <w:szCs w:val="24"/>
        </w:rPr>
        <w:sym w:font="Symbol" w:char="F0B7"/>
      </w:r>
      <w:r w:rsidRPr="00D77761">
        <w:rPr>
          <w:rFonts w:asciiTheme="majorBidi" w:hAnsiTheme="majorBidi" w:cstheme="majorBidi"/>
          <w:sz w:val="24"/>
          <w:szCs w:val="24"/>
        </w:rPr>
        <w:t xml:space="preserve"> Guide d’investisseur AMMC, décembre 2022. 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sym w:font="Symbol" w:char="F0B7"/>
      </w:r>
      <w:r w:rsidRPr="00D77761">
        <w:rPr>
          <w:rFonts w:asciiTheme="majorBidi" w:hAnsiTheme="majorBidi" w:cstheme="majorBidi"/>
          <w:sz w:val="24"/>
          <w:szCs w:val="24"/>
        </w:rPr>
        <w:t xml:space="preserve"> Guide de Placement en OPCVM par BMCE Capital Gestion, 2021.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 xml:space="preserve"> </w:t>
      </w:r>
      <w:r w:rsidRPr="00D77761">
        <w:rPr>
          <w:rFonts w:asciiTheme="majorBidi" w:hAnsiTheme="majorBidi" w:cstheme="majorBidi"/>
          <w:sz w:val="24"/>
          <w:szCs w:val="24"/>
        </w:rPr>
        <w:sym w:font="Symbol" w:char="F0B7"/>
      </w:r>
      <w:r w:rsidRPr="00D77761">
        <w:rPr>
          <w:rFonts w:asciiTheme="majorBidi" w:hAnsiTheme="majorBidi" w:cstheme="majorBidi"/>
          <w:sz w:val="24"/>
          <w:szCs w:val="24"/>
        </w:rPr>
        <w:t xml:space="preserve"> Guide Pédagogique « comprendre les OPCVM » par AMMC, 2018. 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sym w:font="Symbol" w:char="F0B7"/>
      </w:r>
      <w:r w:rsidRPr="00D77761">
        <w:rPr>
          <w:rFonts w:asciiTheme="majorBidi" w:hAnsiTheme="majorBidi" w:cstheme="majorBidi"/>
          <w:sz w:val="24"/>
          <w:szCs w:val="24"/>
        </w:rPr>
        <w:t xml:space="preserve"> Report AMMC, Profil des investisseurs en bourse » au titre du 1er trimestre 2022. 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sym w:font="Symbol" w:char="F0B7"/>
      </w:r>
      <w:r w:rsidRPr="00D77761">
        <w:rPr>
          <w:rFonts w:asciiTheme="majorBidi" w:hAnsiTheme="majorBidi" w:cstheme="majorBidi"/>
          <w:sz w:val="24"/>
          <w:szCs w:val="24"/>
        </w:rPr>
        <w:t xml:space="preserve"> Report </w:t>
      </w:r>
      <w:proofErr w:type="spellStart"/>
      <w:r w:rsidRPr="00D77761">
        <w:rPr>
          <w:rFonts w:asciiTheme="majorBidi" w:hAnsiTheme="majorBidi" w:cstheme="majorBidi"/>
          <w:sz w:val="24"/>
          <w:szCs w:val="24"/>
        </w:rPr>
        <w:t>annual</w:t>
      </w:r>
      <w:proofErr w:type="spellEnd"/>
      <w:r w:rsidRPr="00D77761">
        <w:rPr>
          <w:rFonts w:asciiTheme="majorBidi" w:hAnsiTheme="majorBidi" w:cstheme="majorBidi"/>
          <w:sz w:val="24"/>
          <w:szCs w:val="24"/>
        </w:rPr>
        <w:t xml:space="preserve"> AMMC sur l’encours des OPCVM au Maroc, 2021. 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sz w:val="28"/>
          <w:szCs w:val="28"/>
        </w:rPr>
      </w:pPr>
      <w:r w:rsidRPr="00D77761">
        <w:rPr>
          <w:rFonts w:asciiTheme="majorBidi" w:hAnsiTheme="majorBidi" w:cstheme="majorBidi"/>
          <w:sz w:val="24"/>
          <w:szCs w:val="24"/>
        </w:rPr>
        <w:sym w:font="Symbol" w:char="F0B7"/>
      </w:r>
      <w:r w:rsidRPr="00D77761">
        <w:rPr>
          <w:rFonts w:asciiTheme="majorBidi" w:hAnsiTheme="majorBidi" w:cstheme="majorBidi"/>
          <w:sz w:val="24"/>
          <w:szCs w:val="24"/>
        </w:rPr>
        <w:t xml:space="preserve"> Report </w:t>
      </w:r>
      <w:proofErr w:type="spellStart"/>
      <w:r w:rsidRPr="00D77761">
        <w:rPr>
          <w:rFonts w:asciiTheme="majorBidi" w:hAnsiTheme="majorBidi" w:cstheme="majorBidi"/>
          <w:sz w:val="24"/>
          <w:szCs w:val="24"/>
        </w:rPr>
        <w:t>annual</w:t>
      </w:r>
      <w:proofErr w:type="spellEnd"/>
      <w:r w:rsidRPr="00D77761">
        <w:rPr>
          <w:rFonts w:asciiTheme="majorBidi" w:hAnsiTheme="majorBidi" w:cstheme="majorBidi"/>
          <w:sz w:val="24"/>
          <w:szCs w:val="24"/>
        </w:rPr>
        <w:t xml:space="preserve"> AMMC sur l’encours des OPCVM au Maroc, 2022.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>Legal</w:t>
      </w:r>
      <w:proofErr w:type="spellEnd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>texts</w:t>
      </w:r>
      <w:proofErr w:type="spellEnd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>Loi N° 44-12 relative à l’appel public à l’épargne.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>Loi N°17-99 portant code des assurances.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>Circulaire N°03-19 de l’AMMC relative aux opérations et informations financières</w:t>
      </w:r>
    </w:p>
    <w:p w:rsidR="00605BEB" w:rsidRPr="00D77761" w:rsidRDefault="00605BEB" w:rsidP="00605BE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>Others</w:t>
      </w:r>
      <w:proofErr w:type="spellEnd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articles </w:t>
      </w:r>
      <w:proofErr w:type="spellStart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>consulted</w:t>
      </w:r>
      <w:proofErr w:type="spellEnd"/>
      <w:r w:rsidRPr="00D7776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on 18/08/2023 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 xml:space="preserve">AMMC. Définition investisseurs institutionnels. 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 xml:space="preserve">ASFIM (2022). Liste des OPCVM au Maroc. 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 xml:space="preserve">Bank Al </w:t>
      </w:r>
      <w:proofErr w:type="spellStart"/>
      <w:r w:rsidRPr="00D77761">
        <w:rPr>
          <w:rFonts w:asciiTheme="majorBidi" w:hAnsiTheme="majorBidi" w:cstheme="majorBidi"/>
          <w:sz w:val="24"/>
          <w:szCs w:val="24"/>
        </w:rPr>
        <w:t>Maghrib</w:t>
      </w:r>
      <w:proofErr w:type="spellEnd"/>
      <w:r w:rsidRPr="00D77761">
        <w:rPr>
          <w:rFonts w:asciiTheme="majorBidi" w:hAnsiTheme="majorBidi" w:cstheme="majorBidi"/>
          <w:sz w:val="24"/>
          <w:szCs w:val="24"/>
        </w:rPr>
        <w:t xml:space="preserve"> (2022). Liste des Banques marocaines.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 xml:space="preserve">BMCE Capital Gestion (2022). Données sur les encours. 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 xml:space="preserve">CDG Capital Gestion (2022). Données sur les encours et les fonds OPCVM. 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>Challenge. (2023). L’acquisition du BMCE Capital Gestion par CIH. Article de presse.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7761">
        <w:rPr>
          <w:rFonts w:asciiTheme="majorBidi" w:hAnsiTheme="majorBidi" w:cstheme="majorBidi"/>
          <w:sz w:val="24"/>
          <w:szCs w:val="24"/>
        </w:rPr>
        <w:t xml:space="preserve">Eco Actu. (2023). La notation du SOGE CAPITAL Gestion. Article de presse. </w:t>
      </w:r>
    </w:p>
    <w:p w:rsidR="00605BEB" w:rsidRPr="00D77761" w:rsidRDefault="00605BEB" w:rsidP="00605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77761">
        <w:rPr>
          <w:rFonts w:asciiTheme="majorBidi" w:hAnsiTheme="majorBidi" w:cstheme="majorBidi"/>
          <w:sz w:val="24"/>
          <w:szCs w:val="24"/>
        </w:rPr>
        <w:t>Mapexpress</w:t>
      </w:r>
      <w:proofErr w:type="spellEnd"/>
      <w:r w:rsidRPr="00D77761">
        <w:rPr>
          <w:rFonts w:asciiTheme="majorBidi" w:hAnsiTheme="majorBidi" w:cstheme="majorBidi"/>
          <w:sz w:val="24"/>
          <w:szCs w:val="24"/>
        </w:rPr>
        <w:t>. (2021). La Gestion d’actifs au Maroc. Article de presse.</w:t>
      </w:r>
    </w:p>
    <w:p w:rsidR="00605BEB" w:rsidRPr="00D77761" w:rsidRDefault="00605BEB" w:rsidP="00605BE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605BEB" w:rsidRPr="00AD3377" w:rsidRDefault="00605BEB" w:rsidP="00605BEB">
      <w:pPr>
        <w:pStyle w:val="FootnoteText"/>
        <w:jc w:val="both"/>
        <w:rPr>
          <w:rFonts w:asciiTheme="majorBidi" w:hAnsiTheme="majorBidi" w:cstheme="majorBidi"/>
          <w:lang w:val="en-US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AD3377">
        <w:rPr>
          <w:rFonts w:asciiTheme="majorBidi" w:hAnsiTheme="majorBidi" w:cstheme="majorBidi"/>
          <w:lang w:val="en-US"/>
        </w:rPr>
        <w:t xml:space="preserve"> Documentation AMMC Morocco</w:t>
      </w:r>
      <w:hyperlink r:id="rId6" w:history="1"/>
    </w:p>
    <w:p w:rsidR="00605BEB" w:rsidRPr="00AD3377" w:rsidRDefault="00605BEB" w:rsidP="00605BEB">
      <w:pPr>
        <w:pStyle w:val="EndnoteText"/>
        <w:jc w:val="both"/>
        <w:rPr>
          <w:rFonts w:asciiTheme="majorBidi" w:hAnsiTheme="majorBidi" w:cstheme="majorBidi"/>
          <w:lang w:val="en-US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AD3377">
        <w:rPr>
          <w:rFonts w:asciiTheme="majorBidi" w:hAnsiTheme="majorBidi" w:cstheme="majorBidi"/>
          <w:lang w:val="en-US"/>
        </w:rPr>
        <w:t xml:space="preserve"> Investment </w:t>
      </w:r>
      <w:proofErr w:type="gramStart"/>
      <w:r w:rsidRPr="00AD3377">
        <w:rPr>
          <w:rFonts w:asciiTheme="majorBidi" w:hAnsiTheme="majorBidi" w:cstheme="majorBidi"/>
          <w:lang w:val="en-US"/>
        </w:rPr>
        <w:t>company</w:t>
      </w:r>
      <w:proofErr w:type="gramEnd"/>
      <w:r w:rsidRPr="00AD3377">
        <w:rPr>
          <w:rFonts w:asciiTheme="majorBidi" w:hAnsiTheme="majorBidi" w:cstheme="majorBidi"/>
          <w:lang w:val="en-US"/>
        </w:rPr>
        <w:t xml:space="preserve"> with variable capital (ICVC) in the UK</w:t>
      </w:r>
    </w:p>
    <w:p w:rsidR="00605BEB" w:rsidRPr="00341E03" w:rsidRDefault="00605BEB" w:rsidP="00605BEB">
      <w:pPr>
        <w:pStyle w:val="EndnoteText"/>
        <w:jc w:val="both"/>
        <w:rPr>
          <w:rFonts w:asciiTheme="majorBidi" w:hAnsiTheme="majorBidi" w:cstheme="majorBidi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341E03">
        <w:rPr>
          <w:rFonts w:asciiTheme="majorBidi" w:hAnsiTheme="majorBidi" w:cstheme="majorBidi"/>
        </w:rPr>
        <w:t xml:space="preserve"> Documentation SCR </w:t>
      </w:r>
      <w:proofErr w:type="spellStart"/>
      <w:r w:rsidRPr="00341E03">
        <w:rPr>
          <w:rFonts w:asciiTheme="majorBidi" w:hAnsiTheme="majorBidi" w:cstheme="majorBidi"/>
        </w:rPr>
        <w:t>Morocco</w:t>
      </w:r>
      <w:proofErr w:type="spellEnd"/>
    </w:p>
    <w:p w:rsidR="00605BEB" w:rsidRPr="00341E03" w:rsidRDefault="00605BEB" w:rsidP="00605BEB">
      <w:pPr>
        <w:pStyle w:val="EndnoteText"/>
        <w:jc w:val="both"/>
        <w:rPr>
          <w:rFonts w:asciiTheme="majorBidi" w:hAnsiTheme="majorBidi" w:cstheme="majorBidi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341E03">
        <w:rPr>
          <w:rFonts w:asciiTheme="majorBidi" w:hAnsiTheme="majorBidi" w:cstheme="majorBidi"/>
        </w:rPr>
        <w:t xml:space="preserve"> Documentation AMMC </w:t>
      </w:r>
      <w:proofErr w:type="spellStart"/>
      <w:r w:rsidRPr="00341E03">
        <w:rPr>
          <w:rFonts w:asciiTheme="majorBidi" w:hAnsiTheme="majorBidi" w:cstheme="majorBidi"/>
        </w:rPr>
        <w:t>Morocco</w:t>
      </w:r>
      <w:proofErr w:type="spellEnd"/>
    </w:p>
    <w:p w:rsidR="00605BEB" w:rsidRPr="00341E03" w:rsidRDefault="00605BEB" w:rsidP="00605BEB">
      <w:pPr>
        <w:pStyle w:val="EndnoteText"/>
        <w:jc w:val="both"/>
        <w:rPr>
          <w:rFonts w:asciiTheme="majorBidi" w:hAnsiTheme="majorBidi" w:cstheme="majorBidi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341E03">
        <w:rPr>
          <w:rFonts w:asciiTheme="majorBidi" w:hAnsiTheme="majorBidi" w:cstheme="majorBidi"/>
        </w:rPr>
        <w:t xml:space="preserve"> </w:t>
      </w:r>
      <w:r w:rsidRPr="00341E03">
        <w:rPr>
          <w:rFonts w:asciiTheme="majorBidi" w:hAnsiTheme="majorBidi" w:cstheme="majorBidi"/>
          <w:color w:val="000000" w:themeColor="text1"/>
        </w:rPr>
        <w:t>Documentation of WAFA GESTION</w:t>
      </w:r>
    </w:p>
    <w:p w:rsidR="00605BEB" w:rsidRPr="00341E03" w:rsidRDefault="00605BEB" w:rsidP="00605BEB">
      <w:pPr>
        <w:pStyle w:val="EndnoteText"/>
        <w:jc w:val="both"/>
        <w:rPr>
          <w:rFonts w:asciiTheme="majorBidi" w:hAnsiTheme="majorBidi" w:cstheme="majorBidi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341E03">
        <w:rPr>
          <w:rFonts w:asciiTheme="majorBidi" w:hAnsiTheme="majorBidi" w:cstheme="majorBidi"/>
        </w:rPr>
        <w:t xml:space="preserve"> </w:t>
      </w:r>
      <w:r w:rsidRPr="00341E03">
        <w:rPr>
          <w:rFonts w:asciiTheme="majorBidi" w:hAnsiTheme="majorBidi" w:cstheme="majorBidi"/>
          <w:color w:val="000000" w:themeColor="text1"/>
        </w:rPr>
        <w:t>Documentation of UPLINE Capital Management.</w:t>
      </w:r>
    </w:p>
    <w:p w:rsidR="00605BEB" w:rsidRPr="00341E03" w:rsidRDefault="00605BEB" w:rsidP="00605BEB">
      <w:pPr>
        <w:pStyle w:val="EndnoteText"/>
        <w:jc w:val="both"/>
        <w:rPr>
          <w:rFonts w:asciiTheme="majorBidi" w:hAnsiTheme="majorBidi" w:cstheme="majorBidi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341E03">
        <w:rPr>
          <w:rFonts w:asciiTheme="majorBidi" w:hAnsiTheme="majorBidi" w:cstheme="majorBidi"/>
        </w:rPr>
        <w:t xml:space="preserve"> </w:t>
      </w:r>
      <w:r w:rsidRPr="00341E03">
        <w:rPr>
          <w:rFonts w:asciiTheme="majorBidi" w:hAnsiTheme="majorBidi" w:cstheme="majorBidi"/>
          <w:color w:val="000000" w:themeColor="text1"/>
        </w:rPr>
        <w:t>Documentation of CDG Capital Gestion.</w:t>
      </w:r>
    </w:p>
    <w:p w:rsidR="00605BEB" w:rsidRPr="00341E03" w:rsidRDefault="00605BEB" w:rsidP="00605BEB">
      <w:pPr>
        <w:pStyle w:val="EndnoteText"/>
        <w:jc w:val="both"/>
        <w:rPr>
          <w:rFonts w:asciiTheme="majorBidi" w:hAnsiTheme="majorBidi" w:cstheme="majorBidi"/>
        </w:rPr>
      </w:pPr>
      <w:r w:rsidRPr="00341E03">
        <w:rPr>
          <w:rStyle w:val="EndnoteReference"/>
          <w:rFonts w:asciiTheme="majorBidi" w:hAnsiTheme="majorBidi" w:cstheme="majorBidi"/>
        </w:rPr>
        <w:footnoteRef/>
      </w:r>
      <w:r w:rsidRPr="00341E03">
        <w:rPr>
          <w:rFonts w:asciiTheme="majorBidi" w:hAnsiTheme="majorBidi" w:cstheme="majorBidi"/>
        </w:rPr>
        <w:t xml:space="preserve"> </w:t>
      </w:r>
      <w:r w:rsidRPr="00341E03">
        <w:rPr>
          <w:rFonts w:asciiTheme="majorBidi" w:hAnsiTheme="majorBidi" w:cstheme="majorBidi"/>
          <w:color w:val="000000" w:themeColor="text1"/>
        </w:rPr>
        <w:t>Documentation sur la notation du SOGE CAPITAL Gestion, site Eco Actu.</w:t>
      </w:r>
    </w:p>
    <w:p w:rsidR="005B5E88" w:rsidRDefault="00605BEB" w:rsidP="00605BEB">
      <w:r w:rsidRPr="00341E03">
        <w:rPr>
          <w:rStyle w:val="EndnoteReference"/>
          <w:rFonts w:asciiTheme="majorBidi" w:hAnsiTheme="majorBidi" w:cstheme="majorBidi"/>
        </w:rPr>
        <w:footnoteRef/>
      </w:r>
      <w:r w:rsidRPr="00341E03">
        <w:rPr>
          <w:rFonts w:asciiTheme="majorBidi" w:hAnsiTheme="majorBidi" w:cstheme="majorBidi"/>
        </w:rPr>
        <w:t xml:space="preserve"> Documentation sur l’acquisition du BMCE Capital Gestion par CIH</w:t>
      </w:r>
    </w:p>
    <w:sectPr w:rsidR="005B5E88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180833"/>
      <w:docPartObj>
        <w:docPartGallery w:val="Page Numbers (Bottom of Page)"/>
        <w:docPartUnique/>
      </w:docPartObj>
    </w:sdtPr>
    <w:sdtEndPr/>
    <w:sdtContent>
      <w:p w:rsidR="00DE350B" w:rsidRDefault="00605B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350B" w:rsidRDefault="00605BE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4B2"/>
    <w:multiLevelType w:val="hybridMultilevel"/>
    <w:tmpl w:val="A81EF9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EB"/>
    <w:rsid w:val="002E0ABC"/>
    <w:rsid w:val="00605BEB"/>
    <w:rsid w:val="00D8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EB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EB"/>
    <w:rPr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605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BE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5B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5BEB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605B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EB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EB"/>
    <w:rPr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605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BE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5B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5BEB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605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mc.ma/fr/espace-epargnants/opcv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2026-01-05T07:08:00Z</dcterms:created>
  <dcterms:modified xsi:type="dcterms:W3CDTF">2026-01-05T07:08:00Z</dcterms:modified>
</cp:coreProperties>
</file>