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2BDE" w14:textId="10895BED" w:rsidR="00B91336" w:rsidRPr="00C8501D" w:rsidRDefault="00B91336" w:rsidP="00B91336">
      <w:pPr>
        <w:rPr>
          <w:rFonts w:cs="Times New Roman"/>
          <w:color w:val="000000" w:themeColor="text1"/>
          <w:sz w:val="20"/>
          <w:szCs w:val="20"/>
          <w:lang w:val="en-US"/>
        </w:rPr>
      </w:pPr>
      <w:r w:rsidRPr="00C8501D">
        <w:rPr>
          <w:rFonts w:cs="Times New Roman"/>
          <w:color w:val="000000" w:themeColor="text1"/>
          <w:sz w:val="20"/>
          <w:szCs w:val="20"/>
          <w:lang w:val="da-DK"/>
        </w:rPr>
        <w:t xml:space="preserve">Supplementary </w:t>
      </w:r>
      <w:r w:rsidRPr="00C8501D">
        <w:rPr>
          <w:rFonts w:cs="Times New Roman"/>
          <w:color w:val="000000" w:themeColor="text1"/>
          <w:sz w:val="20"/>
          <w:szCs w:val="20"/>
          <w:lang w:val="en-US"/>
        </w:rPr>
        <w:t xml:space="preserve">Table </w:t>
      </w:r>
      <w:r w:rsidR="000D7BAA">
        <w:rPr>
          <w:rFonts w:cs="Times New Roman"/>
          <w:color w:val="000000" w:themeColor="text1"/>
          <w:sz w:val="20"/>
          <w:szCs w:val="20"/>
          <w:lang w:val="en-US"/>
        </w:rPr>
        <w:t>8</w:t>
      </w:r>
      <w:r w:rsidRPr="00C8501D">
        <w:rPr>
          <w:rFonts w:cs="Times New Roman"/>
          <w:color w:val="000000" w:themeColor="text1"/>
          <w:sz w:val="20"/>
          <w:szCs w:val="20"/>
          <w:lang w:val="en-US"/>
        </w:rPr>
        <w:t xml:space="preserve"> Synthesized findings</w:t>
      </w: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B91336" w:rsidRPr="00ED125C" w14:paraId="20F86674" w14:textId="77777777" w:rsidTr="00D36C47">
        <w:tc>
          <w:tcPr>
            <w:tcW w:w="4664" w:type="dxa"/>
            <w:tcBorders>
              <w:top w:val="single" w:sz="4" w:space="0" w:color="auto"/>
              <w:bottom w:val="single" w:sz="4" w:space="0" w:color="auto"/>
            </w:tcBorders>
          </w:tcPr>
          <w:p w14:paraId="1203C32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Findings (Themes and subthemes)</w:t>
            </w:r>
          </w:p>
        </w:tc>
        <w:tc>
          <w:tcPr>
            <w:tcW w:w="4665" w:type="dxa"/>
            <w:tcBorders>
              <w:top w:val="single" w:sz="4" w:space="0" w:color="auto"/>
              <w:bottom w:val="single" w:sz="4" w:space="0" w:color="auto"/>
            </w:tcBorders>
          </w:tcPr>
          <w:p w14:paraId="3563AC4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Categories</w:t>
            </w:r>
          </w:p>
        </w:tc>
        <w:tc>
          <w:tcPr>
            <w:tcW w:w="4665" w:type="dxa"/>
            <w:tcBorders>
              <w:top w:val="single" w:sz="4" w:space="0" w:color="auto"/>
              <w:bottom w:val="single" w:sz="4" w:space="0" w:color="auto"/>
            </w:tcBorders>
          </w:tcPr>
          <w:p w14:paraId="4BD40CB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Synthesized findings</w:t>
            </w:r>
          </w:p>
        </w:tc>
      </w:tr>
      <w:tr w:rsidR="00B91336" w:rsidRPr="001E37BA" w14:paraId="07E56190" w14:textId="77777777" w:rsidTr="00D36C47">
        <w:tc>
          <w:tcPr>
            <w:tcW w:w="4664" w:type="dxa"/>
            <w:tcBorders>
              <w:top w:val="single" w:sz="4" w:space="0" w:color="auto"/>
            </w:tcBorders>
          </w:tcPr>
          <w:p w14:paraId="747F3CC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Patients transitions through the healthcare system C (Jackson &amp; Nowell, 2021) p.2396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</w:tcBorders>
          </w:tcPr>
          <w:p w14:paraId="504C0A9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Ensuring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patient-oriented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care. The competence to take patients' needs and experiences into consideration.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</w:tcBorders>
          </w:tcPr>
          <w:p w14:paraId="10402558" w14:textId="0D402135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The competence to comprehend the operational environment. The contradiction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between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the internal and external operational environment require</w:t>
            </w:r>
            <w:r w:rsidR="007940BA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skills to understand and acknowledge the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various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needs of stakeholders while simultaneously ensuring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patient-orient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ed care. </w:t>
            </w:r>
          </w:p>
        </w:tc>
      </w:tr>
      <w:tr w:rsidR="00B91336" w:rsidRPr="001E37BA" w14:paraId="56BB576B" w14:textId="77777777" w:rsidTr="00D36C47">
        <w:tc>
          <w:tcPr>
            <w:tcW w:w="4664" w:type="dxa"/>
          </w:tcPr>
          <w:p w14:paraId="05DC747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Preservation of humanized care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</w:t>
            </w:r>
          </w:p>
        </w:tc>
        <w:tc>
          <w:tcPr>
            <w:tcW w:w="4665" w:type="dxa"/>
            <w:vMerge/>
          </w:tcPr>
          <w:p w14:paraId="756C673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5AC1C54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C4BDDFB" w14:textId="77777777" w:rsidTr="00D36C47">
        <w:tc>
          <w:tcPr>
            <w:tcW w:w="4664" w:type="dxa"/>
          </w:tcPr>
          <w:p w14:paraId="6C15770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Staff needs versus overall needs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pp.1406-1407</w:t>
            </w:r>
          </w:p>
        </w:tc>
        <w:tc>
          <w:tcPr>
            <w:tcW w:w="4665" w:type="dxa"/>
            <w:vMerge w:val="restart"/>
          </w:tcPr>
          <w:p w14:paraId="0E84AC4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Balancing the various needs of stakeholders. The competence to recog</w:t>
            </w:r>
            <w:bookmarkStart w:id="0" w:name="_GoBack"/>
            <w:bookmarkEnd w:id="0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nize the incoherence and complexity of the operational environment.</w:t>
            </w:r>
          </w:p>
        </w:tc>
        <w:tc>
          <w:tcPr>
            <w:tcW w:w="4665" w:type="dxa"/>
            <w:vMerge/>
          </w:tcPr>
          <w:p w14:paraId="12D2CE9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A71CC17" w14:textId="77777777" w:rsidTr="00D36C47">
        <w:tc>
          <w:tcPr>
            <w:tcW w:w="4664" w:type="dxa"/>
          </w:tcPr>
          <w:p w14:paraId="458FB45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Loyalty to own leaders versus staff need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p.1407</w:t>
            </w:r>
          </w:p>
        </w:tc>
        <w:tc>
          <w:tcPr>
            <w:tcW w:w="4665" w:type="dxa"/>
            <w:vMerge/>
          </w:tcPr>
          <w:p w14:paraId="35060C0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40838A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266F67E5" w14:textId="77777777" w:rsidTr="00D36C47">
        <w:tc>
          <w:tcPr>
            <w:tcW w:w="4664" w:type="dxa"/>
          </w:tcPr>
          <w:p w14:paraId="4AAF400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Upholding guidelines versus relatives and patients’ needs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p.1407</w:t>
            </w:r>
          </w:p>
        </w:tc>
        <w:tc>
          <w:tcPr>
            <w:tcW w:w="4665" w:type="dxa"/>
            <w:vMerge/>
          </w:tcPr>
          <w:p w14:paraId="40385D2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D5A90B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DA918BA" w14:textId="77777777" w:rsidTr="00D36C47">
        <w:tc>
          <w:tcPr>
            <w:tcW w:w="4664" w:type="dxa"/>
          </w:tcPr>
          <w:p w14:paraId="1AF18FB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Navigating the political climate C (Jackson &amp; Nowell, 2021) p.2395</w:t>
            </w:r>
          </w:p>
        </w:tc>
        <w:tc>
          <w:tcPr>
            <w:tcW w:w="4665" w:type="dxa"/>
            <w:vMerge/>
          </w:tcPr>
          <w:p w14:paraId="40240D7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224825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2E5687CE" w14:textId="77777777" w:rsidTr="00D36C47">
        <w:tc>
          <w:tcPr>
            <w:tcW w:w="4664" w:type="dxa"/>
          </w:tcPr>
          <w:p w14:paraId="2B26583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913C64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Practicing distance leadership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p.1405</w:t>
            </w:r>
          </w:p>
        </w:tc>
        <w:tc>
          <w:tcPr>
            <w:tcW w:w="4665" w:type="dxa"/>
            <w:vMerge w:val="restart"/>
          </w:tcPr>
          <w:p w14:paraId="06AA220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47E9369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Learning and transitioning through change. The competence to grow, adapt, reflect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and learn from change.</w:t>
            </w:r>
          </w:p>
        </w:tc>
        <w:tc>
          <w:tcPr>
            <w:tcW w:w="4665" w:type="dxa"/>
            <w:vMerge w:val="restart"/>
          </w:tcPr>
          <w:p w14:paraId="58E0584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1A8A88A" w14:textId="4EB2BBD1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The competence to stay resilient amidst change. Resilience require</w:t>
            </w:r>
            <w:r w:rsidR="007940BA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the capability to lead during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a period of 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uncertainty, being able to cope on a personal and professional level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and utilizing skills that one has already acquired through formal education and reflection.</w:t>
            </w:r>
          </w:p>
        </w:tc>
      </w:tr>
      <w:tr w:rsidR="00B91336" w:rsidRPr="001E37BA" w14:paraId="4A1154D6" w14:textId="77777777" w:rsidTr="00D36C47">
        <w:tc>
          <w:tcPr>
            <w:tcW w:w="4664" w:type="dxa"/>
          </w:tcPr>
          <w:p w14:paraId="48A4C33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Reflections on learning U (White, 2021) p.1531</w:t>
            </w:r>
          </w:p>
        </w:tc>
        <w:tc>
          <w:tcPr>
            <w:tcW w:w="4665" w:type="dxa"/>
            <w:vMerge/>
          </w:tcPr>
          <w:p w14:paraId="73E2564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D156D5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7799676D" w14:textId="77777777" w:rsidTr="00D36C47">
        <w:tc>
          <w:tcPr>
            <w:tcW w:w="4664" w:type="dxa"/>
          </w:tcPr>
          <w:p w14:paraId="15F07D9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Being on a steep learning curve U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p.1408</w:t>
            </w:r>
          </w:p>
        </w:tc>
        <w:tc>
          <w:tcPr>
            <w:tcW w:w="4665" w:type="dxa"/>
            <w:vMerge/>
          </w:tcPr>
          <w:p w14:paraId="460F009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897836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1987408" w14:textId="77777777" w:rsidTr="00D36C47">
        <w:tc>
          <w:tcPr>
            <w:tcW w:w="4664" w:type="dxa"/>
          </w:tcPr>
          <w:p w14:paraId="5321AC5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Management education gives valuable tools U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p.1408</w:t>
            </w:r>
          </w:p>
        </w:tc>
        <w:tc>
          <w:tcPr>
            <w:tcW w:w="4665" w:type="dxa"/>
            <w:vMerge/>
          </w:tcPr>
          <w:p w14:paraId="4DDD8D9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78E1A6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C265986" w14:textId="77777777" w:rsidTr="00D36C47">
        <w:tc>
          <w:tcPr>
            <w:tcW w:w="4664" w:type="dxa"/>
          </w:tcPr>
          <w:p w14:paraId="40A825B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Changing roles and responsibilities C (Jackson &amp; Nowell, 2021) p.2396</w:t>
            </w:r>
          </w:p>
        </w:tc>
        <w:tc>
          <w:tcPr>
            <w:tcW w:w="4665" w:type="dxa"/>
            <w:vMerge/>
          </w:tcPr>
          <w:p w14:paraId="0DBC541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0CF207E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6B46D260" w14:textId="77777777" w:rsidTr="00D36C47">
        <w:tc>
          <w:tcPr>
            <w:tcW w:w="4664" w:type="dxa"/>
          </w:tcPr>
          <w:p w14:paraId="2645486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Personal coping C (White, 2021) p.1531</w:t>
            </w:r>
          </w:p>
        </w:tc>
        <w:tc>
          <w:tcPr>
            <w:tcW w:w="4665" w:type="dxa"/>
            <w:vMerge/>
          </w:tcPr>
          <w:p w14:paraId="4AF6EE9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7E2BA43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6D826469" w14:textId="77777777" w:rsidTr="00D36C47">
        <w:tc>
          <w:tcPr>
            <w:tcW w:w="4664" w:type="dxa"/>
          </w:tcPr>
          <w:p w14:paraId="1701A05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Personal-development - rewound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p.1408</w:t>
            </w:r>
          </w:p>
        </w:tc>
        <w:tc>
          <w:tcPr>
            <w:tcW w:w="4665" w:type="dxa"/>
            <w:vMerge/>
          </w:tcPr>
          <w:p w14:paraId="3471000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6E19C40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13BB315F" w14:textId="77777777" w:rsidTr="00D36C47">
        <w:tc>
          <w:tcPr>
            <w:tcW w:w="4664" w:type="dxa"/>
          </w:tcPr>
          <w:p w14:paraId="3E52F39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Self-awareness U (Abu Mansour &amp; Abu Shosha, 2022) p.389</w:t>
            </w:r>
          </w:p>
        </w:tc>
        <w:tc>
          <w:tcPr>
            <w:tcW w:w="4665" w:type="dxa"/>
            <w:vMerge/>
          </w:tcPr>
          <w:p w14:paraId="0F5729B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DE9219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49F5761" w14:textId="77777777" w:rsidTr="00D36C47">
        <w:tc>
          <w:tcPr>
            <w:tcW w:w="4664" w:type="dxa"/>
          </w:tcPr>
          <w:p w14:paraId="0F61B8D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2FDEEB2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Managing uncertainty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p.84</w:t>
            </w:r>
          </w:p>
        </w:tc>
        <w:tc>
          <w:tcPr>
            <w:tcW w:w="4665" w:type="dxa"/>
            <w:vMerge w:val="restart"/>
          </w:tcPr>
          <w:p w14:paraId="52BAF88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9DD596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Enduring uncertainty throughout change. The competence to stay resilient during uncertainty.</w:t>
            </w:r>
          </w:p>
        </w:tc>
        <w:tc>
          <w:tcPr>
            <w:tcW w:w="4665" w:type="dxa"/>
            <w:vMerge/>
          </w:tcPr>
          <w:p w14:paraId="6BBB1EF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9C5F602" w14:textId="77777777" w:rsidTr="00D36C47">
        <w:tc>
          <w:tcPr>
            <w:tcW w:w="4664" w:type="dxa"/>
          </w:tcPr>
          <w:p w14:paraId="6FE7C48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Planning during uncertainty C (Jackson &amp; Nowell, 2021) p.2395</w:t>
            </w:r>
          </w:p>
        </w:tc>
        <w:tc>
          <w:tcPr>
            <w:tcW w:w="4665" w:type="dxa"/>
            <w:vMerge/>
          </w:tcPr>
          <w:p w14:paraId="296B7A4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B3E22B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F25F1FE" w14:textId="77777777" w:rsidTr="00D36C47">
        <w:tc>
          <w:tcPr>
            <w:tcW w:w="4664" w:type="dxa"/>
          </w:tcPr>
          <w:p w14:paraId="7A7B816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Extraordinarily demanding system C (Abu Mansour &amp; Abu Shosha, 2022) p.386</w:t>
            </w:r>
          </w:p>
        </w:tc>
        <w:tc>
          <w:tcPr>
            <w:tcW w:w="4665" w:type="dxa"/>
            <w:vMerge/>
          </w:tcPr>
          <w:p w14:paraId="6F20C5C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5750505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B8944E6" w14:textId="77777777" w:rsidTr="00D36C47">
        <w:tc>
          <w:tcPr>
            <w:tcW w:w="4664" w:type="dxa"/>
          </w:tcPr>
          <w:p w14:paraId="2DC16A7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Physically demanding situations U (Abu Mansour &amp; Abu Shosha, 2022) p.387</w:t>
            </w:r>
          </w:p>
        </w:tc>
        <w:tc>
          <w:tcPr>
            <w:tcW w:w="4665" w:type="dxa"/>
            <w:vMerge/>
          </w:tcPr>
          <w:p w14:paraId="701D9B0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3AD2941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865AA6F" w14:textId="77777777" w:rsidTr="00D36C47">
        <w:tc>
          <w:tcPr>
            <w:tcW w:w="4664" w:type="dxa"/>
          </w:tcPr>
          <w:p w14:paraId="1C250B0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54245BA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Flexible work approach and practices C (Riddell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pp.8-9</w:t>
            </w:r>
          </w:p>
        </w:tc>
        <w:tc>
          <w:tcPr>
            <w:tcW w:w="4665" w:type="dxa"/>
            <w:vMerge w:val="restart"/>
          </w:tcPr>
          <w:p w14:paraId="11DD5FF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4B7BDC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Embracing new and flexible ways of working. The competence to tolerate change and respond in a creative manner.</w:t>
            </w:r>
          </w:p>
        </w:tc>
        <w:tc>
          <w:tcPr>
            <w:tcW w:w="4665" w:type="dxa"/>
            <w:vMerge w:val="restart"/>
          </w:tcPr>
          <w:p w14:paraId="47F871D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2133B9A5" w14:textId="312BFD55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The competence to adapt to and manage change. Adaptability in managing change require</w:t>
            </w:r>
            <w:r w:rsidR="007940BA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skills to find new solutions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which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deal with upcoming challenges and situations.</w:t>
            </w:r>
          </w:p>
        </w:tc>
      </w:tr>
      <w:tr w:rsidR="00B91336" w:rsidRPr="001E37BA" w14:paraId="7FC0F988" w14:textId="77777777" w:rsidTr="00D36C47">
        <w:tc>
          <w:tcPr>
            <w:tcW w:w="4664" w:type="dxa"/>
          </w:tcPr>
          <w:p w14:paraId="4F4846B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Expanded ways of working C (Riddell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p.12</w:t>
            </w:r>
          </w:p>
        </w:tc>
        <w:tc>
          <w:tcPr>
            <w:tcW w:w="4665" w:type="dxa"/>
            <w:vMerge/>
          </w:tcPr>
          <w:p w14:paraId="22CD543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3A23856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04DA7FA" w14:textId="77777777" w:rsidTr="00D36C47">
        <w:tc>
          <w:tcPr>
            <w:tcW w:w="4664" w:type="dxa"/>
          </w:tcPr>
          <w:p w14:paraId="2931DD0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Removal of organizational barriers C (Riddell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p.7</w:t>
            </w:r>
          </w:p>
        </w:tc>
        <w:tc>
          <w:tcPr>
            <w:tcW w:w="4665" w:type="dxa"/>
            <w:vMerge/>
          </w:tcPr>
          <w:p w14:paraId="78FA254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2F75ABD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1899C3BF" w14:textId="77777777" w:rsidTr="00D36C47">
        <w:tc>
          <w:tcPr>
            <w:tcW w:w="4664" w:type="dxa"/>
          </w:tcPr>
          <w:p w14:paraId="4E31F1F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Urgent and constant reorganization of the service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p.83</w:t>
            </w:r>
          </w:p>
        </w:tc>
        <w:tc>
          <w:tcPr>
            <w:tcW w:w="4665" w:type="dxa"/>
            <w:vMerge/>
          </w:tcPr>
          <w:p w14:paraId="6D1D84B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207A8DA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434CD630" w14:textId="77777777" w:rsidTr="00D36C47">
        <w:tc>
          <w:tcPr>
            <w:tcW w:w="4664" w:type="dxa"/>
          </w:tcPr>
          <w:p w14:paraId="5DF73C12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Compensating for shortage of materials and human resources C (Abu Mansour &amp; Abu Shosha, 2022) p.388</w:t>
            </w:r>
          </w:p>
        </w:tc>
        <w:tc>
          <w:tcPr>
            <w:tcW w:w="4665" w:type="dxa"/>
            <w:vMerge/>
          </w:tcPr>
          <w:p w14:paraId="70C8558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508617D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ED125C" w14:paraId="6885D3B8" w14:textId="77777777" w:rsidTr="00D36C47">
        <w:tc>
          <w:tcPr>
            <w:tcW w:w="4664" w:type="dxa"/>
          </w:tcPr>
          <w:p w14:paraId="75C1D5C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</w:rPr>
              <w:t xml:space="preserve">Innovation C (Roche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</w:rPr>
              <w:t>, 2021) p.4</w:t>
            </w:r>
          </w:p>
        </w:tc>
        <w:tc>
          <w:tcPr>
            <w:tcW w:w="4665" w:type="dxa"/>
            <w:vMerge/>
          </w:tcPr>
          <w:p w14:paraId="283384D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5" w:type="dxa"/>
            <w:vMerge/>
          </w:tcPr>
          <w:p w14:paraId="5B7D146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91336" w:rsidRPr="001E37BA" w14:paraId="12186A0A" w14:textId="77777777" w:rsidTr="00D36C47">
        <w:tc>
          <w:tcPr>
            <w:tcW w:w="4664" w:type="dxa"/>
          </w:tcPr>
          <w:p w14:paraId="71181B2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Revamping my approach C (White, 2021) p.1530</w:t>
            </w:r>
          </w:p>
        </w:tc>
        <w:tc>
          <w:tcPr>
            <w:tcW w:w="4665" w:type="dxa"/>
            <w:vMerge/>
          </w:tcPr>
          <w:p w14:paraId="44D7655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656917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068DDE2" w14:textId="77777777" w:rsidTr="00D36C47">
        <w:tc>
          <w:tcPr>
            <w:tcW w:w="4664" w:type="dxa"/>
          </w:tcPr>
          <w:p w14:paraId="4DA8BE4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Leadership, management and planning C (Roche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p.4</w:t>
            </w:r>
          </w:p>
        </w:tc>
        <w:tc>
          <w:tcPr>
            <w:tcW w:w="4665" w:type="dxa"/>
            <w:vMerge/>
          </w:tcPr>
          <w:p w14:paraId="5D97751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672E28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4FAD559" w14:textId="77777777" w:rsidTr="00D36C47">
        <w:tc>
          <w:tcPr>
            <w:tcW w:w="4664" w:type="dxa"/>
          </w:tcPr>
          <w:p w14:paraId="6215119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5D50128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Complexity of staff management in a changing situation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p.83</w:t>
            </w:r>
          </w:p>
        </w:tc>
        <w:tc>
          <w:tcPr>
            <w:tcW w:w="4665" w:type="dxa"/>
            <w:vMerge w:val="restart"/>
          </w:tcPr>
          <w:p w14:paraId="63E30AD2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1823155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Coping with changing resources. The competence to be resourceful while managing staff through prioritization and allocation.</w:t>
            </w:r>
          </w:p>
        </w:tc>
        <w:tc>
          <w:tcPr>
            <w:tcW w:w="4665" w:type="dxa"/>
            <w:vMerge/>
          </w:tcPr>
          <w:p w14:paraId="14F5CE5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BA533E5" w14:textId="77777777" w:rsidTr="00D36C47">
        <w:tc>
          <w:tcPr>
            <w:tcW w:w="4664" w:type="dxa"/>
          </w:tcPr>
          <w:p w14:paraId="15D7921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Designating and transferring staff U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p.1405</w:t>
            </w:r>
          </w:p>
        </w:tc>
        <w:tc>
          <w:tcPr>
            <w:tcW w:w="4665" w:type="dxa"/>
            <w:vMerge/>
          </w:tcPr>
          <w:p w14:paraId="0A0B951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7963FB1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127C517" w14:textId="77777777" w:rsidTr="00D36C47">
        <w:tc>
          <w:tcPr>
            <w:tcW w:w="4664" w:type="dxa"/>
          </w:tcPr>
          <w:p w14:paraId="5BC4A00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Workplace transitions in response to COVID-19 C (Jackson &amp; Nowell, 2021) pp.2396-2397</w:t>
            </w:r>
          </w:p>
        </w:tc>
        <w:tc>
          <w:tcPr>
            <w:tcW w:w="4665" w:type="dxa"/>
            <w:vMerge/>
          </w:tcPr>
          <w:p w14:paraId="213CCD9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34A8F76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156E256" w14:textId="77777777" w:rsidTr="00D36C47">
        <w:tc>
          <w:tcPr>
            <w:tcW w:w="4664" w:type="dxa"/>
          </w:tcPr>
          <w:p w14:paraId="7DC0F6A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Maintaining quality through problem-solving C (Jackson &amp; Nowell, 2021) p.2397</w:t>
            </w:r>
          </w:p>
        </w:tc>
        <w:tc>
          <w:tcPr>
            <w:tcW w:w="4665" w:type="dxa"/>
            <w:vMerge/>
          </w:tcPr>
          <w:p w14:paraId="6EC3ECD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6D62C61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174AC3D5" w14:textId="77777777" w:rsidTr="00D36C47">
        <w:tc>
          <w:tcPr>
            <w:tcW w:w="4664" w:type="dxa"/>
          </w:tcPr>
          <w:p w14:paraId="7D35BFB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Having a leadership presence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Losty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&amp; Bailey, 2021) p.121</w:t>
            </w:r>
          </w:p>
        </w:tc>
        <w:tc>
          <w:tcPr>
            <w:tcW w:w="4665" w:type="dxa"/>
            <w:vMerge w:val="restart"/>
          </w:tcPr>
          <w:p w14:paraId="12083AA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Maintaining an active grip and presence in leadership. The competence to support staff, participate in decision-making, share awareness of the situation, and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maintain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open dialog.</w:t>
            </w:r>
          </w:p>
        </w:tc>
        <w:tc>
          <w:tcPr>
            <w:tcW w:w="4665" w:type="dxa"/>
            <w:vMerge w:val="restart"/>
          </w:tcPr>
          <w:p w14:paraId="60BEEB03" w14:textId="5A913969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The competence to manage and take care of staff. Managing and supporting staff require</w:t>
            </w:r>
            <w:r w:rsidR="001A383B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skills in managing through knowledge, utilizing the expertise of the staff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and to develop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this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accord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ing to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topical needs.</w:t>
            </w:r>
          </w:p>
        </w:tc>
      </w:tr>
      <w:tr w:rsidR="00B91336" w:rsidRPr="001E37BA" w14:paraId="36A3CCB7" w14:textId="77777777" w:rsidTr="00D36C47">
        <w:tc>
          <w:tcPr>
            <w:tcW w:w="4664" w:type="dxa"/>
          </w:tcPr>
          <w:p w14:paraId="2A4791E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Reliance on me U (White, 2021) p.1530</w:t>
            </w:r>
          </w:p>
        </w:tc>
        <w:tc>
          <w:tcPr>
            <w:tcW w:w="4665" w:type="dxa"/>
            <w:vMerge/>
          </w:tcPr>
          <w:p w14:paraId="16B433D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A3677E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8920EB1" w14:textId="77777777" w:rsidTr="00D36C47">
        <w:tc>
          <w:tcPr>
            <w:tcW w:w="4664" w:type="dxa"/>
          </w:tcPr>
          <w:p w14:paraId="44F1477F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Maintaining presence, own leadership virtues and professionalism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pp.1404-1405</w:t>
            </w:r>
          </w:p>
        </w:tc>
        <w:tc>
          <w:tcPr>
            <w:tcW w:w="4665" w:type="dxa"/>
            <w:vMerge/>
          </w:tcPr>
          <w:p w14:paraId="7750A3C2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6BA7346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C15E13B" w14:textId="77777777" w:rsidTr="00D36C47">
        <w:tc>
          <w:tcPr>
            <w:tcW w:w="4664" w:type="dxa"/>
          </w:tcPr>
          <w:p w14:paraId="664A437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Bottom-up decision-making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Hølge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-Hazelton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pp.1407-1408</w:t>
            </w:r>
          </w:p>
        </w:tc>
        <w:tc>
          <w:tcPr>
            <w:tcW w:w="4665" w:type="dxa"/>
            <w:vMerge/>
          </w:tcPr>
          <w:p w14:paraId="4A0BEC2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670450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91C5A57" w14:textId="77777777" w:rsidTr="00D36C47">
        <w:tc>
          <w:tcPr>
            <w:tcW w:w="4664" w:type="dxa"/>
          </w:tcPr>
          <w:p w14:paraId="4E6E88A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Participation in decision-making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p.84</w:t>
            </w:r>
          </w:p>
        </w:tc>
        <w:tc>
          <w:tcPr>
            <w:tcW w:w="4665" w:type="dxa"/>
            <w:vMerge/>
          </w:tcPr>
          <w:p w14:paraId="017D179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36FE695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6430871A" w14:textId="77777777" w:rsidTr="00D36C47">
        <w:tc>
          <w:tcPr>
            <w:tcW w:w="4664" w:type="dxa"/>
          </w:tcPr>
          <w:p w14:paraId="2FC2AD3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Expanded working relationships C (Riddell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pp.6-7</w:t>
            </w:r>
          </w:p>
        </w:tc>
        <w:tc>
          <w:tcPr>
            <w:tcW w:w="4665" w:type="dxa"/>
            <w:vMerge/>
          </w:tcPr>
          <w:p w14:paraId="5A7B3F1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5302CB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E6DBE62" w14:textId="77777777" w:rsidTr="00D36C47">
        <w:tc>
          <w:tcPr>
            <w:tcW w:w="4664" w:type="dxa"/>
          </w:tcPr>
          <w:p w14:paraId="34BBDEB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Knowledge development and dissemination C (Riddell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p.9</w:t>
            </w:r>
          </w:p>
        </w:tc>
        <w:tc>
          <w:tcPr>
            <w:tcW w:w="4665" w:type="dxa"/>
            <w:vMerge/>
          </w:tcPr>
          <w:p w14:paraId="265CE0E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542C315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1FBB468" w14:textId="77777777" w:rsidTr="00D36C47">
        <w:tc>
          <w:tcPr>
            <w:tcW w:w="4664" w:type="dxa"/>
          </w:tcPr>
          <w:p w14:paraId="132D7F0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Staff development C (Abu Mansour &amp; Abu Shosha, 2022) p.388</w:t>
            </w:r>
          </w:p>
        </w:tc>
        <w:tc>
          <w:tcPr>
            <w:tcW w:w="4665" w:type="dxa"/>
            <w:vMerge/>
          </w:tcPr>
          <w:p w14:paraId="536F300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6B93038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1DC6AB05" w14:textId="77777777" w:rsidTr="00D36C47">
        <w:tc>
          <w:tcPr>
            <w:tcW w:w="4664" w:type="dxa"/>
          </w:tcPr>
          <w:p w14:paraId="3044A33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Maturity of management skills C (Abu Mansour &amp; Abu Shosha, 2022) p.389</w:t>
            </w:r>
          </w:p>
        </w:tc>
        <w:tc>
          <w:tcPr>
            <w:tcW w:w="4665" w:type="dxa"/>
            <w:vMerge/>
          </w:tcPr>
          <w:p w14:paraId="54365FF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450CF95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C777A67" w14:textId="77777777" w:rsidTr="00D36C47">
        <w:tc>
          <w:tcPr>
            <w:tcW w:w="4664" w:type="dxa"/>
          </w:tcPr>
          <w:p w14:paraId="699B909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Workforce development and training C (Roche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p.4</w:t>
            </w:r>
          </w:p>
        </w:tc>
        <w:tc>
          <w:tcPr>
            <w:tcW w:w="4665" w:type="dxa"/>
            <w:vMerge w:val="restart"/>
          </w:tcPr>
          <w:p w14:paraId="1005FBE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Understanding the capability of the workforce. The competence to identify developmental needs and acknowledge accomplishments.</w:t>
            </w:r>
          </w:p>
        </w:tc>
        <w:tc>
          <w:tcPr>
            <w:tcW w:w="4665" w:type="dxa"/>
            <w:vMerge/>
          </w:tcPr>
          <w:p w14:paraId="509D454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6FEFC953" w14:textId="77777777" w:rsidTr="00D36C47">
        <w:tc>
          <w:tcPr>
            <w:tcW w:w="4664" w:type="dxa"/>
          </w:tcPr>
          <w:p w14:paraId="4E9F917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Mental toughness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Losty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&amp; Bailey, 2021) pp.121-122</w:t>
            </w:r>
          </w:p>
        </w:tc>
        <w:tc>
          <w:tcPr>
            <w:tcW w:w="4665" w:type="dxa"/>
            <w:vMerge/>
          </w:tcPr>
          <w:p w14:paraId="5A9B759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8FAFE0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57EBCAE4" w14:textId="77777777" w:rsidTr="00D36C47">
        <w:tc>
          <w:tcPr>
            <w:tcW w:w="4664" w:type="dxa"/>
          </w:tcPr>
          <w:p w14:paraId="5D0B683E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Prioritization of the biopsychosocial well-being of staff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pp.84-85</w:t>
            </w:r>
          </w:p>
        </w:tc>
        <w:tc>
          <w:tcPr>
            <w:tcW w:w="4665" w:type="dxa"/>
            <w:vMerge w:val="restart"/>
          </w:tcPr>
          <w:p w14:paraId="19AAEC5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Taking care of the well-being of staff. The competence to recognize the individuality of the workforce.</w:t>
            </w:r>
          </w:p>
        </w:tc>
        <w:tc>
          <w:tcPr>
            <w:tcW w:w="4665" w:type="dxa"/>
            <w:vMerge/>
          </w:tcPr>
          <w:p w14:paraId="4D3A7D7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75E0AD53" w14:textId="77777777" w:rsidTr="00D36C47">
        <w:tc>
          <w:tcPr>
            <w:tcW w:w="4664" w:type="dxa"/>
          </w:tcPr>
          <w:p w14:paraId="0BD3816C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Work that needs attention going forward U (White, 2021) p.1532</w:t>
            </w:r>
          </w:p>
        </w:tc>
        <w:tc>
          <w:tcPr>
            <w:tcW w:w="4665" w:type="dxa"/>
            <w:vMerge/>
          </w:tcPr>
          <w:p w14:paraId="4C18B1A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6A63131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745283FA" w14:textId="77777777" w:rsidTr="00D36C47">
        <w:tc>
          <w:tcPr>
            <w:tcW w:w="4664" w:type="dxa"/>
          </w:tcPr>
          <w:p w14:paraId="4766440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 different kind of support C (White, 2021) p.1530</w:t>
            </w:r>
          </w:p>
        </w:tc>
        <w:tc>
          <w:tcPr>
            <w:tcW w:w="4665" w:type="dxa"/>
            <w:vMerge/>
          </w:tcPr>
          <w:p w14:paraId="394CE2EA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55A9F61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7F9BB320" w14:textId="77777777" w:rsidTr="00D36C47">
        <w:tc>
          <w:tcPr>
            <w:tcW w:w="4664" w:type="dxa"/>
          </w:tcPr>
          <w:p w14:paraId="1C9E13C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76A23E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Communication is paramount C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Losty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&amp; Bailey, 2021) pp.120-121</w:t>
            </w:r>
          </w:p>
        </w:tc>
        <w:tc>
          <w:tcPr>
            <w:tcW w:w="4665" w:type="dxa"/>
            <w:vMerge w:val="restart"/>
          </w:tcPr>
          <w:p w14:paraId="3DEFD72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51E517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Ensuring effective communication. The competence to handle, receive and distribute information at large.</w:t>
            </w:r>
          </w:p>
        </w:tc>
        <w:tc>
          <w:tcPr>
            <w:tcW w:w="4665" w:type="dxa"/>
            <w:vMerge w:val="restart"/>
          </w:tcPr>
          <w:p w14:paraId="6728B2C0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1F5E4C24" w14:textId="1BDB76BA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The competence to co-operate and communicate with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diverse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stakeholders. Co-operation and communication </w:t>
            </w:r>
            <w:r w:rsidR="002111A6"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require</w:t>
            </w:r>
            <w:r w:rsidR="002111A6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skills in multidisciplinary collaboration, being aware of the situation at hand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and being able to convey the necessary information to all parties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concerned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B91336" w:rsidRPr="001E37BA" w14:paraId="0D2E4683" w14:textId="77777777" w:rsidTr="00D36C47">
        <w:tc>
          <w:tcPr>
            <w:tcW w:w="4664" w:type="dxa"/>
          </w:tcPr>
          <w:p w14:paraId="1333DFB8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Extensive information and communication C (Riddell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p.6</w:t>
            </w:r>
          </w:p>
        </w:tc>
        <w:tc>
          <w:tcPr>
            <w:tcW w:w="4665" w:type="dxa"/>
            <w:vMerge/>
          </w:tcPr>
          <w:p w14:paraId="481A4A8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33A99E6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32DCD3E0" w14:textId="77777777" w:rsidTr="00D36C47">
        <w:tc>
          <w:tcPr>
            <w:tcW w:w="4664" w:type="dxa"/>
          </w:tcPr>
          <w:p w14:paraId="4353BD72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Communication C (Roche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2021) p.4</w:t>
            </w:r>
          </w:p>
        </w:tc>
        <w:tc>
          <w:tcPr>
            <w:tcW w:w="4665" w:type="dxa"/>
            <w:vMerge/>
          </w:tcPr>
          <w:p w14:paraId="7E979E8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19AA3C6D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0A2B724F" w14:textId="77777777" w:rsidTr="00D36C47">
        <w:tc>
          <w:tcPr>
            <w:tcW w:w="4664" w:type="dxa"/>
          </w:tcPr>
          <w:p w14:paraId="5CB90DA4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Teamwork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p.86</w:t>
            </w:r>
          </w:p>
        </w:tc>
        <w:tc>
          <w:tcPr>
            <w:tcW w:w="4665" w:type="dxa"/>
            <w:vMerge w:val="restart"/>
          </w:tcPr>
          <w:p w14:paraId="424D418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Sustaining teamwork and collaboration. The competence to collaborate, work within a team, give and receive support.</w:t>
            </w:r>
          </w:p>
        </w:tc>
        <w:tc>
          <w:tcPr>
            <w:tcW w:w="4665" w:type="dxa"/>
            <w:vMerge/>
          </w:tcPr>
          <w:p w14:paraId="28D839B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1981709C" w14:textId="77777777" w:rsidTr="00D36C47">
        <w:tc>
          <w:tcPr>
            <w:tcW w:w="4664" w:type="dxa"/>
          </w:tcPr>
          <w:p w14:paraId="3FCCFD1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Professional support C (White, 2021) p.1531</w:t>
            </w:r>
          </w:p>
        </w:tc>
        <w:tc>
          <w:tcPr>
            <w:tcW w:w="4665" w:type="dxa"/>
            <w:vMerge/>
          </w:tcPr>
          <w:p w14:paraId="361644A1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0F53B633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ED125C" w14:paraId="04E379F3" w14:textId="77777777" w:rsidTr="00D36C47">
        <w:tc>
          <w:tcPr>
            <w:tcW w:w="4664" w:type="dxa"/>
          </w:tcPr>
          <w:p w14:paraId="15C9DF5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Collaboration C (Vázquez-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Calatayud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8501D">
              <w:rPr>
                <w:rFonts w:cs="Times New Roman"/>
                <w:i/>
                <w:color w:val="000000" w:themeColor="text1"/>
                <w:sz w:val="20"/>
                <w:szCs w:val="20"/>
                <w:lang w:val="en-US"/>
              </w:rPr>
              <w:t>et al.</w:t>
            </w: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, 2022) p.86</w:t>
            </w:r>
          </w:p>
        </w:tc>
        <w:tc>
          <w:tcPr>
            <w:tcW w:w="4665" w:type="dxa"/>
            <w:vMerge/>
          </w:tcPr>
          <w:p w14:paraId="7C8A2887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5B41C305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336" w:rsidRPr="001E37BA" w14:paraId="7F3F319B" w14:textId="77777777" w:rsidTr="00D36C47">
        <w:tc>
          <w:tcPr>
            <w:tcW w:w="4664" w:type="dxa"/>
          </w:tcPr>
          <w:p w14:paraId="25CA1EAB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Colleagues’ support C (Abu Mansour &amp; Abu Shosha, 2022) p.389</w:t>
            </w:r>
          </w:p>
        </w:tc>
        <w:tc>
          <w:tcPr>
            <w:tcW w:w="4665" w:type="dxa"/>
            <w:vMerge/>
          </w:tcPr>
          <w:p w14:paraId="56075339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  <w:vMerge/>
          </w:tcPr>
          <w:p w14:paraId="72108806" w14:textId="77777777" w:rsidR="00B91336" w:rsidRPr="00C8501D" w:rsidRDefault="00B91336" w:rsidP="00D36C47">
            <w:pPr>
              <w:spacing w:after="160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765FFAD6" w14:textId="6E8B8505" w:rsidR="008B3811" w:rsidRPr="001E37BA" w:rsidRDefault="00B91336" w:rsidP="00B91336">
      <w:pPr>
        <w:rPr>
          <w:lang w:val="en-US"/>
        </w:rPr>
      </w:pPr>
      <w:r w:rsidRPr="00C8501D">
        <w:rPr>
          <w:rFonts w:cs="Times New Roman"/>
          <w:color w:val="000000" w:themeColor="text1"/>
          <w:sz w:val="20"/>
          <w:szCs w:val="20"/>
          <w:lang w:val="en-US"/>
        </w:rPr>
        <w:t>U=unequivocal, C=credibl</w:t>
      </w:r>
      <w:r>
        <w:rPr>
          <w:rFonts w:cs="Times New Roman"/>
          <w:color w:val="000000" w:themeColor="text1"/>
          <w:sz w:val="20"/>
          <w:szCs w:val="20"/>
          <w:lang w:val="en-US"/>
        </w:rPr>
        <w:t>e</w:t>
      </w:r>
      <w:r w:rsidR="001E37BA">
        <w:rPr>
          <w:rFonts w:cs="Times New Roman"/>
          <w:color w:val="000000" w:themeColor="text1"/>
          <w:szCs w:val="20"/>
          <w:lang w:val="en-US"/>
        </w:rPr>
        <w:t xml:space="preserve"> </w:t>
      </w:r>
      <w:r w:rsidR="001E37BA" w:rsidRPr="001E37BA">
        <w:rPr>
          <w:sz w:val="20"/>
          <w:szCs w:val="20"/>
          <w:lang w:val="en-US"/>
        </w:rPr>
        <w:t>(Source: Authors own work)</w:t>
      </w:r>
    </w:p>
    <w:sectPr w:rsidR="008B3811" w:rsidRPr="001E37BA" w:rsidSect="003766EF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6B9"/>
    <w:multiLevelType w:val="hybridMultilevel"/>
    <w:tmpl w:val="E6362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C3453"/>
    <w:multiLevelType w:val="hybridMultilevel"/>
    <w:tmpl w:val="162CF1F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A22E4"/>
    <w:multiLevelType w:val="hybridMultilevel"/>
    <w:tmpl w:val="619400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2314"/>
    <w:multiLevelType w:val="hybridMultilevel"/>
    <w:tmpl w:val="C76622BC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E56CA"/>
    <w:multiLevelType w:val="hybridMultilevel"/>
    <w:tmpl w:val="76C0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54B4"/>
    <w:multiLevelType w:val="hybridMultilevel"/>
    <w:tmpl w:val="AD0AE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7C83"/>
    <w:multiLevelType w:val="hybridMultilevel"/>
    <w:tmpl w:val="06D0A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A67A9"/>
    <w:multiLevelType w:val="multilevel"/>
    <w:tmpl w:val="FB00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F7361B"/>
    <w:multiLevelType w:val="hybridMultilevel"/>
    <w:tmpl w:val="63CE70D6"/>
    <w:lvl w:ilvl="0" w:tplc="2892AC3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8014D"/>
    <w:multiLevelType w:val="hybridMultilevel"/>
    <w:tmpl w:val="3D647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83A16"/>
    <w:multiLevelType w:val="hybridMultilevel"/>
    <w:tmpl w:val="AF96B454"/>
    <w:lvl w:ilvl="0" w:tplc="412457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A586E"/>
    <w:multiLevelType w:val="hybridMultilevel"/>
    <w:tmpl w:val="AA1C6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B3891"/>
    <w:multiLevelType w:val="hybridMultilevel"/>
    <w:tmpl w:val="E5A47C0E"/>
    <w:lvl w:ilvl="0" w:tplc="19F41A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C5252"/>
    <w:multiLevelType w:val="hybridMultilevel"/>
    <w:tmpl w:val="7FE27D54"/>
    <w:lvl w:ilvl="0" w:tplc="5F0A6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70ADD"/>
    <w:multiLevelType w:val="hybridMultilevel"/>
    <w:tmpl w:val="FFFFFFFF"/>
    <w:lvl w:ilvl="0" w:tplc="EA345F98">
      <w:start w:val="1"/>
      <w:numFmt w:val="decimal"/>
      <w:lvlText w:val="%1."/>
      <w:lvlJc w:val="left"/>
      <w:pPr>
        <w:ind w:left="720" w:hanging="360"/>
      </w:pPr>
    </w:lvl>
    <w:lvl w:ilvl="1" w:tplc="B90ED9AC">
      <w:start w:val="1"/>
      <w:numFmt w:val="lowerLetter"/>
      <w:lvlText w:val="%2."/>
      <w:lvlJc w:val="left"/>
      <w:pPr>
        <w:ind w:left="1440" w:hanging="360"/>
      </w:pPr>
    </w:lvl>
    <w:lvl w:ilvl="2" w:tplc="1F369C4A">
      <w:start w:val="1"/>
      <w:numFmt w:val="lowerRoman"/>
      <w:lvlText w:val="%3."/>
      <w:lvlJc w:val="right"/>
      <w:pPr>
        <w:ind w:left="2160" w:hanging="180"/>
      </w:pPr>
    </w:lvl>
    <w:lvl w:ilvl="3" w:tplc="4E64E7BE">
      <w:start w:val="1"/>
      <w:numFmt w:val="decimal"/>
      <w:lvlText w:val="%4."/>
      <w:lvlJc w:val="left"/>
      <w:pPr>
        <w:ind w:left="2880" w:hanging="360"/>
      </w:pPr>
    </w:lvl>
    <w:lvl w:ilvl="4" w:tplc="FB00EE78">
      <w:start w:val="1"/>
      <w:numFmt w:val="lowerLetter"/>
      <w:lvlText w:val="%5."/>
      <w:lvlJc w:val="left"/>
      <w:pPr>
        <w:ind w:left="3600" w:hanging="360"/>
      </w:pPr>
    </w:lvl>
    <w:lvl w:ilvl="5" w:tplc="0BEA5426">
      <w:start w:val="1"/>
      <w:numFmt w:val="lowerRoman"/>
      <w:lvlText w:val="%6."/>
      <w:lvlJc w:val="right"/>
      <w:pPr>
        <w:ind w:left="4320" w:hanging="180"/>
      </w:pPr>
    </w:lvl>
    <w:lvl w:ilvl="6" w:tplc="A3DC9DD4">
      <w:start w:val="1"/>
      <w:numFmt w:val="decimal"/>
      <w:lvlText w:val="%7."/>
      <w:lvlJc w:val="left"/>
      <w:pPr>
        <w:ind w:left="5040" w:hanging="360"/>
      </w:pPr>
    </w:lvl>
    <w:lvl w:ilvl="7" w:tplc="6E182602">
      <w:start w:val="1"/>
      <w:numFmt w:val="lowerLetter"/>
      <w:lvlText w:val="%8."/>
      <w:lvlJc w:val="left"/>
      <w:pPr>
        <w:ind w:left="5760" w:hanging="360"/>
      </w:pPr>
    </w:lvl>
    <w:lvl w:ilvl="8" w:tplc="849E02E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F6BA4"/>
    <w:multiLevelType w:val="hybridMultilevel"/>
    <w:tmpl w:val="66728568"/>
    <w:lvl w:ilvl="0" w:tplc="F3A6BC2C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858B4"/>
    <w:multiLevelType w:val="hybridMultilevel"/>
    <w:tmpl w:val="58D08F4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903B7"/>
    <w:multiLevelType w:val="hybridMultilevel"/>
    <w:tmpl w:val="9D2E5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2A65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129D"/>
    <w:multiLevelType w:val="hybridMultilevel"/>
    <w:tmpl w:val="9D987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14083"/>
    <w:multiLevelType w:val="hybridMultilevel"/>
    <w:tmpl w:val="5608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86882"/>
    <w:multiLevelType w:val="hybridMultilevel"/>
    <w:tmpl w:val="1FE26A7C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A6A5A"/>
    <w:multiLevelType w:val="hybridMultilevel"/>
    <w:tmpl w:val="A7E2125A"/>
    <w:lvl w:ilvl="0" w:tplc="FD08D624">
      <w:start w:val="19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933FD"/>
    <w:multiLevelType w:val="hybridMultilevel"/>
    <w:tmpl w:val="429CED2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61C0E"/>
    <w:multiLevelType w:val="hybridMultilevel"/>
    <w:tmpl w:val="F4F86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31A17"/>
    <w:multiLevelType w:val="hybridMultilevel"/>
    <w:tmpl w:val="CEEA6FE4"/>
    <w:lvl w:ilvl="0" w:tplc="487E564A">
      <w:start w:val="19"/>
      <w:numFmt w:val="bullet"/>
      <w:lvlText w:val=""/>
      <w:lvlJc w:val="left"/>
      <w:pPr>
        <w:ind w:left="41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5" w15:restartNumberingAfterBreak="0">
    <w:nsid w:val="6D2C0833"/>
    <w:multiLevelType w:val="multilevel"/>
    <w:tmpl w:val="96467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6B5FEE"/>
    <w:multiLevelType w:val="hybridMultilevel"/>
    <w:tmpl w:val="00143B4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878"/>
    <w:multiLevelType w:val="hybridMultilevel"/>
    <w:tmpl w:val="0D48D220"/>
    <w:lvl w:ilvl="0" w:tplc="9F24A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8B6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AF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4F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853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4E8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A1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4E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E64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028AA"/>
    <w:multiLevelType w:val="hybridMultilevel"/>
    <w:tmpl w:val="AB3248A2"/>
    <w:lvl w:ilvl="0" w:tplc="DB40DA6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0"/>
  </w:num>
  <w:num w:numId="4">
    <w:abstractNumId w:val="5"/>
  </w:num>
  <w:num w:numId="5">
    <w:abstractNumId w:val="11"/>
  </w:num>
  <w:num w:numId="6">
    <w:abstractNumId w:val="18"/>
  </w:num>
  <w:num w:numId="7">
    <w:abstractNumId w:val="6"/>
  </w:num>
  <w:num w:numId="8">
    <w:abstractNumId w:val="9"/>
  </w:num>
  <w:num w:numId="9">
    <w:abstractNumId w:val="4"/>
  </w:num>
  <w:num w:numId="10">
    <w:abstractNumId w:val="17"/>
  </w:num>
  <w:num w:numId="11">
    <w:abstractNumId w:val="23"/>
  </w:num>
  <w:num w:numId="12">
    <w:abstractNumId w:val="19"/>
  </w:num>
  <w:num w:numId="13">
    <w:abstractNumId w:val="10"/>
  </w:num>
  <w:num w:numId="14">
    <w:abstractNumId w:val="12"/>
  </w:num>
  <w:num w:numId="15">
    <w:abstractNumId w:val="7"/>
  </w:num>
  <w:num w:numId="16">
    <w:abstractNumId w:val="28"/>
  </w:num>
  <w:num w:numId="17">
    <w:abstractNumId w:val="16"/>
  </w:num>
  <w:num w:numId="18">
    <w:abstractNumId w:val="3"/>
  </w:num>
  <w:num w:numId="19">
    <w:abstractNumId w:val="1"/>
  </w:num>
  <w:num w:numId="20">
    <w:abstractNumId w:val="26"/>
  </w:num>
  <w:num w:numId="21">
    <w:abstractNumId w:val="20"/>
  </w:num>
  <w:num w:numId="22">
    <w:abstractNumId w:val="22"/>
  </w:num>
  <w:num w:numId="23">
    <w:abstractNumId w:val="15"/>
  </w:num>
  <w:num w:numId="24">
    <w:abstractNumId w:val="2"/>
  </w:num>
  <w:num w:numId="25">
    <w:abstractNumId w:val="8"/>
  </w:num>
  <w:num w:numId="26">
    <w:abstractNumId w:val="13"/>
  </w:num>
  <w:num w:numId="27">
    <w:abstractNumId w:val="25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FE"/>
    <w:rsid w:val="000035FE"/>
    <w:rsid w:val="000D7BAA"/>
    <w:rsid w:val="0017398D"/>
    <w:rsid w:val="001A383B"/>
    <w:rsid w:val="001E37BA"/>
    <w:rsid w:val="002111A6"/>
    <w:rsid w:val="003766EF"/>
    <w:rsid w:val="004421C7"/>
    <w:rsid w:val="006B44A1"/>
    <w:rsid w:val="007529C8"/>
    <w:rsid w:val="007940BA"/>
    <w:rsid w:val="00AC4CA3"/>
    <w:rsid w:val="00B54A7A"/>
    <w:rsid w:val="00B816C5"/>
    <w:rsid w:val="00B91336"/>
    <w:rsid w:val="00C2727B"/>
    <w:rsid w:val="00DD69F7"/>
    <w:rsid w:val="00E67E0C"/>
    <w:rsid w:val="00E8408E"/>
    <w:rsid w:val="00F35F1C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BD113"/>
  <w15:chartTrackingRefBased/>
  <w15:docId w15:val="{8CD7CA4B-6CEE-4693-8960-C845AA4B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5FE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04AE"/>
    <w:pPr>
      <w:keepNext/>
      <w:keepLines/>
      <w:spacing w:before="480" w:after="720" w:line="240" w:lineRule="auto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04AE"/>
    <w:pPr>
      <w:keepNext/>
      <w:keepLines/>
      <w:spacing w:before="480" w:after="480" w:line="240" w:lineRule="auto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04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3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7E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E67E0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C04AE"/>
    <w:rPr>
      <w:rFonts w:ascii="Times New Roman" w:eastAsiaTheme="majorEastAsia" w:hAnsi="Times New Roman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04AE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04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Spacing">
    <w:name w:val="No Spacing"/>
    <w:link w:val="NoSpacingChar"/>
    <w:uiPriority w:val="1"/>
    <w:qFormat/>
    <w:rsid w:val="00FC04AE"/>
    <w:pPr>
      <w:spacing w:after="0" w:line="240" w:lineRule="auto"/>
    </w:pPr>
    <w:rPr>
      <w:rFonts w:eastAsiaTheme="minorEastAsia"/>
      <w:lang w:eastAsia="fi-FI"/>
    </w:rPr>
  </w:style>
  <w:style w:type="character" w:customStyle="1" w:styleId="NoSpacingChar">
    <w:name w:val="No Spacing Char"/>
    <w:basedOn w:val="DefaultParagraphFont"/>
    <w:link w:val="NoSpacing"/>
    <w:uiPriority w:val="1"/>
    <w:rsid w:val="00FC04AE"/>
    <w:rPr>
      <w:rFonts w:eastAsiaTheme="minorEastAsia"/>
      <w:lang w:eastAsia="fi-FI"/>
    </w:rPr>
  </w:style>
  <w:style w:type="paragraph" w:styleId="Title">
    <w:name w:val="Title"/>
    <w:basedOn w:val="Normal"/>
    <w:next w:val="Normal"/>
    <w:link w:val="TitleChar"/>
    <w:uiPriority w:val="10"/>
    <w:qFormat/>
    <w:rsid w:val="00FC04AE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4AE"/>
    <w:rPr>
      <w:rFonts w:ascii="Times New Roman" w:eastAsiaTheme="majorEastAsia" w:hAnsi="Times New Roman" w:cstheme="majorBidi"/>
      <w:spacing w:val="-10"/>
      <w:kern w:val="28"/>
      <w:sz w:val="24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FC04AE"/>
    <w:pPr>
      <w:outlineLvl w:val="9"/>
    </w:pPr>
    <w:rPr>
      <w:rFonts w:asciiTheme="majorHAnsi" w:hAnsiTheme="majorHAnsi"/>
      <w:color w:val="2F5496" w:themeColor="accent1" w:themeShade="BF"/>
      <w:sz w:val="32"/>
      <w:lang w:eastAsia="fi-FI"/>
    </w:rPr>
  </w:style>
  <w:style w:type="paragraph" w:styleId="TOC1">
    <w:name w:val="toc 1"/>
    <w:basedOn w:val="Normal"/>
    <w:next w:val="Normal"/>
    <w:autoRedefine/>
    <w:uiPriority w:val="39"/>
    <w:unhideWhenUsed/>
    <w:rsid w:val="00FC04AE"/>
    <w:pPr>
      <w:tabs>
        <w:tab w:val="right" w:pos="8494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04AE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C04A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04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4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04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4AE"/>
    <w:rPr>
      <w:rFonts w:ascii="Times New Roman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FC04AE"/>
    <w:pPr>
      <w:spacing w:after="100"/>
      <w:ind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04AE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C04AE"/>
    <w:pPr>
      <w:ind w:left="720"/>
      <w:contextualSpacing/>
    </w:pPr>
  </w:style>
  <w:style w:type="character" w:customStyle="1" w:styleId="Ratkaisematonmaininta1">
    <w:name w:val="Ratkaisematon maininta1"/>
    <w:basedOn w:val="DefaultParagraphFont"/>
    <w:uiPriority w:val="99"/>
    <w:rsid w:val="00FC04A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C04AE"/>
  </w:style>
  <w:style w:type="character" w:customStyle="1" w:styleId="eop">
    <w:name w:val="eop"/>
    <w:basedOn w:val="DefaultParagraphFont"/>
    <w:rsid w:val="00FC04AE"/>
  </w:style>
  <w:style w:type="character" w:customStyle="1" w:styleId="searchquerygrammarewxet">
    <w:name w:val="searchquery__grammar___ewxet"/>
    <w:basedOn w:val="DefaultParagraphFont"/>
    <w:rsid w:val="00FC04AE"/>
  </w:style>
  <w:style w:type="character" w:customStyle="1" w:styleId="searchqueryfield149mn">
    <w:name w:val="searchquery__field___149mn"/>
    <w:basedOn w:val="DefaultParagraphFont"/>
    <w:rsid w:val="00FC04AE"/>
  </w:style>
  <w:style w:type="character" w:customStyle="1" w:styleId="searchquerykeyword3dbtj">
    <w:name w:val="searchquery__keyword___3dbtj"/>
    <w:basedOn w:val="DefaultParagraphFont"/>
    <w:rsid w:val="00FC04AE"/>
  </w:style>
  <w:style w:type="paragraph" w:styleId="CommentText">
    <w:name w:val="annotation text"/>
    <w:basedOn w:val="Normal"/>
    <w:link w:val="CommentTextChar"/>
    <w:uiPriority w:val="99"/>
    <w:unhideWhenUsed/>
    <w:rsid w:val="00FC04AE"/>
    <w:pPr>
      <w:spacing w:line="240" w:lineRule="auto"/>
    </w:pPr>
    <w:rPr>
      <w:rFonts w:asciiTheme="minorHAnsi" w:eastAsiaTheme="minorEastAsia" w:hAnsiTheme="minorHAnsi"/>
      <w:sz w:val="20"/>
      <w:szCs w:val="20"/>
      <w:lang w:val="en-AU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04AE"/>
    <w:rPr>
      <w:rFonts w:eastAsiaTheme="minorEastAsia"/>
      <w:sz w:val="20"/>
      <w:szCs w:val="20"/>
      <w:lang w:val="en-AU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04AE"/>
    <w:rPr>
      <w:color w:val="954F72" w:themeColor="followedHyperlink"/>
      <w:u w:val="single"/>
    </w:rPr>
  </w:style>
  <w:style w:type="character" w:customStyle="1" w:styleId="resultscount">
    <w:name w:val="resultscount"/>
    <w:basedOn w:val="DefaultParagraphFont"/>
    <w:rsid w:val="00FC04AE"/>
  </w:style>
  <w:style w:type="character" w:customStyle="1" w:styleId="querysrchtext">
    <w:name w:val="querysrchtext"/>
    <w:basedOn w:val="DefaultParagraphFont"/>
    <w:rsid w:val="00FC04AE"/>
  </w:style>
  <w:style w:type="character" w:customStyle="1" w:styleId="queryoperator">
    <w:name w:val="queryoperator"/>
    <w:basedOn w:val="DefaultParagraphFont"/>
    <w:rsid w:val="00FC04AE"/>
  </w:style>
  <w:style w:type="character" w:styleId="Emphasis">
    <w:name w:val="Emphasis"/>
    <w:basedOn w:val="DefaultParagraphFont"/>
    <w:uiPriority w:val="20"/>
    <w:qFormat/>
    <w:rsid w:val="00FC04AE"/>
    <w:rPr>
      <w:i/>
      <w:iCs/>
    </w:rPr>
  </w:style>
  <w:style w:type="character" w:customStyle="1" w:styleId="apple-converted-space">
    <w:name w:val="apple-converted-space"/>
    <w:basedOn w:val="DefaultParagraphFont"/>
    <w:rsid w:val="00FC04AE"/>
  </w:style>
  <w:style w:type="paragraph" w:customStyle="1" w:styleId="paragraph">
    <w:name w:val="paragraph"/>
    <w:basedOn w:val="Normal"/>
    <w:rsid w:val="00FC04A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fi-FI"/>
    </w:rPr>
  </w:style>
  <w:style w:type="character" w:customStyle="1" w:styleId="spellingerror">
    <w:name w:val="spellingerror"/>
    <w:basedOn w:val="DefaultParagraphFont"/>
    <w:rsid w:val="00FC04AE"/>
  </w:style>
  <w:style w:type="character" w:styleId="CommentReference">
    <w:name w:val="annotation reference"/>
    <w:basedOn w:val="DefaultParagraphFont"/>
    <w:uiPriority w:val="99"/>
    <w:semiHidden/>
    <w:unhideWhenUsed/>
    <w:rsid w:val="00FC04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4AE"/>
    <w:rPr>
      <w:rFonts w:ascii="Times New Roman" w:eastAsiaTheme="minorHAnsi" w:hAnsi="Times New Roman"/>
      <w:b/>
      <w:bCs/>
      <w:lang w:val="fi-FI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4AE"/>
    <w:rPr>
      <w:rFonts w:ascii="Times New Roman" w:eastAsiaTheme="minorEastAsia" w:hAnsi="Times New Roman"/>
      <w:b/>
      <w:bCs/>
      <w:sz w:val="20"/>
      <w:szCs w:val="20"/>
      <w:lang w:val="en-AU" w:eastAsia="zh-CN"/>
    </w:rPr>
  </w:style>
  <w:style w:type="paragraph" w:customStyle="1" w:styleId="CM1">
    <w:name w:val="CM1"/>
    <w:basedOn w:val="Default"/>
    <w:next w:val="Default"/>
    <w:rsid w:val="00FC04AE"/>
    <w:rPr>
      <w:rFonts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C04A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04AE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C04AE"/>
    <w:rPr>
      <w:vertAlign w:val="superscript"/>
    </w:rPr>
  </w:style>
  <w:style w:type="paragraph" w:styleId="Revision">
    <w:name w:val="Revision"/>
    <w:hidden/>
    <w:uiPriority w:val="99"/>
    <w:semiHidden/>
    <w:rsid w:val="00FC04AE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C04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04A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fi-FI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Helsingin kaupunki</Company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Taipale-Walsh Leonie</dc:creator>
  <cp:keywords/>
  <dc:description/>
  <cp:lastModifiedBy>Apurva,Emerald</cp:lastModifiedBy>
  <cp:revision>2</cp:revision>
  <dcterms:created xsi:type="dcterms:W3CDTF">2023-04-18T03:44:00Z</dcterms:created>
  <dcterms:modified xsi:type="dcterms:W3CDTF">2023-04-18T03:44:00Z</dcterms:modified>
</cp:coreProperties>
</file>