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ABD42" w14:textId="3FE7A82E" w:rsidR="002B3746" w:rsidRPr="00B808BC" w:rsidRDefault="00AC4421" w:rsidP="00332A34">
      <w:pPr>
        <w:spacing w:after="0" w:line="360" w:lineRule="auto"/>
        <w:rPr>
          <w:rFonts w:ascii="Cambria" w:hAnsi="Cambria" w:cs="Times New Roman"/>
          <w:b/>
          <w:bCs/>
        </w:rPr>
      </w:pPr>
      <w:bookmarkStart w:id="0" w:name="_GoBack"/>
      <w:bookmarkEnd w:id="0"/>
      <w:r w:rsidRPr="00B808BC">
        <w:rPr>
          <w:rFonts w:ascii="Cambria" w:hAnsi="Cambria" w:cs="Times New Roman"/>
          <w:b/>
          <w:bCs/>
        </w:rPr>
        <w:t>Appendix</w:t>
      </w:r>
    </w:p>
    <w:p w14:paraId="1D50D96D" w14:textId="77777777" w:rsidR="00C74B7B" w:rsidRDefault="00C74B7B" w:rsidP="00332A34">
      <w:pPr>
        <w:spacing w:after="0" w:line="360" w:lineRule="auto"/>
        <w:rPr>
          <w:rFonts w:ascii="Cambria" w:hAnsi="Cambria" w:cs="Times New Roman"/>
          <w:b/>
          <w:bCs/>
          <w:sz w:val="19"/>
          <w:szCs w:val="19"/>
        </w:rPr>
      </w:pPr>
    </w:p>
    <w:p w14:paraId="3F5AB12F" w14:textId="77777777" w:rsidR="00BB77DC" w:rsidRDefault="00BB77DC" w:rsidP="00BB77DC">
      <w:pPr>
        <w:spacing w:after="0" w:line="360" w:lineRule="auto"/>
        <w:rPr>
          <w:rFonts w:ascii="Century" w:hAnsi="Century" w:cs="Times New Roman"/>
          <w:sz w:val="22"/>
          <w:szCs w:val="22"/>
        </w:rPr>
      </w:pPr>
      <w:r w:rsidRPr="00B808BC">
        <w:rPr>
          <w:rFonts w:ascii="Cambria" w:hAnsi="Cambria" w:cs="Times New Roman"/>
          <w:b/>
          <w:bCs/>
          <w:sz w:val="22"/>
          <w:szCs w:val="22"/>
        </w:rPr>
        <w:t>Table A1.</w:t>
      </w:r>
      <w:r w:rsidRPr="00B808B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808BC">
        <w:rPr>
          <w:rFonts w:ascii="Century" w:hAnsi="Century" w:cs="Times New Roman"/>
          <w:sz w:val="22"/>
          <w:szCs w:val="22"/>
        </w:rPr>
        <w:t>Measurement Scales and Observed Variables</w:t>
      </w:r>
    </w:p>
    <w:tbl>
      <w:tblPr>
        <w:tblW w:w="948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7563"/>
      </w:tblGrid>
      <w:tr w:rsidR="00BB77DC" w:rsidRPr="004137D8" w14:paraId="6387052B" w14:textId="77777777" w:rsidTr="00747DEF">
        <w:trPr>
          <w:trHeight w:val="370"/>
          <w:tblHeader/>
        </w:trPr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C31EB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3AFAE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75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177F9A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sz w:val="22"/>
                <w:szCs w:val="22"/>
              </w:rPr>
              <w:t>Measurement Scales and Observed Variables</w:t>
            </w:r>
          </w:p>
        </w:tc>
      </w:tr>
      <w:tr w:rsidR="00BB77DC" w:rsidRPr="004137D8" w14:paraId="0B977B9B" w14:textId="77777777" w:rsidTr="00747DEF">
        <w:trPr>
          <w:trHeight w:val="370"/>
        </w:trPr>
        <w:tc>
          <w:tcPr>
            <w:tcW w:w="960" w:type="dxa"/>
            <w:tcBorders>
              <w:top w:val="single" w:sz="12" w:space="0" w:color="auto"/>
            </w:tcBorders>
            <w:vAlign w:val="center"/>
            <w:hideMark/>
          </w:tcPr>
          <w:p w14:paraId="4DDE34BD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vAlign w:val="center"/>
            <w:hideMark/>
          </w:tcPr>
          <w:p w14:paraId="609A02A3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SHC</w:t>
            </w:r>
          </w:p>
        </w:tc>
        <w:tc>
          <w:tcPr>
            <w:tcW w:w="7563" w:type="dxa"/>
            <w:tcBorders>
              <w:top w:val="single" w:sz="12" w:space="0" w:color="auto"/>
            </w:tcBorders>
            <w:vAlign w:val="center"/>
            <w:hideMark/>
          </w:tcPr>
          <w:p w14:paraId="0F64081A" w14:textId="77777777" w:rsidR="00BB77DC" w:rsidRPr="00AA5964" w:rsidRDefault="00BB77DC" w:rsidP="00747DEF">
            <w:pPr>
              <w:spacing w:after="0" w:line="240" w:lineRule="auto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Hinterland connectivity</w:t>
            </w:r>
          </w:p>
        </w:tc>
      </w:tr>
      <w:tr w:rsidR="00BB77DC" w:rsidRPr="004137D8" w14:paraId="68C7C82C" w14:textId="77777777" w:rsidTr="00747DEF">
        <w:trPr>
          <w:trHeight w:val="630"/>
        </w:trPr>
        <w:tc>
          <w:tcPr>
            <w:tcW w:w="960" w:type="dxa"/>
            <w:vAlign w:val="center"/>
            <w:hideMark/>
          </w:tcPr>
          <w:p w14:paraId="4D6D9896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14:paraId="0083A3F0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SHC1</w:t>
            </w:r>
          </w:p>
        </w:tc>
        <w:tc>
          <w:tcPr>
            <w:tcW w:w="7563" w:type="dxa"/>
            <w:vAlign w:val="center"/>
            <w:hideMark/>
          </w:tcPr>
          <w:p w14:paraId="5534E1D0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domestic transport infrastructure (including roads, railways, and inland waterways) operates smoothly without congestion.</w:t>
            </w:r>
          </w:p>
        </w:tc>
      </w:tr>
      <w:tr w:rsidR="00BB77DC" w:rsidRPr="004137D8" w14:paraId="29FE2C3A" w14:textId="77777777" w:rsidTr="00747DEF">
        <w:trPr>
          <w:trHeight w:val="370"/>
        </w:trPr>
        <w:tc>
          <w:tcPr>
            <w:tcW w:w="960" w:type="dxa"/>
            <w:vAlign w:val="center"/>
            <w:hideMark/>
          </w:tcPr>
          <w:p w14:paraId="53571C98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14:paraId="4FF0E08A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SHC2</w:t>
            </w:r>
          </w:p>
        </w:tc>
        <w:tc>
          <w:tcPr>
            <w:tcW w:w="7563" w:type="dxa"/>
            <w:vAlign w:val="center"/>
            <w:hideMark/>
          </w:tcPr>
          <w:p w14:paraId="66E2E87F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volume of goods transported to and from inland areas via the port.</w:t>
            </w:r>
          </w:p>
        </w:tc>
      </w:tr>
      <w:tr w:rsidR="00BB77DC" w:rsidRPr="004137D8" w14:paraId="1ED166DF" w14:textId="77777777" w:rsidTr="00747DEF">
        <w:trPr>
          <w:trHeight w:val="370"/>
        </w:trPr>
        <w:tc>
          <w:tcPr>
            <w:tcW w:w="960" w:type="dxa"/>
            <w:vAlign w:val="center"/>
            <w:hideMark/>
          </w:tcPr>
          <w:p w14:paraId="16F3699D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vAlign w:val="center"/>
            <w:hideMark/>
          </w:tcPr>
          <w:p w14:paraId="13277CE3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SHC3</w:t>
            </w:r>
          </w:p>
        </w:tc>
        <w:tc>
          <w:tcPr>
            <w:tcW w:w="7563" w:type="dxa"/>
            <w:vAlign w:val="center"/>
            <w:hideMark/>
          </w:tcPr>
          <w:p w14:paraId="6CEEC390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Inland logistics service providers have strong operational capacity.</w:t>
            </w:r>
          </w:p>
        </w:tc>
      </w:tr>
      <w:tr w:rsidR="00BB77DC" w:rsidRPr="004137D8" w14:paraId="066758CB" w14:textId="77777777" w:rsidTr="00747DEF">
        <w:trPr>
          <w:trHeight w:val="370"/>
        </w:trPr>
        <w:tc>
          <w:tcPr>
            <w:tcW w:w="960" w:type="dxa"/>
            <w:vAlign w:val="center"/>
            <w:hideMark/>
          </w:tcPr>
          <w:p w14:paraId="626440B7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II</w:t>
            </w:r>
          </w:p>
        </w:tc>
        <w:tc>
          <w:tcPr>
            <w:tcW w:w="960" w:type="dxa"/>
            <w:vAlign w:val="center"/>
            <w:hideMark/>
          </w:tcPr>
          <w:p w14:paraId="3B13A62A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SMC</w:t>
            </w:r>
          </w:p>
        </w:tc>
        <w:tc>
          <w:tcPr>
            <w:tcW w:w="7563" w:type="dxa"/>
            <w:vAlign w:val="center"/>
            <w:hideMark/>
          </w:tcPr>
          <w:p w14:paraId="7BDA727E" w14:textId="77777777" w:rsidR="00BB77DC" w:rsidRPr="00AA5964" w:rsidRDefault="00BB77DC" w:rsidP="00747DEF">
            <w:pPr>
              <w:spacing w:after="0" w:line="240" w:lineRule="auto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Maritime Connectivity</w:t>
            </w:r>
          </w:p>
        </w:tc>
      </w:tr>
      <w:tr w:rsidR="00BB77DC" w:rsidRPr="004137D8" w14:paraId="4A83684E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45C61187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14:paraId="5A9B4135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SMC1</w:t>
            </w:r>
          </w:p>
        </w:tc>
        <w:tc>
          <w:tcPr>
            <w:tcW w:w="7563" w:type="dxa"/>
            <w:vAlign w:val="center"/>
            <w:hideMark/>
          </w:tcPr>
          <w:p w14:paraId="11216DF1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is capable of handling vessels with large dimensions and heavy loads.</w:t>
            </w:r>
          </w:p>
        </w:tc>
      </w:tr>
      <w:tr w:rsidR="00BB77DC" w:rsidRPr="004137D8" w14:paraId="293355ED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2E454331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14:paraId="322F73E3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SMC2</w:t>
            </w:r>
          </w:p>
        </w:tc>
        <w:tc>
          <w:tcPr>
            <w:tcW w:w="7563" w:type="dxa"/>
            <w:vAlign w:val="center"/>
            <w:hideMark/>
          </w:tcPr>
          <w:p w14:paraId="617D9112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frequency of maritime transport services (both direct shipping and transshipment) has steadily grown over the years.</w:t>
            </w:r>
          </w:p>
        </w:tc>
      </w:tr>
      <w:tr w:rsidR="00BB77DC" w:rsidRPr="004137D8" w14:paraId="313CB57A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31743EA3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vAlign w:val="center"/>
            <w:hideMark/>
          </w:tcPr>
          <w:p w14:paraId="5393CF60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SMC3</w:t>
            </w:r>
          </w:p>
        </w:tc>
        <w:tc>
          <w:tcPr>
            <w:tcW w:w="7563" w:type="dxa"/>
            <w:vAlign w:val="center"/>
            <w:hideMark/>
          </w:tcPr>
          <w:p w14:paraId="68877FBF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connects to multiple international ports, which facilitates access to cost-effective maritime services.</w:t>
            </w:r>
          </w:p>
        </w:tc>
      </w:tr>
      <w:tr w:rsidR="00BB77DC" w:rsidRPr="004137D8" w14:paraId="03A6BEE8" w14:textId="77777777" w:rsidTr="00747DEF">
        <w:trPr>
          <w:trHeight w:val="379"/>
        </w:trPr>
        <w:tc>
          <w:tcPr>
            <w:tcW w:w="960" w:type="dxa"/>
            <w:vAlign w:val="center"/>
            <w:hideMark/>
          </w:tcPr>
          <w:p w14:paraId="010AE32A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III</w:t>
            </w:r>
          </w:p>
        </w:tc>
        <w:tc>
          <w:tcPr>
            <w:tcW w:w="960" w:type="dxa"/>
            <w:vAlign w:val="center"/>
            <w:hideMark/>
          </w:tcPr>
          <w:p w14:paraId="19B96D92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DCN</w:t>
            </w:r>
          </w:p>
        </w:tc>
        <w:tc>
          <w:tcPr>
            <w:tcW w:w="7563" w:type="dxa"/>
            <w:vAlign w:val="center"/>
            <w:hideMark/>
          </w:tcPr>
          <w:p w14:paraId="79AD2D10" w14:textId="77777777" w:rsidR="00BB77DC" w:rsidRPr="00AA5964" w:rsidRDefault="00BB77DC" w:rsidP="00747DEF">
            <w:pPr>
              <w:spacing w:after="0" w:line="240" w:lineRule="auto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 xml:space="preserve">Digital Connectivity </w:t>
            </w:r>
          </w:p>
        </w:tc>
      </w:tr>
      <w:tr w:rsidR="00BB77DC" w:rsidRPr="004137D8" w14:paraId="2C85C203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2EF67E5C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14:paraId="415A4C1D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DCN1</w:t>
            </w:r>
          </w:p>
        </w:tc>
        <w:tc>
          <w:tcPr>
            <w:tcW w:w="7563" w:type="dxa"/>
            <w:vAlign w:val="center"/>
            <w:hideMark/>
          </w:tcPr>
          <w:p w14:paraId="4026D352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Customers can access cost details and invoice information through the port information system.</w:t>
            </w:r>
          </w:p>
        </w:tc>
      </w:tr>
      <w:tr w:rsidR="00BB77DC" w:rsidRPr="004137D8" w14:paraId="1074C3B5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2270C309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14:paraId="5AF6F0DB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DCN2</w:t>
            </w:r>
          </w:p>
        </w:tc>
        <w:tc>
          <w:tcPr>
            <w:tcW w:w="7563" w:type="dxa"/>
            <w:vAlign w:val="center"/>
            <w:hideMark/>
          </w:tcPr>
          <w:p w14:paraId="4E82F16D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utilizes IoT technologies to monitor and optimize container handling and movement operations.</w:t>
            </w:r>
          </w:p>
        </w:tc>
      </w:tr>
      <w:tr w:rsidR="00BB77DC" w:rsidRPr="004137D8" w14:paraId="5064D0EE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6A84B9D0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9</w:t>
            </w:r>
          </w:p>
        </w:tc>
        <w:tc>
          <w:tcPr>
            <w:tcW w:w="960" w:type="dxa"/>
            <w:vAlign w:val="center"/>
            <w:hideMark/>
          </w:tcPr>
          <w:p w14:paraId="00D95036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DCN3</w:t>
            </w:r>
          </w:p>
        </w:tc>
        <w:tc>
          <w:tcPr>
            <w:tcW w:w="7563" w:type="dxa"/>
            <w:vAlign w:val="center"/>
            <w:hideMark/>
          </w:tcPr>
          <w:p w14:paraId="2BE6CD75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information system provides accurate loading and unloading data.</w:t>
            </w:r>
          </w:p>
        </w:tc>
      </w:tr>
      <w:tr w:rsidR="00BB77DC" w:rsidRPr="004137D8" w14:paraId="05FC2566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46B00E1E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vAlign w:val="center"/>
            <w:hideMark/>
          </w:tcPr>
          <w:p w14:paraId="6B1A7A59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DCN4</w:t>
            </w:r>
          </w:p>
        </w:tc>
        <w:tc>
          <w:tcPr>
            <w:tcW w:w="7563" w:type="dxa"/>
            <w:vAlign w:val="center"/>
            <w:hideMark/>
          </w:tcPr>
          <w:p w14:paraId="71D4A649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Customers can track waiting times from container pickup at the CY yard to gate-out via the port information system.</w:t>
            </w:r>
          </w:p>
        </w:tc>
      </w:tr>
      <w:tr w:rsidR="00BB77DC" w:rsidRPr="004137D8" w14:paraId="4F0FE837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35337CAB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60" w:type="dxa"/>
            <w:vAlign w:val="center"/>
            <w:hideMark/>
          </w:tcPr>
          <w:p w14:paraId="134271F5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DCN5</w:t>
            </w:r>
          </w:p>
        </w:tc>
        <w:tc>
          <w:tcPr>
            <w:tcW w:w="7563" w:type="dxa"/>
            <w:vAlign w:val="center"/>
            <w:hideMark/>
          </w:tcPr>
          <w:p w14:paraId="771A8291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system is capable of real-time connectivity with shipping lines and transport operators.</w:t>
            </w:r>
          </w:p>
        </w:tc>
      </w:tr>
      <w:tr w:rsidR="00BB77DC" w:rsidRPr="004137D8" w14:paraId="62EC3482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304C636B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60" w:type="dxa"/>
            <w:vAlign w:val="center"/>
            <w:hideMark/>
          </w:tcPr>
          <w:p w14:paraId="7D8EC6C0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DCN6</w:t>
            </w:r>
          </w:p>
        </w:tc>
        <w:tc>
          <w:tcPr>
            <w:tcW w:w="7563" w:type="dxa"/>
            <w:vAlign w:val="center"/>
            <w:hideMark/>
          </w:tcPr>
          <w:p w14:paraId="696BAD82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information system delivers accurate information on vessel berthing and departure times.</w:t>
            </w:r>
          </w:p>
        </w:tc>
      </w:tr>
      <w:tr w:rsidR="00BB77DC" w:rsidRPr="004137D8" w14:paraId="06571B50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1AA748BA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60" w:type="dxa"/>
            <w:vAlign w:val="center"/>
            <w:hideMark/>
          </w:tcPr>
          <w:p w14:paraId="1E9DD7D2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DCN7</w:t>
            </w:r>
          </w:p>
        </w:tc>
        <w:tc>
          <w:tcPr>
            <w:tcW w:w="7563" w:type="dxa"/>
            <w:vAlign w:val="center"/>
            <w:hideMark/>
          </w:tcPr>
          <w:p w14:paraId="286D5B5F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system allows data integration from multiple stakeholders, including the port authority, shipping lines, customs, and customers</w:t>
            </w:r>
          </w:p>
        </w:tc>
      </w:tr>
      <w:tr w:rsidR="00BB77DC" w:rsidRPr="004137D8" w14:paraId="2D9047BB" w14:textId="77777777" w:rsidTr="00747DEF">
        <w:trPr>
          <w:trHeight w:val="474"/>
        </w:trPr>
        <w:tc>
          <w:tcPr>
            <w:tcW w:w="960" w:type="dxa"/>
            <w:vAlign w:val="center"/>
            <w:hideMark/>
          </w:tcPr>
          <w:p w14:paraId="56BF90B2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IV</w:t>
            </w:r>
          </w:p>
        </w:tc>
        <w:tc>
          <w:tcPr>
            <w:tcW w:w="960" w:type="dxa"/>
            <w:vAlign w:val="center"/>
            <w:hideMark/>
          </w:tcPr>
          <w:p w14:paraId="0E1EE531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SUC</w:t>
            </w:r>
          </w:p>
        </w:tc>
        <w:tc>
          <w:tcPr>
            <w:tcW w:w="7563" w:type="dxa"/>
            <w:vAlign w:val="center"/>
            <w:hideMark/>
          </w:tcPr>
          <w:p w14:paraId="524B4B30" w14:textId="77777777" w:rsidR="00BB77DC" w:rsidRPr="00AA5964" w:rsidRDefault="00BB77DC" w:rsidP="00747DEF">
            <w:pPr>
              <w:spacing w:after="0" w:line="240" w:lineRule="auto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 xml:space="preserve">Sustainable Connectivity </w:t>
            </w:r>
          </w:p>
        </w:tc>
      </w:tr>
      <w:tr w:rsidR="00BB77DC" w:rsidRPr="004137D8" w14:paraId="1406E91F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131C9BDD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60" w:type="dxa"/>
            <w:vAlign w:val="center"/>
            <w:hideMark/>
          </w:tcPr>
          <w:p w14:paraId="4B943956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SUC1</w:t>
            </w:r>
          </w:p>
        </w:tc>
        <w:tc>
          <w:tcPr>
            <w:tcW w:w="7563" w:type="dxa"/>
            <w:vAlign w:val="center"/>
            <w:hideMark/>
          </w:tcPr>
          <w:p w14:paraId="10688019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uses shore power or clean fuels to reduce greenhouse gas emissions.</w:t>
            </w:r>
          </w:p>
        </w:tc>
      </w:tr>
      <w:tr w:rsidR="00BB77DC" w:rsidRPr="004137D8" w14:paraId="03CDDDF4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6829F9EA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vAlign w:val="center"/>
            <w:hideMark/>
          </w:tcPr>
          <w:p w14:paraId="2D6573EE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SUC2</w:t>
            </w:r>
          </w:p>
        </w:tc>
        <w:tc>
          <w:tcPr>
            <w:tcW w:w="7563" w:type="dxa"/>
            <w:vAlign w:val="center"/>
            <w:hideMark/>
          </w:tcPr>
          <w:p w14:paraId="281D36D9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is connected to low-emission transport modes, such as electric trucks or LNG-powered vehicles.</w:t>
            </w:r>
          </w:p>
        </w:tc>
      </w:tr>
      <w:tr w:rsidR="00BB77DC" w:rsidRPr="004137D8" w14:paraId="0A0FDDD6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0BC8992F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60" w:type="dxa"/>
            <w:vAlign w:val="center"/>
            <w:hideMark/>
          </w:tcPr>
          <w:p w14:paraId="29A954C0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SUC3</w:t>
            </w:r>
          </w:p>
        </w:tc>
        <w:tc>
          <w:tcPr>
            <w:tcW w:w="7563" w:type="dxa"/>
            <w:vAlign w:val="center"/>
            <w:hideMark/>
          </w:tcPr>
          <w:p w14:paraId="602517D3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collaborates with logistics partners to promote sustainable transportation practices.</w:t>
            </w:r>
          </w:p>
        </w:tc>
      </w:tr>
      <w:tr w:rsidR="00BB77DC" w:rsidRPr="004137D8" w14:paraId="46CBC37C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1DBE089A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60" w:type="dxa"/>
            <w:vAlign w:val="center"/>
            <w:hideMark/>
          </w:tcPr>
          <w:p w14:paraId="1E5CB5B8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SUC4</w:t>
            </w:r>
          </w:p>
        </w:tc>
        <w:tc>
          <w:tcPr>
            <w:tcW w:w="7563" w:type="dxa"/>
            <w:vAlign w:val="center"/>
            <w:hideMark/>
          </w:tcPr>
          <w:p w14:paraId="65B4090A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implements social responsibility programs to support local communities and employees.</w:t>
            </w:r>
          </w:p>
        </w:tc>
      </w:tr>
      <w:tr w:rsidR="00BB77DC" w:rsidRPr="004137D8" w14:paraId="0752F6C5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121759BF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60" w:type="dxa"/>
            <w:vAlign w:val="center"/>
            <w:hideMark/>
          </w:tcPr>
          <w:p w14:paraId="24DAA4DE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SUC5</w:t>
            </w:r>
          </w:p>
        </w:tc>
        <w:tc>
          <w:tcPr>
            <w:tcW w:w="7563" w:type="dxa"/>
            <w:vAlign w:val="center"/>
            <w:hideMark/>
          </w:tcPr>
          <w:p w14:paraId="72F3A021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organizes cargo flows to reduce congestion and minimize carbon dioxide emissions.</w:t>
            </w:r>
          </w:p>
        </w:tc>
      </w:tr>
      <w:tr w:rsidR="00BB77DC" w:rsidRPr="004137D8" w14:paraId="077046DB" w14:textId="77777777" w:rsidTr="00747DEF">
        <w:trPr>
          <w:trHeight w:val="640"/>
        </w:trPr>
        <w:tc>
          <w:tcPr>
            <w:tcW w:w="960" w:type="dxa"/>
            <w:vAlign w:val="center"/>
            <w:hideMark/>
          </w:tcPr>
          <w:p w14:paraId="14D1A2E2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60" w:type="dxa"/>
            <w:vAlign w:val="center"/>
            <w:hideMark/>
          </w:tcPr>
          <w:p w14:paraId="49627E3C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SUC6</w:t>
            </w:r>
          </w:p>
        </w:tc>
        <w:tc>
          <w:tcPr>
            <w:tcW w:w="7563" w:type="dxa"/>
            <w:vAlign w:val="center"/>
            <w:hideMark/>
          </w:tcPr>
          <w:p w14:paraId="62919E3C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applies an environmental management system to monitor and control its operations and connectivity.</w:t>
            </w:r>
          </w:p>
        </w:tc>
      </w:tr>
      <w:tr w:rsidR="00BB77DC" w:rsidRPr="004137D8" w14:paraId="58EAB028" w14:textId="77777777" w:rsidTr="00747DEF">
        <w:trPr>
          <w:trHeight w:val="370"/>
        </w:trPr>
        <w:tc>
          <w:tcPr>
            <w:tcW w:w="960" w:type="dxa"/>
            <w:vAlign w:val="center"/>
            <w:hideMark/>
          </w:tcPr>
          <w:p w14:paraId="795AF7FA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V</w:t>
            </w:r>
          </w:p>
        </w:tc>
        <w:tc>
          <w:tcPr>
            <w:tcW w:w="960" w:type="dxa"/>
            <w:vAlign w:val="center"/>
            <w:hideMark/>
          </w:tcPr>
          <w:p w14:paraId="31E82968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SPC</w:t>
            </w:r>
          </w:p>
        </w:tc>
        <w:tc>
          <w:tcPr>
            <w:tcW w:w="7563" w:type="dxa"/>
            <w:vAlign w:val="center"/>
            <w:hideMark/>
          </w:tcPr>
          <w:p w14:paraId="328950BA" w14:textId="77777777" w:rsidR="00BB77DC" w:rsidRPr="00AA5964" w:rsidRDefault="00BB77DC" w:rsidP="00747DEF">
            <w:pPr>
              <w:spacing w:after="0" w:line="240" w:lineRule="auto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Seaport Competitiveness</w:t>
            </w:r>
          </w:p>
        </w:tc>
      </w:tr>
      <w:tr w:rsidR="00BB77DC" w:rsidRPr="004137D8" w14:paraId="2EF07912" w14:textId="77777777" w:rsidTr="00747DEF">
        <w:trPr>
          <w:trHeight w:val="710"/>
        </w:trPr>
        <w:tc>
          <w:tcPr>
            <w:tcW w:w="960" w:type="dxa"/>
            <w:vAlign w:val="center"/>
            <w:hideMark/>
          </w:tcPr>
          <w:p w14:paraId="3E74DE66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vAlign w:val="center"/>
            <w:hideMark/>
          </w:tcPr>
          <w:p w14:paraId="2484D02A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SPC1</w:t>
            </w:r>
          </w:p>
        </w:tc>
        <w:tc>
          <w:tcPr>
            <w:tcW w:w="7563" w:type="dxa"/>
            <w:vAlign w:val="center"/>
            <w:hideMark/>
          </w:tcPr>
          <w:p w14:paraId="16329E52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annual throughput of cargo passing through the port shows consistent growth.</w:t>
            </w:r>
          </w:p>
        </w:tc>
      </w:tr>
      <w:tr w:rsidR="00BB77DC" w:rsidRPr="004137D8" w14:paraId="1DDA8598" w14:textId="77777777" w:rsidTr="00747DEF">
        <w:trPr>
          <w:trHeight w:val="370"/>
        </w:trPr>
        <w:tc>
          <w:tcPr>
            <w:tcW w:w="960" w:type="dxa"/>
            <w:vAlign w:val="center"/>
            <w:hideMark/>
          </w:tcPr>
          <w:p w14:paraId="5A6173BD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60" w:type="dxa"/>
            <w:vAlign w:val="center"/>
            <w:hideMark/>
          </w:tcPr>
          <w:p w14:paraId="67A20F72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SPC2</w:t>
            </w:r>
          </w:p>
        </w:tc>
        <w:tc>
          <w:tcPr>
            <w:tcW w:w="7563" w:type="dxa"/>
            <w:vAlign w:val="center"/>
            <w:hideMark/>
          </w:tcPr>
          <w:p w14:paraId="4F3776EF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maintains a significant share of the cargo market.</w:t>
            </w:r>
          </w:p>
        </w:tc>
      </w:tr>
      <w:tr w:rsidR="00BB77DC" w:rsidRPr="004137D8" w14:paraId="3737C95C" w14:textId="77777777" w:rsidTr="00747DEF">
        <w:trPr>
          <w:trHeight w:val="370"/>
        </w:trPr>
        <w:tc>
          <w:tcPr>
            <w:tcW w:w="960" w:type="dxa"/>
            <w:vAlign w:val="center"/>
            <w:hideMark/>
          </w:tcPr>
          <w:p w14:paraId="6343D8BB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60" w:type="dxa"/>
            <w:vAlign w:val="center"/>
            <w:hideMark/>
          </w:tcPr>
          <w:p w14:paraId="3CDE66D5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SPC3</w:t>
            </w:r>
          </w:p>
        </w:tc>
        <w:tc>
          <w:tcPr>
            <w:tcW w:w="7563" w:type="dxa"/>
            <w:vAlign w:val="center"/>
            <w:hideMark/>
          </w:tcPr>
          <w:p w14:paraId="3B1BDE9C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contributes to reducing logistics costs for customers.</w:t>
            </w:r>
          </w:p>
        </w:tc>
      </w:tr>
      <w:tr w:rsidR="00BB77DC" w:rsidRPr="004137D8" w14:paraId="4A0359A1" w14:textId="77777777" w:rsidTr="00747DEF">
        <w:trPr>
          <w:trHeight w:val="370"/>
        </w:trPr>
        <w:tc>
          <w:tcPr>
            <w:tcW w:w="960" w:type="dxa"/>
            <w:vAlign w:val="center"/>
            <w:hideMark/>
          </w:tcPr>
          <w:p w14:paraId="72349B38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VI</w:t>
            </w:r>
          </w:p>
        </w:tc>
        <w:tc>
          <w:tcPr>
            <w:tcW w:w="960" w:type="dxa"/>
            <w:vAlign w:val="center"/>
            <w:hideMark/>
          </w:tcPr>
          <w:p w14:paraId="6733BA83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CSF</w:t>
            </w:r>
          </w:p>
        </w:tc>
        <w:tc>
          <w:tcPr>
            <w:tcW w:w="7563" w:type="dxa"/>
            <w:vAlign w:val="center"/>
            <w:hideMark/>
          </w:tcPr>
          <w:p w14:paraId="46872781" w14:textId="77777777" w:rsidR="00BB77DC" w:rsidRPr="00AA5964" w:rsidRDefault="00BB77DC" w:rsidP="00747DEF">
            <w:pPr>
              <w:spacing w:after="0" w:line="240" w:lineRule="auto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Customer satisfaction</w:t>
            </w:r>
          </w:p>
        </w:tc>
      </w:tr>
      <w:tr w:rsidR="00BB77DC" w:rsidRPr="004137D8" w14:paraId="50071F5B" w14:textId="77777777" w:rsidTr="00747DEF">
        <w:trPr>
          <w:trHeight w:val="370"/>
        </w:trPr>
        <w:tc>
          <w:tcPr>
            <w:tcW w:w="960" w:type="dxa"/>
            <w:vAlign w:val="center"/>
            <w:hideMark/>
          </w:tcPr>
          <w:p w14:paraId="7D924030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960" w:type="dxa"/>
            <w:vAlign w:val="center"/>
            <w:hideMark/>
          </w:tcPr>
          <w:p w14:paraId="6EB5754F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CSF1</w:t>
            </w:r>
          </w:p>
        </w:tc>
        <w:tc>
          <w:tcPr>
            <w:tcW w:w="7563" w:type="dxa"/>
            <w:vAlign w:val="center"/>
            <w:hideMark/>
          </w:tcPr>
          <w:p w14:paraId="42624BEA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port services meet customer expectations.</w:t>
            </w:r>
          </w:p>
        </w:tc>
      </w:tr>
      <w:tr w:rsidR="00BB77DC" w:rsidRPr="004137D8" w14:paraId="37AE0033" w14:textId="77777777" w:rsidTr="00747DEF">
        <w:trPr>
          <w:trHeight w:val="370"/>
        </w:trPr>
        <w:tc>
          <w:tcPr>
            <w:tcW w:w="960" w:type="dxa"/>
            <w:vAlign w:val="center"/>
            <w:hideMark/>
          </w:tcPr>
          <w:p w14:paraId="3C4ACD9C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60" w:type="dxa"/>
            <w:vAlign w:val="center"/>
            <w:hideMark/>
          </w:tcPr>
          <w:p w14:paraId="1CBEB490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CSF2</w:t>
            </w:r>
          </w:p>
        </w:tc>
        <w:tc>
          <w:tcPr>
            <w:tcW w:w="7563" w:type="dxa"/>
            <w:vAlign w:val="center"/>
            <w:hideMark/>
          </w:tcPr>
          <w:p w14:paraId="5B21B873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Cargo handling fees at the port are lower than those at other ports.</w:t>
            </w:r>
          </w:p>
        </w:tc>
      </w:tr>
      <w:tr w:rsidR="00BB77DC" w:rsidRPr="004137D8" w14:paraId="4E7E8233" w14:textId="77777777" w:rsidTr="00747DEF">
        <w:trPr>
          <w:trHeight w:val="370"/>
        </w:trPr>
        <w:tc>
          <w:tcPr>
            <w:tcW w:w="960" w:type="dxa"/>
            <w:vAlign w:val="center"/>
            <w:hideMark/>
          </w:tcPr>
          <w:p w14:paraId="294A7800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vAlign w:val="center"/>
            <w:hideMark/>
          </w:tcPr>
          <w:p w14:paraId="28EA58D1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CSF3</w:t>
            </w:r>
          </w:p>
        </w:tc>
        <w:tc>
          <w:tcPr>
            <w:tcW w:w="7563" w:type="dxa"/>
            <w:vAlign w:val="center"/>
            <w:hideMark/>
          </w:tcPr>
          <w:p w14:paraId="415E01F9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Even if the price is slightly higher, customers are likely to continue using the current terminal.</w:t>
            </w:r>
          </w:p>
        </w:tc>
      </w:tr>
      <w:tr w:rsidR="00BB77DC" w:rsidRPr="004137D8" w14:paraId="0AD722A8" w14:textId="77777777" w:rsidTr="00747DEF">
        <w:trPr>
          <w:trHeight w:val="740"/>
        </w:trPr>
        <w:tc>
          <w:tcPr>
            <w:tcW w:w="960" w:type="dxa"/>
            <w:vAlign w:val="center"/>
            <w:hideMark/>
          </w:tcPr>
          <w:p w14:paraId="6655C913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60" w:type="dxa"/>
            <w:vAlign w:val="center"/>
            <w:hideMark/>
          </w:tcPr>
          <w:p w14:paraId="040FC2FC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CSF4</w:t>
            </w:r>
          </w:p>
        </w:tc>
        <w:tc>
          <w:tcPr>
            <w:tcW w:w="7563" w:type="dxa"/>
            <w:vAlign w:val="center"/>
            <w:hideMark/>
          </w:tcPr>
          <w:p w14:paraId="6BB7F24B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Customers intend to recommend the current container terminal to other clients.</w:t>
            </w:r>
          </w:p>
        </w:tc>
      </w:tr>
      <w:tr w:rsidR="00BB77DC" w:rsidRPr="004137D8" w14:paraId="55D700E9" w14:textId="77777777" w:rsidTr="00747DEF">
        <w:trPr>
          <w:trHeight w:val="370"/>
        </w:trPr>
        <w:tc>
          <w:tcPr>
            <w:tcW w:w="960" w:type="dxa"/>
            <w:vAlign w:val="center"/>
            <w:hideMark/>
          </w:tcPr>
          <w:p w14:paraId="7A5940CC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 VII</w:t>
            </w:r>
          </w:p>
        </w:tc>
        <w:tc>
          <w:tcPr>
            <w:tcW w:w="960" w:type="dxa"/>
            <w:vAlign w:val="center"/>
            <w:hideMark/>
          </w:tcPr>
          <w:p w14:paraId="4D17D409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GIS</w:t>
            </w:r>
          </w:p>
        </w:tc>
        <w:tc>
          <w:tcPr>
            <w:tcW w:w="7563" w:type="dxa"/>
            <w:vAlign w:val="center"/>
            <w:hideMark/>
          </w:tcPr>
          <w:p w14:paraId="262E35E9" w14:textId="77777777" w:rsidR="00BB77DC" w:rsidRPr="00AA5964" w:rsidRDefault="00BB77DC" w:rsidP="00747DEF">
            <w:pPr>
              <w:spacing w:after="0" w:line="240" w:lineRule="auto"/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b/>
                <w:bCs/>
                <w:color w:val="000000"/>
                <w:sz w:val="22"/>
                <w:szCs w:val="22"/>
              </w:rPr>
              <w:t>Government Institutional Support</w:t>
            </w:r>
          </w:p>
        </w:tc>
      </w:tr>
      <w:tr w:rsidR="00BB77DC" w:rsidRPr="004137D8" w14:paraId="31415B6D" w14:textId="77777777" w:rsidTr="00747DEF">
        <w:trPr>
          <w:trHeight w:val="660"/>
        </w:trPr>
        <w:tc>
          <w:tcPr>
            <w:tcW w:w="960" w:type="dxa"/>
            <w:vAlign w:val="center"/>
            <w:hideMark/>
          </w:tcPr>
          <w:p w14:paraId="344ADF9C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27</w:t>
            </w:r>
          </w:p>
        </w:tc>
        <w:tc>
          <w:tcPr>
            <w:tcW w:w="960" w:type="dxa"/>
            <w:vAlign w:val="center"/>
            <w:hideMark/>
          </w:tcPr>
          <w:p w14:paraId="37712BE7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GIS1</w:t>
            </w:r>
          </w:p>
        </w:tc>
        <w:tc>
          <w:tcPr>
            <w:tcW w:w="7563" w:type="dxa"/>
            <w:vAlign w:val="center"/>
            <w:hideMark/>
          </w:tcPr>
          <w:p w14:paraId="0BAE1AA8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government supports investment in infrastructure development to enhance connectivity between the port and its hinterland.</w:t>
            </w:r>
          </w:p>
        </w:tc>
      </w:tr>
      <w:tr w:rsidR="00BB77DC" w:rsidRPr="004137D8" w14:paraId="74DF15BD" w14:textId="77777777" w:rsidTr="00747DEF">
        <w:trPr>
          <w:trHeight w:val="660"/>
        </w:trPr>
        <w:tc>
          <w:tcPr>
            <w:tcW w:w="960" w:type="dxa"/>
            <w:vAlign w:val="center"/>
            <w:hideMark/>
          </w:tcPr>
          <w:p w14:paraId="335D2782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60" w:type="dxa"/>
            <w:vAlign w:val="center"/>
            <w:hideMark/>
          </w:tcPr>
          <w:p w14:paraId="17C187F0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GIS2</w:t>
            </w:r>
          </w:p>
        </w:tc>
        <w:tc>
          <w:tcPr>
            <w:tcW w:w="7563" w:type="dxa"/>
            <w:vAlign w:val="center"/>
            <w:hideMark/>
          </w:tcPr>
          <w:p w14:paraId="7688B044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government introduces favorable policies and regulations for logistics and port-related business operations.</w:t>
            </w:r>
          </w:p>
        </w:tc>
      </w:tr>
      <w:tr w:rsidR="00BB77DC" w:rsidRPr="004137D8" w14:paraId="3AFD346C" w14:textId="77777777" w:rsidTr="00747DEF">
        <w:trPr>
          <w:trHeight w:val="660"/>
        </w:trPr>
        <w:tc>
          <w:tcPr>
            <w:tcW w:w="960" w:type="dxa"/>
            <w:vAlign w:val="center"/>
            <w:hideMark/>
          </w:tcPr>
          <w:p w14:paraId="2D51E960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29</w:t>
            </w:r>
          </w:p>
        </w:tc>
        <w:tc>
          <w:tcPr>
            <w:tcW w:w="960" w:type="dxa"/>
            <w:vAlign w:val="center"/>
            <w:hideMark/>
          </w:tcPr>
          <w:p w14:paraId="3A72C923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GIS3</w:t>
            </w:r>
          </w:p>
        </w:tc>
        <w:tc>
          <w:tcPr>
            <w:tcW w:w="7563" w:type="dxa"/>
            <w:vAlign w:val="center"/>
            <w:hideMark/>
          </w:tcPr>
          <w:p w14:paraId="609B2592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government acts as an intermediary to promote cooperation between the port and surrounding regions.</w:t>
            </w:r>
          </w:p>
        </w:tc>
      </w:tr>
      <w:tr w:rsidR="00BB77DC" w:rsidRPr="004137D8" w14:paraId="1DEC9075" w14:textId="77777777" w:rsidTr="00747DEF">
        <w:trPr>
          <w:trHeight w:val="660"/>
        </w:trPr>
        <w:tc>
          <w:tcPr>
            <w:tcW w:w="960" w:type="dxa"/>
            <w:vAlign w:val="center"/>
            <w:hideMark/>
          </w:tcPr>
          <w:p w14:paraId="1ED0D9AB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60" w:type="dxa"/>
            <w:vAlign w:val="center"/>
            <w:hideMark/>
          </w:tcPr>
          <w:p w14:paraId="4D3B4512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GIS4</w:t>
            </w:r>
          </w:p>
        </w:tc>
        <w:tc>
          <w:tcPr>
            <w:tcW w:w="7563" w:type="dxa"/>
            <w:vAlign w:val="center"/>
            <w:hideMark/>
          </w:tcPr>
          <w:p w14:paraId="75D5961B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government encourages the adoption of digital technologies to improve port operations and connectivity.</w:t>
            </w:r>
          </w:p>
        </w:tc>
      </w:tr>
      <w:tr w:rsidR="00BB77DC" w:rsidRPr="004137D8" w14:paraId="012CDA16" w14:textId="77777777" w:rsidTr="00747DEF">
        <w:trPr>
          <w:trHeight w:val="660"/>
        </w:trPr>
        <w:tc>
          <w:tcPr>
            <w:tcW w:w="960" w:type="dxa"/>
            <w:vAlign w:val="center"/>
            <w:hideMark/>
          </w:tcPr>
          <w:p w14:paraId="176E9BB8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31</w:t>
            </w:r>
          </w:p>
        </w:tc>
        <w:tc>
          <w:tcPr>
            <w:tcW w:w="960" w:type="dxa"/>
            <w:vAlign w:val="center"/>
            <w:hideMark/>
          </w:tcPr>
          <w:p w14:paraId="095892B3" w14:textId="77777777" w:rsidR="00BB77DC" w:rsidRPr="00AA5964" w:rsidRDefault="00BB77DC" w:rsidP="00747DEF">
            <w:pPr>
              <w:spacing w:after="0" w:line="240" w:lineRule="auto"/>
              <w:jc w:val="center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GIS5</w:t>
            </w:r>
          </w:p>
        </w:tc>
        <w:tc>
          <w:tcPr>
            <w:tcW w:w="7563" w:type="dxa"/>
            <w:vAlign w:val="center"/>
            <w:hideMark/>
          </w:tcPr>
          <w:p w14:paraId="2600A0FD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AA5964">
              <w:rPr>
                <w:rFonts w:ascii="Century" w:hAnsi="Century"/>
                <w:color w:val="000000"/>
                <w:sz w:val="22"/>
                <w:szCs w:val="22"/>
              </w:rPr>
              <w:t>The government provides programs or incentives to attract private investment in port connectivity and service development.</w:t>
            </w:r>
          </w:p>
        </w:tc>
      </w:tr>
      <w:tr w:rsidR="00BB77DC" w:rsidRPr="004137D8" w14:paraId="00FCC2BC" w14:textId="77777777" w:rsidTr="00747DEF">
        <w:trPr>
          <w:trHeight w:val="301"/>
        </w:trPr>
        <w:tc>
          <w:tcPr>
            <w:tcW w:w="9483" w:type="dxa"/>
            <w:gridSpan w:val="3"/>
            <w:vAlign w:val="center"/>
          </w:tcPr>
          <w:p w14:paraId="30B73F1B" w14:textId="77777777" w:rsidR="00BB77DC" w:rsidRPr="00AA5964" w:rsidRDefault="00BB77DC" w:rsidP="00747DEF">
            <w:pPr>
              <w:spacing w:after="0" w:line="240" w:lineRule="auto"/>
              <w:jc w:val="both"/>
              <w:rPr>
                <w:rFonts w:ascii="Century" w:hAnsi="Century"/>
                <w:color w:val="000000"/>
                <w:sz w:val="22"/>
                <w:szCs w:val="22"/>
              </w:rPr>
            </w:pPr>
            <w:r w:rsidRPr="00B808BC">
              <w:rPr>
                <w:rFonts w:ascii="Century" w:eastAsia="Times New Roman" w:hAnsi="Century" w:cs="Arial"/>
                <w:b/>
                <w:bCs/>
                <w:kern w:val="0"/>
                <w:sz w:val="22"/>
                <w:szCs w:val="22"/>
                <w14:ligatures w14:val="none"/>
              </w:rPr>
              <w:t>Source(s):</w:t>
            </w:r>
            <w:r w:rsidRPr="00B808BC">
              <w:rPr>
                <w:rFonts w:ascii="Century" w:eastAsia="Times New Roman" w:hAnsi="Century" w:cs="Arial"/>
                <w:kern w:val="0"/>
                <w:sz w:val="22"/>
                <w:szCs w:val="22"/>
                <w14:ligatures w14:val="none"/>
              </w:rPr>
              <w:t xml:space="preserve"> Authors' compilation</w:t>
            </w:r>
          </w:p>
        </w:tc>
      </w:tr>
    </w:tbl>
    <w:p w14:paraId="386F8628" w14:textId="77777777" w:rsidR="00EF0678" w:rsidRPr="00B808BC" w:rsidRDefault="00EF0678" w:rsidP="00332A34">
      <w:pPr>
        <w:spacing w:after="0" w:line="360" w:lineRule="auto"/>
        <w:rPr>
          <w:rFonts w:ascii="Cambria" w:hAnsi="Cambria" w:cs="Times New Roman"/>
          <w:b/>
          <w:bCs/>
          <w:sz w:val="19"/>
          <w:szCs w:val="19"/>
        </w:rPr>
      </w:pPr>
    </w:p>
    <w:sectPr w:rsidR="00EF0678" w:rsidRPr="00B80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3707F"/>
    <w:multiLevelType w:val="hybridMultilevel"/>
    <w:tmpl w:val="06461BEC"/>
    <w:lvl w:ilvl="0" w:tplc="EFFADF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73F51"/>
    <w:multiLevelType w:val="hybridMultilevel"/>
    <w:tmpl w:val="A9628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CC"/>
    <w:rsid w:val="000023CC"/>
    <w:rsid w:val="00003492"/>
    <w:rsid w:val="00003970"/>
    <w:rsid w:val="000054F2"/>
    <w:rsid w:val="0001061A"/>
    <w:rsid w:val="00013854"/>
    <w:rsid w:val="000339C9"/>
    <w:rsid w:val="00041F3B"/>
    <w:rsid w:val="00043473"/>
    <w:rsid w:val="00044BC7"/>
    <w:rsid w:val="00062DA6"/>
    <w:rsid w:val="000747AE"/>
    <w:rsid w:val="00074CAC"/>
    <w:rsid w:val="00086866"/>
    <w:rsid w:val="00092B4E"/>
    <w:rsid w:val="000A16F6"/>
    <w:rsid w:val="000C29F7"/>
    <w:rsid w:val="000C51EC"/>
    <w:rsid w:val="000C7B22"/>
    <w:rsid w:val="000D2DA2"/>
    <w:rsid w:val="000D7751"/>
    <w:rsid w:val="000E4C44"/>
    <w:rsid w:val="000F415A"/>
    <w:rsid w:val="00120124"/>
    <w:rsid w:val="0012671C"/>
    <w:rsid w:val="00131053"/>
    <w:rsid w:val="00154DD3"/>
    <w:rsid w:val="001B5400"/>
    <w:rsid w:val="001C1227"/>
    <w:rsid w:val="001D6805"/>
    <w:rsid w:val="001E46C3"/>
    <w:rsid w:val="001E7552"/>
    <w:rsid w:val="001F588F"/>
    <w:rsid w:val="00207B94"/>
    <w:rsid w:val="00212F30"/>
    <w:rsid w:val="002146B1"/>
    <w:rsid w:val="002152A8"/>
    <w:rsid w:val="00235E00"/>
    <w:rsid w:val="002438CB"/>
    <w:rsid w:val="002460FC"/>
    <w:rsid w:val="00252331"/>
    <w:rsid w:val="00272EA6"/>
    <w:rsid w:val="00272F57"/>
    <w:rsid w:val="00276E95"/>
    <w:rsid w:val="00290B90"/>
    <w:rsid w:val="002A38AB"/>
    <w:rsid w:val="002B2C2C"/>
    <w:rsid w:val="002B3746"/>
    <w:rsid w:val="002B6AE9"/>
    <w:rsid w:val="002D7AD5"/>
    <w:rsid w:val="002E27E5"/>
    <w:rsid w:val="002F24BE"/>
    <w:rsid w:val="002F2822"/>
    <w:rsid w:val="00306F93"/>
    <w:rsid w:val="003208EC"/>
    <w:rsid w:val="00324896"/>
    <w:rsid w:val="00332A34"/>
    <w:rsid w:val="003353D2"/>
    <w:rsid w:val="00360599"/>
    <w:rsid w:val="00374400"/>
    <w:rsid w:val="00390BF7"/>
    <w:rsid w:val="003931AD"/>
    <w:rsid w:val="00394B42"/>
    <w:rsid w:val="003975BD"/>
    <w:rsid w:val="003B4A40"/>
    <w:rsid w:val="003B4E83"/>
    <w:rsid w:val="003B54EF"/>
    <w:rsid w:val="003C6859"/>
    <w:rsid w:val="003C7E92"/>
    <w:rsid w:val="003D2412"/>
    <w:rsid w:val="003F03B9"/>
    <w:rsid w:val="003F1C08"/>
    <w:rsid w:val="003F5C99"/>
    <w:rsid w:val="00407F42"/>
    <w:rsid w:val="00436ED8"/>
    <w:rsid w:val="00440E78"/>
    <w:rsid w:val="0044391F"/>
    <w:rsid w:val="0044417E"/>
    <w:rsid w:val="0045226C"/>
    <w:rsid w:val="004532B9"/>
    <w:rsid w:val="00455449"/>
    <w:rsid w:val="00463CDD"/>
    <w:rsid w:val="00467ABA"/>
    <w:rsid w:val="00472FE6"/>
    <w:rsid w:val="00473089"/>
    <w:rsid w:val="00474DB6"/>
    <w:rsid w:val="004829D1"/>
    <w:rsid w:val="00490B9F"/>
    <w:rsid w:val="00491461"/>
    <w:rsid w:val="00494903"/>
    <w:rsid w:val="004A7E53"/>
    <w:rsid w:val="004B28CC"/>
    <w:rsid w:val="004B4B04"/>
    <w:rsid w:val="004B5D0C"/>
    <w:rsid w:val="004B7F3E"/>
    <w:rsid w:val="004C2396"/>
    <w:rsid w:val="004D0187"/>
    <w:rsid w:val="004D1DD9"/>
    <w:rsid w:val="004D68A8"/>
    <w:rsid w:val="004D70D9"/>
    <w:rsid w:val="004E304D"/>
    <w:rsid w:val="004F1AF6"/>
    <w:rsid w:val="004F42CA"/>
    <w:rsid w:val="004F7B31"/>
    <w:rsid w:val="00501501"/>
    <w:rsid w:val="00503053"/>
    <w:rsid w:val="0051024B"/>
    <w:rsid w:val="00510EF0"/>
    <w:rsid w:val="0053257A"/>
    <w:rsid w:val="00533549"/>
    <w:rsid w:val="005435D1"/>
    <w:rsid w:val="00546179"/>
    <w:rsid w:val="005578D1"/>
    <w:rsid w:val="00564275"/>
    <w:rsid w:val="00574D3D"/>
    <w:rsid w:val="005828F9"/>
    <w:rsid w:val="005B3AAE"/>
    <w:rsid w:val="005B4130"/>
    <w:rsid w:val="005B5C6B"/>
    <w:rsid w:val="005C1852"/>
    <w:rsid w:val="005C4C7F"/>
    <w:rsid w:val="005D2F7A"/>
    <w:rsid w:val="005D5CF7"/>
    <w:rsid w:val="005F569F"/>
    <w:rsid w:val="0060067D"/>
    <w:rsid w:val="0060296A"/>
    <w:rsid w:val="00632674"/>
    <w:rsid w:val="006402D5"/>
    <w:rsid w:val="00654E2D"/>
    <w:rsid w:val="00663472"/>
    <w:rsid w:val="00672844"/>
    <w:rsid w:val="0068047F"/>
    <w:rsid w:val="0068252A"/>
    <w:rsid w:val="00683898"/>
    <w:rsid w:val="0068500B"/>
    <w:rsid w:val="00694497"/>
    <w:rsid w:val="006B7646"/>
    <w:rsid w:val="006C1DD6"/>
    <w:rsid w:val="006C371D"/>
    <w:rsid w:val="006D42B8"/>
    <w:rsid w:val="006D5996"/>
    <w:rsid w:val="00705DAA"/>
    <w:rsid w:val="00710287"/>
    <w:rsid w:val="00710E80"/>
    <w:rsid w:val="007169F9"/>
    <w:rsid w:val="00716F32"/>
    <w:rsid w:val="00720DFD"/>
    <w:rsid w:val="00725C40"/>
    <w:rsid w:val="0074245F"/>
    <w:rsid w:val="0076151A"/>
    <w:rsid w:val="007676B5"/>
    <w:rsid w:val="007753BC"/>
    <w:rsid w:val="00776C9E"/>
    <w:rsid w:val="00782869"/>
    <w:rsid w:val="0079069A"/>
    <w:rsid w:val="007A506B"/>
    <w:rsid w:val="007C06E2"/>
    <w:rsid w:val="007C2B20"/>
    <w:rsid w:val="007D6A5B"/>
    <w:rsid w:val="007E76CC"/>
    <w:rsid w:val="007F08A6"/>
    <w:rsid w:val="00800D97"/>
    <w:rsid w:val="008030E6"/>
    <w:rsid w:val="008060CF"/>
    <w:rsid w:val="00817B6B"/>
    <w:rsid w:val="0082358C"/>
    <w:rsid w:val="00835EA7"/>
    <w:rsid w:val="0085119B"/>
    <w:rsid w:val="00855E56"/>
    <w:rsid w:val="00861E63"/>
    <w:rsid w:val="00862A66"/>
    <w:rsid w:val="00880C8E"/>
    <w:rsid w:val="00886F78"/>
    <w:rsid w:val="008879DA"/>
    <w:rsid w:val="00892034"/>
    <w:rsid w:val="008B300B"/>
    <w:rsid w:val="008B705E"/>
    <w:rsid w:val="008D14C2"/>
    <w:rsid w:val="008D3644"/>
    <w:rsid w:val="008E09EE"/>
    <w:rsid w:val="008E3CEB"/>
    <w:rsid w:val="008E6283"/>
    <w:rsid w:val="008F2FA3"/>
    <w:rsid w:val="00906CB3"/>
    <w:rsid w:val="009164C4"/>
    <w:rsid w:val="00917647"/>
    <w:rsid w:val="0093046B"/>
    <w:rsid w:val="0093156F"/>
    <w:rsid w:val="00931B57"/>
    <w:rsid w:val="00940436"/>
    <w:rsid w:val="00941209"/>
    <w:rsid w:val="00944434"/>
    <w:rsid w:val="00953AB4"/>
    <w:rsid w:val="00961FCB"/>
    <w:rsid w:val="00970084"/>
    <w:rsid w:val="00991D04"/>
    <w:rsid w:val="009B0213"/>
    <w:rsid w:val="009D4A4A"/>
    <w:rsid w:val="009D560D"/>
    <w:rsid w:val="009E3000"/>
    <w:rsid w:val="009E4399"/>
    <w:rsid w:val="009F00E9"/>
    <w:rsid w:val="009F49A8"/>
    <w:rsid w:val="00A11593"/>
    <w:rsid w:val="00A155FB"/>
    <w:rsid w:val="00A16158"/>
    <w:rsid w:val="00A16FD9"/>
    <w:rsid w:val="00A259AF"/>
    <w:rsid w:val="00A2748D"/>
    <w:rsid w:val="00A31D80"/>
    <w:rsid w:val="00A42C01"/>
    <w:rsid w:val="00A47D37"/>
    <w:rsid w:val="00A5084D"/>
    <w:rsid w:val="00A551C5"/>
    <w:rsid w:val="00A64B2B"/>
    <w:rsid w:val="00AA3C18"/>
    <w:rsid w:val="00AA5964"/>
    <w:rsid w:val="00AA7C49"/>
    <w:rsid w:val="00AB2B4C"/>
    <w:rsid w:val="00AB735E"/>
    <w:rsid w:val="00AC4421"/>
    <w:rsid w:val="00AD0864"/>
    <w:rsid w:val="00AD1BB8"/>
    <w:rsid w:val="00AD4553"/>
    <w:rsid w:val="00AD7227"/>
    <w:rsid w:val="00AE0127"/>
    <w:rsid w:val="00AF174F"/>
    <w:rsid w:val="00B047E5"/>
    <w:rsid w:val="00B10416"/>
    <w:rsid w:val="00B11AF1"/>
    <w:rsid w:val="00B437F9"/>
    <w:rsid w:val="00B569A2"/>
    <w:rsid w:val="00B571FA"/>
    <w:rsid w:val="00B6089C"/>
    <w:rsid w:val="00B626D1"/>
    <w:rsid w:val="00B62D20"/>
    <w:rsid w:val="00B7158A"/>
    <w:rsid w:val="00B71ADC"/>
    <w:rsid w:val="00B72650"/>
    <w:rsid w:val="00B808BC"/>
    <w:rsid w:val="00B825FE"/>
    <w:rsid w:val="00B838E6"/>
    <w:rsid w:val="00B83E86"/>
    <w:rsid w:val="00BB77DC"/>
    <w:rsid w:val="00BE1192"/>
    <w:rsid w:val="00C025F4"/>
    <w:rsid w:val="00C05AA8"/>
    <w:rsid w:val="00C23D0E"/>
    <w:rsid w:val="00C34D6D"/>
    <w:rsid w:val="00C3732E"/>
    <w:rsid w:val="00C373AB"/>
    <w:rsid w:val="00C41BD8"/>
    <w:rsid w:val="00C549B3"/>
    <w:rsid w:val="00C56141"/>
    <w:rsid w:val="00C61DC0"/>
    <w:rsid w:val="00C62662"/>
    <w:rsid w:val="00C6276F"/>
    <w:rsid w:val="00C72A58"/>
    <w:rsid w:val="00C74B7B"/>
    <w:rsid w:val="00C9528B"/>
    <w:rsid w:val="00CA1B76"/>
    <w:rsid w:val="00CA1C79"/>
    <w:rsid w:val="00CB3560"/>
    <w:rsid w:val="00CB7E12"/>
    <w:rsid w:val="00CC14A3"/>
    <w:rsid w:val="00CC7069"/>
    <w:rsid w:val="00CD4899"/>
    <w:rsid w:val="00CD7E9B"/>
    <w:rsid w:val="00CE5214"/>
    <w:rsid w:val="00CF2E5D"/>
    <w:rsid w:val="00CF35CC"/>
    <w:rsid w:val="00D041DF"/>
    <w:rsid w:val="00D168AA"/>
    <w:rsid w:val="00D31774"/>
    <w:rsid w:val="00D31ABC"/>
    <w:rsid w:val="00D36B8D"/>
    <w:rsid w:val="00D619E6"/>
    <w:rsid w:val="00D81734"/>
    <w:rsid w:val="00D9339A"/>
    <w:rsid w:val="00DA42D9"/>
    <w:rsid w:val="00DC35A9"/>
    <w:rsid w:val="00DD1D84"/>
    <w:rsid w:val="00DF1D01"/>
    <w:rsid w:val="00E058FA"/>
    <w:rsid w:val="00E10A79"/>
    <w:rsid w:val="00E27999"/>
    <w:rsid w:val="00E466CE"/>
    <w:rsid w:val="00E51DB2"/>
    <w:rsid w:val="00E62A7B"/>
    <w:rsid w:val="00E630E3"/>
    <w:rsid w:val="00E74494"/>
    <w:rsid w:val="00E80092"/>
    <w:rsid w:val="00E82351"/>
    <w:rsid w:val="00E82517"/>
    <w:rsid w:val="00E91851"/>
    <w:rsid w:val="00E946A7"/>
    <w:rsid w:val="00E94CF4"/>
    <w:rsid w:val="00EA0F5E"/>
    <w:rsid w:val="00EB34E8"/>
    <w:rsid w:val="00EB3FDB"/>
    <w:rsid w:val="00EB6F35"/>
    <w:rsid w:val="00ED4577"/>
    <w:rsid w:val="00ED7312"/>
    <w:rsid w:val="00ED7BBD"/>
    <w:rsid w:val="00EE11BC"/>
    <w:rsid w:val="00EE44AF"/>
    <w:rsid w:val="00EF0678"/>
    <w:rsid w:val="00EF2201"/>
    <w:rsid w:val="00F01B53"/>
    <w:rsid w:val="00F03E89"/>
    <w:rsid w:val="00F17619"/>
    <w:rsid w:val="00F25226"/>
    <w:rsid w:val="00F305E6"/>
    <w:rsid w:val="00F31AB2"/>
    <w:rsid w:val="00F3474F"/>
    <w:rsid w:val="00F4181B"/>
    <w:rsid w:val="00F43378"/>
    <w:rsid w:val="00F56612"/>
    <w:rsid w:val="00F64C2F"/>
    <w:rsid w:val="00F72132"/>
    <w:rsid w:val="00F74820"/>
    <w:rsid w:val="00F94BBF"/>
    <w:rsid w:val="00F97647"/>
    <w:rsid w:val="00FA340C"/>
    <w:rsid w:val="00FB3E65"/>
    <w:rsid w:val="00FC41A3"/>
    <w:rsid w:val="00FC5172"/>
    <w:rsid w:val="00FC5894"/>
    <w:rsid w:val="00FC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2C86D"/>
  <w15:chartTrackingRefBased/>
  <w15:docId w15:val="{D0659EE8-7FF2-4798-AF83-9113CDB3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3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3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3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3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3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3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3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3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3CC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DefaultParagraphFont"/>
    <w:rsid w:val="006C1DD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table" w:styleId="TableGrid">
    <w:name w:val="Table Grid"/>
    <w:basedOn w:val="TableNormal"/>
    <w:uiPriority w:val="39"/>
    <w:rsid w:val="002B3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0124"/>
    <w:rPr>
      <w:color w:val="0563C1" w:themeColor="hyperlink"/>
      <w:u w:val="single"/>
    </w:rPr>
  </w:style>
  <w:style w:type="paragraph" w:customStyle="1" w:styleId="Paragraphbody0ident">
    <w:name w:val="Paragraph body 0 ident"/>
    <w:basedOn w:val="Normal"/>
    <w:rsid w:val="00C72A58"/>
    <w:pPr>
      <w:spacing w:after="0" w:line="260" w:lineRule="exact"/>
      <w:jc w:val="both"/>
    </w:pPr>
    <w:rPr>
      <w:rFonts w:ascii="Times New Roman" w:eastAsia="Times New Roman" w:hAnsi="Times New Roman" w:cs="Times New Roman"/>
      <w:spacing w:val="2"/>
      <w:kern w:val="0"/>
      <w:sz w:val="20"/>
      <w:lang w:eastAsia="en-GB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15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1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1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56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3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4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03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3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0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9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9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8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3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DIEU HIEN</dc:creator>
  <cp:keywords/>
  <dc:description/>
  <cp:lastModifiedBy>Cittrarul T.</cp:lastModifiedBy>
  <cp:revision>2</cp:revision>
  <cp:lastPrinted>2025-05-23T04:52:00Z</cp:lastPrinted>
  <dcterms:created xsi:type="dcterms:W3CDTF">2025-10-01T08:48:00Z</dcterms:created>
  <dcterms:modified xsi:type="dcterms:W3CDTF">2025-10-01T08:48:00Z</dcterms:modified>
</cp:coreProperties>
</file>