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3B8B1" w14:textId="77777777" w:rsidR="00C02A51" w:rsidRDefault="00C02A51" w:rsidP="00C02A51">
      <w:pPr>
        <w:spacing w:after="200"/>
        <w:rPr>
          <w:rFonts w:eastAsia="Gulim" w:cs="Times New Roman"/>
          <w:b/>
          <w:bCs/>
          <w:kern w:val="36"/>
          <w:sz w:val="28"/>
          <w:szCs w:val="28"/>
          <w:lang w:eastAsia="ko-KR"/>
        </w:rPr>
      </w:pPr>
      <w:r>
        <w:rPr>
          <w:rFonts w:eastAsia="Gulim" w:cs="Times New Roman"/>
          <w:b/>
          <w:bCs/>
          <w:kern w:val="36"/>
          <w:sz w:val="28"/>
          <w:szCs w:val="28"/>
          <w:lang w:eastAsia="ko-KR"/>
        </w:rPr>
        <w:t>Appendix A. Evidence-to-SWOT matrix</w:t>
      </w:r>
    </w:p>
    <w:p w14:paraId="34194E52" w14:textId="08217443" w:rsidR="007E5275" w:rsidRDefault="00C02A51" w:rsidP="00C02A51">
      <w:pPr>
        <w:spacing w:before="100" w:beforeAutospacing="1" w:after="100" w:afterAutospacing="1" w:line="360" w:lineRule="auto"/>
        <w:jc w:val="both"/>
      </w:pPr>
      <w:r>
        <w:t xml:space="preserve">Table </w:t>
      </w:r>
      <w:r w:rsidR="00201FA0">
        <w:t>4</w:t>
      </w:r>
      <w:r>
        <w:t xml:space="preserve"> maps the principal SWOT items used in the exploratory assessment, the comparative frame, and the source base cited in Sections 5.4-5.5. The appendix is intended to improve traceability by showing how each item was linked to the study's five locational dimensions and classified as an internal or external factor. To follow MAEM's submission format for separate tables, the full matrix is supplied in the accompanying tables and figure file as Table </w:t>
      </w:r>
      <w:r w:rsidR="00201FA0">
        <w:t>4</w:t>
      </w:r>
      <w:r>
        <w:t xml:space="preserve">. </w:t>
      </w:r>
    </w:p>
    <w:p w14:paraId="2108A46E" w14:textId="755EC9D5" w:rsidR="00531604" w:rsidRPr="00531604" w:rsidRDefault="00C02A51" w:rsidP="00531604">
      <w:pPr>
        <w:spacing w:before="240"/>
        <w:jc w:val="center"/>
        <w:rPr>
          <w:b/>
          <w:sz w:val="25"/>
        </w:rPr>
      </w:pPr>
      <w:r>
        <w:rPr>
          <w:b/>
          <w:bCs/>
        </w:rPr>
        <w:t xml:space="preserve">Table </w:t>
      </w:r>
      <w:r w:rsidR="00201FA0">
        <w:rPr>
          <w:b/>
          <w:bCs/>
        </w:rPr>
        <w:t>4</w:t>
      </w:r>
      <w:bookmarkStart w:id="0" w:name="_GoBack"/>
      <w:bookmarkEnd w:id="0"/>
      <w:r>
        <w:rPr>
          <w:b/>
          <w:bCs/>
        </w:rPr>
        <w:t xml:space="preserve">. </w:t>
      </w:r>
      <w:r w:rsidR="00531604">
        <w:rPr>
          <w:b/>
          <w:sz w:val="25"/>
        </w:rPr>
        <w:t>Evidence-to-SWOT matrix linking the comparative frame and the SWOT assessment</w:t>
      </w:r>
    </w:p>
    <w:tbl>
      <w:tblPr>
        <w:tblStyle w:val="TableGrid"/>
        <w:tblW w:w="0" w:type="auto"/>
        <w:jc w:val="center"/>
        <w:tblLayout w:type="fixed"/>
        <w:tblLook w:val="04A0" w:firstRow="1" w:lastRow="0" w:firstColumn="1" w:lastColumn="0" w:noHBand="0" w:noVBand="1"/>
      </w:tblPr>
      <w:tblGrid>
        <w:gridCol w:w="3168"/>
        <w:gridCol w:w="7488"/>
        <w:gridCol w:w="2736"/>
      </w:tblGrid>
      <w:tr w:rsidR="00C36A48" w14:paraId="6C1BDF00" w14:textId="77777777">
        <w:trPr>
          <w:cantSplit/>
          <w:tblHeader/>
          <w:jc w:val="center"/>
        </w:trPr>
        <w:tc>
          <w:tcPr>
            <w:tcW w:w="3168" w:type="dxa"/>
            <w:shd w:val="clear" w:color="auto" w:fill="D9E2F3"/>
            <w:tcMar>
              <w:top w:w="70" w:type="dxa"/>
              <w:left w:w="90" w:type="dxa"/>
              <w:bottom w:w="70" w:type="dxa"/>
              <w:right w:w="90" w:type="dxa"/>
            </w:tcMar>
            <w:vAlign w:val="center"/>
          </w:tcPr>
          <w:p w14:paraId="2DD84943" w14:textId="77777777" w:rsidR="00C36A48" w:rsidRDefault="0054709C" w:rsidP="00531604">
            <w:pPr>
              <w:spacing w:after="0"/>
              <w:jc w:val="center"/>
            </w:pPr>
            <w:r>
              <w:rPr>
                <w:b/>
                <w:sz w:val="18"/>
              </w:rPr>
              <w:t>SWOT item</w:t>
            </w:r>
          </w:p>
        </w:tc>
        <w:tc>
          <w:tcPr>
            <w:tcW w:w="7488" w:type="dxa"/>
            <w:shd w:val="clear" w:color="auto" w:fill="D9E2F3"/>
            <w:tcMar>
              <w:top w:w="70" w:type="dxa"/>
              <w:left w:w="90" w:type="dxa"/>
              <w:bottom w:w="70" w:type="dxa"/>
              <w:right w:w="90" w:type="dxa"/>
            </w:tcMar>
            <w:vAlign w:val="center"/>
          </w:tcPr>
          <w:p w14:paraId="5D7F6043" w14:textId="4EF70B88" w:rsidR="00C36A48" w:rsidRDefault="0054709C" w:rsidP="00531604">
            <w:pPr>
              <w:spacing w:after="0"/>
              <w:jc w:val="center"/>
            </w:pPr>
            <w:r>
              <w:rPr>
                <w:b/>
                <w:sz w:val="18"/>
              </w:rPr>
              <w:t xml:space="preserve">Link to </w:t>
            </w:r>
            <w:r w:rsidR="00490878">
              <w:rPr>
                <w:b/>
                <w:sz w:val="18"/>
              </w:rPr>
              <w:t xml:space="preserve">the </w:t>
            </w:r>
            <w:r>
              <w:rPr>
                <w:b/>
                <w:sz w:val="18"/>
              </w:rPr>
              <w:t>comparative frame and evidence basis</w:t>
            </w:r>
          </w:p>
        </w:tc>
        <w:tc>
          <w:tcPr>
            <w:tcW w:w="2736" w:type="dxa"/>
            <w:shd w:val="clear" w:color="auto" w:fill="D9E2F3"/>
            <w:tcMar>
              <w:top w:w="70" w:type="dxa"/>
              <w:left w:w="90" w:type="dxa"/>
              <w:bottom w:w="70" w:type="dxa"/>
              <w:right w:w="90" w:type="dxa"/>
            </w:tcMar>
            <w:vAlign w:val="center"/>
          </w:tcPr>
          <w:p w14:paraId="7A9CCAC5" w14:textId="77777777" w:rsidR="00C36A48" w:rsidRDefault="0054709C" w:rsidP="00531604">
            <w:pPr>
              <w:spacing w:after="0"/>
              <w:jc w:val="center"/>
            </w:pPr>
            <w:r>
              <w:rPr>
                <w:b/>
                <w:sz w:val="18"/>
              </w:rPr>
              <w:t>Illustrative sources in this study</w:t>
            </w:r>
          </w:p>
        </w:tc>
      </w:tr>
      <w:tr w:rsidR="00C36A48" w14:paraId="5DD965A7" w14:textId="77777777">
        <w:trPr>
          <w:cantSplit/>
          <w:jc w:val="center"/>
        </w:trPr>
        <w:tc>
          <w:tcPr>
            <w:tcW w:w="3168" w:type="dxa"/>
            <w:tcMar>
              <w:top w:w="70" w:type="dxa"/>
              <w:left w:w="90" w:type="dxa"/>
              <w:bottom w:w="70" w:type="dxa"/>
              <w:right w:w="90" w:type="dxa"/>
            </w:tcMar>
            <w:vAlign w:val="center"/>
          </w:tcPr>
          <w:p w14:paraId="0446F186" w14:textId="77777777" w:rsidR="00C36A48" w:rsidRDefault="0054709C">
            <w:pPr>
              <w:spacing w:after="0"/>
            </w:pPr>
            <w:r>
              <w:rPr>
                <w:sz w:val="16"/>
              </w:rPr>
              <w:t>Strength — Strong local policy commitment</w:t>
            </w:r>
          </w:p>
        </w:tc>
        <w:tc>
          <w:tcPr>
            <w:tcW w:w="7488" w:type="dxa"/>
            <w:tcMar>
              <w:top w:w="70" w:type="dxa"/>
              <w:left w:w="90" w:type="dxa"/>
              <w:bottom w:w="70" w:type="dxa"/>
              <w:right w:w="90" w:type="dxa"/>
            </w:tcMar>
            <w:vAlign w:val="center"/>
          </w:tcPr>
          <w:p w14:paraId="30AC5229" w14:textId="77777777" w:rsidR="00C36A48" w:rsidRDefault="0054709C">
            <w:pPr>
              <w:spacing w:after="0"/>
            </w:pPr>
            <w:r>
              <w:rPr>
                <w:sz w:val="16"/>
              </w:rPr>
              <w:t>Development logic; institutional and market tools. Jeollanam-do and Yeosu have articulated hydrogen-industry promotion agendas that link industrial development, infrastructure, and port decarbonization, supporting a phased market-building trajectory.</w:t>
            </w:r>
          </w:p>
        </w:tc>
        <w:tc>
          <w:tcPr>
            <w:tcW w:w="2736" w:type="dxa"/>
            <w:tcMar>
              <w:top w:w="70" w:type="dxa"/>
              <w:left w:w="90" w:type="dxa"/>
              <w:bottom w:w="70" w:type="dxa"/>
              <w:right w:w="90" w:type="dxa"/>
            </w:tcMar>
            <w:vAlign w:val="center"/>
          </w:tcPr>
          <w:p w14:paraId="5DD8B660" w14:textId="77777777" w:rsidR="00C36A48" w:rsidRDefault="0054709C">
            <w:pPr>
              <w:spacing w:after="0"/>
            </w:pPr>
            <w:r>
              <w:rPr>
                <w:sz w:val="16"/>
              </w:rPr>
              <w:t>Chonnam National University Industry-Academic Cooperation Foundation (2021); Yeosu City Hall (2021a)</w:t>
            </w:r>
          </w:p>
        </w:tc>
      </w:tr>
      <w:tr w:rsidR="00C36A48" w14:paraId="5464B2D8" w14:textId="77777777">
        <w:trPr>
          <w:cantSplit/>
          <w:jc w:val="center"/>
        </w:trPr>
        <w:tc>
          <w:tcPr>
            <w:tcW w:w="3168" w:type="dxa"/>
            <w:tcMar>
              <w:top w:w="70" w:type="dxa"/>
              <w:left w:w="90" w:type="dxa"/>
              <w:bottom w:w="70" w:type="dxa"/>
              <w:right w:w="90" w:type="dxa"/>
            </w:tcMar>
            <w:vAlign w:val="center"/>
          </w:tcPr>
          <w:p w14:paraId="781D9D45" w14:textId="77777777" w:rsidR="00C36A48" w:rsidRDefault="0054709C">
            <w:pPr>
              <w:spacing w:after="0"/>
            </w:pPr>
            <w:r>
              <w:rPr>
                <w:sz w:val="16"/>
              </w:rPr>
              <w:t>Strength — Large industrial offtake base</w:t>
            </w:r>
          </w:p>
        </w:tc>
        <w:tc>
          <w:tcPr>
            <w:tcW w:w="7488" w:type="dxa"/>
            <w:tcMar>
              <w:top w:w="70" w:type="dxa"/>
              <w:left w:w="90" w:type="dxa"/>
              <w:bottom w:w="70" w:type="dxa"/>
              <w:right w:w="90" w:type="dxa"/>
            </w:tcMar>
            <w:vAlign w:val="center"/>
          </w:tcPr>
          <w:p w14:paraId="23274599" w14:textId="77777777" w:rsidR="00C36A48" w:rsidRDefault="0054709C">
            <w:pPr>
              <w:spacing w:after="0"/>
            </w:pPr>
            <w:r>
              <w:rPr>
                <w:sz w:val="16"/>
              </w:rPr>
              <w:t>Anchor demand. The Yeosu National Industrial Complex and nearby Gwangyang facilities cluster petrochemicals, steel, power, and LNG-related activities, while public studies project substantial future hydrogen demand from fuel switching and power generation.</w:t>
            </w:r>
          </w:p>
        </w:tc>
        <w:tc>
          <w:tcPr>
            <w:tcW w:w="2736" w:type="dxa"/>
            <w:tcMar>
              <w:top w:w="70" w:type="dxa"/>
              <w:left w:w="90" w:type="dxa"/>
              <w:bottom w:w="70" w:type="dxa"/>
              <w:right w:w="90" w:type="dxa"/>
            </w:tcMar>
            <w:vAlign w:val="center"/>
          </w:tcPr>
          <w:p w14:paraId="34A5B6DB" w14:textId="77777777" w:rsidR="00C36A48" w:rsidRDefault="0054709C">
            <w:pPr>
              <w:spacing w:after="0"/>
            </w:pPr>
            <w:r>
              <w:rPr>
                <w:sz w:val="16"/>
              </w:rPr>
              <w:t>Hydrogen Knowledge Group (2023)</w:t>
            </w:r>
          </w:p>
        </w:tc>
      </w:tr>
      <w:tr w:rsidR="00C36A48" w14:paraId="38478AE8" w14:textId="77777777">
        <w:trPr>
          <w:cantSplit/>
          <w:jc w:val="center"/>
        </w:trPr>
        <w:tc>
          <w:tcPr>
            <w:tcW w:w="3168" w:type="dxa"/>
            <w:tcMar>
              <w:top w:w="70" w:type="dxa"/>
              <w:left w:w="90" w:type="dxa"/>
              <w:bottom w:w="70" w:type="dxa"/>
              <w:right w:w="90" w:type="dxa"/>
            </w:tcMar>
            <w:vAlign w:val="center"/>
          </w:tcPr>
          <w:p w14:paraId="362DE6A8" w14:textId="77777777" w:rsidR="00C36A48" w:rsidRDefault="0054709C">
            <w:pPr>
              <w:spacing w:after="0"/>
            </w:pPr>
            <w:r>
              <w:rPr>
                <w:sz w:val="16"/>
              </w:rPr>
              <w:t>Strength — Port and multimodal logistics connectivity</w:t>
            </w:r>
          </w:p>
        </w:tc>
        <w:tc>
          <w:tcPr>
            <w:tcW w:w="7488" w:type="dxa"/>
            <w:tcMar>
              <w:top w:w="70" w:type="dxa"/>
              <w:left w:w="90" w:type="dxa"/>
              <w:bottom w:w="70" w:type="dxa"/>
              <w:right w:w="90" w:type="dxa"/>
            </w:tcMar>
            <w:vAlign w:val="center"/>
          </w:tcPr>
          <w:p w14:paraId="19F67ADF" w14:textId="77777777" w:rsidR="00C36A48" w:rsidRDefault="0054709C">
            <w:pPr>
              <w:spacing w:after="0"/>
            </w:pPr>
            <w:r>
              <w:rPr>
                <w:sz w:val="16"/>
              </w:rPr>
              <w:t>Physical logistics. The region combines a deep-water bulk port with road, rail, sea, and domestic-air accessibility, lowering coordination costs for cargo handling, site visits, and prospective import-distribution functions.</w:t>
            </w:r>
          </w:p>
        </w:tc>
        <w:tc>
          <w:tcPr>
            <w:tcW w:w="2736" w:type="dxa"/>
            <w:tcMar>
              <w:top w:w="70" w:type="dxa"/>
              <w:left w:w="90" w:type="dxa"/>
              <w:bottom w:w="70" w:type="dxa"/>
              <w:right w:w="90" w:type="dxa"/>
            </w:tcMar>
            <w:vAlign w:val="center"/>
          </w:tcPr>
          <w:p w14:paraId="1FD48D90" w14:textId="77777777" w:rsidR="00C36A48" w:rsidRDefault="0054709C">
            <w:pPr>
              <w:spacing w:after="0"/>
            </w:pPr>
            <w:r>
              <w:rPr>
                <w:sz w:val="16"/>
              </w:rPr>
              <w:t>Korea Convention and Exhibition Industry Research Institute (2017); Yeosu Gwangyang Port Authority (2024)</w:t>
            </w:r>
          </w:p>
        </w:tc>
      </w:tr>
      <w:tr w:rsidR="00C36A48" w14:paraId="44974C80" w14:textId="77777777">
        <w:trPr>
          <w:cantSplit/>
          <w:jc w:val="center"/>
        </w:trPr>
        <w:tc>
          <w:tcPr>
            <w:tcW w:w="3168" w:type="dxa"/>
            <w:tcMar>
              <w:top w:w="70" w:type="dxa"/>
              <w:left w:w="90" w:type="dxa"/>
              <w:bottom w:w="70" w:type="dxa"/>
              <w:right w:w="90" w:type="dxa"/>
            </w:tcMar>
            <w:vAlign w:val="center"/>
          </w:tcPr>
          <w:p w14:paraId="2BA8A599" w14:textId="77777777" w:rsidR="00C36A48" w:rsidRDefault="0054709C">
            <w:pPr>
              <w:spacing w:after="0"/>
            </w:pPr>
            <w:r>
              <w:rPr>
                <w:sz w:val="16"/>
              </w:rPr>
              <w:t>Strength — Redevelopment potential of the Yeosu Expo site</w:t>
            </w:r>
          </w:p>
        </w:tc>
        <w:tc>
          <w:tcPr>
            <w:tcW w:w="7488" w:type="dxa"/>
            <w:tcMar>
              <w:top w:w="70" w:type="dxa"/>
              <w:left w:w="90" w:type="dxa"/>
              <w:bottom w:w="70" w:type="dxa"/>
              <w:right w:w="90" w:type="dxa"/>
            </w:tcMar>
            <w:vAlign w:val="center"/>
          </w:tcPr>
          <w:p w14:paraId="7FE5A4B6" w14:textId="77777777" w:rsidR="00C36A48" w:rsidRDefault="0054709C">
            <w:pPr>
              <w:spacing w:after="0"/>
            </w:pPr>
            <w:r>
              <w:rPr>
                <w:sz w:val="16"/>
              </w:rPr>
              <w:t>Service ecosystem; development logic. The former Expo grounds provide waterfront visibility, existing large-scale facilities, and redevelopment capacity that could host exchange-related convening and business-support functions.</w:t>
            </w:r>
          </w:p>
        </w:tc>
        <w:tc>
          <w:tcPr>
            <w:tcW w:w="2736" w:type="dxa"/>
            <w:tcMar>
              <w:top w:w="70" w:type="dxa"/>
              <w:left w:w="90" w:type="dxa"/>
              <w:bottom w:w="70" w:type="dxa"/>
              <w:right w:w="90" w:type="dxa"/>
            </w:tcMar>
            <w:vAlign w:val="center"/>
          </w:tcPr>
          <w:p w14:paraId="27ECDAEC" w14:textId="77777777" w:rsidR="00C36A48" w:rsidRDefault="0054709C">
            <w:pPr>
              <w:spacing w:after="0"/>
            </w:pPr>
            <w:r>
              <w:rPr>
                <w:sz w:val="16"/>
              </w:rPr>
              <w:t>Korea Convention and Exhibition Industry Research Institute (2017); Yeosu City Hall (2021b, 2023); Yeosu Gwangyang Port Authority (2024)</w:t>
            </w:r>
          </w:p>
        </w:tc>
      </w:tr>
      <w:tr w:rsidR="00C36A48" w14:paraId="4388197C" w14:textId="77777777">
        <w:trPr>
          <w:cantSplit/>
          <w:jc w:val="center"/>
        </w:trPr>
        <w:tc>
          <w:tcPr>
            <w:tcW w:w="3168" w:type="dxa"/>
            <w:tcMar>
              <w:top w:w="70" w:type="dxa"/>
              <w:left w:w="90" w:type="dxa"/>
              <w:bottom w:w="70" w:type="dxa"/>
              <w:right w:w="90" w:type="dxa"/>
            </w:tcMar>
            <w:vAlign w:val="center"/>
          </w:tcPr>
          <w:p w14:paraId="7B5EB040" w14:textId="77777777" w:rsidR="00C36A48" w:rsidRDefault="0054709C">
            <w:pPr>
              <w:spacing w:after="0"/>
            </w:pPr>
            <w:r>
              <w:rPr>
                <w:sz w:val="16"/>
              </w:rPr>
              <w:t>Weakness — Thin business-service ecosystem</w:t>
            </w:r>
          </w:p>
        </w:tc>
        <w:tc>
          <w:tcPr>
            <w:tcW w:w="7488" w:type="dxa"/>
            <w:tcMar>
              <w:top w:w="70" w:type="dxa"/>
              <w:left w:w="90" w:type="dxa"/>
              <w:bottom w:w="70" w:type="dxa"/>
              <w:right w:w="90" w:type="dxa"/>
            </w:tcMar>
            <w:vAlign w:val="center"/>
          </w:tcPr>
          <w:p w14:paraId="7A9C7AB6" w14:textId="77777777" w:rsidR="00C36A48" w:rsidRDefault="0054709C">
            <w:pPr>
              <w:spacing w:after="0"/>
            </w:pPr>
            <w:r>
              <w:rPr>
                <w:sz w:val="16"/>
              </w:rPr>
              <w:t>Service ecosystem. Relative to benchmark hubs, the regional economy remains heavily weighted toward manufacturing, while finance, insurance, brokerage, and specialized business services are comparatively thin.</w:t>
            </w:r>
          </w:p>
        </w:tc>
        <w:tc>
          <w:tcPr>
            <w:tcW w:w="2736" w:type="dxa"/>
            <w:tcMar>
              <w:top w:w="70" w:type="dxa"/>
              <w:left w:w="90" w:type="dxa"/>
              <w:bottom w:w="70" w:type="dxa"/>
              <w:right w:w="90" w:type="dxa"/>
            </w:tcMar>
            <w:vAlign w:val="center"/>
          </w:tcPr>
          <w:p w14:paraId="601C94DF" w14:textId="77777777" w:rsidR="00C36A48" w:rsidRDefault="0054709C">
            <w:pPr>
              <w:spacing w:after="0"/>
            </w:pPr>
            <w:r>
              <w:rPr>
                <w:sz w:val="16"/>
              </w:rPr>
              <w:t>Park (2022); Lim (2022)</w:t>
            </w:r>
          </w:p>
        </w:tc>
      </w:tr>
      <w:tr w:rsidR="00C36A48" w14:paraId="35AE0298" w14:textId="77777777">
        <w:trPr>
          <w:cantSplit/>
          <w:jc w:val="center"/>
        </w:trPr>
        <w:tc>
          <w:tcPr>
            <w:tcW w:w="3168" w:type="dxa"/>
            <w:tcMar>
              <w:top w:w="70" w:type="dxa"/>
              <w:left w:w="90" w:type="dxa"/>
              <w:bottom w:w="70" w:type="dxa"/>
              <w:right w:w="90" w:type="dxa"/>
            </w:tcMar>
            <w:vAlign w:val="center"/>
          </w:tcPr>
          <w:p w14:paraId="57468828" w14:textId="77777777" w:rsidR="00C36A48" w:rsidRDefault="0054709C">
            <w:pPr>
              <w:spacing w:after="0"/>
            </w:pPr>
            <w:r>
              <w:rPr>
                <w:sz w:val="16"/>
              </w:rPr>
              <w:t>Weakness — Limited international urban amenities</w:t>
            </w:r>
          </w:p>
        </w:tc>
        <w:tc>
          <w:tcPr>
            <w:tcW w:w="7488" w:type="dxa"/>
            <w:tcMar>
              <w:top w:w="70" w:type="dxa"/>
              <w:left w:w="90" w:type="dxa"/>
              <w:bottom w:w="70" w:type="dxa"/>
              <w:right w:w="90" w:type="dxa"/>
            </w:tcMar>
            <w:vAlign w:val="center"/>
          </w:tcPr>
          <w:p w14:paraId="47E245C4" w14:textId="77777777" w:rsidR="00C36A48" w:rsidRDefault="0054709C">
            <w:pPr>
              <w:spacing w:after="0"/>
            </w:pPr>
            <w:r>
              <w:rPr>
                <w:sz w:val="16"/>
              </w:rPr>
              <w:t>Service ecosystem; trajectory. Existing local plans emphasize industrial promotion and site redevelopment more than expatriate-support services, international schooling, or a broader cluster of globally oriented urban amenities.</w:t>
            </w:r>
          </w:p>
        </w:tc>
        <w:tc>
          <w:tcPr>
            <w:tcW w:w="2736" w:type="dxa"/>
            <w:tcMar>
              <w:top w:w="70" w:type="dxa"/>
              <w:left w:w="90" w:type="dxa"/>
              <w:bottom w:w="70" w:type="dxa"/>
              <w:right w:w="90" w:type="dxa"/>
            </w:tcMar>
            <w:vAlign w:val="center"/>
          </w:tcPr>
          <w:p w14:paraId="4E9B44DF" w14:textId="77777777" w:rsidR="00C36A48" w:rsidRDefault="0054709C">
            <w:pPr>
              <w:spacing w:after="0"/>
            </w:pPr>
            <w:r>
              <w:rPr>
                <w:sz w:val="16"/>
              </w:rPr>
              <w:t>Yeosu City Hall (2023, 2024); Yeosu Gwangyang Port Authority (2024)</w:t>
            </w:r>
          </w:p>
        </w:tc>
      </w:tr>
      <w:tr w:rsidR="00C36A48" w14:paraId="486C6C84" w14:textId="77777777">
        <w:trPr>
          <w:cantSplit/>
          <w:jc w:val="center"/>
        </w:trPr>
        <w:tc>
          <w:tcPr>
            <w:tcW w:w="3168" w:type="dxa"/>
            <w:tcMar>
              <w:top w:w="70" w:type="dxa"/>
              <w:left w:w="90" w:type="dxa"/>
              <w:bottom w:w="70" w:type="dxa"/>
              <w:right w:w="90" w:type="dxa"/>
            </w:tcMar>
            <w:vAlign w:val="center"/>
          </w:tcPr>
          <w:p w14:paraId="6FA6440D" w14:textId="77777777" w:rsidR="00C36A48" w:rsidRDefault="0054709C">
            <w:pPr>
              <w:spacing w:after="0"/>
            </w:pPr>
            <w:r>
              <w:rPr>
                <w:sz w:val="16"/>
              </w:rPr>
              <w:t>Weakness — Expo-site plans not yet operationalized</w:t>
            </w:r>
          </w:p>
        </w:tc>
        <w:tc>
          <w:tcPr>
            <w:tcW w:w="7488" w:type="dxa"/>
            <w:tcMar>
              <w:top w:w="70" w:type="dxa"/>
              <w:left w:w="90" w:type="dxa"/>
              <w:bottom w:w="70" w:type="dxa"/>
              <w:right w:w="90" w:type="dxa"/>
            </w:tcMar>
            <w:vAlign w:val="center"/>
          </w:tcPr>
          <w:p w14:paraId="588DA7D3" w14:textId="77777777" w:rsidR="00C36A48" w:rsidRDefault="0054709C">
            <w:pPr>
              <w:spacing w:after="0"/>
            </w:pPr>
            <w:r>
              <w:rPr>
                <w:sz w:val="16"/>
              </w:rPr>
              <w:t>Development logic; implementation readiness. The Expo site has strategic value, but land-use, governance, and investment arrangements are not yet sufficiently translated into an operational platform for market actors.</w:t>
            </w:r>
          </w:p>
        </w:tc>
        <w:tc>
          <w:tcPr>
            <w:tcW w:w="2736" w:type="dxa"/>
            <w:tcMar>
              <w:top w:w="70" w:type="dxa"/>
              <w:left w:w="90" w:type="dxa"/>
              <w:bottom w:w="70" w:type="dxa"/>
              <w:right w:w="90" w:type="dxa"/>
            </w:tcMar>
            <w:vAlign w:val="center"/>
          </w:tcPr>
          <w:p w14:paraId="4D6C224B" w14:textId="77777777" w:rsidR="00C36A48" w:rsidRDefault="0054709C">
            <w:pPr>
              <w:spacing w:after="0"/>
            </w:pPr>
            <w:r>
              <w:rPr>
                <w:sz w:val="16"/>
              </w:rPr>
              <w:t>Korea Convention and Exhibition Industry Research Institute (2017); Yeosu City Hall (2023); Yeosu Gwangyang Port Authority (2024)</w:t>
            </w:r>
          </w:p>
        </w:tc>
      </w:tr>
      <w:tr w:rsidR="00C36A48" w14:paraId="0BC94128" w14:textId="77777777">
        <w:trPr>
          <w:cantSplit/>
          <w:jc w:val="center"/>
        </w:trPr>
        <w:tc>
          <w:tcPr>
            <w:tcW w:w="3168" w:type="dxa"/>
            <w:tcMar>
              <w:top w:w="70" w:type="dxa"/>
              <w:left w:w="90" w:type="dxa"/>
              <w:bottom w:w="70" w:type="dxa"/>
              <w:right w:w="90" w:type="dxa"/>
            </w:tcMar>
            <w:vAlign w:val="center"/>
          </w:tcPr>
          <w:p w14:paraId="028BD28F" w14:textId="77777777" w:rsidR="00C36A48" w:rsidRDefault="0054709C">
            <w:pPr>
              <w:spacing w:after="0"/>
            </w:pPr>
            <w:r>
              <w:rPr>
                <w:sz w:val="16"/>
              </w:rPr>
              <w:t>Opportunity — Growth in hydrogen imports and certification-compatible trade</w:t>
            </w:r>
          </w:p>
        </w:tc>
        <w:tc>
          <w:tcPr>
            <w:tcW w:w="7488" w:type="dxa"/>
            <w:tcMar>
              <w:top w:w="70" w:type="dxa"/>
              <w:left w:w="90" w:type="dxa"/>
              <w:bottom w:w="70" w:type="dxa"/>
              <w:right w:w="90" w:type="dxa"/>
            </w:tcMar>
            <w:vAlign w:val="center"/>
          </w:tcPr>
          <w:p w14:paraId="491959D1" w14:textId="77777777" w:rsidR="00C36A48" w:rsidRDefault="0054709C">
            <w:pPr>
              <w:spacing w:after="0"/>
            </w:pPr>
            <w:r>
              <w:rPr>
                <w:sz w:val="16"/>
              </w:rPr>
              <w:t>Institutional and market tools; external market trajectory. Importing economies are moving toward certification-compatible clean-hydrogen trade and more transparent price formation, creating conditions in which a Korean hub could gain relevance.</w:t>
            </w:r>
          </w:p>
        </w:tc>
        <w:tc>
          <w:tcPr>
            <w:tcW w:w="2736" w:type="dxa"/>
            <w:tcMar>
              <w:top w:w="70" w:type="dxa"/>
              <w:left w:w="90" w:type="dxa"/>
              <w:bottom w:w="70" w:type="dxa"/>
              <w:right w:w="90" w:type="dxa"/>
            </w:tcMar>
            <w:vAlign w:val="center"/>
          </w:tcPr>
          <w:p w14:paraId="6C9784A9" w14:textId="77777777" w:rsidR="00C36A48" w:rsidRDefault="0054709C">
            <w:pPr>
              <w:spacing w:after="0"/>
            </w:pPr>
            <w:r>
              <w:rPr>
                <w:sz w:val="16"/>
              </w:rPr>
              <w:t>IRENA (2022, 2024); IEA (2023); ACER (2024); Hasan and Fuentes (2025); Steinbach and Bunk (2024)</w:t>
            </w:r>
          </w:p>
        </w:tc>
      </w:tr>
      <w:tr w:rsidR="00C36A48" w14:paraId="1C5A4814" w14:textId="77777777">
        <w:trPr>
          <w:cantSplit/>
          <w:jc w:val="center"/>
        </w:trPr>
        <w:tc>
          <w:tcPr>
            <w:tcW w:w="3168" w:type="dxa"/>
            <w:tcMar>
              <w:top w:w="70" w:type="dxa"/>
              <w:left w:w="90" w:type="dxa"/>
              <w:bottom w:w="70" w:type="dxa"/>
              <w:right w:w="90" w:type="dxa"/>
            </w:tcMar>
            <w:vAlign w:val="center"/>
          </w:tcPr>
          <w:p w14:paraId="42D55573" w14:textId="77777777" w:rsidR="00C36A48" w:rsidRDefault="0054709C">
            <w:pPr>
              <w:spacing w:after="0"/>
            </w:pPr>
            <w:r>
              <w:rPr>
                <w:sz w:val="16"/>
              </w:rPr>
              <w:lastRenderedPageBreak/>
              <w:t>Opportunity — More formal Korean certification and power-procurement institutions</w:t>
            </w:r>
          </w:p>
        </w:tc>
        <w:tc>
          <w:tcPr>
            <w:tcW w:w="7488" w:type="dxa"/>
            <w:tcMar>
              <w:top w:w="70" w:type="dxa"/>
              <w:left w:w="90" w:type="dxa"/>
              <w:bottom w:w="70" w:type="dxa"/>
              <w:right w:w="90" w:type="dxa"/>
            </w:tcMar>
            <w:vAlign w:val="center"/>
          </w:tcPr>
          <w:p w14:paraId="0D3C0648" w14:textId="77777777" w:rsidR="00C36A48" w:rsidRDefault="0054709C">
            <w:pPr>
              <w:spacing w:after="0"/>
            </w:pPr>
            <w:r>
              <w:rPr>
                <w:sz w:val="16"/>
              </w:rPr>
              <w:t>Institutional and market tools. Korea’s clean-hydrogen certification system and hydrogen-power procurement mechanisms strengthen the domestic policy environment for staged market-building and transaction support functions.</w:t>
            </w:r>
          </w:p>
        </w:tc>
        <w:tc>
          <w:tcPr>
            <w:tcW w:w="2736" w:type="dxa"/>
            <w:tcMar>
              <w:top w:w="70" w:type="dxa"/>
              <w:left w:w="90" w:type="dxa"/>
              <w:bottom w:w="70" w:type="dxa"/>
              <w:right w:w="90" w:type="dxa"/>
            </w:tcMar>
            <w:vAlign w:val="center"/>
          </w:tcPr>
          <w:p w14:paraId="52C9A20A" w14:textId="77777777" w:rsidR="00C36A48" w:rsidRDefault="0054709C">
            <w:pPr>
              <w:spacing w:after="0"/>
            </w:pPr>
            <w:r>
              <w:rPr>
                <w:sz w:val="16"/>
              </w:rPr>
              <w:t>Joint Ministries (2021b, 2022); MOTIE (2024, 2025)</w:t>
            </w:r>
          </w:p>
        </w:tc>
      </w:tr>
      <w:tr w:rsidR="00C36A48" w14:paraId="33155DF5" w14:textId="77777777">
        <w:trPr>
          <w:cantSplit/>
          <w:jc w:val="center"/>
        </w:trPr>
        <w:tc>
          <w:tcPr>
            <w:tcW w:w="3168" w:type="dxa"/>
            <w:tcMar>
              <w:top w:w="70" w:type="dxa"/>
              <w:left w:w="90" w:type="dxa"/>
              <w:bottom w:w="70" w:type="dxa"/>
              <w:right w:w="90" w:type="dxa"/>
            </w:tcMar>
            <w:vAlign w:val="center"/>
          </w:tcPr>
          <w:p w14:paraId="4E8BF710" w14:textId="77777777" w:rsidR="00C36A48" w:rsidRDefault="0054709C">
            <w:pPr>
              <w:spacing w:after="0"/>
            </w:pPr>
            <w:r>
              <w:rPr>
                <w:sz w:val="16"/>
              </w:rPr>
              <w:t>Opportunity — Planned terminals and pipeline development in southwestern Korea</w:t>
            </w:r>
          </w:p>
        </w:tc>
        <w:tc>
          <w:tcPr>
            <w:tcW w:w="7488" w:type="dxa"/>
            <w:tcMar>
              <w:top w:w="70" w:type="dxa"/>
              <w:left w:w="90" w:type="dxa"/>
              <w:bottom w:w="70" w:type="dxa"/>
              <w:right w:w="90" w:type="dxa"/>
            </w:tcMar>
            <w:vAlign w:val="center"/>
          </w:tcPr>
          <w:p w14:paraId="6A920BCF" w14:textId="77777777" w:rsidR="00C36A48" w:rsidRDefault="0054709C">
            <w:pPr>
              <w:spacing w:after="0"/>
            </w:pPr>
            <w:r>
              <w:rPr>
                <w:sz w:val="16"/>
              </w:rPr>
              <w:t>Physical logistics; anchor demand. Public studies envision hydrogen-ammonia terminals and pipeline connections around Gwangyang Bay, which could reinforce the region’s role as a southwestern import-and-distribution node.</w:t>
            </w:r>
          </w:p>
        </w:tc>
        <w:tc>
          <w:tcPr>
            <w:tcW w:w="2736" w:type="dxa"/>
            <w:tcMar>
              <w:top w:w="70" w:type="dxa"/>
              <w:left w:w="90" w:type="dxa"/>
              <w:bottom w:w="70" w:type="dxa"/>
              <w:right w:w="90" w:type="dxa"/>
            </w:tcMar>
            <w:vAlign w:val="center"/>
          </w:tcPr>
          <w:p w14:paraId="7FDBECB8" w14:textId="77777777" w:rsidR="00C36A48" w:rsidRDefault="0054709C">
            <w:pPr>
              <w:spacing w:after="0"/>
            </w:pPr>
            <w:r>
              <w:rPr>
                <w:sz w:val="16"/>
              </w:rPr>
              <w:t>Hydrogen Knowledge Group (2023); Ahn and Lee (2023); Kim (2023)</w:t>
            </w:r>
          </w:p>
        </w:tc>
      </w:tr>
      <w:tr w:rsidR="00C36A48" w14:paraId="1CA7B655" w14:textId="77777777">
        <w:trPr>
          <w:cantSplit/>
          <w:jc w:val="center"/>
        </w:trPr>
        <w:tc>
          <w:tcPr>
            <w:tcW w:w="3168" w:type="dxa"/>
            <w:tcMar>
              <w:top w:w="70" w:type="dxa"/>
              <w:left w:w="90" w:type="dxa"/>
              <w:bottom w:w="70" w:type="dxa"/>
              <w:right w:w="90" w:type="dxa"/>
            </w:tcMar>
            <w:vAlign w:val="center"/>
          </w:tcPr>
          <w:p w14:paraId="55C25772" w14:textId="77777777" w:rsidR="00C36A48" w:rsidRDefault="0054709C">
            <w:pPr>
              <w:spacing w:after="0"/>
            </w:pPr>
            <w:r>
              <w:rPr>
                <w:sz w:val="16"/>
              </w:rPr>
              <w:t>Threat — Central-government commitment remains incomplete</w:t>
            </w:r>
          </w:p>
        </w:tc>
        <w:tc>
          <w:tcPr>
            <w:tcW w:w="7488" w:type="dxa"/>
            <w:tcMar>
              <w:top w:w="70" w:type="dxa"/>
              <w:left w:w="90" w:type="dxa"/>
              <w:bottom w:w="70" w:type="dxa"/>
              <w:right w:w="90" w:type="dxa"/>
            </w:tcMar>
            <w:vAlign w:val="center"/>
          </w:tcPr>
          <w:p w14:paraId="1BA18948" w14:textId="77777777" w:rsidR="00C36A48" w:rsidRDefault="0054709C">
            <w:pPr>
              <w:spacing w:after="0"/>
            </w:pPr>
            <w:r>
              <w:rPr>
                <w:sz w:val="16"/>
              </w:rPr>
              <w:t>Institutional and market tools. National discussion on an international hydrogen exchange has not yet produced a concrete implementation decision, leaving regional strategy dependent on uncertain central-government follow-through.</w:t>
            </w:r>
          </w:p>
        </w:tc>
        <w:tc>
          <w:tcPr>
            <w:tcW w:w="2736" w:type="dxa"/>
            <w:tcMar>
              <w:top w:w="70" w:type="dxa"/>
              <w:left w:w="90" w:type="dxa"/>
              <w:bottom w:w="70" w:type="dxa"/>
              <w:right w:w="90" w:type="dxa"/>
            </w:tcMar>
            <w:vAlign w:val="center"/>
          </w:tcPr>
          <w:p w14:paraId="1F1C52F8" w14:textId="2C9B1A38" w:rsidR="00C36A48" w:rsidRDefault="0054709C">
            <w:pPr>
              <w:spacing w:after="0"/>
            </w:pPr>
            <w:r>
              <w:rPr>
                <w:sz w:val="16"/>
              </w:rPr>
              <w:t>Chae (2022); H</w:t>
            </w:r>
            <w:r w:rsidR="001641F9">
              <w:rPr>
                <w:rFonts w:eastAsia="Malgun Gothic" w:hint="eastAsia"/>
                <w:sz w:val="16"/>
                <w:lang w:eastAsia="ko-KR"/>
              </w:rPr>
              <w:t>2KOREA</w:t>
            </w:r>
            <w:r>
              <w:rPr>
                <w:sz w:val="16"/>
              </w:rPr>
              <w:t xml:space="preserve"> (2022); Joint Ministries (2021b, 2022)</w:t>
            </w:r>
          </w:p>
        </w:tc>
      </w:tr>
      <w:tr w:rsidR="00C36A48" w14:paraId="7EA59695" w14:textId="77777777">
        <w:trPr>
          <w:cantSplit/>
          <w:jc w:val="center"/>
        </w:trPr>
        <w:tc>
          <w:tcPr>
            <w:tcW w:w="3168" w:type="dxa"/>
            <w:tcMar>
              <w:top w:w="70" w:type="dxa"/>
              <w:left w:w="90" w:type="dxa"/>
              <w:bottom w:w="70" w:type="dxa"/>
              <w:right w:w="90" w:type="dxa"/>
            </w:tcMar>
            <w:vAlign w:val="center"/>
          </w:tcPr>
          <w:p w14:paraId="690AA43B" w14:textId="77777777" w:rsidR="00C36A48" w:rsidRDefault="0054709C">
            <w:pPr>
              <w:spacing w:after="0"/>
            </w:pPr>
            <w:r>
              <w:rPr>
                <w:sz w:val="16"/>
              </w:rPr>
              <w:t>Threat — Competing Korean and overseas hub initiatives</w:t>
            </w:r>
          </w:p>
        </w:tc>
        <w:tc>
          <w:tcPr>
            <w:tcW w:w="7488" w:type="dxa"/>
            <w:tcMar>
              <w:top w:w="70" w:type="dxa"/>
              <w:left w:w="90" w:type="dxa"/>
              <w:bottom w:w="70" w:type="dxa"/>
              <w:right w:w="90" w:type="dxa"/>
            </w:tcMar>
            <w:vAlign w:val="center"/>
          </w:tcPr>
          <w:p w14:paraId="584B64F7" w14:textId="77777777" w:rsidR="00C36A48" w:rsidRDefault="0054709C">
            <w:pPr>
              <w:spacing w:after="0"/>
            </w:pPr>
            <w:r>
              <w:rPr>
                <w:sz w:val="16"/>
              </w:rPr>
              <w:t>Development logic; external competition. Other Korean regions and overseas ports are also pursuing hydrogen-trading, bunkering, certification, or platform functions, intensifying first-mover competition.</w:t>
            </w:r>
          </w:p>
        </w:tc>
        <w:tc>
          <w:tcPr>
            <w:tcW w:w="2736" w:type="dxa"/>
            <w:tcMar>
              <w:top w:w="70" w:type="dxa"/>
              <w:left w:w="90" w:type="dxa"/>
              <w:bottom w:w="70" w:type="dxa"/>
              <w:right w:w="90" w:type="dxa"/>
            </w:tcMar>
            <w:vAlign w:val="center"/>
          </w:tcPr>
          <w:p w14:paraId="5F6D4965" w14:textId="77777777" w:rsidR="00C36A48" w:rsidRDefault="0054709C">
            <w:pPr>
              <w:spacing w:after="0"/>
            </w:pPr>
            <w:r>
              <w:rPr>
                <w:sz w:val="16"/>
              </w:rPr>
              <w:t>EEX (2025); H2Global Foundation (2025); HyXchange (2025); Port of Rotterdam (2024); EMA (2022); MPA (2024, 2025)</w:t>
            </w:r>
          </w:p>
        </w:tc>
      </w:tr>
      <w:tr w:rsidR="00C36A48" w14:paraId="06639750" w14:textId="77777777">
        <w:trPr>
          <w:cantSplit/>
          <w:jc w:val="center"/>
        </w:trPr>
        <w:tc>
          <w:tcPr>
            <w:tcW w:w="3168" w:type="dxa"/>
            <w:tcMar>
              <w:top w:w="70" w:type="dxa"/>
              <w:left w:w="90" w:type="dxa"/>
              <w:bottom w:w="70" w:type="dxa"/>
              <w:right w:w="90" w:type="dxa"/>
            </w:tcMar>
            <w:vAlign w:val="center"/>
          </w:tcPr>
          <w:p w14:paraId="318ECBBD" w14:textId="77777777" w:rsidR="00C36A48" w:rsidRDefault="0054709C">
            <w:pPr>
              <w:spacing w:after="0"/>
            </w:pPr>
            <w:r>
              <w:rPr>
                <w:sz w:val="16"/>
              </w:rPr>
              <w:t>Threat — Risk of lagging in benchmark and market-tool development</w:t>
            </w:r>
          </w:p>
        </w:tc>
        <w:tc>
          <w:tcPr>
            <w:tcW w:w="7488" w:type="dxa"/>
            <w:tcMar>
              <w:top w:w="70" w:type="dxa"/>
              <w:left w:w="90" w:type="dxa"/>
              <w:bottom w:w="70" w:type="dxa"/>
              <w:right w:w="90" w:type="dxa"/>
            </w:tcMar>
            <w:vAlign w:val="center"/>
          </w:tcPr>
          <w:p w14:paraId="4E2AE401" w14:textId="77777777" w:rsidR="00C36A48" w:rsidRDefault="0054709C">
            <w:pPr>
              <w:spacing w:after="0"/>
            </w:pPr>
            <w:r>
              <w:rPr>
                <w:sz w:val="16"/>
              </w:rPr>
              <w:t>Institutional and market tools; trajectory. Benchmark indices, market-information tools, and certification-linked trading practices are being developed abroad; delayed domestic institutionalization could leave Korea in a follower position.</w:t>
            </w:r>
          </w:p>
        </w:tc>
        <w:tc>
          <w:tcPr>
            <w:tcW w:w="2736" w:type="dxa"/>
            <w:tcMar>
              <w:top w:w="70" w:type="dxa"/>
              <w:left w:w="90" w:type="dxa"/>
              <w:bottom w:w="70" w:type="dxa"/>
              <w:right w:w="90" w:type="dxa"/>
            </w:tcMar>
            <w:vAlign w:val="center"/>
          </w:tcPr>
          <w:p w14:paraId="5E79EC1A" w14:textId="77777777" w:rsidR="00C36A48" w:rsidRDefault="0054709C">
            <w:pPr>
              <w:spacing w:after="0"/>
            </w:pPr>
            <w:r>
              <w:rPr>
                <w:sz w:val="16"/>
              </w:rPr>
              <w:t>ACER (2024); EEX (2025); HyXchange (2025); Hasan and Fuentes (2025); Steinbach and Bunk (2024)</w:t>
            </w:r>
          </w:p>
        </w:tc>
      </w:tr>
    </w:tbl>
    <w:p w14:paraId="10F9BB3C" w14:textId="77777777" w:rsidR="00C02A51" w:rsidRDefault="00C02A51" w:rsidP="00C02A51">
      <w:pPr>
        <w:spacing w:after="80" w:line="360" w:lineRule="auto"/>
        <w:jc w:val="center"/>
        <w:rPr>
          <w:i/>
          <w:sz w:val="21"/>
        </w:rPr>
      </w:pPr>
      <w:r>
        <w:t>Source: Compiled from the materials cited in Sections 5.2-5.3, H2KOREA (2022), and the reference list.</w:t>
      </w:r>
    </w:p>
    <w:p w14:paraId="35B080D3" w14:textId="2961334C" w:rsidR="00C36A48" w:rsidRDefault="00C36A48" w:rsidP="00C02A51">
      <w:pPr>
        <w:spacing w:after="80"/>
        <w:ind w:firstLineChars="50" w:firstLine="120"/>
      </w:pPr>
    </w:p>
    <w:sectPr w:rsidR="00C36A48" w:rsidSect="00034616">
      <w:pgSz w:w="15840" w:h="12240" w:orient="landscape"/>
      <w:pgMar w:top="1296" w:right="1080" w:bottom="129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A6A6E" w14:textId="77777777" w:rsidR="00B634E0" w:rsidRDefault="00B634E0" w:rsidP="00066391">
      <w:pPr>
        <w:spacing w:after="0" w:line="240" w:lineRule="auto"/>
      </w:pPr>
      <w:r>
        <w:separator/>
      </w:r>
    </w:p>
  </w:endnote>
  <w:endnote w:type="continuationSeparator" w:id="0">
    <w:p w14:paraId="4CC51702" w14:textId="77777777" w:rsidR="00B634E0" w:rsidRDefault="00B634E0" w:rsidP="00066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F92C0" w14:textId="77777777" w:rsidR="00B634E0" w:rsidRDefault="00B634E0" w:rsidP="00066391">
      <w:pPr>
        <w:spacing w:after="0" w:line="240" w:lineRule="auto"/>
      </w:pPr>
      <w:r>
        <w:separator/>
      </w:r>
    </w:p>
  </w:footnote>
  <w:footnote w:type="continuationSeparator" w:id="0">
    <w:p w14:paraId="4A3E7D59" w14:textId="77777777" w:rsidR="00B634E0" w:rsidRDefault="00B634E0" w:rsidP="000663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tDAwsjABYlMDE0szMyUdpeDU4uLM/DyQAuNaAJ0FO8YsAAAA"/>
  </w:docVars>
  <w:rsids>
    <w:rsidRoot w:val="00B47730"/>
    <w:rsid w:val="00034616"/>
    <w:rsid w:val="0006063C"/>
    <w:rsid w:val="00066391"/>
    <w:rsid w:val="00142CA2"/>
    <w:rsid w:val="0015074B"/>
    <w:rsid w:val="001641F9"/>
    <w:rsid w:val="001E59F7"/>
    <w:rsid w:val="00201FA0"/>
    <w:rsid w:val="0029639D"/>
    <w:rsid w:val="00326F90"/>
    <w:rsid w:val="00490878"/>
    <w:rsid w:val="00530275"/>
    <w:rsid w:val="00531604"/>
    <w:rsid w:val="0054709C"/>
    <w:rsid w:val="006A0F79"/>
    <w:rsid w:val="006A4DB6"/>
    <w:rsid w:val="00726419"/>
    <w:rsid w:val="0074005B"/>
    <w:rsid w:val="0077254B"/>
    <w:rsid w:val="007E5275"/>
    <w:rsid w:val="00820379"/>
    <w:rsid w:val="009B6C7F"/>
    <w:rsid w:val="00A31D41"/>
    <w:rsid w:val="00AA1D8D"/>
    <w:rsid w:val="00B35AB1"/>
    <w:rsid w:val="00B47730"/>
    <w:rsid w:val="00B634E0"/>
    <w:rsid w:val="00B710E5"/>
    <w:rsid w:val="00C02A51"/>
    <w:rsid w:val="00C112AB"/>
    <w:rsid w:val="00C36A48"/>
    <w:rsid w:val="00C65379"/>
    <w:rsid w:val="00C869B5"/>
    <w:rsid w:val="00CB0664"/>
    <w:rsid w:val="00D351F3"/>
    <w:rsid w:val="00D7390D"/>
    <w:rsid w:val="00D969B4"/>
    <w:rsid w:val="00E331F3"/>
    <w:rsid w:val="00EC1B48"/>
    <w:rsid w:val="00F035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9D47941"/>
  <w14:defaultImageDpi w14:val="300"/>
  <w15:docId w15:val="{93B90507-0420-440A-AFC0-B8AADA09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0A3AC-715E-4451-9227-424567764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837</Words>
  <Characters>4774</Characters>
  <Application>Microsoft Office Word</Application>
  <DocSecurity>0</DocSecurity>
  <Lines>39</Lines>
  <Paragraphs>11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Manager/>
  <Company/>
  <LinksUpToDate>false</LinksUpToDate>
  <CharactersWithSpaces>5600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Eswari S.</cp:lastModifiedBy>
  <cp:revision>3</cp:revision>
  <dcterms:created xsi:type="dcterms:W3CDTF">2026-05-15T11:24:00Z</dcterms:created>
  <dcterms:modified xsi:type="dcterms:W3CDTF">2026-05-15T11:50:00Z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f1ada1c0-284c-4913-a1de-b348dec0c6bc</vt:lpwstr>
  </property>
</Properties>
</file>