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E7D54" w14:textId="77777777" w:rsidR="008D18F7"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Supplementary file 1. </w:t>
      </w:r>
      <w:r>
        <w:rPr>
          <w:rFonts w:ascii="Times New Roman" w:eastAsia="Times New Roman" w:hAnsi="Times New Roman" w:cs="Times New Roman"/>
          <w:sz w:val="20"/>
          <w:szCs w:val="20"/>
        </w:rPr>
        <w:t>Extended sub-sample of selected papers.</w:t>
      </w:r>
    </w:p>
    <w:tbl>
      <w:tblPr>
        <w:tblStyle w:val="a2"/>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1590"/>
        <w:gridCol w:w="705"/>
        <w:gridCol w:w="1230"/>
        <w:gridCol w:w="1815"/>
        <w:gridCol w:w="1815"/>
        <w:gridCol w:w="4035"/>
        <w:gridCol w:w="1335"/>
        <w:gridCol w:w="1860"/>
      </w:tblGrid>
      <w:tr w:rsidR="008D18F7" w14:paraId="0804E8F9" w14:textId="77777777">
        <w:trPr>
          <w:trHeight w:val="7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EAC1FA"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207215"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Author(s)</w:t>
            </w:r>
          </w:p>
          <w:p w14:paraId="51C5566F" w14:textId="77777777" w:rsidR="008D18F7" w:rsidRDefault="00000000">
            <w:pPr>
              <w:spacing w:before="120" w:after="120"/>
              <w:jc w:val="center"/>
              <w:rPr>
                <w:rFonts w:ascii="Times New Roman" w:eastAsia="Times New Roman" w:hAnsi="Times New Roman" w:cs="Times New Roman"/>
                <w:b/>
                <w:i/>
                <w:color w:val="000000"/>
              </w:rPr>
            </w:pPr>
            <w:r>
              <w:rPr>
                <w:rFonts w:ascii="Times New Roman" w:eastAsia="Times New Roman" w:hAnsi="Times New Roman" w:cs="Times New Roman"/>
                <w:b/>
                <w:i/>
                <w:color w:val="000000"/>
              </w:rPr>
              <w:t>a)</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91D31E"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Year</w:t>
            </w:r>
          </w:p>
          <w:p w14:paraId="675CE3DD"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b)</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19E7770"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Type of paper</w:t>
            </w:r>
          </w:p>
          <w:p w14:paraId="675901F1"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c)</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AC56F0"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Data collection</w:t>
            </w:r>
          </w:p>
          <w:p w14:paraId="5A900D9A"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d)</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66B3AC"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Data analysis</w:t>
            </w:r>
          </w:p>
          <w:p w14:paraId="7607A872"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e)</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D60AE3" w14:textId="77777777" w:rsidR="008D18F7"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Main results</w:t>
            </w:r>
          </w:p>
          <w:p w14:paraId="146C687B" w14:textId="77777777" w:rsidR="008D18F7" w:rsidRDefault="00000000">
            <w:pPr>
              <w:spacing w:before="120" w:after="120"/>
              <w:jc w:val="center"/>
              <w:rPr>
                <w:rFonts w:ascii="Times New Roman" w:eastAsia="Times New Roman" w:hAnsi="Times New Roman" w:cs="Times New Roman"/>
                <w:b/>
                <w:i/>
                <w:color w:val="000000"/>
              </w:rPr>
            </w:pPr>
            <w:r>
              <w:rPr>
                <w:rFonts w:ascii="Times New Roman" w:eastAsia="Times New Roman" w:hAnsi="Times New Roman" w:cs="Times New Roman"/>
                <w:b/>
                <w:i/>
              </w:rPr>
              <w:t>f)</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F0EB23"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Scientific paradigm</w:t>
            </w:r>
          </w:p>
          <w:p w14:paraId="3E7956E3"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g)</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070CA5"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Code(s)</w:t>
            </w:r>
          </w:p>
          <w:p w14:paraId="397CE90A" w14:textId="77777777" w:rsidR="008D18F7" w:rsidRDefault="00000000">
            <w:pPr>
              <w:spacing w:before="120" w:after="120"/>
              <w:jc w:val="center"/>
              <w:rPr>
                <w:rFonts w:ascii="Times New Roman" w:eastAsia="Times New Roman" w:hAnsi="Times New Roman" w:cs="Times New Roman"/>
                <w:b/>
                <w:color w:val="000000"/>
              </w:rPr>
            </w:pPr>
            <w:r>
              <w:rPr>
                <w:rFonts w:ascii="Times New Roman" w:eastAsia="Times New Roman" w:hAnsi="Times New Roman" w:cs="Times New Roman"/>
                <w:b/>
                <w:i/>
                <w:color w:val="000000"/>
              </w:rPr>
              <w:t>h)</w:t>
            </w:r>
          </w:p>
        </w:tc>
      </w:tr>
      <w:tr w:rsidR="008D18F7" w14:paraId="0F1C5D30"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6A3EB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F5F84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Tyzack, J.E.V.</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41D1C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1967</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194B9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97564D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ABC5BC"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CD878E"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 this article the author finds that directors’ personal characteristics (e.g., demographic ones) are likely to alter the way in which they make strategic decisions within the organizations.</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D6064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BC051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Models of decision making</w:t>
            </w:r>
          </w:p>
        </w:tc>
      </w:tr>
      <w:tr w:rsidR="008D18F7" w14:paraId="4C84F7F4"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E2FAA77"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15AB81A2"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Mueller, R.</w:t>
            </w:r>
          </w:p>
        </w:tc>
        <w:tc>
          <w:tcPr>
            <w:tcW w:w="70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6F98D4A1"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1968</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52207D8"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593BDEA"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FE988A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D2D70C7"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author addresses the gap between management scientists and executives, advocating for mutual understanding and practical solutions. He stresses integrating management and behavioral sciences while cautioning against overreliance on management science alone.</w:t>
            </w:r>
          </w:p>
        </w:tc>
        <w:tc>
          <w:tcPr>
            <w:tcW w:w="13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34C358B"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DAEF8A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 Intuition; Risk taking attitude</w:t>
            </w:r>
          </w:p>
        </w:tc>
      </w:tr>
      <w:tr w:rsidR="008D18F7" w14:paraId="16E32921"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291FB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B25B5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Hertz, D.</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65EFD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1972</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AFEF63"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7F9DB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D1DC1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F4D55E" w14:textId="77777777" w:rsidR="008D18F7" w:rsidRDefault="00000000">
            <w:pPr>
              <w:spacing w:after="0" w:line="240" w:lineRule="auto"/>
              <w:jc w:val="both"/>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color w:val="000000"/>
                <w:sz w:val="20"/>
                <w:szCs w:val="20"/>
              </w:rPr>
              <w:t xml:space="preserve">In this paper, </w:t>
            </w:r>
            <w:r>
              <w:rPr>
                <w:rFonts w:ascii="Times New Roman" w:eastAsia="Times New Roman" w:hAnsi="Times New Roman" w:cs="Times New Roman"/>
                <w:sz w:val="20"/>
                <w:szCs w:val="20"/>
              </w:rPr>
              <w:t>the author</w:t>
            </w:r>
            <w:r>
              <w:rPr>
                <w:rFonts w:ascii="Times New Roman" w:eastAsia="Times New Roman" w:hAnsi="Times New Roman" w:cs="Times New Roman"/>
                <w:color w:val="000000"/>
                <w:sz w:val="20"/>
                <w:szCs w:val="20"/>
              </w:rPr>
              <w:t xml:space="preserve"> discusses how good information fed into the corporate decision‐making system ends up in low quality decisions (i.e. good information in, garbage out). In conclusion, executives have not the right methods yet to systematically choose better among alternatives available.</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0AA326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5D005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Models of decision making</w:t>
            </w:r>
          </w:p>
        </w:tc>
      </w:tr>
      <w:tr w:rsidR="008D18F7" w14:paraId="33ACEEDC"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3ADA5E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90" w:type="dxa"/>
            <w:tcBorders>
              <w:top w:val="single" w:sz="6" w:space="0" w:color="000000"/>
              <w:left w:val="single" w:sz="6" w:space="0" w:color="000000"/>
              <w:bottom w:val="single" w:sz="6" w:space="0" w:color="000000"/>
              <w:right w:val="single" w:sz="6" w:space="0" w:color="000000"/>
            </w:tcBorders>
            <w:shd w:val="clear" w:color="auto" w:fill="FFFF00"/>
            <w:tcMar>
              <w:top w:w="0" w:type="dxa"/>
              <w:left w:w="40" w:type="dxa"/>
              <w:bottom w:w="0" w:type="dxa"/>
              <w:right w:w="40" w:type="dxa"/>
            </w:tcMar>
            <w:vAlign w:val="center"/>
          </w:tcPr>
          <w:p w14:paraId="57C1D991"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Gabor, P.</w:t>
            </w:r>
          </w:p>
        </w:tc>
        <w:tc>
          <w:tcPr>
            <w:tcW w:w="705" w:type="dxa"/>
            <w:tcBorders>
              <w:top w:val="single" w:sz="6" w:space="0" w:color="000000"/>
              <w:left w:val="single" w:sz="6" w:space="0" w:color="CCCCCC"/>
              <w:bottom w:val="single" w:sz="6" w:space="0" w:color="000000"/>
              <w:right w:val="single" w:sz="6" w:space="0" w:color="000000"/>
            </w:tcBorders>
            <w:shd w:val="clear" w:color="auto" w:fill="FFFF00"/>
            <w:tcMar>
              <w:top w:w="0" w:type="dxa"/>
              <w:left w:w="40" w:type="dxa"/>
              <w:bottom w:w="0" w:type="dxa"/>
              <w:right w:w="40" w:type="dxa"/>
            </w:tcMar>
            <w:vAlign w:val="center"/>
          </w:tcPr>
          <w:p w14:paraId="42C4834A"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1976</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7ED922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00C23E7"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CCA30E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3C3F665"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author emphasizes the importance of verifiability in decision-making within management theory, advocating for decisions based on measurable facts and systematic processes. He critiques the misapplication of logical positivism, highlighting conflicts between theoretical flexibility and practical inflexibility. Additionally, he stresses the integration of both fact and value in decision-making processes, urging decision-makers to recognize non-pragmatic motives.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FD07C0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C32CB4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w:t>
            </w:r>
          </w:p>
        </w:tc>
      </w:tr>
      <w:tr w:rsidR="008D18F7" w14:paraId="5EAE8334"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542AC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F9679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Borwick, I.</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06C84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1978</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3EBBF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BCC61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0873B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4CFE83"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author studied interaction strategies influencing organizational performance. In particular, he identified five types of interaction </w:t>
            </w:r>
            <w:r>
              <w:rPr>
                <w:rFonts w:ascii="Times New Roman" w:eastAsia="Times New Roman" w:hAnsi="Times New Roman" w:cs="Times New Roman"/>
                <w:color w:val="000000"/>
                <w:sz w:val="20"/>
                <w:szCs w:val="20"/>
              </w:rPr>
              <w:lastRenderedPageBreak/>
              <w:t>strategies (acquiescence, defensive, compromise, conflict, problem-solving).</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CCD42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F4214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Models of decision making</w:t>
            </w:r>
          </w:p>
        </w:tc>
      </w:tr>
      <w:tr w:rsidR="008D18F7" w14:paraId="53021B3B"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7EC58D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590" w:type="dxa"/>
            <w:tcBorders>
              <w:top w:val="single" w:sz="6" w:space="0" w:color="000000"/>
              <w:left w:val="single" w:sz="6" w:space="0" w:color="000000"/>
              <w:bottom w:val="single" w:sz="6" w:space="0" w:color="000000"/>
              <w:right w:val="single" w:sz="6" w:space="0" w:color="000000"/>
            </w:tcBorders>
            <w:shd w:val="clear" w:color="auto" w:fill="FFFF00"/>
            <w:tcMar>
              <w:top w:w="0" w:type="dxa"/>
              <w:left w:w="40" w:type="dxa"/>
              <w:bottom w:w="0" w:type="dxa"/>
              <w:right w:w="40" w:type="dxa"/>
            </w:tcMar>
            <w:vAlign w:val="center"/>
          </w:tcPr>
          <w:p w14:paraId="711A1848"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Rice, G.H.</w:t>
            </w:r>
          </w:p>
        </w:tc>
        <w:tc>
          <w:tcPr>
            <w:tcW w:w="705" w:type="dxa"/>
            <w:tcBorders>
              <w:top w:val="single" w:sz="6" w:space="0" w:color="000000"/>
              <w:left w:val="single" w:sz="6" w:space="0" w:color="CCCCCC"/>
              <w:bottom w:val="single" w:sz="6" w:space="0" w:color="000000"/>
              <w:right w:val="single" w:sz="6" w:space="0" w:color="000000"/>
            </w:tcBorders>
            <w:shd w:val="clear" w:color="auto" w:fill="FFFF00"/>
            <w:tcMar>
              <w:top w:w="0" w:type="dxa"/>
              <w:left w:w="40" w:type="dxa"/>
              <w:bottom w:w="0" w:type="dxa"/>
              <w:right w:w="40" w:type="dxa"/>
            </w:tcMar>
            <w:vAlign w:val="center"/>
          </w:tcPr>
          <w:p w14:paraId="112287FB"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1980</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4C76B8B"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17598A7"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76DFA8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13138A2"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author examines managerial decision-making, emphasizing its complexity and the interplay between theory and practice. He critiques the rational model, discusses decision-making theories, and outlines the process. Overall, he highlights the multifaceted nature of managerial decision-making and the need for effective navigation of diverse scenarios by managers.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285650AE"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1261F509"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w:t>
            </w:r>
          </w:p>
        </w:tc>
      </w:tr>
      <w:tr w:rsidR="008D18F7" w14:paraId="2156207D"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2DB92C8"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590" w:type="dxa"/>
            <w:tcBorders>
              <w:top w:val="single" w:sz="6" w:space="0" w:color="000000"/>
              <w:left w:val="single" w:sz="6" w:space="0" w:color="000000"/>
              <w:bottom w:val="single" w:sz="6" w:space="0" w:color="000000"/>
              <w:right w:val="single" w:sz="6" w:space="0" w:color="000000"/>
            </w:tcBorders>
            <w:shd w:val="clear" w:color="auto" w:fill="FFFF00"/>
            <w:tcMar>
              <w:top w:w="0" w:type="dxa"/>
              <w:left w:w="40" w:type="dxa"/>
              <w:bottom w:w="0" w:type="dxa"/>
              <w:right w:w="40" w:type="dxa"/>
            </w:tcMar>
            <w:vAlign w:val="center"/>
          </w:tcPr>
          <w:p w14:paraId="0C9ACF29"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Parker, L.D.</w:t>
            </w:r>
          </w:p>
        </w:tc>
        <w:tc>
          <w:tcPr>
            <w:tcW w:w="705" w:type="dxa"/>
            <w:tcBorders>
              <w:top w:val="single" w:sz="6" w:space="0" w:color="000000"/>
              <w:left w:val="single" w:sz="6" w:space="0" w:color="CCCCCC"/>
              <w:bottom w:val="single" w:sz="6" w:space="0" w:color="000000"/>
              <w:right w:val="single" w:sz="6" w:space="0" w:color="000000"/>
            </w:tcBorders>
            <w:shd w:val="clear" w:color="auto" w:fill="FFFF00"/>
            <w:tcMar>
              <w:top w:w="0" w:type="dxa"/>
              <w:left w:w="40" w:type="dxa"/>
              <w:bottom w:w="0" w:type="dxa"/>
              <w:right w:w="40" w:type="dxa"/>
            </w:tcMar>
            <w:vAlign w:val="center"/>
          </w:tcPr>
          <w:p w14:paraId="2A0A1CD5"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1980</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100CF0D"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713FDFC"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503ABB3"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8DED550"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author examines group decision-making in business, emphasizing the impact of personal values, communication structures, and leadership styles. He stresses the need for tailored processes to enhance effectiveness, considering both situational and psychological factors.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67AA0506"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008FA268"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Beliefs/personal values</w:t>
            </w:r>
          </w:p>
        </w:tc>
      </w:tr>
      <w:tr w:rsidR="008D18F7" w14:paraId="3E1323BD"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0291170"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590" w:type="dxa"/>
            <w:tcBorders>
              <w:top w:val="single" w:sz="6" w:space="0" w:color="000000"/>
              <w:left w:val="single" w:sz="6" w:space="0" w:color="000000"/>
              <w:bottom w:val="single" w:sz="6" w:space="0" w:color="000000"/>
              <w:right w:val="single" w:sz="6" w:space="0" w:color="000000"/>
            </w:tcBorders>
            <w:shd w:val="clear" w:color="auto" w:fill="FFFF00"/>
            <w:tcMar>
              <w:top w:w="0" w:type="dxa"/>
              <w:left w:w="40" w:type="dxa"/>
              <w:bottom w:w="0" w:type="dxa"/>
              <w:right w:w="40" w:type="dxa"/>
            </w:tcMar>
            <w:vAlign w:val="center"/>
          </w:tcPr>
          <w:p w14:paraId="428EB33E"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Thomas, H., and Schwenk, C.R.</w:t>
            </w:r>
          </w:p>
        </w:tc>
        <w:tc>
          <w:tcPr>
            <w:tcW w:w="705" w:type="dxa"/>
            <w:tcBorders>
              <w:top w:val="single" w:sz="6" w:space="0" w:color="000000"/>
              <w:left w:val="single" w:sz="6" w:space="0" w:color="CCCCCC"/>
              <w:bottom w:val="single" w:sz="6" w:space="0" w:color="000000"/>
              <w:right w:val="single" w:sz="6" w:space="0" w:color="000000"/>
            </w:tcBorders>
            <w:shd w:val="clear" w:color="auto" w:fill="FFFF00"/>
            <w:tcMar>
              <w:top w:w="0" w:type="dxa"/>
              <w:left w:w="40" w:type="dxa"/>
              <w:bottom w:w="0" w:type="dxa"/>
              <w:right w:w="40" w:type="dxa"/>
            </w:tcMar>
            <w:vAlign w:val="center"/>
          </w:tcPr>
          <w:p w14:paraId="777F2089"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1984</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310117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A7BF40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04C8D0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3CBF8AD"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Authors study decision analysis in strategic decision-making, refuting common criticisms and highlighting its value. They highlight decision analysis as a tool for structuring strategic problems, promoting interactive planning, and aiding in formulating strategies for complex issues. Overall, they suggest decision analysis can aid strategic decision-making by providing a structured approach to complex problems and facilitating informed decisions.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130FCD3C"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6041241C"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 Traps</w:t>
            </w:r>
          </w:p>
        </w:tc>
      </w:tr>
      <w:tr w:rsidR="008D18F7" w14:paraId="71C4EBE3"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4EE65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E7B243"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Mageean, P.V.</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AE643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1984</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44794C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248237"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A48107"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F6A590" w14:textId="77777777" w:rsidR="008D18F7" w:rsidRDefault="00000000">
            <w:pPr>
              <w:spacing w:after="0" w:line="240" w:lineRule="auto"/>
              <w:jc w:val="both"/>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color w:val="000000"/>
                <w:sz w:val="20"/>
                <w:szCs w:val="20"/>
              </w:rPr>
              <w:t xml:space="preserve">The author critically assesses the changes in the role of planning function </w:t>
            </w:r>
            <w:r>
              <w:rPr>
                <w:rFonts w:ascii="Times New Roman" w:eastAsia="Times New Roman" w:hAnsi="Times New Roman" w:cs="Times New Roman"/>
                <w:sz w:val="20"/>
                <w:szCs w:val="20"/>
              </w:rPr>
              <w:t>within the strategic</w:t>
            </w:r>
            <w:r>
              <w:rPr>
                <w:rFonts w:ascii="Times New Roman" w:eastAsia="Times New Roman" w:hAnsi="Times New Roman" w:cs="Times New Roman"/>
                <w:color w:val="000000"/>
                <w:sz w:val="20"/>
                <w:szCs w:val="20"/>
              </w:rPr>
              <w:t xml:space="preserve"> management framework, together with the decline in the use of planning techniques. </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3A4BB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578AE5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Models of decision making</w:t>
            </w:r>
          </w:p>
        </w:tc>
      </w:tr>
      <w:tr w:rsidR="008D18F7" w14:paraId="4441D8C4"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A9A4AB8"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7C313401"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Ralston, B.</w:t>
            </w:r>
          </w:p>
        </w:tc>
        <w:tc>
          <w:tcPr>
            <w:tcW w:w="705"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06A50F4A"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1985</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548465B"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Pluralist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0BFB493"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57F48FE"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F1FE6BA" w14:textId="77777777" w:rsidR="008D18F7"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author discusses group participative decision making as a collaborative management style. He emphasizes the need for balanced individual traits, group dynamics, and organizational context for effective implementation. Key factors include integrated personality, balanced behavior, and theoretical knowledge at the individual level, alongside </w:t>
            </w:r>
            <w:r>
              <w:rPr>
                <w:rFonts w:ascii="Times New Roman" w:eastAsia="Times New Roman" w:hAnsi="Times New Roman" w:cs="Times New Roman"/>
                <w:sz w:val="20"/>
                <w:szCs w:val="20"/>
              </w:rPr>
              <w:lastRenderedPageBreak/>
              <w:t>group cohesiveness, maturity, norms, roles, and communication.</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15E35F17"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Pluralist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4EC3AFF3"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Task-oriented; People-oriented; Intuition and systematic processing interplay</w:t>
            </w:r>
          </w:p>
        </w:tc>
      </w:tr>
      <w:tr w:rsidR="008D18F7" w14:paraId="685BF68D"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25A8B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11</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8C6B30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Barrett, T.</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CEC3A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1986</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34824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77E3B8"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67ED9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11F141"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authors discuss the role of the </w:t>
            </w:r>
            <w:r>
              <w:rPr>
                <w:rFonts w:ascii="Times New Roman" w:eastAsia="Times New Roman" w:hAnsi="Times New Roman" w:cs="Times New Roman"/>
                <w:sz w:val="20"/>
                <w:szCs w:val="20"/>
              </w:rPr>
              <w:t>organizational</w:t>
            </w:r>
            <w:r>
              <w:rPr>
                <w:rFonts w:ascii="Times New Roman" w:eastAsia="Times New Roman" w:hAnsi="Times New Roman" w:cs="Times New Roman"/>
                <w:color w:val="000000"/>
                <w:sz w:val="20"/>
                <w:szCs w:val="20"/>
              </w:rPr>
              <w:t xml:space="preserve"> structure and the power of its individual executives in perceiving a market change and related reaction. It is highlighted that  market signals are often ignored, particularly when those signals might upset the balance of power and influence.</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60FDB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F22AAC"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Models of decision making</w:t>
            </w:r>
          </w:p>
        </w:tc>
      </w:tr>
      <w:tr w:rsidR="008D18F7" w14:paraId="7097C789"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0E78E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12</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41358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Davidson, M.J., and Cooper, C.L.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1AF15F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1987</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EA9F1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7E6009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B13C0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59BC73"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Authors report that women managers cope with greater pressures than men managers and, if employers address this, both women and men managers could work more effectively.</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9F800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FFC79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w:t>
            </w:r>
          </w:p>
        </w:tc>
      </w:tr>
      <w:tr w:rsidR="008D18F7" w14:paraId="0281B44A"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CEC616"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5C920272"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Harrison, E.F.</w:t>
            </w:r>
          </w:p>
        </w:tc>
        <w:tc>
          <w:tcPr>
            <w:tcW w:w="705"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6874C20D"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1993</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245697A"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BEC57B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4EE04FC"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A421AE7"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article examines four models of managerial decision-making. The rational model relies on quantitative analysis but struggles with uncertainty. The organizational model combines behavioral and quantitative approaches but may lack adaptability. The political model prioritizes stakeholder acceptability but may not align with corporate goals. The process model emphasizes adaptability and forward planning, making it ideal for navigating uncertainty in decision-making. Overall, the process model emerges as particularly effective for addressing complex decision scenarios in modern organizations.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650EE436"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0755D2B9"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w:t>
            </w:r>
          </w:p>
        </w:tc>
      </w:tr>
      <w:tr w:rsidR="008D18F7" w14:paraId="6EC967F6"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EE2D62"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590" w:type="dxa"/>
            <w:tcBorders>
              <w:top w:val="single" w:sz="8" w:space="0" w:color="CCCCCC"/>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004FF2C8"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Feurer, R., and Chaharbaghi, K.</w:t>
            </w:r>
          </w:p>
        </w:tc>
        <w:tc>
          <w:tcPr>
            <w:tcW w:w="705" w:type="dxa"/>
            <w:tcBorders>
              <w:top w:val="single" w:sz="8" w:space="0" w:color="CCCCCC"/>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16219589"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1995</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172691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D3546D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FEA67DD"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E9F5C02"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Authors affirm that a dynamic approach is important to address the need for adapting to changing conditions through creativity, innovation, and commitment. In this regard, collaboration and open communication are essential throughout the organization. Thus, authors call for strategy research to align with evolving user needs and real business demands rather than relying on predefined hypotheses.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62998095"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Contextualist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35E6B563"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Models of decision making</w:t>
            </w:r>
          </w:p>
        </w:tc>
      </w:tr>
      <w:tr w:rsidR="008D18F7" w14:paraId="76615582"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A62FC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590" w:type="dxa"/>
            <w:tcBorders>
              <w:top w:val="single" w:sz="8" w:space="0" w:color="CCCCCC"/>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65836584"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Gallén, T.</w:t>
            </w:r>
          </w:p>
        </w:tc>
        <w:tc>
          <w:tcPr>
            <w:tcW w:w="705" w:type="dxa"/>
            <w:tcBorders>
              <w:top w:val="single" w:sz="8" w:space="0" w:color="CCCCCC"/>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7CDA67B2"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1997</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1C90356"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791D4D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09EBA02"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452B545"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article explores how managers’ cognitive style influences their strategic decisions, proposing a model linking cognitive styles to strategic types. Additionally, the article suggests empirical testing of the model to gain </w:t>
            </w:r>
            <w:r>
              <w:rPr>
                <w:rFonts w:ascii="Times New Roman" w:eastAsia="Times New Roman" w:hAnsi="Times New Roman" w:cs="Times New Roman"/>
                <w:sz w:val="20"/>
                <w:szCs w:val="20"/>
              </w:rPr>
              <w:lastRenderedPageBreak/>
              <w:t>insights into managerial decision-making behavior.</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0400EA0B"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Reductionist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321F5089"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Sensing-type; Feeling-type; Models of decision making</w:t>
            </w:r>
          </w:p>
        </w:tc>
      </w:tr>
      <w:tr w:rsidR="008D18F7" w14:paraId="0460FCA1"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1A4FD8"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590" w:type="dxa"/>
            <w:tcBorders>
              <w:top w:val="single" w:sz="8" w:space="0" w:color="CCCCCC"/>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7F75CF6E"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Bennett, R.H.</w:t>
            </w:r>
          </w:p>
        </w:tc>
        <w:tc>
          <w:tcPr>
            <w:tcW w:w="705" w:type="dxa"/>
            <w:tcBorders>
              <w:top w:val="single" w:sz="8" w:space="0" w:color="CCCCCC"/>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65A3B77A"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1998</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4C2C1B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E8EC07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57A11B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706385A"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author underscores the importance of trusting intuition, particularly in group scenarios like top management teams. Indeed, he highlights the value of experienced individuals with tacit knowledge, urging younger workers to learn from them. Furthermore, he suggests scholars to explore methods for stimulating and utilizing both types of knowledge, aiming to improve management decisions in the future.</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54ACA83D"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7EBF1A4D"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Intuition</w:t>
            </w:r>
          </w:p>
        </w:tc>
      </w:tr>
      <w:tr w:rsidR="008D18F7" w14:paraId="27A612F6"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C85B5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17</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64206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Appelbaum, S.H., Gandell, J., Yortis, H., Proper, S., and Jobin, F.</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3C9B9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29A6E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F5BF58" w14:textId="77777777" w:rsidR="008D18F7"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BA665D"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F5DDFF"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 this </w:t>
            </w:r>
            <w:r>
              <w:rPr>
                <w:rFonts w:ascii="Times New Roman" w:eastAsia="Times New Roman" w:hAnsi="Times New Roman" w:cs="Times New Roman"/>
                <w:sz w:val="20"/>
                <w:szCs w:val="20"/>
              </w:rPr>
              <w:t>paper it has</w:t>
            </w:r>
            <w:r>
              <w:rPr>
                <w:rFonts w:ascii="Times New Roman" w:eastAsia="Times New Roman" w:hAnsi="Times New Roman" w:cs="Times New Roman"/>
                <w:color w:val="000000"/>
                <w:sz w:val="20"/>
                <w:szCs w:val="20"/>
              </w:rPr>
              <w:t xml:space="preserve"> been disclosed that organizational factors such as communications, corporate culture, change, and stress have a major role in influencing pre‐merger, during the merger and post‐merger stages.</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523BC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CD223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Memory</w:t>
            </w:r>
          </w:p>
        </w:tc>
      </w:tr>
      <w:tr w:rsidR="008D18F7" w14:paraId="34EAE78E"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323AB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18</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024B2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Torpman, J.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0AE3F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2004</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D9A80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Conceptual</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0EACF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0D6216"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78A9F4"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 shows how organizational and personal identities may cause decision-making issues. In particular, when individuals are encouraged to act as organizational members identifying with the organization, it should be expected an overlap between individual and organizational identities.</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1CC5D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FDDA40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Beliefs/personal values</w:t>
            </w:r>
          </w:p>
        </w:tc>
      </w:tr>
      <w:tr w:rsidR="008D18F7" w14:paraId="766814FA"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C1F6D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color w:val="000000"/>
                <w:sz w:val="20"/>
                <w:szCs w:val="20"/>
              </w:rPr>
              <w:t>9</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27A88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Bolaños, R., Fontela, E., Nenclares, A., and Pastor, P.</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78A6F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2005</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A9675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qualitative</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EE046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Simulation with a not specified sample of students</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2C3CD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Interpretive structural </w:t>
            </w:r>
            <w:r>
              <w:rPr>
                <w:rFonts w:ascii="Times New Roman" w:eastAsia="Times New Roman" w:hAnsi="Times New Roman" w:cs="Times New Roman"/>
                <w:sz w:val="20"/>
                <w:szCs w:val="20"/>
              </w:rPr>
              <w:t>modeling</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27A269"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authors have found major differences in priority orderings of the different managerial roles which will </w:t>
            </w:r>
            <w:r>
              <w:rPr>
                <w:rFonts w:ascii="Times New Roman" w:eastAsia="Times New Roman" w:hAnsi="Times New Roman" w:cs="Times New Roman"/>
                <w:sz w:val="20"/>
                <w:szCs w:val="20"/>
              </w:rPr>
              <w:t>make it more</w:t>
            </w:r>
            <w:r>
              <w:rPr>
                <w:rFonts w:ascii="Times New Roman" w:eastAsia="Times New Roman" w:hAnsi="Times New Roman" w:cs="Times New Roman"/>
                <w:color w:val="000000"/>
                <w:sz w:val="20"/>
                <w:szCs w:val="20"/>
              </w:rPr>
              <w:t xml:space="preserve"> difficult to take a decision within organizations.</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8E4B7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Pluralist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F3073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Reference points</w:t>
            </w:r>
          </w:p>
        </w:tc>
      </w:tr>
      <w:tr w:rsidR="008D18F7" w14:paraId="47C37658"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F9B8C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0</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326AC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Panagiotou, G.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3849B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2005</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71968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A87BB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Semi-structured interviews</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9F81B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Regression analysis (MANOVA)</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40EA2E"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This paper provides better insight into competitive dynamics by developing a cognitive dimension fuelled by primary data.</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64BB3C"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6F9C1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Beliefs/personal values</w:t>
            </w:r>
          </w:p>
        </w:tc>
      </w:tr>
      <w:tr w:rsidR="008D18F7" w14:paraId="0564EE6A"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9FE7F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1</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92819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Selart, M., Johansen, S. T., Holmesland, T., and Grønhaug, K.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83352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2008</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9C1B0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C691F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Questionnaire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DAC58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Regression analysis (ANOVA)</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D91A79"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Authors found that information technology evaluations are improved by a decision style combining intuitive and analytical capabilities.</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1D9579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03231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Intuition and systematic processing interplay</w:t>
            </w:r>
          </w:p>
        </w:tc>
      </w:tr>
      <w:tr w:rsidR="008D18F7" w14:paraId="68910BDC"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1B049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2</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8B010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Goll, I., Johnson, N.B., and Rasheed, A. A.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B30E9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2008</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425373"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8831E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Longitudinal study</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EF3D9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Regression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19A4A3"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Authors found that, with deregulation, there were significant management demographics‐business strategy relationships and business strategy‐firm performance relationships.</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CDED9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1F79D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Age; Education; Tenure; Heterogeneity</w:t>
            </w:r>
          </w:p>
        </w:tc>
      </w:tr>
      <w:tr w:rsidR="008D18F7" w14:paraId="59ADC683"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80D4F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2</w:t>
            </w:r>
            <w:r>
              <w:rPr>
                <w:rFonts w:ascii="Times New Roman" w:eastAsia="Times New Roman" w:hAnsi="Times New Roman" w:cs="Times New Roman"/>
                <w:color w:val="000000"/>
                <w:sz w:val="20"/>
                <w:szCs w:val="20"/>
              </w:rPr>
              <w:t>3</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76934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Tello, S., Latham, S., and Kijewski, V.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BFC96D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2010</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3432C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qualitative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8C4F8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Semi-structured interviews</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D5104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Thematic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DEE3F1"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Authors, aiming to examine the degree of individual technology transfer officers' (TTO) heuristics and biases, found the sample was relatively evenly divided by TTO with an individual heuristic bias and those with a rational approach to decision-making.</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7DB4E1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4FDBB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Heuristics</w:t>
            </w:r>
          </w:p>
        </w:tc>
      </w:tr>
      <w:tr w:rsidR="008D18F7" w14:paraId="4232C109"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A57C4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4</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9ED20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Aspara, J., Lamberg, J.A., Laukia, A., and Tikkanen, H.</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ECC6D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2011</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94ED9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qualitative</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6B784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Archival material (i.e., board meeting protocols and memos, correspondence between corporate headquarters and business units, circular letters, strategic planning documents and market analyses) and 14 interviews among former Nokia executives and other experts from the telecommunication industry.</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F1D4A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Historical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7889A6"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authors have demonstrated the central role of business units in feeding strategic alternatives and capabilities to the corporate-level transformation process.</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4583D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E097F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Bundles of rules</w:t>
            </w:r>
          </w:p>
        </w:tc>
      </w:tr>
      <w:tr w:rsidR="008D18F7" w14:paraId="66129E91"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245C1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5</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EDFF2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Curseu, P.L., Schruijer, S.G. L., and Fodor, O.C.</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624D5E"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2016</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3ECCAB"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03E747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Laboratory experiment</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06E9D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Regression analysis (ANOVA, MANOVA and OLS)</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F4603E5"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Authors, with the aim of testing the influence of collaborative and consultative decision rules on groups’ sensitivity to framing effect (FE) and escalation of commitment (EOC), found that collaborative decision rule increases sensitivity to EOC when financial resources are involved and decreases sensitivity to EOC when time is of essence. In addition, the collaborative decision rule decreases sensitivity to FE in group decision-making.</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104EC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8AAA89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Traps</w:t>
            </w:r>
          </w:p>
        </w:tc>
      </w:tr>
      <w:tr w:rsidR="008D18F7" w14:paraId="65A6DF20"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5A083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6</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FA73F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Elbanna, S., Kapoutsis, I., and Mellahi, K.</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3F649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2017</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02752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554EE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Questionnaire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BFF54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Regression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31F2C5" w14:textId="77777777" w:rsidR="008D18F7" w:rsidRDefault="00000000">
            <w:pPr>
              <w:spacing w:after="0" w:line="240" w:lineRule="auto"/>
              <w:jc w:val="both"/>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color w:val="000000"/>
                <w:sz w:val="20"/>
                <w:szCs w:val="20"/>
              </w:rPr>
              <w:t>Authors found that positive politics influence decision creativity and propitiousness. Anyway, this relationship is moderated by macro-economic uncertainty.</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B3B561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61B69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Creativity</w:t>
            </w:r>
          </w:p>
        </w:tc>
      </w:tr>
      <w:tr w:rsidR="008D18F7" w14:paraId="0923B39F"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CABCC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7</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B8ABD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Guo, B., and Ding, P.</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A5C5AD"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2019</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9D64E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33B5D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Panel data</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1D422D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Ordinary estimation methods </w:t>
            </w:r>
            <w:r>
              <w:rPr>
                <w:rFonts w:ascii="Times New Roman" w:eastAsia="Times New Roman" w:hAnsi="Times New Roman" w:cs="Times New Roman"/>
                <w:color w:val="000000"/>
                <w:sz w:val="20"/>
                <w:szCs w:val="20"/>
              </w:rPr>
              <w:lastRenderedPageBreak/>
              <w:t>(fixed effect panel data method, the random effect</w:t>
            </w:r>
            <w:r>
              <w:rPr>
                <w:rFonts w:ascii="Times New Roman" w:eastAsia="Times New Roman" w:hAnsi="Times New Roman" w:cs="Times New Roman"/>
                <w:color w:val="000000"/>
                <w:sz w:val="20"/>
                <w:szCs w:val="20"/>
              </w:rPr>
              <w:br/>
              <w:t>panel data method and the pooled ordinary least squares method)</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4895BA"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In this paper, authors </w:t>
            </w:r>
            <w:r>
              <w:rPr>
                <w:rFonts w:ascii="Times New Roman" w:eastAsia="Times New Roman" w:hAnsi="Times New Roman" w:cs="Times New Roman"/>
                <w:sz w:val="20"/>
                <w:szCs w:val="20"/>
              </w:rPr>
              <w:t>found a positive</w:t>
            </w:r>
            <w:r>
              <w:rPr>
                <w:rFonts w:ascii="Times New Roman" w:eastAsia="Times New Roman" w:hAnsi="Times New Roman" w:cs="Times New Roman"/>
                <w:color w:val="000000"/>
                <w:sz w:val="20"/>
                <w:szCs w:val="20"/>
              </w:rPr>
              <w:t xml:space="preserve"> relationship between performance discrepancy </w:t>
            </w:r>
            <w:r>
              <w:rPr>
                <w:rFonts w:ascii="Times New Roman" w:eastAsia="Times New Roman" w:hAnsi="Times New Roman" w:cs="Times New Roman"/>
                <w:color w:val="000000"/>
                <w:sz w:val="20"/>
                <w:szCs w:val="20"/>
              </w:rPr>
              <w:lastRenderedPageBreak/>
              <w:t>and a firm’s patent application rhythm. Moreover, while CEO overconfidence moderates this positive relationship, this moderating effect is less pronounced when CEO discretion is high.</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A4C65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D59627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Traps</w:t>
            </w:r>
          </w:p>
        </w:tc>
      </w:tr>
      <w:tr w:rsidR="008D18F7" w14:paraId="5F915A89"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AE914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8</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09668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Acciarini, C., Brunetta, F., and Boccardelli, P.</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AF394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2021</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35834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Review</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F9377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Systematic Literature Review of 52 papers</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D0DA5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562CB4" w14:textId="77777777" w:rsidR="008D18F7" w:rsidRDefault="00000000">
            <w:pPr>
              <w:spacing w:after="0" w:line="240" w:lineRule="auto"/>
              <w:jc w:val="both"/>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color w:val="000000"/>
                <w:sz w:val="20"/>
                <w:szCs w:val="20"/>
              </w:rPr>
              <w:t>Authors highlighted that decision-making is moved by internal (e.g. perception) and external factors (e.g. digitalization). In particular, when investigating the impact on strategic decisions under environmental transformations, the strategic role of cognitive biases emerged as crucial.</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FDC616"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A52BE2"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Heuristics</w:t>
            </w:r>
          </w:p>
        </w:tc>
      </w:tr>
      <w:tr w:rsidR="008D18F7" w14:paraId="47CBB72E"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4B2703"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9</w:t>
            </w:r>
          </w:p>
        </w:tc>
        <w:tc>
          <w:tcPr>
            <w:tcW w:w="15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2497D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Kahl, J., de Klerk, S., and Ogulin, R. </w:t>
            </w:r>
          </w:p>
        </w:tc>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E2400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2022</w:t>
            </w:r>
          </w:p>
        </w:tc>
        <w:tc>
          <w:tcPr>
            <w:tcW w:w="12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BFA22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Empirical qualitative</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BCF9A0"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Interviews with 29 participants from Germany and Austria from various size of enterprises and different sectors (public, medical, finance, electronics, automotive and business consulting).</w:t>
            </w:r>
          </w:p>
        </w:tc>
        <w:tc>
          <w:tcPr>
            <w:tcW w:w="18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C15D31"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Thematic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211A90" w14:textId="77777777" w:rsidR="008D18F7" w:rsidRDefault="00000000">
            <w:pPr>
              <w:spacing w:after="0" w:line="240" w:lineRule="auto"/>
              <w:jc w:val="both"/>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color w:val="000000"/>
                <w:sz w:val="20"/>
                <w:szCs w:val="20"/>
              </w:rPr>
              <w:t>Authors found that individual opinions, in terms of agility, can originate from three sources: individual understandings, contextual drivers and personal beliefs.</w:t>
            </w:r>
          </w:p>
        </w:tc>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04C02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Contextualist</w:t>
            </w:r>
          </w:p>
        </w:tc>
        <w:tc>
          <w:tcPr>
            <w:tcW w:w="18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4CA10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Beliefs/personal values; Models of decision making; Mental models/cognitive maps/schemas</w:t>
            </w:r>
          </w:p>
        </w:tc>
      </w:tr>
      <w:tr w:rsidR="008D18F7" w14:paraId="69C9CEE2"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3F4DC7"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30</w:t>
            </w:r>
          </w:p>
        </w:tc>
        <w:tc>
          <w:tcPr>
            <w:tcW w:w="159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97C4FA"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Al-Shammari, M.A., Banerjee, S.N., Al-Shammari, H., and Doty, H. </w:t>
            </w:r>
          </w:p>
        </w:tc>
        <w:tc>
          <w:tcPr>
            <w:tcW w:w="7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6C840F"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w:t>
            </w:r>
            <w:r>
              <w:rPr>
                <w:rFonts w:ascii="Times New Roman" w:eastAsia="Times New Roman" w:hAnsi="Times New Roman" w:cs="Times New Roman"/>
                <w:sz w:val="20"/>
                <w:szCs w:val="20"/>
              </w:rPr>
              <w:t>3</w:t>
            </w: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131A19"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DD2B7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9,348 firm-year observations from the Kinder, Lydenberg and Domini (KLD) CSR database.</w:t>
            </w:r>
          </w:p>
        </w:tc>
        <w:tc>
          <w:tcPr>
            <w:tcW w:w="181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D85948"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OLS regression</w:t>
            </w:r>
          </w:p>
        </w:tc>
        <w:tc>
          <w:tcPr>
            <w:tcW w:w="40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E5E0B8" w14:textId="77777777" w:rsidR="008D18F7" w:rsidRDefault="00000000">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This study aims to investigate how the association between corporate social responsibility (CSR) and firm performance, documented in prior research, is affected by the joint effects of managerial ability and attributes of the firm’s governance structure.</w:t>
            </w:r>
          </w:p>
        </w:tc>
        <w:tc>
          <w:tcPr>
            <w:tcW w:w="133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EACA35"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5C4B84" w14:textId="77777777" w:rsidR="008D18F7"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Models of decision making</w:t>
            </w:r>
          </w:p>
        </w:tc>
      </w:tr>
      <w:tr w:rsidR="008D18F7" w14:paraId="73887079"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E129C53"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2B040F65"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Olson, B.J., Parayitam, S., Cristofaro, M., Bao, Y., and Yuan, W.</w:t>
            </w:r>
          </w:p>
        </w:tc>
        <w:tc>
          <w:tcPr>
            <w:tcW w:w="705"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55CF5741"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E532FFC"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Empirical quantitative</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864821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744 Chinese CEOs</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2DF279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Confirmatory factor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5FD812D"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This study examines the link between anger and learning behavior in managers, stressing the importance of learning from mistakes amid intense competition. However, authors suggest exploring antecedents of anger, contextual factors, and organizational dynamics influencing this relationship. Additionally, considering personality traits, trust among team </w:t>
            </w:r>
            <w:r>
              <w:rPr>
                <w:rFonts w:ascii="Times New Roman" w:eastAsia="Times New Roman" w:hAnsi="Times New Roman" w:cs="Times New Roman"/>
                <w:sz w:val="20"/>
                <w:szCs w:val="20"/>
              </w:rPr>
              <w:lastRenderedPageBreak/>
              <w:t>members, board tolerance for mistakes, and organizational impact can provide deeper insights.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59516839"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Reductionist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23183A7C"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Negative emotions; Negative moods; Mental models/cognitive maps/schemas</w:t>
            </w:r>
          </w:p>
        </w:tc>
      </w:tr>
      <w:tr w:rsidR="008D18F7" w14:paraId="09BC362E"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44FD275"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1549C020"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Picone, P.M., Galvagno, M., and Pisano, V.</w:t>
            </w:r>
          </w:p>
        </w:tc>
        <w:tc>
          <w:tcPr>
            <w:tcW w:w="705"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495C5B80"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123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72F091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Review</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27D0ED9"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2AF83F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26621C6"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Authors review literature on hubris categorizing it into four clusters. By doing so they propose an integrative framework to reorganize key variables linking hubristic decision-makers, resource management, and cause-effect consequences, serving as a valuable tool for understanding previous research and identifying new research directions.</w:t>
            </w:r>
          </w:p>
        </w:tc>
        <w:tc>
          <w:tcPr>
            <w:tcW w:w="13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32A85C4"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Reductionist</w:t>
            </w:r>
          </w:p>
        </w:tc>
        <w:tc>
          <w:tcPr>
            <w:tcW w:w="1860"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15A8C12"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Hubris</w:t>
            </w:r>
          </w:p>
        </w:tc>
      </w:tr>
      <w:tr w:rsidR="008D18F7" w14:paraId="4EFD7CC4" w14:textId="77777777">
        <w:trPr>
          <w:trHeight w:val="227"/>
        </w:trPr>
        <w:tc>
          <w:tcPr>
            <w:tcW w:w="46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477399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159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3CE806CB"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Yang, X., and Shao, Y.</w:t>
            </w:r>
          </w:p>
        </w:tc>
        <w:tc>
          <w:tcPr>
            <w:tcW w:w="705"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2C5961CB"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1230"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7C0961D7"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Empirical qualitative</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0EFB5EAF"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Single case study</w:t>
            </w:r>
          </w:p>
        </w:tc>
        <w:tc>
          <w:tcPr>
            <w:tcW w:w="181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C6C1080" w14:textId="77777777" w:rsidR="008D18F7"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Inductive analysis</w:t>
            </w:r>
          </w:p>
        </w:tc>
        <w:tc>
          <w:tcPr>
            <w:tcW w:w="4035"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8C1EFCB" w14:textId="77777777" w:rsidR="008D18F7"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This article explores breakthrough innovation through events and top management team cognition. It presents three propositions based on a Chinese manufacturing firm case study, revealing breakthroughs occurring in the leading stage. It extends understanding of TMT cognitive frames and event system theory, offering practical insights for managers and inspiring further research.</w:t>
            </w:r>
          </w:p>
        </w:tc>
        <w:tc>
          <w:tcPr>
            <w:tcW w:w="1335" w:type="dxa"/>
            <w:tcBorders>
              <w:top w:val="single" w:sz="8" w:space="0" w:color="000000"/>
              <w:left w:val="single" w:sz="8" w:space="0" w:color="000000"/>
              <w:bottom w:val="single" w:sz="8" w:space="0" w:color="000000"/>
              <w:right w:val="single" w:sz="8" w:space="0" w:color="000000"/>
            </w:tcBorders>
            <w:shd w:val="clear" w:color="auto" w:fill="FFFF00"/>
            <w:tcMar>
              <w:top w:w="0" w:type="dxa"/>
              <w:left w:w="40" w:type="dxa"/>
              <w:bottom w:w="0" w:type="dxa"/>
              <w:right w:w="40" w:type="dxa"/>
            </w:tcMar>
            <w:vAlign w:val="center"/>
          </w:tcPr>
          <w:p w14:paraId="03190ACD"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Pluralist</w:t>
            </w:r>
          </w:p>
        </w:tc>
        <w:tc>
          <w:tcPr>
            <w:tcW w:w="1860" w:type="dxa"/>
            <w:tcBorders>
              <w:top w:val="single" w:sz="8" w:space="0" w:color="000000"/>
              <w:left w:val="single" w:sz="8" w:space="0" w:color="CCCCCC"/>
              <w:bottom w:val="single" w:sz="8" w:space="0" w:color="000000"/>
              <w:right w:val="single" w:sz="8" w:space="0" w:color="000000"/>
            </w:tcBorders>
            <w:shd w:val="clear" w:color="auto" w:fill="FFFF00"/>
            <w:tcMar>
              <w:top w:w="0" w:type="dxa"/>
              <w:left w:w="40" w:type="dxa"/>
              <w:bottom w:w="0" w:type="dxa"/>
              <w:right w:w="40" w:type="dxa"/>
            </w:tcMar>
            <w:vAlign w:val="center"/>
          </w:tcPr>
          <w:p w14:paraId="72C01BF5" w14:textId="77777777" w:rsidR="008D18F7"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Mental models/cognitive maps/schemas</w:t>
            </w:r>
          </w:p>
        </w:tc>
      </w:tr>
    </w:tbl>
    <w:p w14:paraId="403409E6" w14:textId="77777777" w:rsidR="00637624" w:rsidRDefault="00637624" w:rsidP="00637624">
      <w:pPr>
        <w:keepNext/>
        <w:pBdr>
          <w:top w:val="nil"/>
          <w:left w:val="nil"/>
          <w:bottom w:val="nil"/>
          <w:right w:val="nil"/>
          <w:between w:val="nil"/>
        </w:pBdr>
        <w:spacing w:after="120" w:line="240" w:lineRule="auto"/>
        <w:rPr>
          <w:rFonts w:ascii="Times New Roman" w:eastAsia="Times New Roman" w:hAnsi="Times New Roman" w:cs="Times New Roman"/>
          <w:b/>
          <w:sz w:val="24"/>
          <w:szCs w:val="24"/>
        </w:rPr>
      </w:pPr>
      <w:r w:rsidRPr="000729A1">
        <w:rPr>
          <w:rFonts w:ascii="Times New Roman" w:hAnsi="Times New Roman" w:cs="Times New Roman"/>
        </w:rPr>
        <w:t>Source: own elaboration</w:t>
      </w:r>
    </w:p>
    <w:p w14:paraId="6DA85839" w14:textId="77777777" w:rsidR="008D18F7" w:rsidRDefault="008D18F7">
      <w:pPr>
        <w:rPr>
          <w:rFonts w:ascii="Times New Roman" w:eastAsia="Times New Roman" w:hAnsi="Times New Roman" w:cs="Times New Roman"/>
          <w:b/>
          <w:sz w:val="24"/>
          <w:szCs w:val="24"/>
        </w:rPr>
        <w:sectPr w:rsidR="008D18F7">
          <w:footerReference w:type="default" r:id="rId8"/>
          <w:pgSz w:w="16838" w:h="11906" w:orient="landscape"/>
          <w:pgMar w:top="1134" w:right="1417" w:bottom="1134" w:left="1134" w:header="708" w:footer="708" w:gutter="0"/>
          <w:pgNumType w:start="1"/>
          <w:cols w:space="720"/>
        </w:sectPr>
      </w:pPr>
    </w:p>
    <w:p w14:paraId="6E4D678F" w14:textId="77777777" w:rsidR="008D18F7"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Supplementary file 2. </w:t>
      </w:r>
      <w:r>
        <w:rPr>
          <w:rFonts w:ascii="Times New Roman" w:eastAsia="Times New Roman" w:hAnsi="Times New Roman" w:cs="Times New Roman"/>
          <w:sz w:val="20"/>
          <w:szCs w:val="20"/>
        </w:rPr>
        <w:t xml:space="preserve">Reference of </w:t>
      </w:r>
      <w:r>
        <w:rPr>
          <w:rFonts w:ascii="Times New Roman" w:eastAsia="Times New Roman" w:hAnsi="Times New Roman" w:cs="Times New Roman"/>
          <w:sz w:val="20"/>
          <w:szCs w:val="20"/>
          <w:highlight w:val="yellow"/>
        </w:rPr>
        <w:t>97 articles</w:t>
      </w:r>
      <w:r>
        <w:rPr>
          <w:rFonts w:ascii="Times New Roman" w:eastAsia="Times New Roman" w:hAnsi="Times New Roman" w:cs="Times New Roman"/>
          <w:sz w:val="20"/>
          <w:szCs w:val="20"/>
        </w:rPr>
        <w:t xml:space="preserve"> included in the Systematic Literature Review.</w:t>
      </w:r>
    </w:p>
    <w:p w14:paraId="2A8AC5AC" w14:textId="77777777" w:rsidR="008D18F7" w:rsidRDefault="00000000">
      <w:pPr>
        <w:numPr>
          <w:ilvl w:val="0"/>
          <w:numId w:val="1"/>
        </w:numPr>
        <w:spacing w:before="240"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Abatecola, G. (2014), “Untangling self-reinforcing processes in managerial decision making. Co-evolving heuristics?”,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52(5), pp. 934–949.</w:t>
      </w:r>
    </w:p>
    <w:p w14:paraId="28CE208B"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Acciarini, C., Brunetta, F. and Boccardelli, P. (2020), “Cognitive biases and decision-making strategies in times of change: a systematic literature review”,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59(3), pp. 638–652.</w:t>
      </w:r>
    </w:p>
    <w:p w14:paraId="06C32BCC"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Ahmadzadeh, S., Safari, A. and Teimouri, H. (2022), “Collective stupidity: influences on decision-making in knowledge-based companies”,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60(5), pp. 1257–1295.</w:t>
      </w:r>
    </w:p>
    <w:p w14:paraId="0873E68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Ali, S., ur Rehman, R., Aslam, S., Khan, I., and Murtaza, G. (2023), “Does board diversity reduce the likelihood of financial distress in the presence of a powerful Chinese CEO?”,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61(6), pp. 1798–1815. </w:t>
      </w:r>
    </w:p>
    <w:p w14:paraId="615FDCC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Al-Shammari, M. A., Banerjee, S. N., Al-Shammari, H., and Doty, H. (2023), “The interplay of CEO ability and governance robustness on the performance effects of corporate social responsibility”,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61(7), pp. 1932–1965.</w:t>
      </w:r>
    </w:p>
    <w:p w14:paraId="35A685C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Appelbaum, S. H., Gandell, J., Shapiro, B. T., Belisle, P., and Hoeven, E. (2000), “Anatomy of a merger: behavior of organizational factors and processes throughout the pre- during- post- stages (part 2)”,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38(10), pp. 674–684.</w:t>
      </w:r>
    </w:p>
    <w:p w14:paraId="506807C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Appelbaum, S. H., Gandell, J., Yortis, H., Proper, S., and Jobin, F. (2000), “Anatomy of a merger: behavior of organizational factors and processes throughout the pre- during- post-stages (part 1)”,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38(9), pp. 649–662.</w:t>
      </w:r>
    </w:p>
    <w:p w14:paraId="420026C1"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Aspara, J., Lamberg, J. A., Laukia, A., and Tikkanen, H. (2011), “Strategic management of business model transformation: Lessons from Nokia”,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49(4), pp. 622–647.</w:t>
      </w:r>
    </w:p>
    <w:p w14:paraId="1ADB8771"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Barrett, T. (1986), “When the Market Says “Beware!”…”,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24(6), pp. 36–40.</w:t>
      </w:r>
    </w:p>
    <w:p w14:paraId="72E7BEE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Basi, R.S. (1998), “Administrative decision making: A contextual analysis”,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36(4), pp. 232–240.</w:t>
      </w:r>
    </w:p>
    <w:p w14:paraId="3F93C7B6"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Bennett, R.H. (1998), “The importance of tacit knowledge in strategic deliberations and decisions”,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36(9), pp. 589–597.</w:t>
      </w:r>
    </w:p>
    <w:p w14:paraId="23616DA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Bentzen, E., Christiansen, J.K. and Varnes, C.J. (2011), “What attracts decision makers’ attention?: Managerial allocation of time at product development portfolio meetings”,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49(3), pp. 330–349.</w:t>
      </w:r>
    </w:p>
    <w:p w14:paraId="6BB88605"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Binsted, D. (1986), “Learning to Cope with Change”,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24(3), pp. 32–36.</w:t>
      </w:r>
    </w:p>
    <w:p w14:paraId="20FA4C4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Biscotti, A. M., Mafrolla, E., Giudice, M. D., and D’Amico, E. (2018), “CEO turnover and the new leader propensity to open innovation: Agency-resource dependence view and social identity perspective”,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56(6), pp. 1348–1364.</w:t>
      </w:r>
    </w:p>
    <w:p w14:paraId="3D4E01C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Bolaños, R., Fontela, E., Nenclares, A., and Pastor, P. (2005), “Using interpretive structural modelling in strategic decision-making groups”,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43(6), pp. 877–895.</w:t>
      </w:r>
    </w:p>
    <w:p w14:paraId="74A65CD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Borwick, I. (1978), “Management and Interaction Strategy”,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16(6), pp. 350–361.</w:t>
      </w:r>
    </w:p>
    <w:p w14:paraId="2D45B85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Brindle, M. (1999), “Games decision makers play”,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37(8), pp. 604–612.</w:t>
      </w:r>
    </w:p>
    <w:p w14:paraId="66BDE00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Butler, S.A. (2010), “Solving business problems using a lateral thinking approach”,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48(1), pp. 58–64.</w:t>
      </w:r>
    </w:p>
    <w:p w14:paraId="1D4796FA"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Chao, Y.-C. (2011), “Decision-making biases in the alliance life cycle: Implications for alliance failure”,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49(3), pp. 350–364.</w:t>
      </w:r>
    </w:p>
    <w:p w14:paraId="5E77BE06"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Chapman, J. (2006), “Anxiety and defective decision making: An elaboration of the groupthink model”,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44(10), pp. 1391–1404.</w:t>
      </w:r>
    </w:p>
    <w:p w14:paraId="32C1D7C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Chung, E. and Mclarney, C. (1999), “When giants collide: Strategic analysis and application”,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37(3), pp. 233–248.</w:t>
      </w:r>
    </w:p>
    <w:p w14:paraId="517FC0D6"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Coffeng, T., Van Steenbergen, E. F., De Vries, F., and Ellemers, N. (2021) “Quality of group decisions by board members: a hidden-profile experiment”,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59(13), pp. 38–55.</w:t>
      </w:r>
    </w:p>
    <w:p w14:paraId="2D15BFE3"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Cortes, A.F., and  Herrmann, P. (2024). “Near the breaking point: CEO job demands, innovation, and the role of CEO emotions”,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62</w:t>
      </w:r>
      <w:r>
        <w:rPr>
          <w:rFonts w:ascii="Times New Roman" w:eastAsia="Times New Roman" w:hAnsi="Times New Roman" w:cs="Times New Roman"/>
          <w:color w:val="222222"/>
          <w:sz w:val="20"/>
          <w:szCs w:val="20"/>
          <w:highlight w:val="yellow"/>
        </w:rPr>
        <w:t>(1), pp. 88–106.</w:t>
      </w:r>
    </w:p>
    <w:p w14:paraId="366F41C1"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Curseu, P.L., Schruijer, S.G.L. and Fodor, O.C. (2016), “Decision rules, escalation of commitment and sensitivity to framing in group decision-making: An experimental investigation”,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54(7), pp. 1649–1668.</w:t>
      </w:r>
    </w:p>
    <w:p w14:paraId="653A5E3B"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Das, T.K. and Kumar, R. (2010), “Interpartner sensemaking in strategic alliances: Managing cultural differences and internal tensions”,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48(1), pp. 17–36.</w:t>
      </w:r>
    </w:p>
    <w:p w14:paraId="0B3DE47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lastRenderedPageBreak/>
        <w:t xml:space="preserve">Davidson, M.J. and Cooper, C.L. (1987), “The Pressures on Women Managers”,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25(4), pp. 57–63.</w:t>
      </w:r>
    </w:p>
    <w:p w14:paraId="6072535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Díaz-Fernández, M.C., González-Rodríguez, M.R. and Simonetti, B. (2016), “The role played by job and non-job-related TMT diversity traits on firm performance and strategic change”,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54(5), pp. 1110–1139.</w:t>
      </w:r>
    </w:p>
    <w:p w14:paraId="1CF40D9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Ehrig, T., Katsikopoulos, K. V., Jost, J., and Gigerenzer, G. (2021), “An exploratory study of heuristics for anticipating prices”,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59(7), pp. 1750–1761.</w:t>
      </w:r>
    </w:p>
    <w:p w14:paraId="59BA43A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Elbanna, S., Kapoutsis, I. and Mellahi, K. (2017), “Creativity and propitiousness in strategic decision making: The role of positive politics and macro-economic uncertainty”,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55(10), pp. 2218–2236.</w:t>
      </w:r>
    </w:p>
    <w:p w14:paraId="59C249CA"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Ericson, M. (2010), “Towards a sensed; decision-making approach: From déjà vu; to vu jàdé”,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48(1), pp. 132–155.</w:t>
      </w:r>
    </w:p>
    <w:p w14:paraId="0D95A85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Feurer, R. and Chaharbaghi, K. (1995), “Strategy development: Past, present and future”,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33(6), pp. 11–21.</w:t>
      </w:r>
    </w:p>
    <w:p w14:paraId="41680944"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Frisk, J.E. and Bannister, F. (2017), “Improving the use of analytics and big data by changing the decision-making culture: A design approach”,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55(10), pp. 2074–2088.</w:t>
      </w:r>
    </w:p>
    <w:p w14:paraId="4F38529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Gabor, P. (1976), “Management Theory and Rational Decision Making”,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14(5), pp. 274–281.</w:t>
      </w:r>
    </w:p>
    <w:p w14:paraId="3EC633D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Galavotti, I., Lippi, A. and Cerrato, D. (2021), “The representativeness heuristic at work in decision-making: building blocks and individual-level cognitive and behavioral factors”,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59(7), pp. 1664–1683.</w:t>
      </w:r>
    </w:p>
    <w:p w14:paraId="54C0958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Gallén, T. (1997), “The cognitive style and strategic decisions of managers”,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35(7), pp. 541–551.</w:t>
      </w:r>
    </w:p>
    <w:p w14:paraId="7B3539A0"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Goll, I., Brown Johnson, N. and Rasheed, A.A. (2008), “Top management team demographic characteristics, business strategy, and firm performance in the US airline industry: The role of managerial discretion”,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46(2), pp. 201–222.</w:t>
      </w:r>
    </w:p>
    <w:p w14:paraId="43F0AA4F"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Greco, A., Long, T. and de Jong, G. (2021), “Identity reflexivity: a framework of heuristics for strategy change in hybrid organizations”,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59(7), pp. 1684–1705.</w:t>
      </w:r>
    </w:p>
    <w:p w14:paraId="02C263DB"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Guo, B. and Ding, P. (2020), “A behavioral theory of patent application rhythm: The moderating roles of CEO overconfidence and discretion”,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58(4), pp. 743–758.</w:t>
      </w:r>
    </w:p>
    <w:p w14:paraId="767D8326"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Haider, S. and Mariotti, F. (2016), “Unfolding critical events and strategic decisions: the role of spatial and temporal cognition”,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54(7), pp. 1813–1842.</w:t>
      </w:r>
    </w:p>
    <w:p w14:paraId="481D4AA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Harrison, E.F. (1993), “Interdisciplinary Models of Decision Making”,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31(8), pp. 27–33.</w:t>
      </w:r>
    </w:p>
    <w:p w14:paraId="26C5F78F"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Harrison, J. and Boyle, E. (2006), “Falling into capability learning traps: The role of the firm’s predominant managerial mental models”,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44(1), pp. 31–43.</w:t>
      </w:r>
    </w:p>
    <w:p w14:paraId="13B6EB5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Hertz, D. (1972), “Management science and the chief executive”,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10(3), pp. 253–261.</w:t>
      </w:r>
    </w:p>
    <w:p w14:paraId="6B6F198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Hess, J.D. and Bacigalupo, A.C. (2011), “Enhancing decisions and decision-making processes through the application of emotional intelligence skills”,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49(5), pp. 710–721.</w:t>
      </w:r>
    </w:p>
    <w:p w14:paraId="203367B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Hesselbarth, I., Alnoor, A. and Tiberius, V. (2023), “Behavioral strategy: A systematic literature review and research framework”,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61(9), pp. 2740–2756.</w:t>
      </w:r>
    </w:p>
    <w:p w14:paraId="6F1E0A14"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Jammulamadaka, N. (2020), “Enabling processes as routines that facilitate cognitive change”,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59(3), pp. 653–668.</w:t>
      </w:r>
    </w:p>
    <w:p w14:paraId="6E75891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Kahl, J., de Klerk, S. and Ogulin, R. (2022), “Agile strategies for middle managers”,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60(1), pp. 146–166.</w:t>
      </w:r>
    </w:p>
    <w:p w14:paraId="2E1A147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Kiel, G. and Blennerhasett, P. (1984), “The Board of Directors in Large Australian Companies”,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22(1), pp. 40–44.</w:t>
      </w:r>
    </w:p>
    <w:p w14:paraId="398F3D7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Kolbe, L.M., Bossink, B. and de Man, A.-P. (2020), “Contingent use of rational, intuitive and political decision-making in R&amp;amp;D”,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58(6), pp. 997–1020.</w:t>
      </w:r>
    </w:p>
    <w:p w14:paraId="473504B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Kouamé, S., Oliver, D. and Poisson-de-Haro, S. (2015), “Can emotional differences be a strength? Affective diversity and managerial decision performance”,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53(8), pp. 1662–1676.</w:t>
      </w:r>
    </w:p>
    <w:p w14:paraId="5802090A"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Kremer, R. (2023). “Opening up their values: How CEOs conservation and openness to change impact downsizing decisions”,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61</w:t>
      </w:r>
      <w:r>
        <w:rPr>
          <w:rFonts w:ascii="Times New Roman" w:eastAsia="Times New Roman" w:hAnsi="Times New Roman" w:cs="Times New Roman"/>
          <w:color w:val="222222"/>
          <w:sz w:val="20"/>
          <w:szCs w:val="20"/>
          <w:highlight w:val="yellow"/>
        </w:rPr>
        <w:t>(9), pp. 2512–2540.</w:t>
      </w:r>
    </w:p>
    <w:p w14:paraId="61219F7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Leemann, N. and Kanbach, D.K. (2023), “Cognitive biases in resource cognition: evidence from action research”,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61(9), pp. 2784–2791.</w:t>
      </w:r>
    </w:p>
    <w:p w14:paraId="61EEB7F2"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lastRenderedPageBreak/>
        <w:t xml:space="preserve">Li, M., and Yang, J. (2023). “CEO vigilance and hypercompetition: CEO attention in resource utilization and firm competitive aggressiveness”,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61</w:t>
      </w:r>
      <w:r>
        <w:rPr>
          <w:rFonts w:ascii="Times New Roman" w:eastAsia="Times New Roman" w:hAnsi="Times New Roman" w:cs="Times New Roman"/>
          <w:color w:val="222222"/>
          <w:sz w:val="20"/>
          <w:szCs w:val="20"/>
          <w:highlight w:val="yellow"/>
        </w:rPr>
        <w:t>(11), pp. 3255–3277.</w:t>
      </w:r>
    </w:p>
    <w:p w14:paraId="1E13AF75"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Liu, C. H., Horng, J. S., Chou, S. F., Zhang, S. N., and Lin, J. Y</w:t>
      </w:r>
      <w:r>
        <w:rPr>
          <w:rFonts w:ascii="Times New Roman" w:eastAsia="Times New Roman" w:hAnsi="Times New Roman" w:cs="Times New Roman"/>
          <w:i/>
          <w:color w:val="222222"/>
          <w:sz w:val="20"/>
          <w:szCs w:val="20"/>
          <w:highlight w:val="white"/>
        </w:rPr>
        <w:t>.</w:t>
      </w:r>
      <w:r>
        <w:rPr>
          <w:rFonts w:ascii="Times New Roman" w:eastAsia="Times New Roman" w:hAnsi="Times New Roman" w:cs="Times New Roman"/>
          <w:color w:val="222222"/>
          <w:sz w:val="20"/>
          <w:szCs w:val="20"/>
          <w:highlight w:val="white"/>
        </w:rPr>
        <w:t xml:space="preserve"> (2023), “Creating competitive advantage through entrepreneurial factors, collaboration and learning”,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61(7), pp. 1888–1911.</w:t>
      </w:r>
    </w:p>
    <w:p w14:paraId="743EEE9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Mageean, P.V. (1984), “Changing Emphases in the Business World – “Multum non Multa””,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22(4), pp. 20–35. </w:t>
      </w:r>
    </w:p>
    <w:p w14:paraId="2D544E4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McKenzie, J., Woolf, N., van Winkelen, C., and Morgan, C. (2009), “Cognition in strategic decision making: A model of non-conventional thinking capacities for complex situations”,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47(2), pp. 209–232. </w:t>
      </w:r>
    </w:p>
    <w:p w14:paraId="164BECD0"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Midavaine, J., Dolfsma, W. and Aalbers, R. (2016), “Board diversity and R&amp;amp;D investment”,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54(3), pp. 558–569. </w:t>
      </w:r>
    </w:p>
    <w:p w14:paraId="79C89411"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Mueller, R. (1968), “The managementality gap”,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2(4), pp. 208–213. </w:t>
      </w:r>
    </w:p>
    <w:p w14:paraId="1EE54C56"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Mueller-Saegebrecht, S. (2024). “Business model innovation decisions: The role of group biases and risk willingness”,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forthcoming.</w:t>
      </w:r>
    </w:p>
    <w:p w14:paraId="5DAE31F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Mukherjee, D., Lahiri, S., Mukherjee, D., and Billing, T. K</w:t>
      </w:r>
      <w:r>
        <w:rPr>
          <w:rFonts w:ascii="Times New Roman" w:eastAsia="Times New Roman" w:hAnsi="Times New Roman" w:cs="Times New Roman"/>
          <w:i/>
          <w:color w:val="222222"/>
          <w:sz w:val="20"/>
          <w:szCs w:val="20"/>
          <w:highlight w:val="white"/>
        </w:rPr>
        <w:t>.</w:t>
      </w:r>
      <w:r>
        <w:rPr>
          <w:rFonts w:ascii="Times New Roman" w:eastAsia="Times New Roman" w:hAnsi="Times New Roman" w:cs="Times New Roman"/>
          <w:color w:val="222222"/>
          <w:sz w:val="20"/>
          <w:szCs w:val="20"/>
          <w:highlight w:val="white"/>
        </w:rPr>
        <w:t xml:space="preserve"> (2012), “Leading virtual teams: How do social, cognitive, and behavioral capabilities matter?”,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50(2), pp. 273–290. </w:t>
      </w:r>
    </w:p>
    <w:p w14:paraId="7EBFCFC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Mukherji, A. and Hurtado, P. (2001), “Interpreting, categorizing and responding to the environment: The role of culture in strategic problem definition”,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39(2), pp. 105–112. </w:t>
      </w:r>
    </w:p>
    <w:p w14:paraId="1F941470"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Nooraie, M. (2008), “Decision magnitude of impact and strategic decision-making process output: The mediating impact of rationality of the decision-making process”,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46(4), pp. 640–655. </w:t>
      </w:r>
    </w:p>
    <w:p w14:paraId="0EE0D73F"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Norris, J.I., Casa de Calvo, M.P. and Mather, R.D. (2020), “Managing an existential threat: how a global crisis contaminates organizational decision-making”,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58(10), pp. 2117–2138. </w:t>
      </w:r>
    </w:p>
    <w:p w14:paraId="62AE3518"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O’Shaughnessy, N.J. (1984), “Strategy and US Cultural Bias”,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22(3), pp. 22–32. </w:t>
      </w:r>
    </w:p>
    <w:p w14:paraId="5037D62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Okoli, J. and Watt, J. (2018), “Crisis decision-making: the overlap between intuitive and analytical strategies”,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56(5), pp. 1122–1134. </w:t>
      </w:r>
    </w:p>
    <w:p w14:paraId="09204AE0"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Olson, B.J., Parayitam, S., Cristofaro, M., Bao, Y., and Yuan, W. (2023). “CEO anger: A catalyst for error recognition and learning”,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62(13), pp. 1–25.</w:t>
      </w:r>
    </w:p>
    <w:p w14:paraId="36E534A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Panagiotou, G. (2006), “The impact of managerial cognitions on the structure-conduct-performance (SCP) paradigm: A strategic group perspective”,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44(3), pp. 423–441. </w:t>
      </w:r>
    </w:p>
    <w:p w14:paraId="1221331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Panagiotou, G. (2007), “Reference theory: Strategic groups and competitive benchmarking”,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45(10), pp. 1595–1621. </w:t>
      </w:r>
    </w:p>
    <w:p w14:paraId="1EB11BEC"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Panagiotou, G. (2008), “Conjoining prescriptive and descriptive approaches: Towards an integrative framework of decision making. A conceptual note”,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46(4), pp. 553–564. </w:t>
      </w:r>
    </w:p>
    <w:p w14:paraId="0B88F32C"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Pansiri, J. (2005), “The influence of managers’ characteristics and perceptions in strategic alliance practice”,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43(9), pp. 1097–1113. </w:t>
      </w:r>
    </w:p>
    <w:p w14:paraId="1FE5889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Parker, L.D. (1980), “Evaluating Group Decision-Making in the Corporate Environment”,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18(1), pp. 35–44. </w:t>
      </w:r>
    </w:p>
    <w:p w14:paraId="43B51B9C"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Pate, L.E. (1987), “Understanding Human Behaviour”,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25(6), pp. 58–64. </w:t>
      </w:r>
    </w:p>
    <w:p w14:paraId="15F10FF5" w14:textId="77777777" w:rsidR="008D18F7" w:rsidRDefault="00000000">
      <w:pPr>
        <w:numPr>
          <w:ilvl w:val="0"/>
          <w:numId w:val="1"/>
        </w:numPr>
        <w:spacing w:after="0" w:line="276" w:lineRule="auto"/>
        <w:jc w:val="both"/>
        <w:rPr>
          <w:color w:val="222222"/>
          <w:sz w:val="20"/>
          <w:szCs w:val="20"/>
          <w:highlight w:val="yellow"/>
        </w:rPr>
      </w:pPr>
      <w:r w:rsidRPr="00637624">
        <w:rPr>
          <w:rFonts w:ascii="Times New Roman" w:eastAsia="Times New Roman" w:hAnsi="Times New Roman" w:cs="Times New Roman"/>
          <w:color w:val="222222"/>
          <w:sz w:val="20"/>
          <w:szCs w:val="20"/>
          <w:highlight w:val="yellow"/>
          <w:lang w:val="it-IT"/>
        </w:rPr>
        <w:t xml:space="preserve">Picone, P.M., Galvagno, M., and Pisano, V. (2024). </w:t>
      </w:r>
      <w:r>
        <w:rPr>
          <w:rFonts w:ascii="Times New Roman" w:eastAsia="Times New Roman" w:hAnsi="Times New Roman" w:cs="Times New Roman"/>
          <w:color w:val="222222"/>
          <w:sz w:val="20"/>
          <w:szCs w:val="20"/>
          <w:highlight w:val="yellow"/>
        </w:rPr>
        <w:t xml:space="preserve">“Hubris research in business: Taking stock and moving forward”,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62</w:t>
      </w:r>
      <w:r>
        <w:rPr>
          <w:rFonts w:ascii="Times New Roman" w:eastAsia="Times New Roman" w:hAnsi="Times New Roman" w:cs="Times New Roman"/>
          <w:color w:val="222222"/>
          <w:sz w:val="20"/>
          <w:szCs w:val="20"/>
          <w:highlight w:val="yellow"/>
        </w:rPr>
        <w:t>(1), pp. 1–24.</w:t>
      </w:r>
    </w:p>
    <w:p w14:paraId="5BFDED23"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Ralston, B. (1985), “Group Participative Decision Making: The Management Style of the Future”,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23(5), pp. 51–56. </w:t>
      </w:r>
    </w:p>
    <w:p w14:paraId="377F4E54"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Ramya, S.M. and Baral, R. (2019), ““Mind” matters!: A conceptual framework using mental models and green nudging to drive corporate environmental responsibility”,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59(4), pp. 719–731. </w:t>
      </w:r>
    </w:p>
    <w:p w14:paraId="29ECB49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Ranganathan, K. (2021), “Do personal values explain variation in satisficing measures of risk?”,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59(7), pp. 1642–1663. </w:t>
      </w:r>
    </w:p>
    <w:p w14:paraId="78D92161"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Rice, G.H. (1980), “But How DO Managers Make Decisions?”,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18(4), pp. 194–202. </w:t>
      </w:r>
    </w:p>
    <w:p w14:paraId="3CE2713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Ridge, J.W., Kern, D. and White, M.A. (2014), “The influence of managerial myopia on firm strategy”,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52(3), pp. 602–623. </w:t>
      </w:r>
    </w:p>
    <w:p w14:paraId="561EF352"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Selart, M. (2005), “Understanding the role of locus of control in consultative decision-making: A case study”,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43(3), pp. 397–412. </w:t>
      </w:r>
    </w:p>
    <w:p w14:paraId="7C69798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Selart, M., Tvedt Johansen, S., Holmesland, T., and Grønhaug, K. (2008), “Can intuitive and analytical decision styles explain managers’ evaluation of information technology?”,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46(9), pp. 1326–1341. </w:t>
      </w:r>
    </w:p>
    <w:p w14:paraId="75687A6C"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lastRenderedPageBreak/>
        <w:t xml:space="preserve">Shoham, A. and Fiegenbaum, A. (2002), “Competitive determinants of organizational risk-taking attitude: the role of strategic reference points”,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40(2), pp. 127–141. </w:t>
      </w:r>
    </w:p>
    <w:p w14:paraId="442D729A"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Steiner, C.J. (2004), “A conceptual framework for studying fanatical managers”,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42(6), pp. 738–757. </w:t>
      </w:r>
    </w:p>
    <w:p w14:paraId="1E92510B"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Tabesh, P. and Vera, D.M. (2020), “Top managers’ improvisational decision-making in crisis: a paradox perspective”,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58(10), pp. 2235–2256. </w:t>
      </w:r>
    </w:p>
    <w:p w14:paraId="6E3BD754"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Tello, S., Latham, S. and Kijewski, V. (2010), “Individual choice or institutional practice: Which guides the technology transfer decision-making process?”,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48(8), pp. 1261–1281. </w:t>
      </w:r>
    </w:p>
    <w:p w14:paraId="08C0A489"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Thomas, H. and Schwenk, C.R. (1984), “Decision Analysis as an Aid to Strategy”,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22(2), pp. 50–60. </w:t>
      </w:r>
    </w:p>
    <w:p w14:paraId="6174C85A"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Tikkanen, H., Lamberg, J. A., Parvinen, P., and Kallunki, J. P. (2005), “Managerial cognition, action and the business model of the firm”,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43(6), pp. 789–809. </w:t>
      </w:r>
    </w:p>
    <w:p w14:paraId="58370175"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Torpman, J. (2004), “The differentiating function of modern forms of leadership”,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42(7), pp. 892–906. </w:t>
      </w:r>
    </w:p>
    <w:p w14:paraId="513FBA66"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Tyzack, J.E.V. (1967), “The role of the board and the director”,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1(4), pp. 4–8. </w:t>
      </w:r>
    </w:p>
    <w:p w14:paraId="14DEAD2E"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Valle Santos, M. and García, M.T. (2006), “Managers’ opinions: Reality or fiction. A narrative approach”,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44(6), pp. 752–770. </w:t>
      </w:r>
    </w:p>
    <w:p w14:paraId="3DA6742F"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Van Rossem, A., Heusinkveld, S. and Buelens, M. (2015), “The consumption of management ideas: a cognitive perspective”,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53(10), pp. 2356–2376. </w:t>
      </w:r>
    </w:p>
    <w:p w14:paraId="35C40AF0"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Venugopal, A., Krishnan, T.N. and Kumar, M. (2018), “Identifying the focal role of top management paradoxical cognition in ambidextrous firms”,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56(1), pp. 47–63. </w:t>
      </w:r>
    </w:p>
    <w:p w14:paraId="3CE46730"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Venugopal, A., Nerur, S., Yasar, M., and Rasheed, A.A. (2023). “CEO personality and corporate sustainability performance”,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61</w:t>
      </w:r>
      <w:r>
        <w:rPr>
          <w:rFonts w:ascii="Times New Roman" w:eastAsia="Times New Roman" w:hAnsi="Times New Roman" w:cs="Times New Roman"/>
          <w:color w:val="222222"/>
          <w:sz w:val="20"/>
          <w:szCs w:val="20"/>
          <w:highlight w:val="yellow"/>
        </w:rPr>
        <w:t>(12), pp. 3691–3716.</w:t>
      </w:r>
    </w:p>
    <w:p w14:paraId="215779A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Waal, A.A. (2003), “Behavioral factors important for the successful implementation and use of performance management systems”,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41(8), pp. 688–697. </w:t>
      </w:r>
    </w:p>
    <w:p w14:paraId="33E2ADA5"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White, J. (1984), “Corporate Culture and Corporate Success”,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xml:space="preserve">, 22(4), pp. 14–19. </w:t>
      </w:r>
    </w:p>
    <w:p w14:paraId="1A2C72B4"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Workman, M. (2012), “Bias in strategic initiative continuance decisions: Framing interactions and HRD practices”,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50(1), pp. 21–42.</w:t>
      </w:r>
    </w:p>
    <w:p w14:paraId="36391C1D"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Wright, A. (2005), “The role of scenarios as prospective sensemaking devices”,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43(1), pp. 86–101.</w:t>
      </w:r>
    </w:p>
    <w:p w14:paraId="47F84B44" w14:textId="77777777" w:rsidR="008D18F7" w:rsidRDefault="00000000">
      <w:pPr>
        <w:numPr>
          <w:ilvl w:val="0"/>
          <w:numId w:val="1"/>
        </w:numPr>
        <w:spacing w:after="0" w:line="276" w:lineRule="auto"/>
        <w:jc w:val="both"/>
        <w:rPr>
          <w:color w:val="222222"/>
          <w:sz w:val="20"/>
          <w:szCs w:val="20"/>
          <w:highlight w:val="yellow"/>
        </w:rPr>
      </w:pPr>
      <w:r>
        <w:rPr>
          <w:rFonts w:ascii="Times New Roman" w:eastAsia="Times New Roman" w:hAnsi="Times New Roman" w:cs="Times New Roman"/>
          <w:color w:val="222222"/>
          <w:sz w:val="20"/>
          <w:szCs w:val="20"/>
          <w:highlight w:val="yellow"/>
        </w:rPr>
        <w:t xml:space="preserve">Yang, X., and Shao, Y. (2024). “TMT’s cognitive frame and breakthrough innovation”, </w:t>
      </w:r>
      <w:r>
        <w:rPr>
          <w:rFonts w:ascii="Times New Roman" w:eastAsia="Times New Roman" w:hAnsi="Times New Roman" w:cs="Times New Roman"/>
          <w:i/>
          <w:color w:val="222222"/>
          <w:sz w:val="20"/>
          <w:szCs w:val="20"/>
          <w:highlight w:val="yellow"/>
        </w:rPr>
        <w:t>Management Decision</w:t>
      </w:r>
      <w:r>
        <w:rPr>
          <w:rFonts w:ascii="Times New Roman" w:eastAsia="Times New Roman" w:hAnsi="Times New Roman" w:cs="Times New Roman"/>
          <w:color w:val="222222"/>
          <w:sz w:val="20"/>
          <w:szCs w:val="20"/>
          <w:highlight w:val="yellow"/>
        </w:rPr>
        <w:t xml:space="preserve">, </w:t>
      </w:r>
      <w:r>
        <w:rPr>
          <w:rFonts w:ascii="Times New Roman" w:eastAsia="Times New Roman" w:hAnsi="Times New Roman" w:cs="Times New Roman"/>
          <w:i/>
          <w:color w:val="222222"/>
          <w:sz w:val="20"/>
          <w:szCs w:val="20"/>
          <w:highlight w:val="yellow"/>
        </w:rPr>
        <w:t>62</w:t>
      </w:r>
      <w:r>
        <w:rPr>
          <w:rFonts w:ascii="Times New Roman" w:eastAsia="Times New Roman" w:hAnsi="Times New Roman" w:cs="Times New Roman"/>
          <w:color w:val="222222"/>
          <w:sz w:val="20"/>
          <w:szCs w:val="20"/>
          <w:highlight w:val="yellow"/>
        </w:rPr>
        <w:t>(1), pp. 50–87</w:t>
      </w:r>
    </w:p>
    <w:p w14:paraId="1B6C5B87" w14:textId="77777777" w:rsidR="008D18F7" w:rsidRDefault="00000000">
      <w:pPr>
        <w:numPr>
          <w:ilvl w:val="0"/>
          <w:numId w:val="1"/>
        </w:numPr>
        <w:spacing w:after="0" w:line="276" w:lineRule="auto"/>
        <w:jc w:val="both"/>
        <w:rPr>
          <w:color w:val="222222"/>
          <w:sz w:val="20"/>
          <w:szCs w:val="20"/>
          <w:highlight w:val="white"/>
        </w:rPr>
      </w:pPr>
      <w:r>
        <w:rPr>
          <w:rFonts w:ascii="Times New Roman" w:eastAsia="Times New Roman" w:hAnsi="Times New Roman" w:cs="Times New Roman"/>
          <w:color w:val="222222"/>
          <w:sz w:val="20"/>
          <w:szCs w:val="20"/>
          <w:highlight w:val="white"/>
        </w:rPr>
        <w:t xml:space="preserve">Yu, C., Wang, T. and Gu, X. (2022), “Collective reputation cognition, network competence and enterprise innovation performance”, </w:t>
      </w:r>
      <w:r>
        <w:rPr>
          <w:rFonts w:ascii="Times New Roman" w:eastAsia="Times New Roman" w:hAnsi="Times New Roman" w:cs="Times New Roman"/>
          <w:i/>
          <w:color w:val="222222"/>
          <w:sz w:val="20"/>
          <w:szCs w:val="20"/>
          <w:highlight w:val="white"/>
        </w:rPr>
        <w:t>Management Decision</w:t>
      </w:r>
      <w:r>
        <w:rPr>
          <w:rFonts w:ascii="Times New Roman" w:eastAsia="Times New Roman" w:hAnsi="Times New Roman" w:cs="Times New Roman"/>
          <w:color w:val="222222"/>
          <w:sz w:val="20"/>
          <w:szCs w:val="20"/>
          <w:highlight w:val="white"/>
        </w:rPr>
        <w:t>, 60(3), pp. 567–588.</w:t>
      </w:r>
    </w:p>
    <w:sectPr w:rsidR="008D18F7">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ECE0E" w14:textId="77777777" w:rsidR="00143165" w:rsidRDefault="00143165">
      <w:pPr>
        <w:spacing w:after="0" w:line="240" w:lineRule="auto"/>
      </w:pPr>
      <w:r>
        <w:separator/>
      </w:r>
    </w:p>
  </w:endnote>
  <w:endnote w:type="continuationSeparator" w:id="0">
    <w:p w14:paraId="62637F60" w14:textId="77777777" w:rsidR="00143165" w:rsidRDefault="00143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E18A" w14:textId="77777777" w:rsidR="008D18F7" w:rsidRDefault="008D18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5C323" w14:textId="77777777" w:rsidR="00143165" w:rsidRDefault="00143165">
      <w:pPr>
        <w:spacing w:after="0" w:line="240" w:lineRule="auto"/>
      </w:pPr>
      <w:r>
        <w:separator/>
      </w:r>
    </w:p>
  </w:footnote>
  <w:footnote w:type="continuationSeparator" w:id="0">
    <w:p w14:paraId="734AC7EE" w14:textId="77777777" w:rsidR="00143165" w:rsidRDefault="00143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A6F09"/>
    <w:multiLevelType w:val="multilevel"/>
    <w:tmpl w:val="F80C6C36"/>
    <w:lvl w:ilvl="0">
      <w:start w:val="1"/>
      <w:numFmt w:val="decimal"/>
      <w:lvlText w:val="%1."/>
      <w:lvlJc w:val="left"/>
      <w:pPr>
        <w:ind w:left="720" w:hanging="360"/>
      </w:pPr>
      <w:rPr>
        <w:rFonts w:ascii="Times New Roman" w:eastAsia="Times New Roman" w:hAnsi="Times New Roman" w:cs="Times New Roman"/>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5888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F7"/>
    <w:rsid w:val="00143165"/>
    <w:rsid w:val="00637624"/>
    <w:rsid w:val="008D18F7"/>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1548FCC7"/>
  <w15:docId w15:val="{2631D12C-019F-F045-9971-FBE15431D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VoifIZe9FNRU3KZ1T5PhBKRRnw==">CgMxLjA4AHIhMVRrSDR4LS15dVBpNzEwYlVCTjBrUWx3UDE1NlpTYVJ3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4491</Words>
  <Characters>25600</Characters>
  <Application>Microsoft Office Word</Application>
  <DocSecurity>0</DocSecurity>
  <Lines>213</Lines>
  <Paragraphs>60</Paragraphs>
  <ScaleCrop>false</ScaleCrop>
  <Company/>
  <LinksUpToDate>false</LinksUpToDate>
  <CharactersWithSpaces>30031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Matteo Cristofaro</cp:lastModifiedBy>
  <cp:revision>2</cp:revision>
  <dcterms:created xsi:type="dcterms:W3CDTF">2024-05-26T06:39:00Z</dcterms:created>
  <dcterms:modified xsi:type="dcterms:W3CDTF">2024-05-26T06:39:00Z</dcterms:modified>
</cp:coreProperties>
</file>