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A2223" w14:textId="59130D1C" w:rsidR="007C60AC" w:rsidRDefault="007C60AC" w:rsidP="00405D5B">
      <w:pPr>
        <w:widowControl w:val="0"/>
        <w:spacing w:after="0" w:line="240" w:lineRule="auto"/>
        <w:rPr>
          <w:rFonts w:ascii="Times New Roman" w:eastAsia="Times New Roman" w:hAnsi="Times New Roman"/>
          <w:sz w:val="20"/>
          <w:szCs w:val="20"/>
          <w:lang w:eastAsia="it-IT"/>
        </w:rPr>
      </w:pPr>
    </w:p>
    <w:p w14:paraId="7CF24F44" w14:textId="3F3DE021" w:rsidR="002A2593" w:rsidRPr="00B821FE" w:rsidRDefault="002A2593" w:rsidP="002A2593">
      <w:pPr>
        <w:spacing w:after="0"/>
        <w:jc w:val="center"/>
        <w:rPr>
          <w:rFonts w:ascii="Times New Roman" w:hAnsi="Times New Roman" w:cs="Times New Roman"/>
          <w:bCs/>
          <w:i/>
          <w:color w:val="000000" w:themeColor="text1"/>
        </w:rPr>
      </w:pPr>
      <w:r w:rsidRPr="00FD12CA">
        <w:rPr>
          <w:rFonts w:ascii="Times New Roman" w:hAnsi="Times New Roman" w:cs="Times New Roman"/>
          <w:b/>
          <w:iCs/>
          <w:color w:val="000000" w:themeColor="text1"/>
        </w:rPr>
        <w:t xml:space="preserve">Table </w:t>
      </w:r>
      <w:r w:rsidR="00DB26FE" w:rsidRPr="00FD12CA">
        <w:rPr>
          <w:rFonts w:ascii="Times New Roman" w:hAnsi="Times New Roman" w:cs="Times New Roman"/>
          <w:b/>
          <w:iCs/>
          <w:color w:val="000000" w:themeColor="text1"/>
        </w:rPr>
        <w:t>I</w:t>
      </w:r>
      <w:r w:rsidR="00F91A74" w:rsidRPr="00FD12CA">
        <w:rPr>
          <w:rFonts w:ascii="Times New Roman" w:hAnsi="Times New Roman" w:cs="Times New Roman"/>
          <w:b/>
          <w:iCs/>
          <w:color w:val="000000" w:themeColor="text1"/>
        </w:rPr>
        <w:t>V</w:t>
      </w:r>
      <w:r w:rsidRPr="00FD12CA">
        <w:rPr>
          <w:rFonts w:ascii="Times New Roman" w:hAnsi="Times New Roman" w:cs="Times New Roman"/>
          <w:b/>
          <w:iCs/>
          <w:color w:val="000000" w:themeColor="text1"/>
        </w:rPr>
        <w:t>:</w:t>
      </w:r>
      <w:r w:rsidRPr="00B821FE">
        <w:rPr>
          <w:rFonts w:ascii="Times New Roman" w:hAnsi="Times New Roman" w:cs="Times New Roman"/>
          <w:bCs/>
          <w:i/>
          <w:color w:val="000000" w:themeColor="text1"/>
        </w:rPr>
        <w:t xml:space="preserve">  The </w:t>
      </w:r>
      <w:r w:rsidR="00B3001D">
        <w:rPr>
          <w:rFonts w:ascii="Times New Roman" w:hAnsi="Times New Roman" w:cs="Times New Roman"/>
          <w:bCs/>
          <w:i/>
          <w:color w:val="000000" w:themeColor="text1"/>
        </w:rPr>
        <w:t>principal</w:t>
      </w:r>
      <w:r w:rsidR="00B3001D" w:rsidRPr="00B821FE">
        <w:rPr>
          <w:rFonts w:ascii="Times New Roman" w:hAnsi="Times New Roman" w:cs="Times New Roman"/>
          <w:bCs/>
          <w:i/>
          <w:color w:val="000000" w:themeColor="text1"/>
        </w:rPr>
        <w:t xml:space="preserve"> </w:t>
      </w:r>
      <w:r w:rsidRPr="00B821FE">
        <w:rPr>
          <w:rFonts w:ascii="Times New Roman" w:hAnsi="Times New Roman" w:cs="Times New Roman"/>
          <w:bCs/>
          <w:i/>
          <w:color w:val="000000" w:themeColor="text1"/>
        </w:rPr>
        <w:t>literature on pricing strategies and business model configurations in grocery retailing</w:t>
      </w:r>
    </w:p>
    <w:p w14:paraId="76D7DD4F" w14:textId="77777777" w:rsidR="002A2593" w:rsidRPr="00B821FE" w:rsidRDefault="002A2593" w:rsidP="002A2593">
      <w:pPr>
        <w:widowControl w:val="0"/>
        <w:spacing w:after="0" w:line="480" w:lineRule="auto"/>
        <w:jc w:val="center"/>
        <w:rPr>
          <w:rFonts w:ascii="Times New Roman" w:eastAsia="Times New Roman" w:hAnsi="Times New Roman" w:cs="Times New Roman"/>
          <w:i/>
          <w:color w:val="000000"/>
          <w:sz w:val="18"/>
          <w:szCs w:val="18"/>
          <w:shd w:val="clear" w:color="auto" w:fill="FFFFFF"/>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350"/>
        <w:gridCol w:w="5949"/>
      </w:tblGrid>
      <w:tr w:rsidR="002A2593" w:rsidRPr="00B821FE" w14:paraId="5E9068B9" w14:textId="77777777" w:rsidTr="00176DF7">
        <w:trPr>
          <w:trHeight w:val="170"/>
        </w:trPr>
        <w:tc>
          <w:tcPr>
            <w:tcW w:w="1194" w:type="dxa"/>
          </w:tcPr>
          <w:p w14:paraId="52521868" w14:textId="77777777" w:rsidR="002A2593" w:rsidRPr="00B821FE" w:rsidRDefault="002A2593" w:rsidP="0087309D">
            <w:pPr>
              <w:widowControl w:val="0"/>
              <w:tabs>
                <w:tab w:val="left" w:pos="1103"/>
              </w:tabs>
              <w:spacing w:after="0" w:line="480" w:lineRule="auto"/>
              <w:contextualSpacing/>
              <w:jc w:val="center"/>
              <w:rPr>
                <w:rFonts w:ascii="Times New Roman" w:hAnsi="Times New Roman" w:cs="Times New Roman"/>
                <w:b/>
                <w:color w:val="000000"/>
                <w:sz w:val="18"/>
                <w:szCs w:val="16"/>
              </w:rPr>
            </w:pPr>
            <w:r w:rsidRPr="00B821FE">
              <w:rPr>
                <w:rFonts w:ascii="Times New Roman" w:hAnsi="Times New Roman" w:cs="Times New Roman"/>
                <w:b/>
                <w:color w:val="000000"/>
                <w:sz w:val="18"/>
                <w:szCs w:val="16"/>
              </w:rPr>
              <w:t>References</w:t>
            </w:r>
          </w:p>
        </w:tc>
        <w:tc>
          <w:tcPr>
            <w:tcW w:w="2350" w:type="dxa"/>
          </w:tcPr>
          <w:p w14:paraId="327F3F99" w14:textId="77777777" w:rsidR="002A2593" w:rsidRPr="00B821FE" w:rsidRDefault="002A2593" w:rsidP="0087309D">
            <w:pPr>
              <w:widowControl w:val="0"/>
              <w:spacing w:after="0" w:line="480" w:lineRule="auto"/>
              <w:contextualSpacing/>
              <w:jc w:val="center"/>
              <w:rPr>
                <w:rFonts w:ascii="Times New Roman" w:hAnsi="Times New Roman" w:cs="Times New Roman"/>
                <w:b/>
                <w:color w:val="000000"/>
                <w:sz w:val="18"/>
                <w:szCs w:val="16"/>
              </w:rPr>
            </w:pPr>
            <w:r w:rsidRPr="00B821FE">
              <w:rPr>
                <w:rFonts w:ascii="Times New Roman" w:hAnsi="Times New Roman" w:cs="Times New Roman"/>
                <w:b/>
                <w:color w:val="000000"/>
                <w:sz w:val="18"/>
                <w:szCs w:val="16"/>
              </w:rPr>
              <w:t>Focus</w:t>
            </w:r>
          </w:p>
        </w:tc>
        <w:tc>
          <w:tcPr>
            <w:tcW w:w="5949" w:type="dxa"/>
          </w:tcPr>
          <w:p w14:paraId="56B7A70C" w14:textId="77777777" w:rsidR="002A2593" w:rsidRPr="00B821FE" w:rsidRDefault="002A2593" w:rsidP="0087309D">
            <w:pPr>
              <w:widowControl w:val="0"/>
              <w:spacing w:after="0" w:line="480" w:lineRule="auto"/>
              <w:contextualSpacing/>
              <w:jc w:val="center"/>
              <w:rPr>
                <w:rFonts w:ascii="Times New Roman" w:hAnsi="Times New Roman" w:cs="Times New Roman"/>
                <w:b/>
                <w:color w:val="000000"/>
                <w:sz w:val="18"/>
                <w:szCs w:val="16"/>
              </w:rPr>
            </w:pPr>
            <w:r w:rsidRPr="00B821FE">
              <w:rPr>
                <w:rFonts w:ascii="Times New Roman" w:hAnsi="Times New Roman" w:cs="Times New Roman"/>
                <w:b/>
                <w:color w:val="000000"/>
                <w:sz w:val="18"/>
                <w:szCs w:val="16"/>
              </w:rPr>
              <w:t>Main empirical evidence</w:t>
            </w:r>
          </w:p>
        </w:tc>
      </w:tr>
      <w:tr w:rsidR="002A2593" w:rsidRPr="00B821FE" w14:paraId="023F68C2" w14:textId="77777777" w:rsidTr="00176DF7">
        <w:trPr>
          <w:trHeight w:val="170"/>
        </w:trPr>
        <w:tc>
          <w:tcPr>
            <w:tcW w:w="1194" w:type="dxa"/>
          </w:tcPr>
          <w:p w14:paraId="55B66595"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Gerhard et al., (2005)</w:t>
            </w:r>
          </w:p>
        </w:tc>
        <w:tc>
          <w:tcPr>
            <w:tcW w:w="2350" w:type="dxa"/>
          </w:tcPr>
          <w:p w14:paraId="5163EA82"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Walmart and Aldi: Two Retail Giants in Germany</w:t>
            </w:r>
          </w:p>
        </w:tc>
        <w:tc>
          <w:tcPr>
            <w:tcW w:w="5949" w:type="dxa"/>
          </w:tcPr>
          <w:p w14:paraId="01284DDB" w14:textId="11E9BCCE"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“In Germany, retailers can only offer low prices if they have a vast supply network</w:t>
            </w:r>
            <w:r w:rsidR="00822185">
              <w:rPr>
                <w:rFonts w:ascii="Times New Roman" w:hAnsi="Times New Roman" w:cs="Times New Roman"/>
                <w:i/>
                <w:color w:val="000000"/>
                <w:sz w:val="20"/>
                <w:szCs w:val="20"/>
              </w:rPr>
              <w:t>,</w:t>
            </w:r>
            <w:r w:rsidRPr="009A2901">
              <w:rPr>
                <w:rFonts w:ascii="Times New Roman" w:hAnsi="Times New Roman" w:cs="Times New Roman"/>
                <w:i/>
                <w:color w:val="000000"/>
                <w:sz w:val="20"/>
                <w:szCs w:val="20"/>
              </w:rPr>
              <w:t xml:space="preserve"> and producers depend on </w:t>
            </w:r>
            <w:r w:rsidR="00822185">
              <w:rPr>
                <w:rFonts w:ascii="Times New Roman" w:hAnsi="Times New Roman" w:cs="Times New Roman"/>
                <w:i/>
                <w:color w:val="000000"/>
                <w:sz w:val="20"/>
                <w:szCs w:val="20"/>
              </w:rPr>
              <w:t>a</w:t>
            </w:r>
            <w:r w:rsidRPr="009A2901">
              <w:rPr>
                <w:rFonts w:ascii="Times New Roman" w:hAnsi="Times New Roman" w:cs="Times New Roman"/>
                <w:i/>
                <w:color w:val="000000"/>
                <w:sz w:val="20"/>
                <w:szCs w:val="20"/>
              </w:rPr>
              <w:t xml:space="preserve"> one major retailer. This is certainly the case for Aldi, but not for Walmart. Walmart </w:t>
            </w:r>
            <w:proofErr w:type="gramStart"/>
            <w:r w:rsidRPr="009A2901">
              <w:rPr>
                <w:rFonts w:ascii="Times New Roman" w:hAnsi="Times New Roman" w:cs="Times New Roman"/>
                <w:i/>
                <w:color w:val="000000"/>
                <w:sz w:val="20"/>
                <w:szCs w:val="20"/>
              </w:rPr>
              <w:t>has to</w:t>
            </w:r>
            <w:proofErr w:type="gramEnd"/>
            <w:r w:rsidRPr="009A2901">
              <w:rPr>
                <w:rFonts w:ascii="Times New Roman" w:hAnsi="Times New Roman" w:cs="Times New Roman"/>
                <w:i/>
                <w:color w:val="000000"/>
                <w:sz w:val="20"/>
                <w:szCs w:val="20"/>
              </w:rPr>
              <w:t xml:space="preserve"> increase the number of stores considerably to negotiate better prices and improve logistics. However, expanding their store network is not that easy. Due to the scarcity of new development sites, Walmart is looking for appropriate partners in the national market. So far, this strategy has not worked out. Most of the existing companies either do not fit into the Walmart concept or are not for sale.”</w:t>
            </w:r>
          </w:p>
        </w:tc>
      </w:tr>
      <w:tr w:rsidR="002A2593" w:rsidRPr="00B821FE" w14:paraId="60D85C1B" w14:textId="77777777" w:rsidTr="00176DF7">
        <w:trPr>
          <w:trHeight w:val="170"/>
        </w:trPr>
        <w:tc>
          <w:tcPr>
            <w:tcW w:w="1194" w:type="dxa"/>
          </w:tcPr>
          <w:p w14:paraId="55A295AC"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Cascio, (2006)</w:t>
            </w:r>
          </w:p>
        </w:tc>
        <w:tc>
          <w:tcPr>
            <w:tcW w:w="2350" w:type="dxa"/>
          </w:tcPr>
          <w:p w14:paraId="5954B97D" w14:textId="5830FA7B"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Decency means more than “always low prices”: A comparison of Costco </w:t>
            </w:r>
            <w:r w:rsidR="00FA2002">
              <w:rPr>
                <w:rFonts w:ascii="Times New Roman" w:hAnsi="Times New Roman" w:cs="Times New Roman"/>
                <w:color w:val="000000"/>
                <w:sz w:val="20"/>
                <w:szCs w:val="20"/>
              </w:rPr>
              <w:t>and</w:t>
            </w:r>
            <w:r w:rsidRPr="009A2901">
              <w:rPr>
                <w:rFonts w:ascii="Times New Roman" w:hAnsi="Times New Roman" w:cs="Times New Roman"/>
                <w:color w:val="000000"/>
                <w:sz w:val="20"/>
                <w:szCs w:val="20"/>
              </w:rPr>
              <w:t xml:space="preserve"> </w:t>
            </w:r>
            <w:r w:rsidR="0016461B" w:rsidRPr="009A2901">
              <w:rPr>
                <w:rFonts w:ascii="Times New Roman" w:hAnsi="Times New Roman" w:cs="Times New Roman"/>
                <w:color w:val="000000"/>
                <w:sz w:val="20"/>
                <w:szCs w:val="20"/>
              </w:rPr>
              <w:t>Wal-Mart’s</w:t>
            </w:r>
            <w:r w:rsidRPr="009A2901">
              <w:rPr>
                <w:rFonts w:ascii="Times New Roman" w:hAnsi="Times New Roman" w:cs="Times New Roman"/>
                <w:color w:val="000000"/>
                <w:sz w:val="20"/>
                <w:szCs w:val="20"/>
              </w:rPr>
              <w:t xml:space="preserve"> Sam</w:t>
            </w:r>
            <w:r w:rsidR="000A1979">
              <w:rPr>
                <w:rFonts w:ascii="Times New Roman" w:hAnsi="Times New Roman" w:cs="Times New Roman"/>
                <w:color w:val="000000"/>
                <w:sz w:val="20"/>
                <w:szCs w:val="20"/>
              </w:rPr>
              <w:t>’</w:t>
            </w:r>
            <w:r w:rsidRPr="009A2901">
              <w:rPr>
                <w:rFonts w:ascii="Times New Roman" w:hAnsi="Times New Roman" w:cs="Times New Roman"/>
                <w:color w:val="000000"/>
                <w:sz w:val="20"/>
                <w:szCs w:val="20"/>
              </w:rPr>
              <w:t xml:space="preserve">s </w:t>
            </w:r>
            <w:r w:rsidR="00822185">
              <w:rPr>
                <w:rFonts w:ascii="Times New Roman" w:hAnsi="Times New Roman" w:cs="Times New Roman"/>
                <w:color w:val="000000"/>
                <w:sz w:val="20"/>
                <w:szCs w:val="20"/>
              </w:rPr>
              <w:t>Club</w:t>
            </w:r>
          </w:p>
        </w:tc>
        <w:tc>
          <w:tcPr>
            <w:tcW w:w="5949" w:type="dxa"/>
          </w:tcPr>
          <w:p w14:paraId="225CE560" w14:textId="7809165D"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“...Costco is constantly looking for ways to increase efficiency, such as by repackaging goods into bulk items to reduce labour, speeding up Costco’s just-in-time inventory and distribution system, and boosting sales per square foot. Nor have rivals been able to match Costco’s innovative packaging or merchandising mix. For example, Costco was the first wholesale club to offer fresh meat, pharmacies, and photo labs. Defenders of </w:t>
            </w:r>
            <w:r w:rsidR="0016461B" w:rsidRPr="009A2901">
              <w:rPr>
                <w:rFonts w:ascii="Times New Roman" w:hAnsi="Times New Roman" w:cs="Times New Roman"/>
                <w:i/>
                <w:color w:val="000000"/>
                <w:sz w:val="20"/>
                <w:szCs w:val="20"/>
              </w:rPr>
              <w:t>Wal-Mart’s</w:t>
            </w:r>
            <w:r w:rsidRPr="009A2901">
              <w:rPr>
                <w:rFonts w:ascii="Times New Roman" w:hAnsi="Times New Roman" w:cs="Times New Roman"/>
                <w:i/>
                <w:color w:val="000000"/>
                <w:sz w:val="20"/>
                <w:szCs w:val="20"/>
              </w:rPr>
              <w:t xml:space="preserve"> low-wage strategy focus on the undeniable benefits its low prices bring to consumers...”</w:t>
            </w:r>
          </w:p>
        </w:tc>
      </w:tr>
      <w:tr w:rsidR="002A2593" w:rsidRPr="00B821FE" w14:paraId="69B03335" w14:textId="77777777" w:rsidTr="00176DF7">
        <w:trPr>
          <w:trHeight w:val="170"/>
        </w:trPr>
        <w:tc>
          <w:tcPr>
            <w:tcW w:w="1194" w:type="dxa"/>
          </w:tcPr>
          <w:p w14:paraId="34CE7AC7" w14:textId="77777777" w:rsidR="002A2593" w:rsidRPr="009A2901" w:rsidRDefault="002A2593" w:rsidP="0087309D">
            <w:pPr>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Sorescu et al., (2011)</w:t>
            </w:r>
          </w:p>
        </w:tc>
        <w:tc>
          <w:tcPr>
            <w:tcW w:w="2350" w:type="dxa"/>
          </w:tcPr>
          <w:p w14:paraId="7048E720" w14:textId="77777777" w:rsidR="002A2593" w:rsidRPr="009A2901" w:rsidRDefault="002A2593" w:rsidP="0087309D">
            <w:pPr>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Innovations in retail business models</w:t>
            </w:r>
          </w:p>
        </w:tc>
        <w:tc>
          <w:tcPr>
            <w:tcW w:w="5949" w:type="dxa"/>
          </w:tcPr>
          <w:p w14:paraId="37D7B7BA" w14:textId="083FAC54" w:rsidR="002A2593" w:rsidRPr="009A2901" w:rsidRDefault="002A2593" w:rsidP="0087309D">
            <w:pPr>
              <w:spacing w:after="0"/>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“Drawing from extant strategy and retailing research, we propose that innovations in retail business models are best viewed as changes in three design components: (1) how the activities are </w:t>
            </w:r>
            <w:r w:rsidR="00822185">
              <w:rPr>
                <w:rFonts w:ascii="Times New Roman" w:hAnsi="Times New Roman" w:cs="Times New Roman"/>
                <w:i/>
                <w:color w:val="000000"/>
                <w:sz w:val="20"/>
                <w:szCs w:val="20"/>
              </w:rPr>
              <w:t>organised</w:t>
            </w:r>
            <w:r w:rsidRPr="009A2901">
              <w:rPr>
                <w:rFonts w:ascii="Times New Roman" w:hAnsi="Times New Roman" w:cs="Times New Roman"/>
                <w:i/>
                <w:color w:val="000000"/>
                <w:sz w:val="20"/>
                <w:szCs w:val="20"/>
              </w:rPr>
              <w:t>, (2) the type of activities that are executed, and (3) the level of participation of the actors engaged in performing those activities. We propose six major ways in which retailers could innovate their business models to enhance value creation and appropriation beyond the levels afforded by traditional approaches to retailing”</w:t>
            </w:r>
          </w:p>
        </w:tc>
      </w:tr>
      <w:tr w:rsidR="002A2593" w:rsidRPr="00B821FE" w14:paraId="7DD7E183" w14:textId="77777777" w:rsidTr="00176DF7">
        <w:trPr>
          <w:trHeight w:val="170"/>
        </w:trPr>
        <w:tc>
          <w:tcPr>
            <w:tcW w:w="1194" w:type="dxa"/>
          </w:tcPr>
          <w:p w14:paraId="27A973E3"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Hyman et al., (2010)</w:t>
            </w:r>
          </w:p>
        </w:tc>
        <w:tc>
          <w:tcPr>
            <w:tcW w:w="2350" w:type="dxa"/>
          </w:tcPr>
          <w:p w14:paraId="2ACF9A11" w14:textId="5770E1A2" w:rsidR="002A2593" w:rsidRPr="009A2901" w:rsidRDefault="00FA2002" w:rsidP="0087309D">
            <w:pPr>
              <w:widowControl w:val="0"/>
              <w:spacing w:after="0"/>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Literature review </w:t>
            </w:r>
            <w:r w:rsidR="002A2593" w:rsidRPr="009A2901">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002A2593" w:rsidRPr="009A2901">
              <w:rPr>
                <w:rFonts w:ascii="Times New Roman" w:hAnsi="Times New Roman" w:cs="Times New Roman"/>
                <w:color w:val="000000"/>
                <w:sz w:val="20"/>
                <w:szCs w:val="20"/>
              </w:rPr>
              <w:t>Future research suggestions: Private label brands: Benefits, success factors and future research</w:t>
            </w:r>
          </w:p>
        </w:tc>
        <w:tc>
          <w:tcPr>
            <w:tcW w:w="5949" w:type="dxa"/>
          </w:tcPr>
          <w:p w14:paraId="79564667" w14:textId="5AB7395B"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“Owing to changing market conditions, researchers should disaggregate PLBs based on product market characteristics, competitive factors, retail store-image concerns, distribution level, source characteristics and product positioning strategy. </w:t>
            </w:r>
            <w:r w:rsidR="00822185">
              <w:rPr>
                <w:rFonts w:ascii="Times New Roman" w:hAnsi="Times New Roman" w:cs="Times New Roman"/>
                <w:i/>
                <w:color w:val="000000"/>
                <w:sz w:val="20"/>
                <w:szCs w:val="20"/>
              </w:rPr>
              <w:t>Organising</w:t>
            </w:r>
            <w:r w:rsidRPr="009A2901">
              <w:rPr>
                <w:rFonts w:ascii="Times New Roman" w:hAnsi="Times New Roman" w:cs="Times New Roman"/>
                <w:i/>
                <w:color w:val="000000"/>
                <w:sz w:val="20"/>
                <w:szCs w:val="20"/>
              </w:rPr>
              <w:t xml:space="preserve"> future research relative to the main </w:t>
            </w:r>
            <w:r w:rsidR="00822185">
              <w:rPr>
                <w:rFonts w:ascii="Times New Roman" w:hAnsi="Times New Roman" w:cs="Times New Roman"/>
                <w:i/>
                <w:color w:val="000000"/>
                <w:sz w:val="20"/>
                <w:szCs w:val="20"/>
              </w:rPr>
              <w:t>stakeholders,</w:t>
            </w:r>
            <w:r w:rsidRPr="009A2901">
              <w:rPr>
                <w:rFonts w:ascii="Times New Roman" w:hAnsi="Times New Roman" w:cs="Times New Roman"/>
                <w:i/>
                <w:color w:val="000000"/>
                <w:sz w:val="20"/>
                <w:szCs w:val="20"/>
              </w:rPr>
              <w:t xml:space="preserve"> consumers, retailers and manufacturers should clarify the research agenda and encourage more consumer-related studies. Finally, case study research should advance PLB-related scholarship”</w:t>
            </w:r>
          </w:p>
        </w:tc>
      </w:tr>
      <w:tr w:rsidR="002A2593" w:rsidRPr="00B821FE" w14:paraId="6D59AFC9" w14:textId="77777777" w:rsidTr="00176DF7">
        <w:trPr>
          <w:trHeight w:val="170"/>
        </w:trPr>
        <w:tc>
          <w:tcPr>
            <w:tcW w:w="1194" w:type="dxa"/>
          </w:tcPr>
          <w:p w14:paraId="5DF367C8"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Chuang et al., (2011)</w:t>
            </w:r>
          </w:p>
        </w:tc>
        <w:tc>
          <w:tcPr>
            <w:tcW w:w="2350" w:type="dxa"/>
          </w:tcPr>
          <w:p w14:paraId="5DE153F9" w14:textId="208CE3FD" w:rsidR="002A2593" w:rsidRPr="009A2901" w:rsidRDefault="001E6B6B" w:rsidP="0087309D">
            <w:pPr>
              <w:widowControl w:val="0"/>
              <w:spacing w:after="0"/>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The experiences of </w:t>
            </w:r>
            <w:r w:rsidR="002A2593" w:rsidRPr="009A2901">
              <w:rPr>
                <w:rFonts w:ascii="Times New Roman" w:hAnsi="Times New Roman" w:cs="Times New Roman"/>
                <w:color w:val="000000"/>
                <w:sz w:val="20"/>
                <w:szCs w:val="20"/>
              </w:rPr>
              <w:t>Walmart and Carrefour in China: resolving the structural paradox</w:t>
            </w:r>
          </w:p>
        </w:tc>
        <w:tc>
          <w:tcPr>
            <w:tcW w:w="5949" w:type="dxa"/>
          </w:tcPr>
          <w:p w14:paraId="285F5C03" w14:textId="6C51863F"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“Walmart and Carrefour have so far failed to extend their oligopolistic dominance to the Chinese market. Walmart has stressed its well-known </w:t>
            </w:r>
            <w:r w:rsidR="00822185">
              <w:rPr>
                <w:rFonts w:ascii="Times New Roman" w:hAnsi="Times New Roman" w:cs="Times New Roman"/>
                <w:i/>
                <w:color w:val="000000"/>
                <w:sz w:val="20"/>
                <w:szCs w:val="20"/>
              </w:rPr>
              <w:t>standardisation</w:t>
            </w:r>
            <w:r w:rsidRPr="009A2901">
              <w:rPr>
                <w:rFonts w:ascii="Times New Roman" w:hAnsi="Times New Roman" w:cs="Times New Roman"/>
                <w:i/>
                <w:color w:val="000000"/>
                <w:sz w:val="20"/>
                <w:szCs w:val="20"/>
              </w:rPr>
              <w:t xml:space="preserve"> of operations, whereas Carrefour has better adapted to the Chinese economic culture. Issues identified are the formation of partnership alliances and their impact on store location choice; the effect of under-developed infrastructure on distribution and logistics; the unique Chinese business culture guanxi (using social capital to build business relationships) and its influence on supplier relationships; the variety of consumer behaviour and its effect on procurement and </w:t>
            </w:r>
            <w:proofErr w:type="gramStart"/>
            <w:r w:rsidRPr="009A2901">
              <w:rPr>
                <w:rFonts w:ascii="Times New Roman" w:hAnsi="Times New Roman" w:cs="Times New Roman"/>
                <w:i/>
                <w:color w:val="000000"/>
                <w:sz w:val="20"/>
                <w:szCs w:val="20"/>
              </w:rPr>
              <w:lastRenderedPageBreak/>
              <w:t>sourcing;</w:t>
            </w:r>
            <w:proofErr w:type="gramEnd"/>
            <w:r w:rsidRPr="009A2901">
              <w:rPr>
                <w:rFonts w:ascii="Times New Roman" w:hAnsi="Times New Roman" w:cs="Times New Roman"/>
                <w:i/>
                <w:color w:val="000000"/>
                <w:sz w:val="20"/>
                <w:szCs w:val="20"/>
              </w:rPr>
              <w:t xml:space="preserve"> and an immature information technology environment which impedes information sharing between supply chain partners. While both firms have had some degree of success, neither has been able to match the combined growth of their larger Chinese competitors”</w:t>
            </w:r>
          </w:p>
        </w:tc>
      </w:tr>
      <w:tr w:rsidR="002A2593" w:rsidRPr="00B821FE" w14:paraId="465D0E80" w14:textId="77777777" w:rsidTr="00176DF7">
        <w:trPr>
          <w:trHeight w:val="170"/>
        </w:trPr>
        <w:tc>
          <w:tcPr>
            <w:tcW w:w="1194" w:type="dxa"/>
          </w:tcPr>
          <w:p w14:paraId="1C8079EE"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lastRenderedPageBreak/>
              <w:t>López-González et al., (2013)</w:t>
            </w:r>
          </w:p>
        </w:tc>
        <w:tc>
          <w:tcPr>
            <w:tcW w:w="2350" w:type="dxa"/>
          </w:tcPr>
          <w:p w14:paraId="07D2563D"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Mercadona (Spain): a retail model in expansion</w:t>
            </w:r>
          </w:p>
        </w:tc>
        <w:tc>
          <w:tcPr>
            <w:tcW w:w="5949" w:type="dxa"/>
          </w:tcPr>
          <w:p w14:paraId="2B430D2C" w14:textId="6B88B35E"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“Throughout this article, we have tried to illustrate the trajectory of Mercadona using Wal-Mart as a reference point, on which there is ample information. This starting point does not mask the existence of big differences between both, as much in terms of scale as in internal complexity; but there are also some similarities: their origin on the periphery concerning the main market centres, the commercial philosophy applied, the rapid expansion to leadership or the </w:t>
            </w:r>
            <w:r w:rsidR="00822185">
              <w:rPr>
                <w:rFonts w:ascii="Times New Roman" w:hAnsi="Times New Roman" w:cs="Times New Roman"/>
                <w:i/>
                <w:color w:val="000000"/>
                <w:sz w:val="20"/>
                <w:szCs w:val="20"/>
              </w:rPr>
              <w:t>cost</w:t>
            </w:r>
            <w:r w:rsidRPr="009A2901">
              <w:rPr>
                <w:rFonts w:ascii="Times New Roman" w:hAnsi="Times New Roman" w:cs="Times New Roman"/>
                <w:i/>
                <w:color w:val="000000"/>
                <w:sz w:val="20"/>
                <w:szCs w:val="20"/>
              </w:rPr>
              <w:t xml:space="preserve"> policy… </w:t>
            </w:r>
            <w:proofErr w:type="spellStart"/>
            <w:r w:rsidRPr="009A2901">
              <w:rPr>
                <w:rFonts w:ascii="Times New Roman" w:hAnsi="Times New Roman" w:cs="Times New Roman"/>
                <w:i/>
                <w:color w:val="000000"/>
                <w:sz w:val="20"/>
                <w:szCs w:val="20"/>
              </w:rPr>
              <w:t>Mercadona</w:t>
            </w:r>
            <w:proofErr w:type="spellEnd"/>
            <w:r w:rsidRPr="009A2901">
              <w:rPr>
                <w:rFonts w:ascii="Times New Roman" w:hAnsi="Times New Roman" w:cs="Times New Roman"/>
                <w:i/>
                <w:color w:val="000000"/>
                <w:sz w:val="20"/>
                <w:szCs w:val="20"/>
              </w:rPr>
              <w:t xml:space="preserve"> finds itself in the same situation as Walmart, with a structure and philosophy which has been efficient in Spain but could encounter the same obstacles abroad. The main operative advantage of the Spanish company is the tight control of its suppliers; this circumstance is difficult to control in other markets”</w:t>
            </w:r>
          </w:p>
        </w:tc>
      </w:tr>
      <w:tr w:rsidR="002A2593" w:rsidRPr="00FD12CA" w14:paraId="51040859" w14:textId="77777777" w:rsidTr="00176DF7">
        <w:trPr>
          <w:trHeight w:val="170"/>
        </w:trPr>
        <w:tc>
          <w:tcPr>
            <w:tcW w:w="1194" w:type="dxa"/>
          </w:tcPr>
          <w:p w14:paraId="7B022335"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proofErr w:type="spellStart"/>
            <w:r w:rsidRPr="009A2901">
              <w:rPr>
                <w:rFonts w:ascii="Times New Roman" w:hAnsi="Times New Roman" w:cs="Times New Roman"/>
                <w:color w:val="000000"/>
                <w:sz w:val="20"/>
                <w:szCs w:val="20"/>
              </w:rPr>
              <w:t>Sendagorta</w:t>
            </w:r>
            <w:proofErr w:type="spellEnd"/>
            <w:r w:rsidRPr="009A2901">
              <w:rPr>
                <w:rFonts w:ascii="Times New Roman" w:hAnsi="Times New Roman" w:cs="Times New Roman"/>
                <w:color w:val="000000"/>
                <w:sz w:val="20"/>
                <w:szCs w:val="20"/>
              </w:rPr>
              <w:t xml:space="preserve"> </w:t>
            </w:r>
            <w:proofErr w:type="spellStart"/>
            <w:r w:rsidRPr="009A2901">
              <w:rPr>
                <w:rFonts w:ascii="Times New Roman" w:hAnsi="Times New Roman" w:cs="Times New Roman"/>
                <w:color w:val="000000"/>
                <w:sz w:val="20"/>
                <w:szCs w:val="20"/>
              </w:rPr>
              <w:t>Laso</w:t>
            </w:r>
            <w:proofErr w:type="spellEnd"/>
            <w:r w:rsidRPr="009A2901">
              <w:rPr>
                <w:rFonts w:ascii="Times New Roman" w:hAnsi="Times New Roman" w:cs="Times New Roman"/>
                <w:color w:val="000000"/>
                <w:sz w:val="20"/>
                <w:szCs w:val="20"/>
              </w:rPr>
              <w:t>, (2014)</w:t>
            </w:r>
          </w:p>
        </w:tc>
        <w:tc>
          <w:tcPr>
            <w:tcW w:w="2350" w:type="dxa"/>
          </w:tcPr>
          <w:p w14:paraId="367A4748" w14:textId="77777777" w:rsidR="002A2593" w:rsidRDefault="002A2593" w:rsidP="0087309D">
            <w:pPr>
              <w:widowControl w:val="0"/>
              <w:spacing w:after="0"/>
              <w:contextualSpacing/>
              <w:jc w:val="both"/>
              <w:rPr>
                <w:rFonts w:ascii="Times New Roman" w:hAnsi="Times New Roman" w:cs="Times New Roman"/>
                <w:color w:val="000000"/>
                <w:sz w:val="20"/>
                <w:szCs w:val="20"/>
                <w:lang w:val="es-ES"/>
              </w:rPr>
            </w:pPr>
            <w:r w:rsidRPr="009A2901">
              <w:rPr>
                <w:rFonts w:ascii="Times New Roman" w:hAnsi="Times New Roman" w:cs="Times New Roman"/>
                <w:color w:val="000000"/>
                <w:sz w:val="20"/>
                <w:szCs w:val="20"/>
                <w:lang w:val="es-ES"/>
              </w:rPr>
              <w:t>El value for money de los consumidores y las estrategias competitivas de marketing en la distribución minorista de gran consumo: El caso Mercadona</w:t>
            </w:r>
          </w:p>
          <w:p w14:paraId="1C0D98E0" w14:textId="054B7A3F" w:rsidR="00BD200B" w:rsidRPr="00D33D34" w:rsidRDefault="00BD200B" w:rsidP="0087309D">
            <w:pPr>
              <w:widowControl w:val="0"/>
              <w:spacing w:after="0"/>
              <w:contextualSpacing/>
              <w:jc w:val="both"/>
              <w:rPr>
                <w:rFonts w:ascii="Times New Roman" w:hAnsi="Times New Roman" w:cs="Times New Roman"/>
                <w:i/>
                <w:iCs/>
                <w:color w:val="000000"/>
                <w:sz w:val="20"/>
                <w:szCs w:val="20"/>
                <w:lang w:val="es-ES"/>
              </w:rPr>
            </w:pPr>
            <w:r w:rsidRPr="00D33D34">
              <w:rPr>
                <w:rFonts w:ascii="Times New Roman" w:hAnsi="Times New Roman" w:cs="Times New Roman"/>
                <w:i/>
                <w:iCs/>
                <w:color w:val="000000"/>
                <w:sz w:val="20"/>
                <w:szCs w:val="20"/>
              </w:rPr>
              <w:t>Consumer value for money and competitive marketing strategies in FMCG retailing: The case of Mercadona</w:t>
            </w:r>
          </w:p>
        </w:tc>
        <w:tc>
          <w:tcPr>
            <w:tcW w:w="5949" w:type="dxa"/>
          </w:tcPr>
          <w:p w14:paraId="50AE7D26" w14:textId="79F597C7" w:rsidR="002A2593" w:rsidRPr="009A2901" w:rsidRDefault="002A2593" w:rsidP="0087309D">
            <w:pPr>
              <w:widowControl w:val="0"/>
              <w:spacing w:after="0"/>
              <w:contextualSpacing/>
              <w:jc w:val="both"/>
              <w:rPr>
                <w:rFonts w:ascii="Times New Roman" w:hAnsi="Times New Roman" w:cs="Times New Roman"/>
                <w:i/>
                <w:color w:val="000000"/>
                <w:sz w:val="20"/>
                <w:szCs w:val="20"/>
                <w:lang w:val="es-ES"/>
              </w:rPr>
            </w:pPr>
            <w:r w:rsidRPr="009A2901">
              <w:rPr>
                <w:rFonts w:ascii="Times New Roman" w:hAnsi="Times New Roman" w:cs="Times New Roman"/>
                <w:i/>
                <w:color w:val="000000"/>
                <w:sz w:val="20"/>
                <w:szCs w:val="20"/>
                <w:lang w:val="es-ES"/>
              </w:rPr>
              <w:t>“Mercadona ha encontrado la forma de ofrecer estos precios bajos todos los días principalmente gracias a su oferta de productos de marca propia (Hacendado, Bosque Verde, Deliplus). En el momento de su creación, estas marcas surgieron especialmente para dar respuesta a las exigencias de aquellos segmentos de consumidores que mostraban una mayor sensibilidad al precio. …muchas de estas marcas han tratado de diferenciarse utilizando para ello estrategias basadas en argumentos tales como un suministro de productos más innovadores, de mayor calidad y con un mayor grado de segmentación”</w:t>
            </w:r>
          </w:p>
        </w:tc>
      </w:tr>
      <w:tr w:rsidR="002A2593" w:rsidRPr="00B821FE" w14:paraId="0A5AAE74" w14:textId="77777777" w:rsidTr="00176DF7">
        <w:trPr>
          <w:trHeight w:val="170"/>
        </w:trPr>
        <w:tc>
          <w:tcPr>
            <w:tcW w:w="1194" w:type="dxa"/>
          </w:tcPr>
          <w:p w14:paraId="22C12D9A"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Brea‐Solís et al., (2015)</w:t>
            </w:r>
          </w:p>
        </w:tc>
        <w:tc>
          <w:tcPr>
            <w:tcW w:w="2350" w:type="dxa"/>
          </w:tcPr>
          <w:p w14:paraId="67FF3CAB"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Business model evaluation: quantifying Walmart's sources of advantage</w:t>
            </w:r>
          </w:p>
        </w:tc>
        <w:tc>
          <w:tcPr>
            <w:tcW w:w="5949" w:type="dxa"/>
          </w:tcPr>
          <w:p w14:paraId="45C75026" w14:textId="50FE6D16"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“The results revealed that while the first three CEOs pulled Walmart’s business model levers differently, the business model did not change. Perhaps the most important challenge Michael Duke (CEO since 2009) faces is deciding whether to continue Walmart’s traditional business model or to come up with a different, original set of levers that fundamentally redefines what it means to compete in discount retail”</w:t>
            </w:r>
          </w:p>
        </w:tc>
      </w:tr>
      <w:tr w:rsidR="002A2593" w:rsidRPr="00B821FE" w14:paraId="47BFED06" w14:textId="77777777" w:rsidTr="00176DF7">
        <w:trPr>
          <w:trHeight w:val="170"/>
        </w:trPr>
        <w:tc>
          <w:tcPr>
            <w:tcW w:w="1194" w:type="dxa"/>
          </w:tcPr>
          <w:p w14:paraId="53E35A27"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Cao et al., (2018)</w:t>
            </w:r>
          </w:p>
        </w:tc>
        <w:tc>
          <w:tcPr>
            <w:tcW w:w="2350" w:type="dxa"/>
          </w:tcPr>
          <w:p w14:paraId="540664FB"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Business model innovation: How the international retailers rebuild their core business logic in a new host country</w:t>
            </w:r>
          </w:p>
        </w:tc>
        <w:tc>
          <w:tcPr>
            <w:tcW w:w="5949" w:type="dxa"/>
          </w:tcPr>
          <w:p w14:paraId="145CD0B8" w14:textId="7D274B7C"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“We extend the research on international business literature by providing an analytical framework for explaining how the firms adapt and/or renew their business model in an international context. Although prior research has considered the product, mode and </w:t>
            </w:r>
            <w:r w:rsidR="00FD12CA">
              <w:rPr>
                <w:rFonts w:ascii="Times New Roman" w:hAnsi="Times New Roman" w:cs="Times New Roman"/>
                <w:i/>
                <w:color w:val="000000"/>
                <w:sz w:val="20"/>
                <w:szCs w:val="20"/>
              </w:rPr>
              <w:t>organisational</w:t>
            </w:r>
            <w:r w:rsidRPr="009A2901">
              <w:rPr>
                <w:rFonts w:ascii="Times New Roman" w:hAnsi="Times New Roman" w:cs="Times New Roman"/>
                <w:i/>
                <w:color w:val="000000"/>
                <w:sz w:val="20"/>
                <w:szCs w:val="20"/>
              </w:rPr>
              <w:t xml:space="preserve"> changes made by the firms while </w:t>
            </w:r>
            <w:r w:rsidR="00FD12CA">
              <w:rPr>
                <w:rFonts w:ascii="Times New Roman" w:hAnsi="Times New Roman" w:cs="Times New Roman"/>
                <w:i/>
                <w:color w:val="000000"/>
                <w:sz w:val="20"/>
                <w:szCs w:val="20"/>
              </w:rPr>
              <w:t>internationalising</w:t>
            </w:r>
            <w:r w:rsidRPr="009A2901">
              <w:rPr>
                <w:rFonts w:ascii="Times New Roman" w:hAnsi="Times New Roman" w:cs="Times New Roman"/>
                <w:i/>
                <w:color w:val="000000"/>
                <w:sz w:val="20"/>
                <w:szCs w:val="20"/>
              </w:rPr>
              <w:t>, it has not clarified the interdependency between the changes of these elements as well as the consequences of the changes”</w:t>
            </w:r>
          </w:p>
        </w:tc>
      </w:tr>
    </w:tbl>
    <w:p w14:paraId="28F4D247" w14:textId="77777777" w:rsidR="002A2593" w:rsidRPr="00B821FE" w:rsidRDefault="002A2593" w:rsidP="002A2593">
      <w:pPr>
        <w:widowControl w:val="0"/>
        <w:spacing w:after="0" w:line="480" w:lineRule="auto"/>
        <w:rPr>
          <w:rFonts w:ascii="Times New Roman" w:eastAsia="Times New Roman" w:hAnsi="Times New Roman" w:cs="Times New Roman"/>
          <w:color w:val="000000"/>
          <w:sz w:val="16"/>
          <w:szCs w:val="18"/>
          <w:shd w:val="clear" w:color="auto" w:fill="FFFFFF"/>
        </w:rPr>
      </w:pPr>
    </w:p>
    <w:p w14:paraId="5333B220" w14:textId="5813161C" w:rsidR="002A2593" w:rsidRPr="00B821FE" w:rsidRDefault="002A2593" w:rsidP="002A2593">
      <w:pPr>
        <w:widowControl w:val="0"/>
        <w:tabs>
          <w:tab w:val="left" w:pos="6693"/>
        </w:tabs>
        <w:spacing w:after="0" w:line="480" w:lineRule="auto"/>
        <w:ind w:firstLine="170"/>
        <w:jc w:val="both"/>
        <w:rPr>
          <w:rFonts w:ascii="Times New Roman" w:eastAsia="Times New Roman" w:hAnsi="Times New Roman" w:cs="Times New Roman"/>
          <w:color w:val="000000"/>
          <w:sz w:val="20"/>
          <w:szCs w:val="20"/>
          <w:shd w:val="clear" w:color="auto" w:fill="FFFFFF"/>
          <w:lang w:val="en-US"/>
        </w:rPr>
      </w:pPr>
      <w:r w:rsidRPr="00B821FE">
        <w:rPr>
          <w:rFonts w:ascii="Times New Roman" w:eastAsia="Times New Roman" w:hAnsi="Times New Roman" w:cs="Times New Roman"/>
          <w:color w:val="000000"/>
          <w:sz w:val="20"/>
          <w:szCs w:val="20"/>
          <w:shd w:val="clear" w:color="auto" w:fill="FFFFFF"/>
          <w:lang w:val="en-US"/>
        </w:rPr>
        <w:t xml:space="preserve">Source: </w:t>
      </w:r>
      <w:r w:rsidR="00FF4691">
        <w:rPr>
          <w:rFonts w:ascii="Times New Roman" w:eastAsia="Times New Roman" w:hAnsi="Times New Roman" w:cs="Times New Roman"/>
          <w:color w:val="000000"/>
          <w:sz w:val="20"/>
          <w:szCs w:val="20"/>
          <w:shd w:val="clear" w:color="auto" w:fill="FFFFFF"/>
          <w:lang w:val="en-US"/>
        </w:rPr>
        <w:t>t</w:t>
      </w:r>
      <w:r w:rsidRPr="00B821FE">
        <w:rPr>
          <w:rFonts w:ascii="Times New Roman" w:eastAsia="Times New Roman" w:hAnsi="Times New Roman" w:cs="Times New Roman"/>
          <w:color w:val="000000"/>
          <w:sz w:val="20"/>
          <w:szCs w:val="20"/>
          <w:shd w:val="clear" w:color="auto" w:fill="FFFFFF"/>
          <w:lang w:val="en-US"/>
        </w:rPr>
        <w:t>he authors.</w:t>
      </w:r>
    </w:p>
    <w:p w14:paraId="014568A5" w14:textId="77777777" w:rsidR="002A2593" w:rsidRPr="00B821FE" w:rsidRDefault="002A2593" w:rsidP="002A2593">
      <w:pPr>
        <w:widowControl w:val="0"/>
        <w:spacing w:after="0" w:line="480" w:lineRule="auto"/>
        <w:rPr>
          <w:rFonts w:ascii="Times New Roman" w:eastAsia="Times New Roman" w:hAnsi="Times New Roman" w:cs="Times New Roman"/>
          <w:color w:val="000000"/>
          <w:sz w:val="16"/>
          <w:szCs w:val="18"/>
          <w:shd w:val="clear" w:color="auto" w:fill="FFFFFF"/>
        </w:rPr>
      </w:pPr>
    </w:p>
    <w:p w14:paraId="5ECC2E72" w14:textId="77777777" w:rsidR="002A2593" w:rsidRPr="00B821FE" w:rsidRDefault="002A2593" w:rsidP="002A2593">
      <w:pPr>
        <w:widowControl w:val="0"/>
        <w:spacing w:after="0" w:line="480" w:lineRule="auto"/>
        <w:rPr>
          <w:rFonts w:ascii="Times New Roman" w:eastAsia="Times New Roman" w:hAnsi="Times New Roman" w:cs="Times New Roman"/>
          <w:color w:val="000000"/>
          <w:sz w:val="16"/>
          <w:szCs w:val="18"/>
          <w:shd w:val="clear" w:color="auto" w:fill="FFFFFF"/>
        </w:rPr>
      </w:pPr>
    </w:p>
    <w:p w14:paraId="5A1EC792" w14:textId="75ED12D4" w:rsidR="002A2593" w:rsidRPr="00B821FE" w:rsidRDefault="002A2593" w:rsidP="002A2593">
      <w:pPr>
        <w:spacing w:after="0"/>
        <w:jc w:val="center"/>
        <w:rPr>
          <w:rFonts w:ascii="Times New Roman" w:hAnsi="Times New Roman" w:cs="Times New Roman"/>
          <w:bCs/>
          <w:i/>
          <w:color w:val="000000" w:themeColor="text1"/>
        </w:rPr>
      </w:pPr>
      <w:r w:rsidRPr="0051414C">
        <w:rPr>
          <w:rFonts w:ascii="Times New Roman" w:hAnsi="Times New Roman" w:cs="Times New Roman"/>
          <w:b/>
          <w:iCs/>
          <w:color w:val="000000" w:themeColor="text1"/>
        </w:rPr>
        <w:lastRenderedPageBreak/>
        <w:t xml:space="preserve">Table </w:t>
      </w:r>
      <w:r w:rsidR="00F91A74" w:rsidRPr="0051414C">
        <w:rPr>
          <w:rFonts w:ascii="Times New Roman" w:hAnsi="Times New Roman" w:cs="Times New Roman"/>
          <w:b/>
          <w:iCs/>
          <w:color w:val="000000" w:themeColor="text1"/>
        </w:rPr>
        <w:t>V</w:t>
      </w:r>
      <w:r w:rsidRPr="00D33D34">
        <w:rPr>
          <w:rFonts w:ascii="Times New Roman" w:hAnsi="Times New Roman" w:cs="Times New Roman"/>
          <w:b/>
          <w:i/>
          <w:color w:val="000000" w:themeColor="text1"/>
        </w:rPr>
        <w:t>:</w:t>
      </w:r>
      <w:r w:rsidRPr="00B821FE">
        <w:rPr>
          <w:rFonts w:ascii="Times New Roman" w:hAnsi="Times New Roman" w:cs="Times New Roman"/>
          <w:bCs/>
          <w:i/>
          <w:color w:val="000000" w:themeColor="text1"/>
        </w:rPr>
        <w:t xml:space="preserve">  The </w:t>
      </w:r>
      <w:r w:rsidR="00B84AED">
        <w:rPr>
          <w:rFonts w:ascii="Times New Roman" w:hAnsi="Times New Roman" w:cs="Times New Roman"/>
          <w:bCs/>
          <w:i/>
          <w:color w:val="000000" w:themeColor="text1"/>
        </w:rPr>
        <w:t>principal</w:t>
      </w:r>
      <w:r w:rsidR="00B84AED" w:rsidRPr="00B821FE">
        <w:rPr>
          <w:rFonts w:ascii="Times New Roman" w:hAnsi="Times New Roman" w:cs="Times New Roman"/>
          <w:bCs/>
          <w:i/>
          <w:color w:val="000000" w:themeColor="text1"/>
        </w:rPr>
        <w:t xml:space="preserve"> </w:t>
      </w:r>
      <w:r w:rsidRPr="00B821FE">
        <w:rPr>
          <w:rFonts w:ascii="Times New Roman" w:hAnsi="Times New Roman" w:cs="Times New Roman"/>
          <w:bCs/>
          <w:i/>
          <w:color w:val="000000" w:themeColor="text1"/>
        </w:rPr>
        <w:t>literature on the</w:t>
      </w:r>
      <w:r w:rsidR="005373EE">
        <w:rPr>
          <w:rFonts w:ascii="Times New Roman" w:hAnsi="Times New Roman" w:cs="Times New Roman"/>
          <w:bCs/>
          <w:i/>
          <w:color w:val="000000" w:themeColor="text1"/>
        </w:rPr>
        <w:t xml:space="preserve"> levers of the </w:t>
      </w:r>
      <w:r w:rsidRPr="00B821FE">
        <w:rPr>
          <w:rFonts w:ascii="Times New Roman" w:hAnsi="Times New Roman" w:cs="Times New Roman"/>
          <w:bCs/>
          <w:i/>
          <w:color w:val="000000" w:themeColor="text1"/>
        </w:rPr>
        <w:t xml:space="preserve">EDLP business </w:t>
      </w:r>
      <w:r w:rsidR="005373EE">
        <w:rPr>
          <w:rFonts w:ascii="Times New Roman" w:hAnsi="Times New Roman" w:cs="Times New Roman"/>
          <w:bCs/>
          <w:i/>
          <w:color w:val="000000" w:themeColor="text1"/>
        </w:rPr>
        <w:t>model</w:t>
      </w:r>
      <w:r w:rsidRPr="00B821FE">
        <w:rPr>
          <w:rFonts w:ascii="Times New Roman" w:hAnsi="Times New Roman" w:cs="Times New Roman"/>
          <w:bCs/>
          <w:i/>
          <w:color w:val="000000" w:themeColor="text1"/>
        </w:rPr>
        <w:t xml:space="preserve"> and </w:t>
      </w:r>
      <w:r w:rsidR="00001AC6">
        <w:rPr>
          <w:rFonts w:ascii="Times New Roman" w:hAnsi="Times New Roman" w:cs="Times New Roman"/>
          <w:bCs/>
          <w:i/>
          <w:color w:val="000000" w:themeColor="text1"/>
        </w:rPr>
        <w:t xml:space="preserve">its </w:t>
      </w:r>
      <w:r w:rsidRPr="00B821FE">
        <w:rPr>
          <w:rFonts w:ascii="Times New Roman" w:hAnsi="Times New Roman" w:cs="Times New Roman"/>
          <w:bCs/>
          <w:i/>
          <w:color w:val="000000" w:themeColor="text1"/>
        </w:rPr>
        <w:t>pricing strategy configurations</w:t>
      </w:r>
    </w:p>
    <w:p w14:paraId="69DB1084" w14:textId="77777777" w:rsidR="002A2593" w:rsidRPr="00B821FE" w:rsidRDefault="002A2593" w:rsidP="002A2593">
      <w:pPr>
        <w:widowControl w:val="0"/>
        <w:spacing w:after="0" w:line="480" w:lineRule="auto"/>
        <w:jc w:val="center"/>
        <w:rPr>
          <w:rFonts w:ascii="Times New Roman" w:eastAsia="Times New Roman" w:hAnsi="Times New Roman" w:cs="Times New Roman"/>
          <w:i/>
          <w:color w:val="000000"/>
          <w:sz w:val="18"/>
          <w:szCs w:val="18"/>
          <w:shd w:val="clear" w:color="auto" w:fill="FFFFFF"/>
        </w:rPr>
      </w:pPr>
    </w:p>
    <w:p w14:paraId="1415880D" w14:textId="77777777" w:rsidR="002A2593" w:rsidRPr="00B821FE" w:rsidRDefault="002A2593" w:rsidP="002A2593">
      <w:pPr>
        <w:widowControl w:val="0"/>
        <w:spacing w:after="0" w:line="480" w:lineRule="auto"/>
        <w:jc w:val="center"/>
        <w:rPr>
          <w:rFonts w:ascii="Times New Roman" w:eastAsia="Times New Roman" w:hAnsi="Times New Roman" w:cs="Times New Roman"/>
          <w:i/>
          <w:color w:val="000000"/>
          <w:sz w:val="18"/>
          <w:szCs w:val="18"/>
          <w:shd w:val="clear" w:color="auto" w:fill="FFFFFF"/>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2301"/>
        <w:gridCol w:w="5954"/>
      </w:tblGrid>
      <w:tr w:rsidR="002A2593" w:rsidRPr="00B821FE" w14:paraId="7E18BF04" w14:textId="77777777" w:rsidTr="0087309D">
        <w:trPr>
          <w:trHeight w:val="170"/>
        </w:trPr>
        <w:tc>
          <w:tcPr>
            <w:tcW w:w="1096" w:type="dxa"/>
          </w:tcPr>
          <w:p w14:paraId="19110403" w14:textId="77777777" w:rsidR="002A2593" w:rsidRPr="00B821FE" w:rsidRDefault="002A2593" w:rsidP="0087309D">
            <w:pPr>
              <w:widowControl w:val="0"/>
              <w:tabs>
                <w:tab w:val="left" w:pos="1103"/>
              </w:tabs>
              <w:spacing w:after="0" w:line="480" w:lineRule="auto"/>
              <w:contextualSpacing/>
              <w:jc w:val="center"/>
              <w:rPr>
                <w:rFonts w:ascii="Times New Roman" w:hAnsi="Times New Roman" w:cs="Times New Roman"/>
                <w:b/>
                <w:color w:val="000000"/>
                <w:sz w:val="18"/>
                <w:szCs w:val="16"/>
              </w:rPr>
            </w:pPr>
            <w:r w:rsidRPr="00B821FE">
              <w:rPr>
                <w:rFonts w:ascii="Times New Roman" w:hAnsi="Times New Roman" w:cs="Times New Roman"/>
                <w:b/>
                <w:color w:val="000000"/>
                <w:sz w:val="18"/>
                <w:szCs w:val="16"/>
              </w:rPr>
              <w:t>References</w:t>
            </w:r>
          </w:p>
        </w:tc>
        <w:tc>
          <w:tcPr>
            <w:tcW w:w="2301" w:type="dxa"/>
          </w:tcPr>
          <w:p w14:paraId="3CD39DCA" w14:textId="77777777" w:rsidR="002A2593" w:rsidRPr="00B821FE" w:rsidRDefault="002A2593" w:rsidP="0087309D">
            <w:pPr>
              <w:widowControl w:val="0"/>
              <w:spacing w:after="0" w:line="480" w:lineRule="auto"/>
              <w:contextualSpacing/>
              <w:jc w:val="center"/>
              <w:rPr>
                <w:rFonts w:ascii="Times New Roman" w:hAnsi="Times New Roman" w:cs="Times New Roman"/>
                <w:b/>
                <w:color w:val="000000"/>
                <w:sz w:val="18"/>
                <w:szCs w:val="16"/>
              </w:rPr>
            </w:pPr>
            <w:r w:rsidRPr="00B821FE">
              <w:rPr>
                <w:rFonts w:ascii="Times New Roman" w:hAnsi="Times New Roman" w:cs="Times New Roman"/>
                <w:b/>
                <w:color w:val="000000"/>
                <w:sz w:val="18"/>
                <w:szCs w:val="16"/>
              </w:rPr>
              <w:t>Focus</w:t>
            </w:r>
          </w:p>
        </w:tc>
        <w:tc>
          <w:tcPr>
            <w:tcW w:w="5954" w:type="dxa"/>
          </w:tcPr>
          <w:p w14:paraId="1D5918CA" w14:textId="77777777" w:rsidR="002A2593" w:rsidRPr="00B821FE" w:rsidRDefault="002A2593" w:rsidP="0087309D">
            <w:pPr>
              <w:widowControl w:val="0"/>
              <w:spacing w:after="0" w:line="480" w:lineRule="auto"/>
              <w:contextualSpacing/>
              <w:jc w:val="center"/>
              <w:rPr>
                <w:rFonts w:ascii="Times New Roman" w:hAnsi="Times New Roman" w:cs="Times New Roman"/>
                <w:b/>
                <w:color w:val="000000"/>
                <w:sz w:val="18"/>
                <w:szCs w:val="16"/>
              </w:rPr>
            </w:pPr>
            <w:r w:rsidRPr="00B821FE">
              <w:rPr>
                <w:rFonts w:ascii="Times New Roman" w:hAnsi="Times New Roman" w:cs="Times New Roman"/>
                <w:b/>
                <w:color w:val="000000"/>
                <w:sz w:val="18"/>
                <w:szCs w:val="16"/>
              </w:rPr>
              <w:t>Main empirical evidence</w:t>
            </w:r>
          </w:p>
        </w:tc>
      </w:tr>
      <w:tr w:rsidR="002A2593" w:rsidRPr="00B821FE" w14:paraId="446CF632" w14:textId="77777777" w:rsidTr="0087309D">
        <w:trPr>
          <w:trHeight w:val="170"/>
        </w:trPr>
        <w:tc>
          <w:tcPr>
            <w:tcW w:w="1096" w:type="dxa"/>
          </w:tcPr>
          <w:p w14:paraId="16650127"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Ortmeyer et al., (1991)</w:t>
            </w:r>
          </w:p>
          <w:p w14:paraId="3BEA0305"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p>
        </w:tc>
        <w:tc>
          <w:tcPr>
            <w:tcW w:w="2301" w:type="dxa"/>
          </w:tcPr>
          <w:p w14:paraId="1B82A618"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Restoring credibility to retail pricing</w:t>
            </w:r>
          </w:p>
        </w:tc>
        <w:tc>
          <w:tcPr>
            <w:tcW w:w="5954" w:type="dxa"/>
          </w:tcPr>
          <w:p w14:paraId="7E2AA0EF" w14:textId="40317A98"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“EDLP is typically </w:t>
            </w:r>
            <w:r w:rsidR="00FD12CA">
              <w:rPr>
                <w:rFonts w:ascii="Times New Roman" w:hAnsi="Times New Roman" w:cs="Times New Roman"/>
                <w:i/>
                <w:color w:val="000000"/>
                <w:sz w:val="20"/>
                <w:szCs w:val="20"/>
              </w:rPr>
              <w:t>characterised</w:t>
            </w:r>
            <w:r w:rsidRPr="009A2901">
              <w:rPr>
                <w:rFonts w:ascii="Times New Roman" w:hAnsi="Times New Roman" w:cs="Times New Roman"/>
                <w:i/>
                <w:color w:val="000000"/>
                <w:sz w:val="20"/>
                <w:szCs w:val="20"/>
              </w:rPr>
              <w:t xml:space="preserve"> by retail prices, </w:t>
            </w:r>
            <w:r w:rsidR="00FD12CA">
              <w:rPr>
                <w:rFonts w:ascii="Times New Roman" w:hAnsi="Times New Roman" w:cs="Times New Roman"/>
                <w:i/>
                <w:color w:val="000000"/>
                <w:sz w:val="20"/>
                <w:szCs w:val="20"/>
              </w:rPr>
              <w:t>stabilised</w:t>
            </w:r>
            <w:r w:rsidRPr="009A2901">
              <w:rPr>
                <w:rFonts w:ascii="Times New Roman" w:hAnsi="Times New Roman" w:cs="Times New Roman"/>
                <w:i/>
                <w:color w:val="000000"/>
                <w:sz w:val="20"/>
                <w:szCs w:val="20"/>
              </w:rPr>
              <w:t xml:space="preserve"> on an everyday basis, at a level between the regular and discount prices of promotional retailers. ‘‘The promotional retailer sets a low promotional price and a high regular price’’. ‘‘[…] Typically, EDLP is accompanied by advertising claims such as ‘guaranteed low prices’’. ‘‘[…] EDFP</w:t>
            </w:r>
            <w:r w:rsidRPr="009A2901">
              <w:rPr>
                <w:rFonts w:ascii="Times New Roman" w:hAnsi="Times New Roman" w:cs="Times New Roman"/>
                <w:i/>
                <w:color w:val="000000"/>
                <w:sz w:val="20"/>
                <w:szCs w:val="20"/>
                <w:vertAlign w:val="superscript"/>
              </w:rPr>
              <w:t>+</w:t>
            </w:r>
            <w:r w:rsidRPr="009A2901">
              <w:rPr>
                <w:rFonts w:ascii="Times New Roman" w:hAnsi="Times New Roman" w:cs="Times New Roman"/>
                <w:i/>
                <w:color w:val="000000"/>
                <w:sz w:val="20"/>
                <w:szCs w:val="20"/>
              </w:rPr>
              <w:t xml:space="preserve"> (everyday fair pricing plus) […] means three things: restoration of everyday prices to levels that represent good value to consumers even though they do not purport to be the lowest in town; fewer sales events and, most importantly, excellence in other differentiating factors of the marketing mix, such as service and assortment’’</w:t>
            </w:r>
          </w:p>
        </w:tc>
      </w:tr>
      <w:tr w:rsidR="002A2593" w:rsidRPr="00B821FE" w14:paraId="67F8F2DF" w14:textId="77777777" w:rsidTr="0087309D">
        <w:trPr>
          <w:trHeight w:val="170"/>
        </w:trPr>
        <w:tc>
          <w:tcPr>
            <w:tcW w:w="1096" w:type="dxa"/>
          </w:tcPr>
          <w:p w14:paraId="232DC24B"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Ortmeyer et al., (1991)</w:t>
            </w:r>
          </w:p>
        </w:tc>
        <w:tc>
          <w:tcPr>
            <w:tcW w:w="2301" w:type="dxa"/>
          </w:tcPr>
          <w:p w14:paraId="2D8380D4"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Individual differences in response to consumer promotions</w:t>
            </w:r>
          </w:p>
        </w:tc>
        <w:tc>
          <w:tcPr>
            <w:tcW w:w="5954" w:type="dxa"/>
          </w:tcPr>
          <w:p w14:paraId="28F206BB" w14:textId="3E4EFC0B" w:rsidR="002A2593" w:rsidRPr="009A2901" w:rsidRDefault="00FD12CA" w:rsidP="0087309D">
            <w:pPr>
              <w:widowControl w:val="0"/>
              <w:spacing w:after="0"/>
              <w:contextualSpacing/>
              <w:jc w:val="both"/>
              <w:rPr>
                <w:rFonts w:ascii="Times New Roman" w:hAnsi="Times New Roman" w:cs="Times New Roman"/>
                <w:i/>
                <w:color w:val="000000"/>
                <w:sz w:val="20"/>
                <w:szCs w:val="20"/>
              </w:rPr>
            </w:pPr>
            <w:r>
              <w:rPr>
                <w:rFonts w:ascii="Times New Roman" w:hAnsi="Times New Roman" w:cs="Times New Roman"/>
                <w:i/>
                <w:color w:val="000000"/>
                <w:sz w:val="20"/>
                <w:szCs w:val="20"/>
              </w:rPr>
              <w:t>“</w:t>
            </w:r>
            <w:r w:rsidR="002A2593" w:rsidRPr="009A2901">
              <w:rPr>
                <w:rFonts w:ascii="Times New Roman" w:hAnsi="Times New Roman" w:cs="Times New Roman"/>
                <w:i/>
                <w:color w:val="000000"/>
                <w:sz w:val="20"/>
                <w:szCs w:val="20"/>
              </w:rPr>
              <w:t xml:space="preserve">The EDLP strategy is typically </w:t>
            </w:r>
            <w:r>
              <w:rPr>
                <w:rFonts w:ascii="Times New Roman" w:hAnsi="Times New Roman" w:cs="Times New Roman"/>
                <w:i/>
                <w:color w:val="000000"/>
                <w:sz w:val="20"/>
                <w:szCs w:val="20"/>
              </w:rPr>
              <w:t>characterised</w:t>
            </w:r>
            <w:r w:rsidR="002A2593" w:rsidRPr="009A2901">
              <w:rPr>
                <w:rFonts w:ascii="Times New Roman" w:hAnsi="Times New Roman" w:cs="Times New Roman"/>
                <w:i/>
                <w:color w:val="000000"/>
                <w:sz w:val="20"/>
                <w:szCs w:val="20"/>
              </w:rPr>
              <w:t xml:space="preserve"> by retail prices, </w:t>
            </w:r>
            <w:r>
              <w:rPr>
                <w:rFonts w:ascii="Times New Roman" w:hAnsi="Times New Roman" w:cs="Times New Roman"/>
                <w:i/>
                <w:color w:val="000000"/>
                <w:sz w:val="20"/>
                <w:szCs w:val="20"/>
              </w:rPr>
              <w:t>stabilised</w:t>
            </w:r>
            <w:r w:rsidR="002A2593" w:rsidRPr="009A2901">
              <w:rPr>
                <w:rFonts w:ascii="Times New Roman" w:hAnsi="Times New Roman" w:cs="Times New Roman"/>
                <w:i/>
                <w:color w:val="000000"/>
                <w:sz w:val="20"/>
                <w:szCs w:val="20"/>
              </w:rPr>
              <w:t xml:space="preserve"> on an everyday basis, at a level between the regular and discount prices of promotional retailers. […] The promotional retailer sets a low promotional price and a high regular price’’</w:t>
            </w:r>
          </w:p>
        </w:tc>
      </w:tr>
      <w:tr w:rsidR="002A2593" w:rsidRPr="00B821FE" w14:paraId="176531E1" w14:textId="77777777" w:rsidTr="0087309D">
        <w:trPr>
          <w:trHeight w:val="170"/>
        </w:trPr>
        <w:tc>
          <w:tcPr>
            <w:tcW w:w="1096" w:type="dxa"/>
          </w:tcPr>
          <w:p w14:paraId="548A4507" w14:textId="684DADF9" w:rsidR="002A2593" w:rsidRPr="00D33D34" w:rsidRDefault="002A2593" w:rsidP="0087309D">
            <w:pPr>
              <w:widowControl w:val="0"/>
              <w:spacing w:after="0"/>
              <w:contextualSpacing/>
              <w:jc w:val="both"/>
              <w:rPr>
                <w:rFonts w:ascii="Times New Roman" w:hAnsi="Times New Roman" w:cs="Times New Roman"/>
                <w:color w:val="000000" w:themeColor="text1"/>
                <w:sz w:val="20"/>
                <w:szCs w:val="20"/>
              </w:rPr>
            </w:pPr>
            <w:r w:rsidRPr="00D33D34">
              <w:rPr>
                <w:rFonts w:ascii="Times New Roman" w:hAnsi="Times New Roman" w:cs="Times New Roman"/>
                <w:color w:val="000000" w:themeColor="text1"/>
                <w:sz w:val="20"/>
                <w:szCs w:val="20"/>
              </w:rPr>
              <w:t>Hoch et al., (1994)</w:t>
            </w:r>
          </w:p>
        </w:tc>
        <w:tc>
          <w:tcPr>
            <w:tcW w:w="2301" w:type="dxa"/>
          </w:tcPr>
          <w:p w14:paraId="57870C96" w14:textId="77777777" w:rsidR="002A2593" w:rsidRPr="00D33D34" w:rsidRDefault="002A2593" w:rsidP="0087309D">
            <w:pPr>
              <w:widowControl w:val="0"/>
              <w:spacing w:after="0"/>
              <w:contextualSpacing/>
              <w:jc w:val="both"/>
              <w:rPr>
                <w:rFonts w:ascii="Times New Roman" w:hAnsi="Times New Roman" w:cs="Times New Roman"/>
                <w:color w:val="000000" w:themeColor="text1"/>
                <w:sz w:val="20"/>
                <w:szCs w:val="20"/>
              </w:rPr>
            </w:pPr>
            <w:r w:rsidRPr="00D33D34">
              <w:rPr>
                <w:rFonts w:ascii="Times New Roman" w:hAnsi="Times New Roman" w:cs="Times New Roman"/>
                <w:color w:val="000000" w:themeColor="text1"/>
                <w:sz w:val="20"/>
                <w:szCs w:val="20"/>
              </w:rPr>
              <w:t>EDLP, HILO and margin arithmetic.</w:t>
            </w:r>
          </w:p>
        </w:tc>
        <w:tc>
          <w:tcPr>
            <w:tcW w:w="5954" w:type="dxa"/>
          </w:tcPr>
          <w:p w14:paraId="72FAB7AC" w14:textId="5591AB77" w:rsidR="002A2593" w:rsidRPr="00D33D34" w:rsidRDefault="002A2593" w:rsidP="0087309D">
            <w:pPr>
              <w:widowControl w:val="0"/>
              <w:spacing w:after="0"/>
              <w:jc w:val="both"/>
              <w:rPr>
                <w:rFonts w:ascii="Times New Roman" w:hAnsi="Times New Roman" w:cs="Times New Roman"/>
                <w:i/>
                <w:color w:val="000000" w:themeColor="text1"/>
                <w:sz w:val="20"/>
                <w:szCs w:val="20"/>
              </w:rPr>
            </w:pPr>
            <w:r w:rsidRPr="00D33D34">
              <w:rPr>
                <w:rFonts w:ascii="Times New Roman" w:hAnsi="Times New Roman" w:cs="Times New Roman"/>
                <w:i/>
                <w:color w:val="000000" w:themeColor="text1"/>
                <w:sz w:val="20"/>
                <w:szCs w:val="20"/>
              </w:rPr>
              <w:t>‘‘The prototypical description of an EDLP pricing policy is as follows</w:t>
            </w:r>
            <w:r w:rsidR="00800C75">
              <w:rPr>
                <w:rFonts w:ascii="Times New Roman" w:hAnsi="Times New Roman" w:cs="Times New Roman"/>
                <w:i/>
                <w:color w:val="000000" w:themeColor="text1"/>
                <w:sz w:val="20"/>
                <w:szCs w:val="20"/>
              </w:rPr>
              <w:t>:</w:t>
            </w:r>
            <w:r w:rsidRPr="00D33D34">
              <w:rPr>
                <w:rFonts w:ascii="Times New Roman" w:hAnsi="Times New Roman" w:cs="Times New Roman"/>
                <w:i/>
                <w:color w:val="000000" w:themeColor="text1"/>
                <w:sz w:val="20"/>
                <w:szCs w:val="20"/>
              </w:rPr>
              <w:t xml:space="preserve"> the retailer charges a constant, lower everyday price with no temporary price discounts. The HILO retailer charges higher prices on an everyday basis, but then runs frequent promotions where prices </w:t>
            </w:r>
            <w:r w:rsidR="00FD12CA">
              <w:rPr>
                <w:rFonts w:ascii="Times New Roman" w:hAnsi="Times New Roman" w:cs="Times New Roman"/>
                <w:i/>
                <w:color w:val="000000" w:themeColor="text1"/>
                <w:sz w:val="20"/>
                <w:szCs w:val="20"/>
              </w:rPr>
              <w:t>are temporarily</w:t>
            </w:r>
            <w:r w:rsidRPr="00D33D34">
              <w:rPr>
                <w:rFonts w:ascii="Times New Roman" w:hAnsi="Times New Roman" w:cs="Times New Roman"/>
                <w:i/>
                <w:color w:val="000000" w:themeColor="text1"/>
                <w:sz w:val="20"/>
                <w:szCs w:val="20"/>
              </w:rPr>
              <w:t xml:space="preserve"> lowered below the EDLP level’’. ‘‘[…] ‘true’ EDLP rarely exists. Instead, it takes on many forms: chain-wide, store-wide, and category-wide. Because there are many hybrids, EDLP is best seen as a continuum’’</w:t>
            </w:r>
          </w:p>
        </w:tc>
      </w:tr>
      <w:tr w:rsidR="002A2593" w:rsidRPr="00B821FE" w14:paraId="0EDB3C88" w14:textId="77777777" w:rsidTr="0087309D">
        <w:trPr>
          <w:trHeight w:val="170"/>
        </w:trPr>
        <w:tc>
          <w:tcPr>
            <w:tcW w:w="1096" w:type="dxa"/>
          </w:tcPr>
          <w:p w14:paraId="203749E6"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proofErr w:type="spellStart"/>
            <w:r w:rsidRPr="009A2901">
              <w:rPr>
                <w:rFonts w:ascii="Times New Roman" w:hAnsi="Times New Roman" w:cs="Times New Roman"/>
                <w:color w:val="000000"/>
                <w:sz w:val="20"/>
                <w:szCs w:val="20"/>
              </w:rPr>
              <w:t>Neslin</w:t>
            </w:r>
            <w:proofErr w:type="spellEnd"/>
            <w:r w:rsidRPr="009A2901">
              <w:rPr>
                <w:rFonts w:ascii="Times New Roman" w:hAnsi="Times New Roman" w:cs="Times New Roman"/>
                <w:color w:val="000000"/>
                <w:sz w:val="20"/>
                <w:szCs w:val="20"/>
              </w:rPr>
              <w:t xml:space="preserve"> et al., (1994)</w:t>
            </w:r>
          </w:p>
        </w:tc>
        <w:tc>
          <w:tcPr>
            <w:tcW w:w="2301" w:type="dxa"/>
          </w:tcPr>
          <w:p w14:paraId="041AC923"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A research agenda for making scanner data more useful to managers. </w:t>
            </w:r>
          </w:p>
        </w:tc>
        <w:tc>
          <w:tcPr>
            <w:tcW w:w="5954" w:type="dxa"/>
          </w:tcPr>
          <w:p w14:paraId="12A2E942"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‘‘There are three characteristics of retail pricing […] in comparing EDLP and HILO: (1) the frequency of in-store price cuts, (2) the depth of such price cuts, and (3) the duration of the price cuts. […] EDLP pricing should involve less variation in prices, i.e., price cuts that are not as steep, not as frequent, and longer in duration’’</w:t>
            </w:r>
          </w:p>
        </w:tc>
      </w:tr>
      <w:tr w:rsidR="002A2593" w:rsidRPr="00B821FE" w14:paraId="25C42CC6" w14:textId="77777777" w:rsidTr="0087309D">
        <w:trPr>
          <w:trHeight w:val="170"/>
        </w:trPr>
        <w:tc>
          <w:tcPr>
            <w:tcW w:w="1096" w:type="dxa"/>
          </w:tcPr>
          <w:p w14:paraId="0BADDFB0"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Shankar et al., (1996)</w:t>
            </w:r>
          </w:p>
        </w:tc>
        <w:tc>
          <w:tcPr>
            <w:tcW w:w="2301" w:type="dxa"/>
          </w:tcPr>
          <w:p w14:paraId="286B11D8"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Relating price sensitivity to retailer promotional variables and pricing policy: an empirical analysis.</w:t>
            </w:r>
          </w:p>
        </w:tc>
        <w:tc>
          <w:tcPr>
            <w:tcW w:w="5954" w:type="dxa"/>
          </w:tcPr>
          <w:p w14:paraId="2E985A12" w14:textId="55B8B896"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‘‘Typically, retailers are faced with two alternative pricing policies</w:t>
            </w:r>
            <w:r w:rsidR="00FD12CA">
              <w:rPr>
                <w:rFonts w:ascii="Times New Roman" w:hAnsi="Times New Roman" w:cs="Times New Roman"/>
                <w:i/>
                <w:color w:val="000000"/>
                <w:sz w:val="20"/>
                <w:szCs w:val="20"/>
              </w:rPr>
              <w:t>:</w:t>
            </w:r>
            <w:r w:rsidRPr="009A2901">
              <w:rPr>
                <w:rFonts w:ascii="Times New Roman" w:hAnsi="Times New Roman" w:cs="Times New Roman"/>
                <w:i/>
                <w:color w:val="000000"/>
                <w:sz w:val="20"/>
                <w:szCs w:val="20"/>
              </w:rPr>
              <w:t xml:space="preserve"> an everyday low pricing (EDLP) policy or a high-low pricing (HILO) policy. Tactical decisions include decisions on retailer promotional variables such as price cuts, feature advertising, and display’’</w:t>
            </w:r>
          </w:p>
        </w:tc>
      </w:tr>
      <w:tr w:rsidR="002A2593" w:rsidRPr="00B821FE" w14:paraId="5F745992" w14:textId="77777777" w:rsidTr="0087309D">
        <w:trPr>
          <w:trHeight w:val="170"/>
        </w:trPr>
        <w:tc>
          <w:tcPr>
            <w:tcW w:w="1096" w:type="dxa"/>
          </w:tcPr>
          <w:p w14:paraId="71F65F4D"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Berry, (1996) </w:t>
            </w:r>
          </w:p>
        </w:tc>
        <w:tc>
          <w:tcPr>
            <w:tcW w:w="2301" w:type="dxa"/>
          </w:tcPr>
          <w:p w14:paraId="13B2EFBB"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Retailers with a future.</w:t>
            </w:r>
          </w:p>
        </w:tc>
        <w:tc>
          <w:tcPr>
            <w:tcW w:w="5954" w:type="dxa"/>
          </w:tcPr>
          <w:p w14:paraId="52A39BFE"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“Instead, most retailers with a future follow the principles of EVERYDAY FAIR PRICING:</w:t>
            </w:r>
          </w:p>
          <w:p w14:paraId="69A44EEA"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 Most of the merchandise is sold at regular (non-sale) prices that represent a good value for customers. The retailer strips waste from operations and gives customers their money's worth. • Sales promotion events are legitimate, meaning that the merchandise on sale is marked down from its regular price, rather than being marked down from an inflated, phoney price. • Prices are easy for customers to understand. They are communicated in a simple, straightforward manner without </w:t>
            </w:r>
            <w:r w:rsidRPr="009A2901">
              <w:rPr>
                <w:rFonts w:ascii="Times New Roman" w:hAnsi="Times New Roman" w:cs="Times New Roman"/>
                <w:i/>
                <w:color w:val="000000"/>
                <w:sz w:val="20"/>
                <w:szCs w:val="20"/>
              </w:rPr>
              <w:lastRenderedPageBreak/>
              <w:t>any hidden charges”</w:t>
            </w:r>
          </w:p>
        </w:tc>
      </w:tr>
      <w:tr w:rsidR="002A2593" w:rsidRPr="00B821FE" w14:paraId="3F4A2EA0" w14:textId="77777777" w:rsidTr="0087309D">
        <w:trPr>
          <w:trHeight w:val="170"/>
        </w:trPr>
        <w:tc>
          <w:tcPr>
            <w:tcW w:w="1096" w:type="dxa"/>
          </w:tcPr>
          <w:p w14:paraId="0D9D2BD4"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lastRenderedPageBreak/>
              <w:t>Lal et al., (1997)</w:t>
            </w:r>
          </w:p>
        </w:tc>
        <w:tc>
          <w:tcPr>
            <w:tcW w:w="2301" w:type="dxa"/>
          </w:tcPr>
          <w:p w14:paraId="61A72C2B"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Supermarket competition: The case of everyday low pricing. </w:t>
            </w:r>
          </w:p>
        </w:tc>
        <w:tc>
          <w:tcPr>
            <w:tcW w:w="5954" w:type="dxa"/>
          </w:tcPr>
          <w:p w14:paraId="65566AC0" w14:textId="69788B81"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‘‘Everyday low pricing strategy is thought to differ from a promotional pricing strategy (PROMO or HILO) by not emphasizing price specials on individual goods but instead focusing consumer attention on the good value regularly’’. ‘‘Our analysis and results offer a more complete characterization of the EDLP and PROMO strategies. […] EDLP and PROMO strategies are positioning strategies, rather than merely pricing strategies, with different elements: price/promotions, service, and communications’’</w:t>
            </w:r>
          </w:p>
        </w:tc>
      </w:tr>
      <w:tr w:rsidR="002A2593" w:rsidRPr="00B821FE" w14:paraId="470FDE2E" w14:textId="77777777" w:rsidTr="0087309D">
        <w:trPr>
          <w:trHeight w:val="170"/>
        </w:trPr>
        <w:tc>
          <w:tcPr>
            <w:tcW w:w="1096" w:type="dxa"/>
          </w:tcPr>
          <w:p w14:paraId="1BEB9907"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Bell et al., (1998) </w:t>
            </w:r>
          </w:p>
        </w:tc>
        <w:tc>
          <w:tcPr>
            <w:tcW w:w="2301" w:type="dxa"/>
          </w:tcPr>
          <w:p w14:paraId="385A6069" w14:textId="1FFE4D8F"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Shopping </w:t>
            </w:r>
            <w:r w:rsidR="0063496E">
              <w:rPr>
                <w:rFonts w:ascii="Times New Roman" w:hAnsi="Times New Roman" w:cs="Times New Roman"/>
                <w:color w:val="000000"/>
                <w:sz w:val="20"/>
                <w:szCs w:val="20"/>
              </w:rPr>
              <w:t>behaviour</w:t>
            </w:r>
            <w:r w:rsidRPr="009A2901">
              <w:rPr>
                <w:rFonts w:ascii="Times New Roman" w:hAnsi="Times New Roman" w:cs="Times New Roman"/>
                <w:color w:val="000000"/>
                <w:sz w:val="20"/>
                <w:szCs w:val="20"/>
              </w:rPr>
              <w:t xml:space="preserve"> and consumer preference for store price format: Why “large basket” shoppers prefer EDLP.</w:t>
            </w:r>
          </w:p>
        </w:tc>
        <w:tc>
          <w:tcPr>
            <w:tcW w:w="5954" w:type="dxa"/>
          </w:tcPr>
          <w:p w14:paraId="7E315ED4"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EDLP loyal are better off buying large baskets and shopping less frequently, while HILO loyal are better off buying smaller baskets and shopping more frequently”</w:t>
            </w:r>
          </w:p>
        </w:tc>
      </w:tr>
      <w:tr w:rsidR="002A2593" w:rsidRPr="00B821FE" w14:paraId="50F0CD6A" w14:textId="77777777" w:rsidTr="0087309D">
        <w:trPr>
          <w:trHeight w:val="170"/>
        </w:trPr>
        <w:tc>
          <w:tcPr>
            <w:tcW w:w="1096" w:type="dxa"/>
          </w:tcPr>
          <w:p w14:paraId="46CB6B98"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Manning et al., (1998). </w:t>
            </w:r>
          </w:p>
        </w:tc>
        <w:tc>
          <w:tcPr>
            <w:tcW w:w="2301" w:type="dxa"/>
          </w:tcPr>
          <w:p w14:paraId="04EB7ABE"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Development of a theory of retailer response to manufacturers' everyday low-cost programs.</w:t>
            </w:r>
          </w:p>
        </w:tc>
        <w:tc>
          <w:tcPr>
            <w:tcW w:w="5954" w:type="dxa"/>
          </w:tcPr>
          <w:p w14:paraId="58D07A4D" w14:textId="6F4937AB"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“…These efforts resulted in theory detailing antecedents and consequences of the focal construct, “retailer attitude toward the EDLC program.” Research findings indicate that retailers' attitudes toward EDLC programs are based on an assessment of the compatibility between the program and their marketing environment. Several factors</w:t>
            </w:r>
            <w:r w:rsidR="00822185">
              <w:rPr>
                <w:rFonts w:ascii="Times New Roman" w:hAnsi="Times New Roman" w:cs="Times New Roman"/>
                <w:i/>
                <w:color w:val="000000"/>
                <w:sz w:val="20"/>
                <w:szCs w:val="20"/>
              </w:rPr>
              <w:t>,</w:t>
            </w:r>
            <w:r w:rsidRPr="009A2901">
              <w:rPr>
                <w:rFonts w:ascii="Times New Roman" w:hAnsi="Times New Roman" w:cs="Times New Roman"/>
                <w:i/>
                <w:color w:val="000000"/>
                <w:sz w:val="20"/>
                <w:szCs w:val="20"/>
              </w:rPr>
              <w:t xml:space="preserve"> including retailer characteristics (e.g., perceived weakness in buying power, commitment to forward buying) and program characteristics (e.g., whether the program is optional, product storage costs)</w:t>
            </w:r>
            <w:r w:rsidR="00822185">
              <w:rPr>
                <w:rFonts w:ascii="Times New Roman" w:hAnsi="Times New Roman" w:cs="Times New Roman"/>
                <w:i/>
                <w:color w:val="000000"/>
                <w:sz w:val="20"/>
                <w:szCs w:val="20"/>
              </w:rPr>
              <w:t>,</w:t>
            </w:r>
            <w:r w:rsidRPr="009A2901">
              <w:rPr>
                <w:rFonts w:ascii="Times New Roman" w:hAnsi="Times New Roman" w:cs="Times New Roman"/>
                <w:i/>
                <w:color w:val="000000"/>
                <w:sz w:val="20"/>
                <w:szCs w:val="20"/>
              </w:rPr>
              <w:t xml:space="preserve"> were found to influence retailers' assessments of program/environment compatibility and</w:t>
            </w:r>
            <w:r w:rsidR="00822185">
              <w:rPr>
                <w:rFonts w:ascii="Times New Roman" w:hAnsi="Times New Roman" w:cs="Times New Roman"/>
                <w:i/>
                <w:color w:val="000000"/>
                <w:sz w:val="20"/>
                <w:szCs w:val="20"/>
              </w:rPr>
              <w:t>,</w:t>
            </w:r>
            <w:r w:rsidRPr="009A2901">
              <w:rPr>
                <w:rFonts w:ascii="Times New Roman" w:hAnsi="Times New Roman" w:cs="Times New Roman"/>
                <w:i/>
                <w:color w:val="000000"/>
                <w:sz w:val="20"/>
                <w:szCs w:val="20"/>
              </w:rPr>
              <w:t xml:space="preserve"> in turn</w:t>
            </w:r>
            <w:r w:rsidR="00822185">
              <w:rPr>
                <w:rFonts w:ascii="Times New Roman" w:hAnsi="Times New Roman" w:cs="Times New Roman"/>
                <w:i/>
                <w:color w:val="000000"/>
                <w:sz w:val="20"/>
                <w:szCs w:val="20"/>
              </w:rPr>
              <w:t>,</w:t>
            </w:r>
            <w:r w:rsidRPr="009A2901">
              <w:rPr>
                <w:rFonts w:ascii="Times New Roman" w:hAnsi="Times New Roman" w:cs="Times New Roman"/>
                <w:i/>
                <w:color w:val="000000"/>
                <w:sz w:val="20"/>
                <w:szCs w:val="20"/>
              </w:rPr>
              <w:t xml:space="preserve"> their attitudes toward EDLC programs. Whether retailers' attitudes toward EDLC programs led to supportive, </w:t>
            </w:r>
            <w:r w:rsidR="00822185">
              <w:rPr>
                <w:rFonts w:ascii="Times New Roman" w:hAnsi="Times New Roman" w:cs="Times New Roman"/>
                <w:i/>
                <w:color w:val="000000"/>
                <w:sz w:val="20"/>
                <w:szCs w:val="20"/>
              </w:rPr>
              <w:t>non-supportive</w:t>
            </w:r>
            <w:r w:rsidRPr="009A2901">
              <w:rPr>
                <w:rFonts w:ascii="Times New Roman" w:hAnsi="Times New Roman" w:cs="Times New Roman"/>
                <w:i/>
                <w:color w:val="000000"/>
                <w:sz w:val="20"/>
                <w:szCs w:val="20"/>
              </w:rPr>
              <w:t>, or adaptive behaviours was found to be contingent upon the relative dependence existing within the channel relationship. The implications of these findings on the development and diffusion of pricing/promotion initiatives are discussed”</w:t>
            </w:r>
          </w:p>
        </w:tc>
      </w:tr>
      <w:tr w:rsidR="002A2593" w:rsidRPr="00B821FE" w14:paraId="57E86ED1" w14:textId="77777777" w:rsidTr="0087309D">
        <w:trPr>
          <w:trHeight w:val="170"/>
        </w:trPr>
        <w:tc>
          <w:tcPr>
            <w:tcW w:w="1096" w:type="dxa"/>
          </w:tcPr>
          <w:p w14:paraId="4105357F"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Tang et al., (2001)</w:t>
            </w:r>
          </w:p>
        </w:tc>
        <w:tc>
          <w:tcPr>
            <w:tcW w:w="2301" w:type="dxa"/>
          </w:tcPr>
          <w:p w14:paraId="7FE228BE" w14:textId="1E8FD356"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Store choice and shopping </w:t>
            </w:r>
            <w:r w:rsidR="0063496E">
              <w:rPr>
                <w:rFonts w:ascii="Times New Roman" w:hAnsi="Times New Roman" w:cs="Times New Roman"/>
                <w:color w:val="000000"/>
                <w:sz w:val="20"/>
                <w:szCs w:val="20"/>
              </w:rPr>
              <w:t>behaviour</w:t>
            </w:r>
            <w:r w:rsidRPr="009A2901">
              <w:rPr>
                <w:rFonts w:ascii="Times New Roman" w:hAnsi="Times New Roman" w:cs="Times New Roman"/>
                <w:color w:val="000000"/>
                <w:sz w:val="20"/>
                <w:szCs w:val="20"/>
              </w:rPr>
              <w:t xml:space="preserve">: How </w:t>
            </w:r>
            <w:r w:rsidR="0063496E">
              <w:rPr>
                <w:rFonts w:ascii="Times New Roman" w:hAnsi="Times New Roman" w:cs="Times New Roman"/>
                <w:color w:val="000000"/>
                <w:sz w:val="20"/>
                <w:szCs w:val="20"/>
              </w:rPr>
              <w:t xml:space="preserve">does </w:t>
            </w:r>
            <w:r w:rsidRPr="009A2901">
              <w:rPr>
                <w:rFonts w:ascii="Times New Roman" w:hAnsi="Times New Roman" w:cs="Times New Roman"/>
                <w:color w:val="000000"/>
                <w:sz w:val="20"/>
                <w:szCs w:val="20"/>
              </w:rPr>
              <w:t>price format work</w:t>
            </w:r>
            <w:r w:rsidR="0063496E">
              <w:rPr>
                <w:rFonts w:ascii="Times New Roman" w:hAnsi="Times New Roman" w:cs="Times New Roman"/>
                <w:color w:val="000000"/>
                <w:sz w:val="20"/>
                <w:szCs w:val="20"/>
              </w:rPr>
              <w:t>?</w:t>
            </w:r>
          </w:p>
        </w:tc>
        <w:tc>
          <w:tcPr>
            <w:tcW w:w="5954" w:type="dxa"/>
          </w:tcPr>
          <w:p w14:paraId="2241F889"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‘‘Managers can select a retail price format on a continuum anchored by EDLP on one end and HILO at the other’’</w:t>
            </w:r>
          </w:p>
        </w:tc>
      </w:tr>
      <w:tr w:rsidR="002A2593" w:rsidRPr="00B821FE" w14:paraId="551435EC" w14:textId="77777777" w:rsidTr="0087309D">
        <w:trPr>
          <w:trHeight w:val="170"/>
        </w:trPr>
        <w:tc>
          <w:tcPr>
            <w:tcW w:w="1096" w:type="dxa"/>
          </w:tcPr>
          <w:p w14:paraId="0AF039F8" w14:textId="3E646FE8"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Bolton et al.</w:t>
            </w:r>
            <w:r w:rsidR="000241E0" w:rsidRPr="009A2901">
              <w:rPr>
                <w:rFonts w:ascii="Times New Roman" w:hAnsi="Times New Roman" w:cs="Times New Roman"/>
                <w:color w:val="000000"/>
                <w:sz w:val="20"/>
                <w:szCs w:val="20"/>
              </w:rPr>
              <w:t>, (</w:t>
            </w:r>
            <w:r w:rsidRPr="009A2901">
              <w:rPr>
                <w:rFonts w:ascii="Times New Roman" w:hAnsi="Times New Roman" w:cs="Times New Roman"/>
                <w:color w:val="000000"/>
                <w:sz w:val="20"/>
                <w:szCs w:val="20"/>
              </w:rPr>
              <w:t>2003)</w:t>
            </w:r>
          </w:p>
        </w:tc>
        <w:tc>
          <w:tcPr>
            <w:tcW w:w="2301" w:type="dxa"/>
          </w:tcPr>
          <w:p w14:paraId="3CECA41A"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An empirically derived taxonomy of retailer pricing and promotion strategies.</w:t>
            </w:r>
          </w:p>
        </w:tc>
        <w:tc>
          <w:tcPr>
            <w:tcW w:w="5954" w:type="dxa"/>
          </w:tcPr>
          <w:p w14:paraId="5D605E72" w14:textId="23418D79"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‘‘The distinctive nature of the brand-store pricing strategies underscores the fact that retailers </w:t>
            </w:r>
            <w:r w:rsidR="00822185">
              <w:rPr>
                <w:rFonts w:ascii="Times New Roman" w:hAnsi="Times New Roman" w:cs="Times New Roman"/>
                <w:i/>
                <w:color w:val="000000"/>
                <w:sz w:val="20"/>
                <w:szCs w:val="20"/>
              </w:rPr>
              <w:t>customise</w:t>
            </w:r>
            <w:r w:rsidRPr="009A2901">
              <w:rPr>
                <w:rFonts w:ascii="Times New Roman" w:hAnsi="Times New Roman" w:cs="Times New Roman"/>
                <w:i/>
                <w:color w:val="000000"/>
                <w:sz w:val="20"/>
                <w:szCs w:val="20"/>
              </w:rPr>
              <w:t xml:space="preserve"> their pricing strategies at the more fundamental brand-store level, in addition to the store level. Pricing strategies are multidimensional: prior research has focused exclusively on a single dimension price variation (i.e., EDLP vs. HILO pricing)</w:t>
            </w:r>
            <w:r w:rsidR="00822185">
              <w:rPr>
                <w:rFonts w:ascii="Times New Roman" w:hAnsi="Times New Roman" w:cs="Times New Roman"/>
                <w:i/>
                <w:color w:val="000000"/>
                <w:sz w:val="20"/>
                <w:szCs w:val="20"/>
              </w:rPr>
              <w:t>,</w:t>
            </w:r>
            <w:r w:rsidRPr="009A2901">
              <w:rPr>
                <w:rFonts w:ascii="Times New Roman" w:hAnsi="Times New Roman" w:cs="Times New Roman"/>
                <w:i/>
                <w:color w:val="000000"/>
                <w:sz w:val="20"/>
                <w:szCs w:val="20"/>
              </w:rPr>
              <w:t xml:space="preserve"> implying a single pricing continuum”</w:t>
            </w:r>
          </w:p>
        </w:tc>
      </w:tr>
      <w:tr w:rsidR="002A2593" w:rsidRPr="00B821FE" w14:paraId="54D59CA5" w14:textId="77777777" w:rsidTr="0087309D">
        <w:trPr>
          <w:trHeight w:val="170"/>
        </w:trPr>
        <w:tc>
          <w:tcPr>
            <w:tcW w:w="1096" w:type="dxa"/>
          </w:tcPr>
          <w:p w14:paraId="036577E7" w14:textId="03ACD3CA" w:rsidR="002A2593" w:rsidRPr="009A2901" w:rsidRDefault="002A2593" w:rsidP="0087309D">
            <w:pPr>
              <w:widowControl w:val="0"/>
              <w:spacing w:after="0"/>
              <w:contextualSpacing/>
              <w:jc w:val="both"/>
              <w:rPr>
                <w:rFonts w:ascii="Times New Roman" w:hAnsi="Times New Roman" w:cs="Times New Roman"/>
                <w:color w:val="000000"/>
                <w:sz w:val="20"/>
                <w:szCs w:val="20"/>
              </w:rPr>
            </w:pPr>
            <w:proofErr w:type="spellStart"/>
            <w:r w:rsidRPr="009A2901">
              <w:rPr>
                <w:rFonts w:ascii="Times New Roman" w:hAnsi="Times New Roman" w:cs="Times New Roman"/>
                <w:color w:val="000000"/>
                <w:sz w:val="20"/>
                <w:szCs w:val="20"/>
              </w:rPr>
              <w:t>Pechtl</w:t>
            </w:r>
            <w:proofErr w:type="spellEnd"/>
            <w:r w:rsidR="000241E0">
              <w:rPr>
                <w:rFonts w:ascii="Times New Roman" w:hAnsi="Times New Roman" w:cs="Times New Roman"/>
                <w:color w:val="000000"/>
                <w:sz w:val="20"/>
                <w:szCs w:val="20"/>
              </w:rPr>
              <w:t xml:space="preserve"> </w:t>
            </w:r>
            <w:r w:rsidRPr="009A2901">
              <w:rPr>
                <w:rFonts w:ascii="Times New Roman" w:hAnsi="Times New Roman" w:cs="Times New Roman"/>
                <w:color w:val="000000"/>
                <w:sz w:val="20"/>
                <w:szCs w:val="20"/>
              </w:rPr>
              <w:t>(2004)</w:t>
            </w:r>
          </w:p>
        </w:tc>
        <w:tc>
          <w:tcPr>
            <w:tcW w:w="2301" w:type="dxa"/>
          </w:tcPr>
          <w:p w14:paraId="66B5923C"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Profiling intrinsic deal proneness for HILO and EDLP price promotion strategies</w:t>
            </w:r>
          </w:p>
        </w:tc>
        <w:tc>
          <w:tcPr>
            <w:tcW w:w="5954" w:type="dxa"/>
          </w:tcPr>
          <w:p w14:paraId="5EB80646"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‘‘In the high-low promotion strategy (HILO), temporary price discounts for selected items occur for some days, followed by weeks with normal prices. In the everyday-low-price (ELDP) strategy, the retailer promotes a basket of products with the argument to offer attractive low prices with will be constant for a longer period. These prices are lower than normal prices in HILO stores, but not as low as their price discounts’’</w:t>
            </w:r>
          </w:p>
        </w:tc>
      </w:tr>
      <w:tr w:rsidR="002A2593" w:rsidRPr="00B821FE" w14:paraId="226B5A29" w14:textId="77777777" w:rsidTr="0087309D">
        <w:trPr>
          <w:trHeight w:val="170"/>
        </w:trPr>
        <w:tc>
          <w:tcPr>
            <w:tcW w:w="1096" w:type="dxa"/>
          </w:tcPr>
          <w:p w14:paraId="21E75164"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proofErr w:type="spellStart"/>
            <w:r w:rsidRPr="009A2901">
              <w:rPr>
                <w:rFonts w:ascii="Times New Roman" w:hAnsi="Times New Roman" w:cs="Times New Roman"/>
                <w:color w:val="000000"/>
                <w:sz w:val="20"/>
                <w:szCs w:val="20"/>
              </w:rPr>
              <w:t>Leszczyc</w:t>
            </w:r>
            <w:proofErr w:type="spellEnd"/>
            <w:r w:rsidRPr="009A2901">
              <w:rPr>
                <w:rFonts w:ascii="Times New Roman" w:hAnsi="Times New Roman" w:cs="Times New Roman"/>
                <w:color w:val="000000"/>
                <w:sz w:val="20"/>
                <w:szCs w:val="20"/>
              </w:rPr>
              <w:t xml:space="preserve"> et al., (2004)</w:t>
            </w:r>
          </w:p>
        </w:tc>
        <w:tc>
          <w:tcPr>
            <w:tcW w:w="2301" w:type="dxa"/>
          </w:tcPr>
          <w:p w14:paraId="422A2EF0"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The effect of multi-purpose shopping on pricing and location strategy for grocery stores</w:t>
            </w:r>
          </w:p>
        </w:tc>
        <w:tc>
          <w:tcPr>
            <w:tcW w:w="5954" w:type="dxa"/>
          </w:tcPr>
          <w:p w14:paraId="67577D35"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‘‘EDLP stores tend to offer lower average prices, while HILO stores offer frequent price specials on individual goods. It is more appropriate to view these strategies as two extreme points on a continuum as most EDLP stores engage in some price promotions’’</w:t>
            </w:r>
          </w:p>
        </w:tc>
      </w:tr>
      <w:tr w:rsidR="002A2593" w:rsidRPr="00B821FE" w14:paraId="51FADDBE" w14:textId="77777777" w:rsidTr="0087309D">
        <w:trPr>
          <w:trHeight w:val="170"/>
        </w:trPr>
        <w:tc>
          <w:tcPr>
            <w:tcW w:w="1096" w:type="dxa"/>
          </w:tcPr>
          <w:p w14:paraId="0B6E8CB2"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lastRenderedPageBreak/>
              <w:t>Shankar et al., (2004)</w:t>
            </w:r>
          </w:p>
        </w:tc>
        <w:tc>
          <w:tcPr>
            <w:tcW w:w="2301" w:type="dxa"/>
          </w:tcPr>
          <w:p w14:paraId="2B184C2D"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An empirical analysis of determinants of retailer pricing strategy</w:t>
            </w:r>
          </w:p>
        </w:tc>
        <w:tc>
          <w:tcPr>
            <w:tcW w:w="5954" w:type="dxa"/>
          </w:tcPr>
          <w:p w14:paraId="5E2F2713"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retailer pricing strategy has been typically viewed as one-dimensional. We consider retailers’ strategic pricing strategy on multiple dimensions that recognize the existence of price promotions’’</w:t>
            </w:r>
          </w:p>
        </w:tc>
      </w:tr>
      <w:tr w:rsidR="002A2593" w:rsidRPr="00B821FE" w14:paraId="7296C5E6" w14:textId="77777777" w:rsidTr="0087309D">
        <w:trPr>
          <w:trHeight w:val="170"/>
        </w:trPr>
        <w:tc>
          <w:tcPr>
            <w:tcW w:w="1096" w:type="dxa"/>
          </w:tcPr>
          <w:p w14:paraId="201993B3"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Levy et al., (2004)</w:t>
            </w:r>
          </w:p>
        </w:tc>
        <w:tc>
          <w:tcPr>
            <w:tcW w:w="2301" w:type="dxa"/>
          </w:tcPr>
          <w:p w14:paraId="1043ED0F"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Emerging trends in retail pricing practice: implications for research</w:t>
            </w:r>
          </w:p>
        </w:tc>
        <w:tc>
          <w:tcPr>
            <w:tcW w:w="5954" w:type="dxa"/>
          </w:tcPr>
          <w:p w14:paraId="18EA0050"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“Retailers are interested in maximizing their profits. To do so, they need to understand how to price their merchandise optimally. Next, we discuss this and six other factors that must be taken into consideration to determine optimal prices. To summarize, these factors are as follows: (1) Price sensitivity; (2) Substitution effects; (3) Dynamic effect of price promotions over time; (4) Segment-based pricing; (5) Cross-category effects or accounting for demand complementarities across categories; (6) Retailer costs (wholesale prices and trade deals) and discounts; and (7) to what extent competition at the retail level</w:t>
            </w:r>
          </w:p>
          <w:p w14:paraId="641AC8D0"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influences retail prices.”</w:t>
            </w:r>
          </w:p>
        </w:tc>
      </w:tr>
      <w:tr w:rsidR="002A2593" w:rsidRPr="00B821FE" w14:paraId="3B35D457" w14:textId="77777777" w:rsidTr="0087309D">
        <w:trPr>
          <w:trHeight w:val="170"/>
        </w:trPr>
        <w:tc>
          <w:tcPr>
            <w:tcW w:w="1096" w:type="dxa"/>
          </w:tcPr>
          <w:p w14:paraId="1D330FCD" w14:textId="77777777" w:rsidR="002A2593" w:rsidRPr="009A2901" w:rsidRDefault="002A2593" w:rsidP="0087309D">
            <w:pPr>
              <w:widowControl w:val="0"/>
              <w:spacing w:after="0"/>
              <w:rPr>
                <w:rFonts w:ascii="Times New Roman" w:hAnsi="Times New Roman" w:cs="Times New Roman"/>
                <w:color w:val="000000"/>
                <w:sz w:val="20"/>
                <w:szCs w:val="20"/>
              </w:rPr>
            </w:pPr>
            <w:r w:rsidRPr="009A2901">
              <w:rPr>
                <w:rFonts w:ascii="Times New Roman" w:hAnsi="Times New Roman" w:cs="Times New Roman"/>
                <w:color w:val="000000"/>
                <w:sz w:val="20"/>
                <w:szCs w:val="20"/>
              </w:rPr>
              <w:t>Rondán-Cataluña et al., (2005)</w:t>
            </w:r>
          </w:p>
        </w:tc>
        <w:tc>
          <w:tcPr>
            <w:tcW w:w="2301" w:type="dxa"/>
          </w:tcPr>
          <w:p w14:paraId="4AF20011"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Are hypermarket prices different from discount store prices?</w:t>
            </w:r>
          </w:p>
        </w:tc>
        <w:tc>
          <w:tcPr>
            <w:tcW w:w="5954" w:type="dxa"/>
          </w:tcPr>
          <w:p w14:paraId="40F968CA"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two strategies often used in retailing […] are the everyday low prices (EDLP), or always low prices, which may be a philosophy applied by discount stores, and the high and low prices (HILO), or promotional prices more typical of hypermarkets’’</w:t>
            </w:r>
          </w:p>
        </w:tc>
      </w:tr>
      <w:tr w:rsidR="002A2593" w:rsidRPr="00B821FE" w14:paraId="2125045A" w14:textId="77777777" w:rsidTr="0087309D">
        <w:trPr>
          <w:trHeight w:val="170"/>
        </w:trPr>
        <w:tc>
          <w:tcPr>
            <w:tcW w:w="1096" w:type="dxa"/>
          </w:tcPr>
          <w:p w14:paraId="1B1FE7F9"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Ellickson et al., (2008)</w:t>
            </w:r>
          </w:p>
          <w:p w14:paraId="3212F12F"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p>
        </w:tc>
        <w:tc>
          <w:tcPr>
            <w:tcW w:w="2301" w:type="dxa"/>
          </w:tcPr>
          <w:p w14:paraId="1BBB549E" w14:textId="77777777" w:rsidR="002A2593" w:rsidRPr="009A2901" w:rsidRDefault="002A2593" w:rsidP="0087309D">
            <w:pPr>
              <w:widowControl w:val="0"/>
              <w:spacing w:after="0"/>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Supermarket pricing strategies</w:t>
            </w:r>
          </w:p>
        </w:tc>
        <w:tc>
          <w:tcPr>
            <w:tcW w:w="5954" w:type="dxa"/>
          </w:tcPr>
          <w:p w14:paraId="7CAA023E" w14:textId="68AEB8C0"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 pricing strategy can be </w:t>
            </w:r>
            <w:r w:rsidR="00822185">
              <w:rPr>
                <w:rFonts w:ascii="Times New Roman" w:hAnsi="Times New Roman" w:cs="Times New Roman"/>
                <w:i/>
                <w:color w:val="000000"/>
                <w:sz w:val="20"/>
                <w:szCs w:val="20"/>
              </w:rPr>
              <w:t>characterised</w:t>
            </w:r>
            <w:r w:rsidRPr="009A2901">
              <w:rPr>
                <w:rFonts w:ascii="Times New Roman" w:hAnsi="Times New Roman" w:cs="Times New Roman"/>
                <w:i/>
                <w:color w:val="000000"/>
                <w:sz w:val="20"/>
                <w:szCs w:val="20"/>
              </w:rPr>
              <w:t xml:space="preserve"> as a choice between offering relatively stable prices across a wide range of products (often called everyday low pricing) or </w:t>
            </w:r>
            <w:r w:rsidR="00822185">
              <w:rPr>
                <w:rFonts w:ascii="Times New Roman" w:hAnsi="Times New Roman" w:cs="Times New Roman"/>
                <w:i/>
                <w:color w:val="000000"/>
                <w:sz w:val="20"/>
                <w:szCs w:val="20"/>
              </w:rPr>
              <w:t>emphasising</w:t>
            </w:r>
            <w:r w:rsidRPr="009A2901">
              <w:rPr>
                <w:rFonts w:ascii="Times New Roman" w:hAnsi="Times New Roman" w:cs="Times New Roman"/>
                <w:i/>
                <w:color w:val="000000"/>
                <w:sz w:val="20"/>
                <w:szCs w:val="20"/>
              </w:rPr>
              <w:t xml:space="preserve"> deep and frequent discounts on a smaller set of goods (referred to as promotional or PROMO pricing)’’. ‘‘Pricing strategies […] often have implications for other aspects of the retail mix. […] pricing strategy is more than just how prices are set</w:t>
            </w:r>
            <w:r w:rsidR="00822185">
              <w:rPr>
                <w:rFonts w:ascii="Times New Roman" w:hAnsi="Times New Roman" w:cs="Times New Roman"/>
                <w:i/>
                <w:color w:val="000000"/>
                <w:sz w:val="20"/>
                <w:szCs w:val="20"/>
              </w:rPr>
              <w:t>,</w:t>
            </w:r>
            <w:r w:rsidRPr="009A2901">
              <w:rPr>
                <w:rFonts w:ascii="Times New Roman" w:hAnsi="Times New Roman" w:cs="Times New Roman"/>
                <w:i/>
                <w:color w:val="000000"/>
                <w:sz w:val="20"/>
                <w:szCs w:val="20"/>
              </w:rPr>
              <w:t xml:space="preserve"> it reflects the pricing dimension alone, taking other aspects of the retail mix as given’’. ‘‘In practice, firms can choose a mixture of EDLP and PROMO […] hybrid pricing’’. ‘‘[…] pricing strategy is best viewed as a continuum, with pure EDLP […] on one end and pure PROMO […] at the other’’</w:t>
            </w:r>
          </w:p>
        </w:tc>
      </w:tr>
      <w:tr w:rsidR="002A2593" w:rsidRPr="00B821FE" w14:paraId="5E286C1C" w14:textId="77777777" w:rsidTr="0087309D">
        <w:trPr>
          <w:trHeight w:val="170"/>
        </w:trPr>
        <w:tc>
          <w:tcPr>
            <w:tcW w:w="1096" w:type="dxa"/>
          </w:tcPr>
          <w:p w14:paraId="2424C60A"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Gauri et al., (2008)</w:t>
            </w:r>
          </w:p>
        </w:tc>
        <w:tc>
          <w:tcPr>
            <w:tcW w:w="2301" w:type="dxa"/>
          </w:tcPr>
          <w:p w14:paraId="31CE4334" w14:textId="77777777" w:rsidR="002A2593" w:rsidRPr="009A2901" w:rsidRDefault="002A2593" w:rsidP="0087309D">
            <w:pPr>
              <w:widowControl w:val="0"/>
              <w:spacing w:after="0"/>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Understanding the determinants of retail strategy: an empirical analysis</w:t>
            </w:r>
          </w:p>
        </w:tc>
        <w:tc>
          <w:tcPr>
            <w:tcW w:w="5954" w:type="dxa"/>
          </w:tcPr>
          <w:p w14:paraId="50F4E600"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pricing […], for which the options available to retailers range from everyday low price (EDLP) to promotional or high-low (HILO) strategies. An EDLP retailer tends to offer lower average prices, whereas a HILO retailer offers frequent discounts […]. […] a few retailers may offer some combination (i.e., hybrid pricing)’’</w:t>
            </w:r>
          </w:p>
        </w:tc>
      </w:tr>
      <w:tr w:rsidR="002A2593" w:rsidRPr="00B821FE" w14:paraId="49488A42" w14:textId="77777777" w:rsidTr="0087309D">
        <w:trPr>
          <w:trHeight w:val="170"/>
        </w:trPr>
        <w:tc>
          <w:tcPr>
            <w:tcW w:w="1096" w:type="dxa"/>
          </w:tcPr>
          <w:p w14:paraId="4FC84D68"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proofErr w:type="spellStart"/>
            <w:r w:rsidRPr="009A2901">
              <w:rPr>
                <w:rFonts w:ascii="Times New Roman" w:hAnsi="Times New Roman" w:cs="Times New Roman"/>
                <w:color w:val="000000"/>
                <w:sz w:val="20"/>
                <w:szCs w:val="20"/>
              </w:rPr>
              <w:t>Kopalle</w:t>
            </w:r>
            <w:proofErr w:type="spellEnd"/>
            <w:r w:rsidRPr="009A2901">
              <w:rPr>
                <w:rFonts w:ascii="Times New Roman" w:hAnsi="Times New Roman" w:cs="Times New Roman"/>
                <w:color w:val="000000"/>
                <w:sz w:val="20"/>
                <w:szCs w:val="20"/>
              </w:rPr>
              <w:t xml:space="preserve"> et al., (2009)</w:t>
            </w:r>
          </w:p>
        </w:tc>
        <w:tc>
          <w:tcPr>
            <w:tcW w:w="2301" w:type="dxa"/>
          </w:tcPr>
          <w:p w14:paraId="524E6373"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Retailer pricing and competitive effects.</w:t>
            </w:r>
          </w:p>
        </w:tc>
        <w:tc>
          <w:tcPr>
            <w:tcW w:w="5954" w:type="dxa"/>
          </w:tcPr>
          <w:p w14:paraId="244A165C"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‘‘Two key retail pricing strategies researched our everyday low pricing (EDLP) and promotional pricing (PROMO) […] Retailing has unique features that affect pricing in a competitive environment. A key component of the output of retailing is a set of services, such as location, information, assortment, delivery, and ambience”</w:t>
            </w:r>
          </w:p>
        </w:tc>
      </w:tr>
      <w:tr w:rsidR="002A2593" w:rsidRPr="00B821FE" w14:paraId="4C8564DB" w14:textId="77777777" w:rsidTr="0087309D">
        <w:trPr>
          <w:trHeight w:val="170"/>
        </w:trPr>
        <w:tc>
          <w:tcPr>
            <w:tcW w:w="1096" w:type="dxa"/>
          </w:tcPr>
          <w:p w14:paraId="7EECE0B6"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proofErr w:type="spellStart"/>
            <w:r w:rsidRPr="009A2901">
              <w:rPr>
                <w:rFonts w:ascii="Times New Roman" w:hAnsi="Times New Roman" w:cs="Times New Roman"/>
                <w:color w:val="000000"/>
                <w:sz w:val="20"/>
                <w:szCs w:val="20"/>
              </w:rPr>
              <w:t>Tsiros</w:t>
            </w:r>
            <w:proofErr w:type="spellEnd"/>
            <w:r w:rsidRPr="009A2901">
              <w:rPr>
                <w:rFonts w:ascii="Times New Roman" w:hAnsi="Times New Roman" w:cs="Times New Roman"/>
                <w:color w:val="000000"/>
                <w:sz w:val="20"/>
                <w:szCs w:val="20"/>
              </w:rPr>
              <w:t xml:space="preserve"> et al., (2010)</w:t>
            </w:r>
          </w:p>
        </w:tc>
        <w:tc>
          <w:tcPr>
            <w:tcW w:w="2301" w:type="dxa"/>
          </w:tcPr>
          <w:p w14:paraId="6075A50B"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Ending a price promotion: retracting it in one step or phasing it out gradually</w:t>
            </w:r>
          </w:p>
        </w:tc>
        <w:tc>
          <w:tcPr>
            <w:tcW w:w="5954" w:type="dxa"/>
          </w:tcPr>
          <w:p w14:paraId="1C498BD0"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‘‘Two particularly popular price promotion tactics are everyday low pricing (EDLP) and HILO pricing. Sellers that employ an EDLP tactic charge a constant, everyday price with no (or very infrequent and small) temporary price promotions […]. Alternatively, sellers that employ a HILO pricing tactic set relatively higher prices on an everyday basis but offer frequent and substantial price promotions’’</w:t>
            </w:r>
          </w:p>
        </w:tc>
      </w:tr>
      <w:tr w:rsidR="002A2593" w:rsidRPr="00B821FE" w14:paraId="5378A984" w14:textId="77777777" w:rsidTr="0087309D">
        <w:trPr>
          <w:trHeight w:val="170"/>
        </w:trPr>
        <w:tc>
          <w:tcPr>
            <w:tcW w:w="1096" w:type="dxa"/>
          </w:tcPr>
          <w:p w14:paraId="347B0B89"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Fassnacht et al., (2013)</w:t>
            </w:r>
          </w:p>
        </w:tc>
        <w:tc>
          <w:tcPr>
            <w:tcW w:w="2301" w:type="dxa"/>
          </w:tcPr>
          <w:p w14:paraId="6F7668C6" w14:textId="4C86E3AD"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EDLP versus HILO pricing strategies in retailing</w:t>
            </w:r>
            <w:r w:rsidR="00D92FB4">
              <w:rPr>
                <w:rFonts w:ascii="Times New Roman" w:hAnsi="Times New Roman" w:cs="Times New Roman"/>
                <w:color w:val="000000"/>
                <w:sz w:val="20"/>
                <w:szCs w:val="20"/>
              </w:rPr>
              <w:t>,</w:t>
            </w:r>
            <w:r w:rsidRPr="009A2901">
              <w:rPr>
                <w:rFonts w:ascii="Times New Roman" w:hAnsi="Times New Roman" w:cs="Times New Roman"/>
                <w:color w:val="000000"/>
                <w:sz w:val="20"/>
                <w:szCs w:val="20"/>
              </w:rPr>
              <w:t xml:space="preserve"> a state-of-the-art article</w:t>
            </w:r>
          </w:p>
        </w:tc>
        <w:tc>
          <w:tcPr>
            <w:tcW w:w="5954" w:type="dxa"/>
          </w:tcPr>
          <w:p w14:paraId="2C9E6440"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 xml:space="preserve">“…research mainly addresses the influence of market and consumer factors on pricing strategy in retailing and finds converging results concerning income, family size, size of the shopping basket, population density, shopping frequency, time-constrained consumers versus cherry </w:t>
            </w:r>
            <w:r w:rsidRPr="009A2901">
              <w:rPr>
                <w:rFonts w:ascii="Times New Roman" w:hAnsi="Times New Roman" w:cs="Times New Roman"/>
                <w:i/>
                <w:color w:val="000000"/>
                <w:sz w:val="20"/>
                <w:szCs w:val="20"/>
              </w:rPr>
              <w:lastRenderedPageBreak/>
              <w:t>pickers, price sensitivity, sale proneness, store loyalty and fixed and variable costs and utility. Among the retailer determinants, converging results concerning the influence of store and chain size on pricing strategy are found. […]”</w:t>
            </w:r>
          </w:p>
        </w:tc>
      </w:tr>
      <w:tr w:rsidR="002A2593" w:rsidRPr="00B821FE" w14:paraId="2C63DFB0" w14:textId="77777777" w:rsidTr="0087309D">
        <w:trPr>
          <w:trHeight w:val="170"/>
        </w:trPr>
        <w:tc>
          <w:tcPr>
            <w:tcW w:w="1096" w:type="dxa"/>
          </w:tcPr>
          <w:p w14:paraId="570C049E"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proofErr w:type="spellStart"/>
            <w:r w:rsidRPr="009A2901">
              <w:rPr>
                <w:rFonts w:ascii="Times New Roman" w:hAnsi="Times New Roman" w:cs="Times New Roman"/>
                <w:color w:val="000000"/>
                <w:sz w:val="20"/>
                <w:szCs w:val="20"/>
              </w:rPr>
              <w:lastRenderedPageBreak/>
              <w:t>Kaltcheva</w:t>
            </w:r>
            <w:proofErr w:type="spellEnd"/>
            <w:r w:rsidRPr="009A2901">
              <w:rPr>
                <w:rFonts w:ascii="Times New Roman" w:hAnsi="Times New Roman" w:cs="Times New Roman"/>
                <w:color w:val="000000"/>
                <w:sz w:val="20"/>
                <w:szCs w:val="20"/>
              </w:rPr>
              <w:t xml:space="preserve"> et al., (2013)</w:t>
            </w:r>
          </w:p>
        </w:tc>
        <w:tc>
          <w:tcPr>
            <w:tcW w:w="2301" w:type="dxa"/>
          </w:tcPr>
          <w:p w14:paraId="031A0F2C"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Impact of promotions on shopper price comparisons</w:t>
            </w:r>
          </w:p>
        </w:tc>
        <w:tc>
          <w:tcPr>
            <w:tcW w:w="5954" w:type="dxa"/>
          </w:tcPr>
          <w:p w14:paraId="19C4C26F"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“HILO retailers are particularly vulnerable to this erosion of perceived value since their Hi or regular (undiscounted) prices typically exceed the regular prices at EDLP competitors. As a result, HILO retailers should seek to develop and implement promotional strategies that discourage (or at least do not encourage) shoppers from making price comparisons across stores.”</w:t>
            </w:r>
          </w:p>
        </w:tc>
      </w:tr>
      <w:tr w:rsidR="002A2593" w:rsidRPr="00B821FE" w14:paraId="1042F88A" w14:textId="77777777" w:rsidTr="0087309D">
        <w:trPr>
          <w:trHeight w:val="170"/>
        </w:trPr>
        <w:tc>
          <w:tcPr>
            <w:tcW w:w="1096" w:type="dxa"/>
          </w:tcPr>
          <w:p w14:paraId="0E8938BC"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Johansen et al., (2016)</w:t>
            </w:r>
          </w:p>
        </w:tc>
        <w:tc>
          <w:tcPr>
            <w:tcW w:w="2301" w:type="dxa"/>
          </w:tcPr>
          <w:p w14:paraId="415236F3" w14:textId="7E359F94"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The </w:t>
            </w:r>
            <w:r w:rsidR="008C3A6C">
              <w:rPr>
                <w:rFonts w:ascii="Times New Roman" w:hAnsi="Times New Roman" w:cs="Times New Roman"/>
                <w:color w:val="000000"/>
                <w:sz w:val="20"/>
                <w:szCs w:val="20"/>
              </w:rPr>
              <w:t>e</w:t>
            </w:r>
            <w:r w:rsidRPr="009A2901">
              <w:rPr>
                <w:rFonts w:ascii="Times New Roman" w:hAnsi="Times New Roman" w:cs="Times New Roman"/>
                <w:color w:val="000000"/>
                <w:sz w:val="20"/>
                <w:szCs w:val="20"/>
              </w:rPr>
              <w:t xml:space="preserve">conomics of </w:t>
            </w:r>
            <w:r w:rsidR="008C3A6C">
              <w:rPr>
                <w:rFonts w:ascii="Times New Roman" w:hAnsi="Times New Roman" w:cs="Times New Roman"/>
                <w:color w:val="000000"/>
                <w:sz w:val="20"/>
                <w:szCs w:val="20"/>
              </w:rPr>
              <w:t>r</w:t>
            </w:r>
            <w:r w:rsidRPr="009A2901">
              <w:rPr>
                <w:rFonts w:ascii="Times New Roman" w:hAnsi="Times New Roman" w:cs="Times New Roman"/>
                <w:color w:val="000000"/>
                <w:sz w:val="20"/>
                <w:szCs w:val="20"/>
              </w:rPr>
              <w:t xml:space="preserve">etailing </w:t>
            </w:r>
            <w:r w:rsidR="008C3A6C">
              <w:rPr>
                <w:rFonts w:ascii="Times New Roman" w:hAnsi="Times New Roman" w:cs="Times New Roman"/>
                <w:color w:val="000000"/>
                <w:sz w:val="20"/>
                <w:szCs w:val="20"/>
              </w:rPr>
              <w:t>f</w:t>
            </w:r>
            <w:r w:rsidRPr="009A2901">
              <w:rPr>
                <w:rFonts w:ascii="Times New Roman" w:hAnsi="Times New Roman" w:cs="Times New Roman"/>
                <w:color w:val="000000"/>
                <w:sz w:val="20"/>
                <w:szCs w:val="20"/>
              </w:rPr>
              <w:t xml:space="preserve">ormats: </w:t>
            </w:r>
            <w:r w:rsidR="008C3A6C">
              <w:rPr>
                <w:rFonts w:ascii="Times New Roman" w:hAnsi="Times New Roman" w:cs="Times New Roman"/>
                <w:color w:val="000000"/>
                <w:sz w:val="20"/>
                <w:szCs w:val="20"/>
              </w:rPr>
              <w:t>c</w:t>
            </w:r>
            <w:r w:rsidRPr="009A2901">
              <w:rPr>
                <w:rFonts w:ascii="Times New Roman" w:hAnsi="Times New Roman" w:cs="Times New Roman"/>
                <w:color w:val="000000"/>
                <w:sz w:val="20"/>
                <w:szCs w:val="20"/>
              </w:rPr>
              <w:t xml:space="preserve">ompetition versus </w:t>
            </w:r>
            <w:r w:rsidR="008C3A6C">
              <w:rPr>
                <w:rFonts w:ascii="Times New Roman" w:hAnsi="Times New Roman" w:cs="Times New Roman"/>
                <w:color w:val="000000"/>
                <w:sz w:val="20"/>
                <w:szCs w:val="20"/>
              </w:rPr>
              <w:t>b</w:t>
            </w:r>
            <w:r w:rsidRPr="009A2901">
              <w:rPr>
                <w:rFonts w:ascii="Times New Roman" w:hAnsi="Times New Roman" w:cs="Times New Roman"/>
                <w:color w:val="000000"/>
                <w:sz w:val="20"/>
                <w:szCs w:val="20"/>
              </w:rPr>
              <w:t>argaining</w:t>
            </w:r>
          </w:p>
        </w:tc>
        <w:tc>
          <w:tcPr>
            <w:tcW w:w="5954" w:type="dxa"/>
          </w:tcPr>
          <w:p w14:paraId="0A12DA07"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“…retailers’ buying power is crucial: a big store improves the retailers’ bargaining position, but when the latter is large at the outset, there is less need for the retailers to form a big store to get better contract terms. On the other hand, when retailers have less bargaining power, there is an incentive to create a big store”</w:t>
            </w:r>
          </w:p>
        </w:tc>
      </w:tr>
      <w:tr w:rsidR="002A2593" w:rsidRPr="00B821FE" w14:paraId="522518E2" w14:textId="77777777" w:rsidTr="0087309D">
        <w:trPr>
          <w:trHeight w:val="170"/>
        </w:trPr>
        <w:tc>
          <w:tcPr>
            <w:tcW w:w="1096" w:type="dxa"/>
          </w:tcPr>
          <w:p w14:paraId="7445903C"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Kumar et al., (2017)</w:t>
            </w:r>
          </w:p>
        </w:tc>
        <w:tc>
          <w:tcPr>
            <w:tcW w:w="2301" w:type="dxa"/>
          </w:tcPr>
          <w:p w14:paraId="2BBB404A"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Future of retailer profitability: an organizing framework</w:t>
            </w:r>
          </w:p>
        </w:tc>
        <w:tc>
          <w:tcPr>
            <w:tcW w:w="5954" w:type="dxa"/>
          </w:tcPr>
          <w:p w14:paraId="499E1F57"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“The proposed framework in this article identifies the future direction of research in terms of the changing retail environment, global expansion of retailers, and disruptive technological advancements related to retailing practices. This article uses a triangulation approach to develop the organizing framework where we also include how existing theories are contingent upon dynamically changing environments”</w:t>
            </w:r>
          </w:p>
        </w:tc>
      </w:tr>
      <w:tr w:rsidR="002A2593" w:rsidRPr="00B821FE" w14:paraId="2AA849FB" w14:textId="77777777" w:rsidTr="0087309D">
        <w:trPr>
          <w:trHeight w:val="170"/>
        </w:trPr>
        <w:tc>
          <w:tcPr>
            <w:tcW w:w="1096" w:type="dxa"/>
          </w:tcPr>
          <w:p w14:paraId="74386C7E" w14:textId="17D588F9"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Park et al.</w:t>
            </w:r>
            <w:r w:rsidR="000241E0" w:rsidRPr="009A2901">
              <w:rPr>
                <w:rFonts w:ascii="Times New Roman" w:hAnsi="Times New Roman" w:cs="Times New Roman"/>
                <w:color w:val="000000"/>
                <w:sz w:val="20"/>
                <w:szCs w:val="20"/>
              </w:rPr>
              <w:t>, (</w:t>
            </w:r>
            <w:r w:rsidRPr="009A2901">
              <w:rPr>
                <w:rFonts w:ascii="Times New Roman" w:hAnsi="Times New Roman" w:cs="Times New Roman"/>
                <w:color w:val="000000"/>
                <w:sz w:val="20"/>
                <w:szCs w:val="20"/>
              </w:rPr>
              <w:t>2020)</w:t>
            </w:r>
          </w:p>
        </w:tc>
        <w:tc>
          <w:tcPr>
            <w:tcW w:w="2301" w:type="dxa"/>
          </w:tcPr>
          <w:p w14:paraId="33A7082C"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Market competition and pricing strategies in retail supply chains</w:t>
            </w:r>
          </w:p>
        </w:tc>
        <w:tc>
          <w:tcPr>
            <w:tcW w:w="5954" w:type="dxa"/>
          </w:tcPr>
          <w:p w14:paraId="29F15721" w14:textId="26791E84"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“This study provides a better explanation for the continued prevalence of high–low</w:t>
            </w:r>
            <w:r w:rsidR="003A3CA8">
              <w:rPr>
                <w:rFonts w:ascii="Times New Roman" w:hAnsi="Times New Roman" w:cs="Times New Roman"/>
                <w:i/>
                <w:color w:val="000000"/>
                <w:sz w:val="20"/>
                <w:szCs w:val="20"/>
              </w:rPr>
              <w:t xml:space="preserve"> </w:t>
            </w:r>
            <w:r w:rsidRPr="009A2901">
              <w:rPr>
                <w:rFonts w:ascii="Times New Roman" w:hAnsi="Times New Roman" w:cs="Times New Roman"/>
                <w:i/>
                <w:color w:val="000000"/>
                <w:sz w:val="20"/>
                <w:szCs w:val="20"/>
              </w:rPr>
              <w:t>(Hi-Lo) pricing strategy. We investigate the impact of market competition on adopting two different pricing strategies in the retail industry: the everyday low price</w:t>
            </w:r>
            <w:r w:rsidR="00D33D34">
              <w:rPr>
                <w:rFonts w:ascii="Times New Roman" w:hAnsi="Times New Roman" w:cs="Times New Roman"/>
                <w:i/>
                <w:color w:val="000000"/>
                <w:sz w:val="20"/>
                <w:szCs w:val="20"/>
              </w:rPr>
              <w:t xml:space="preserve"> </w:t>
            </w:r>
            <w:r w:rsidRPr="009A2901">
              <w:rPr>
                <w:rFonts w:ascii="Times New Roman" w:hAnsi="Times New Roman" w:cs="Times New Roman"/>
                <w:i/>
                <w:color w:val="000000"/>
                <w:sz w:val="20"/>
                <w:szCs w:val="20"/>
              </w:rPr>
              <w:t>(EDLP) strategy and the Hi-Lo strategy. The result shows that an EDLP player's equilibrium price depends highly on the cost level rather than the competitor's price whereas the Hi-Lo player's equilibrium price depends mainly on the range of promotional basket as well as the cost level”</w:t>
            </w:r>
          </w:p>
        </w:tc>
      </w:tr>
      <w:tr w:rsidR="002A2593" w:rsidRPr="00B821FE" w14:paraId="61CBA8B6" w14:textId="77777777" w:rsidTr="0087309D">
        <w:trPr>
          <w:trHeight w:val="170"/>
        </w:trPr>
        <w:tc>
          <w:tcPr>
            <w:tcW w:w="1096" w:type="dxa"/>
          </w:tcPr>
          <w:p w14:paraId="152AF67B" w14:textId="167714BF" w:rsidR="002A2593" w:rsidRPr="009A2901" w:rsidRDefault="002A2593" w:rsidP="0087309D">
            <w:pPr>
              <w:widowControl w:val="0"/>
              <w:spacing w:after="0"/>
              <w:contextualSpacing/>
              <w:jc w:val="both"/>
              <w:rPr>
                <w:rFonts w:ascii="Times New Roman" w:hAnsi="Times New Roman" w:cs="Times New Roman"/>
                <w:color w:val="000000"/>
                <w:sz w:val="20"/>
                <w:szCs w:val="20"/>
              </w:rPr>
            </w:pPr>
            <w:proofErr w:type="spellStart"/>
            <w:r w:rsidRPr="009A2901">
              <w:rPr>
                <w:rFonts w:ascii="Times New Roman" w:hAnsi="Times New Roman" w:cs="Times New Roman"/>
                <w:color w:val="000000"/>
                <w:sz w:val="20"/>
                <w:szCs w:val="20"/>
              </w:rPr>
              <w:t>Septianto</w:t>
            </w:r>
            <w:proofErr w:type="spellEnd"/>
            <w:r w:rsidRPr="009A2901">
              <w:rPr>
                <w:rFonts w:ascii="Times New Roman" w:hAnsi="Times New Roman" w:cs="Times New Roman"/>
                <w:color w:val="000000"/>
                <w:sz w:val="20"/>
                <w:szCs w:val="20"/>
              </w:rPr>
              <w:t xml:space="preserve"> et al.</w:t>
            </w:r>
            <w:r w:rsidR="000241E0" w:rsidRPr="009A2901">
              <w:rPr>
                <w:rFonts w:ascii="Times New Roman" w:hAnsi="Times New Roman" w:cs="Times New Roman"/>
                <w:color w:val="000000"/>
                <w:sz w:val="20"/>
                <w:szCs w:val="20"/>
              </w:rPr>
              <w:t>, (</w:t>
            </w:r>
            <w:r w:rsidRPr="009A2901">
              <w:rPr>
                <w:rFonts w:ascii="Times New Roman" w:hAnsi="Times New Roman" w:cs="Times New Roman"/>
                <w:color w:val="000000"/>
                <w:sz w:val="20"/>
                <w:szCs w:val="20"/>
              </w:rPr>
              <w:t xml:space="preserve">2021) </w:t>
            </w:r>
          </w:p>
        </w:tc>
        <w:tc>
          <w:tcPr>
            <w:tcW w:w="2301" w:type="dxa"/>
          </w:tcPr>
          <w:p w14:paraId="2C3E8D6C" w14:textId="52199572" w:rsidR="002A2593" w:rsidRPr="009A2901" w:rsidRDefault="0063496E" w:rsidP="0087309D">
            <w:pPr>
              <w:widowControl w:val="0"/>
              <w:spacing w:after="0"/>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Every</w:t>
            </w:r>
            <w:r w:rsidR="00116057">
              <w:rPr>
                <w:rFonts w:ascii="Times New Roman" w:hAnsi="Times New Roman" w:cs="Times New Roman"/>
                <w:color w:val="000000"/>
                <w:sz w:val="20"/>
                <w:szCs w:val="20"/>
              </w:rPr>
              <w:t xml:space="preserve"> </w:t>
            </w:r>
            <w:r>
              <w:rPr>
                <w:rFonts w:ascii="Times New Roman" w:hAnsi="Times New Roman" w:cs="Times New Roman"/>
                <w:color w:val="000000"/>
                <w:sz w:val="20"/>
                <w:szCs w:val="20"/>
              </w:rPr>
              <w:t>day</w:t>
            </w:r>
            <w:r w:rsidR="002A2593" w:rsidRPr="009A2901">
              <w:rPr>
                <w:rFonts w:ascii="Times New Roman" w:hAnsi="Times New Roman" w:cs="Times New Roman"/>
                <w:color w:val="000000"/>
                <w:sz w:val="20"/>
                <w:szCs w:val="20"/>
              </w:rPr>
              <w:t xml:space="preserve"> “low price” or every</w:t>
            </w:r>
            <w:r w:rsidR="00116057">
              <w:rPr>
                <w:rFonts w:ascii="Times New Roman" w:hAnsi="Times New Roman" w:cs="Times New Roman"/>
                <w:color w:val="000000"/>
                <w:sz w:val="20"/>
                <w:szCs w:val="20"/>
              </w:rPr>
              <w:t xml:space="preserve"> </w:t>
            </w:r>
            <w:r w:rsidR="002A2593" w:rsidRPr="009A2901">
              <w:rPr>
                <w:rFonts w:ascii="Times New Roman" w:hAnsi="Times New Roman" w:cs="Times New Roman"/>
                <w:color w:val="000000"/>
                <w:sz w:val="20"/>
                <w:szCs w:val="20"/>
              </w:rPr>
              <w:t>day “value”? The interactive effects of framing and construal level on consumer purchase intentions.</w:t>
            </w:r>
          </w:p>
        </w:tc>
        <w:tc>
          <w:tcPr>
            <w:tcW w:w="5954" w:type="dxa"/>
          </w:tcPr>
          <w:p w14:paraId="76C43FAC" w14:textId="6A37FCF4"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“...in real-world situations, many brands and retailers opt to use a different term</w:t>
            </w:r>
            <w:r w:rsidR="007B5BC1">
              <w:rPr>
                <w:rFonts w:ascii="Times New Roman" w:hAnsi="Times New Roman" w:cs="Times New Roman"/>
                <w:i/>
                <w:color w:val="000000"/>
                <w:sz w:val="20"/>
                <w:szCs w:val="20"/>
              </w:rPr>
              <w:t>:</w:t>
            </w:r>
            <w:r w:rsidRPr="009A2901">
              <w:rPr>
                <w:rFonts w:ascii="Times New Roman" w:hAnsi="Times New Roman" w:cs="Times New Roman"/>
                <w:i/>
                <w:color w:val="000000"/>
                <w:sz w:val="20"/>
                <w:szCs w:val="20"/>
              </w:rPr>
              <w:t xml:space="preserve"> “everyday value” (EDV). Do consumers differentially evaluate such framings of the same pricing strategy? The present research draws upon construal level theory and demonstrates across two experimental studies – that EDV (vs. EDLP) framing is more effective among consumers with high (but not low) construal levels. This effect is mediated by perceived benefit such that consumers with high construal levels derive higher levels of perceived benefit when evaluating a product promoted with an EDV (vs. EDLP) framing.”</w:t>
            </w:r>
          </w:p>
        </w:tc>
      </w:tr>
      <w:tr w:rsidR="002A2593" w:rsidRPr="00B821FE" w14:paraId="274D5812" w14:textId="77777777" w:rsidTr="0087309D">
        <w:trPr>
          <w:trHeight w:val="170"/>
        </w:trPr>
        <w:tc>
          <w:tcPr>
            <w:tcW w:w="1096" w:type="dxa"/>
          </w:tcPr>
          <w:p w14:paraId="5D143870"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Basu et al., (2022)</w:t>
            </w:r>
          </w:p>
        </w:tc>
        <w:tc>
          <w:tcPr>
            <w:tcW w:w="2301" w:type="dxa"/>
          </w:tcPr>
          <w:p w14:paraId="6BC61739" w14:textId="77777777" w:rsidR="002A2593" w:rsidRPr="009A2901" w:rsidRDefault="002A2593"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Designing, Developing and Deploying an Enterprise Scale Network Monitoring System. </w:t>
            </w:r>
          </w:p>
        </w:tc>
        <w:tc>
          <w:tcPr>
            <w:tcW w:w="5954" w:type="dxa"/>
          </w:tcPr>
          <w:p w14:paraId="2975CD2F" w14:textId="77777777" w:rsidR="002A2593" w:rsidRPr="009A2901" w:rsidRDefault="002A2593"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“Walmart is committed to its policy of Everyday Low Price (EDLP) so that customers need not incur extra expenses. One way that Walmart ensures EDLP is by embracing everyday Low Cost (EDLC), i.e., it tries to minimize its operational costs so that the resulting savings can be passed along to the customers. Thus, EDLC calls for innovations that deliver fast and efficient solutions”</w:t>
            </w:r>
          </w:p>
        </w:tc>
      </w:tr>
      <w:tr w:rsidR="00A35321" w:rsidRPr="00B821FE" w14:paraId="72A39ECA" w14:textId="77777777" w:rsidTr="0087309D">
        <w:trPr>
          <w:trHeight w:val="170"/>
        </w:trPr>
        <w:tc>
          <w:tcPr>
            <w:tcW w:w="1096" w:type="dxa"/>
          </w:tcPr>
          <w:p w14:paraId="23BF6523" w14:textId="6AC5A183" w:rsidR="00A35321" w:rsidRPr="009A2901" w:rsidRDefault="00A35321"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He et al.</w:t>
            </w:r>
            <w:r w:rsidR="009360C0" w:rsidRPr="009A2901">
              <w:rPr>
                <w:rFonts w:ascii="Times New Roman" w:hAnsi="Times New Roman" w:cs="Times New Roman"/>
                <w:color w:val="000000"/>
                <w:sz w:val="20"/>
                <w:szCs w:val="20"/>
              </w:rPr>
              <w:t>,</w:t>
            </w:r>
            <w:r w:rsidRPr="009A2901">
              <w:rPr>
                <w:rFonts w:ascii="Times New Roman" w:hAnsi="Times New Roman" w:cs="Times New Roman"/>
                <w:color w:val="000000"/>
                <w:sz w:val="20"/>
                <w:szCs w:val="20"/>
              </w:rPr>
              <w:t xml:space="preserve"> (2024)</w:t>
            </w:r>
          </w:p>
        </w:tc>
        <w:tc>
          <w:tcPr>
            <w:tcW w:w="2301" w:type="dxa"/>
          </w:tcPr>
          <w:p w14:paraId="0097B148" w14:textId="4CF6A9CC" w:rsidR="00A35321" w:rsidRPr="009A2901" w:rsidRDefault="00A35321" w:rsidP="0087309D">
            <w:pPr>
              <w:widowControl w:val="0"/>
              <w:spacing w:after="0"/>
              <w:contextualSpacing/>
              <w:jc w:val="both"/>
              <w:rPr>
                <w:rFonts w:ascii="Times New Roman" w:hAnsi="Times New Roman" w:cs="Times New Roman"/>
                <w:color w:val="000000"/>
                <w:sz w:val="20"/>
                <w:szCs w:val="20"/>
              </w:rPr>
            </w:pPr>
            <w:r w:rsidRPr="009A2901">
              <w:rPr>
                <w:rFonts w:ascii="Times New Roman" w:hAnsi="Times New Roman" w:cs="Times New Roman"/>
                <w:color w:val="000000"/>
                <w:sz w:val="20"/>
                <w:szCs w:val="20"/>
              </w:rPr>
              <w:t xml:space="preserve">How do </w:t>
            </w:r>
            <w:proofErr w:type="gramStart"/>
            <w:r w:rsidR="000657EA" w:rsidRPr="009A2901">
              <w:rPr>
                <w:rFonts w:ascii="Times New Roman" w:hAnsi="Times New Roman" w:cs="Times New Roman"/>
                <w:color w:val="000000"/>
                <w:sz w:val="20"/>
                <w:szCs w:val="20"/>
              </w:rPr>
              <w:t>every</w:t>
            </w:r>
            <w:proofErr w:type="gramEnd"/>
            <w:r w:rsidR="00120F18">
              <w:rPr>
                <w:rFonts w:ascii="Times New Roman" w:hAnsi="Times New Roman" w:cs="Times New Roman"/>
                <w:color w:val="000000"/>
                <w:sz w:val="20"/>
                <w:szCs w:val="20"/>
              </w:rPr>
              <w:t xml:space="preserve"> </w:t>
            </w:r>
            <w:r w:rsidR="000657EA" w:rsidRPr="009A2901">
              <w:rPr>
                <w:rFonts w:ascii="Times New Roman" w:hAnsi="Times New Roman" w:cs="Times New Roman"/>
                <w:color w:val="000000"/>
                <w:sz w:val="20"/>
                <w:szCs w:val="20"/>
              </w:rPr>
              <w:t>day-low-price</w:t>
            </w:r>
            <w:r w:rsidRPr="009A2901">
              <w:rPr>
                <w:rFonts w:ascii="Times New Roman" w:hAnsi="Times New Roman" w:cs="Times New Roman"/>
                <w:color w:val="000000"/>
                <w:sz w:val="20"/>
                <w:szCs w:val="20"/>
              </w:rPr>
              <w:t xml:space="preserve"> supermarkets adjust their prices?</w:t>
            </w:r>
          </w:p>
        </w:tc>
        <w:tc>
          <w:tcPr>
            <w:tcW w:w="5954" w:type="dxa"/>
          </w:tcPr>
          <w:p w14:paraId="5678C829" w14:textId="7A4252EC" w:rsidR="00A35321" w:rsidRPr="009A2901" w:rsidRDefault="00A35321" w:rsidP="0087309D">
            <w:pPr>
              <w:widowControl w:val="0"/>
              <w:spacing w:after="0"/>
              <w:contextualSpacing/>
              <w:jc w:val="both"/>
              <w:rPr>
                <w:rFonts w:ascii="Times New Roman" w:hAnsi="Times New Roman" w:cs="Times New Roman"/>
                <w:i/>
                <w:color w:val="000000"/>
                <w:sz w:val="20"/>
                <w:szCs w:val="20"/>
              </w:rPr>
            </w:pPr>
            <w:r w:rsidRPr="009A2901">
              <w:rPr>
                <w:rFonts w:ascii="Times New Roman" w:hAnsi="Times New Roman" w:cs="Times New Roman"/>
                <w:i/>
                <w:color w:val="000000"/>
                <w:sz w:val="20"/>
                <w:szCs w:val="20"/>
              </w:rPr>
              <w:t>“We found that, for most goods, commodity price shocks have little effect on hi-</w:t>
            </w:r>
            <w:proofErr w:type="spellStart"/>
            <w:r w:rsidRPr="009A2901">
              <w:rPr>
                <w:rFonts w:ascii="Times New Roman" w:hAnsi="Times New Roman" w:cs="Times New Roman"/>
                <w:i/>
                <w:color w:val="000000"/>
                <w:sz w:val="20"/>
                <w:szCs w:val="20"/>
              </w:rPr>
              <w:t>lo</w:t>
            </w:r>
            <w:proofErr w:type="spellEnd"/>
            <w:r w:rsidRPr="009A2901">
              <w:rPr>
                <w:rFonts w:ascii="Times New Roman" w:hAnsi="Times New Roman" w:cs="Times New Roman"/>
                <w:i/>
                <w:color w:val="000000"/>
                <w:sz w:val="20"/>
                <w:szCs w:val="20"/>
              </w:rPr>
              <w:t xml:space="preserve"> prices and do not substantially increase the probability that an EDLP firm will change its prices. We failed to reject the symmetric adjustment hypothesis for only one or two of the 25 goods (depending </w:t>
            </w:r>
            <w:r w:rsidRPr="009A2901">
              <w:rPr>
                <w:rFonts w:ascii="Times New Roman" w:hAnsi="Times New Roman" w:cs="Times New Roman"/>
                <w:i/>
                <w:color w:val="000000"/>
                <w:sz w:val="20"/>
                <w:szCs w:val="20"/>
              </w:rPr>
              <w:lastRenderedPageBreak/>
              <w:t>on the specification). We also found that including changes in other inputs, such as wages and electricity, and concentration measures as proxies for market power do not affect our results.”</w:t>
            </w:r>
          </w:p>
        </w:tc>
      </w:tr>
    </w:tbl>
    <w:p w14:paraId="5D3875C4" w14:textId="77777777" w:rsidR="002A2593" w:rsidRPr="00B821FE" w:rsidRDefault="002A2593" w:rsidP="002A2593">
      <w:pPr>
        <w:widowControl w:val="0"/>
        <w:spacing w:after="0" w:line="480" w:lineRule="auto"/>
        <w:rPr>
          <w:rFonts w:ascii="Times New Roman" w:eastAsia="Times New Roman" w:hAnsi="Times New Roman" w:cs="Times New Roman"/>
          <w:color w:val="000000"/>
          <w:sz w:val="18"/>
          <w:szCs w:val="18"/>
          <w:shd w:val="clear" w:color="auto" w:fill="FFFFFF"/>
        </w:rPr>
      </w:pPr>
    </w:p>
    <w:p w14:paraId="5A0AC821" w14:textId="00F01727" w:rsidR="002A2593" w:rsidRDefault="002A2593" w:rsidP="002A2593">
      <w:pPr>
        <w:widowControl w:val="0"/>
        <w:tabs>
          <w:tab w:val="left" w:pos="6693"/>
        </w:tabs>
        <w:spacing w:after="0" w:line="480" w:lineRule="auto"/>
        <w:ind w:firstLine="170"/>
        <w:jc w:val="both"/>
        <w:rPr>
          <w:rFonts w:ascii="Times New Roman" w:eastAsia="Times New Roman" w:hAnsi="Times New Roman" w:cs="Times New Roman"/>
          <w:color w:val="000000"/>
          <w:sz w:val="20"/>
          <w:szCs w:val="20"/>
          <w:shd w:val="clear" w:color="auto" w:fill="FFFFFF"/>
          <w:lang w:val="en-US"/>
        </w:rPr>
      </w:pPr>
      <w:r w:rsidRPr="00B821FE">
        <w:rPr>
          <w:rFonts w:ascii="Times New Roman" w:eastAsia="Times New Roman" w:hAnsi="Times New Roman" w:cs="Times New Roman"/>
          <w:color w:val="000000"/>
          <w:sz w:val="20"/>
          <w:szCs w:val="20"/>
          <w:shd w:val="clear" w:color="auto" w:fill="FFFFFF"/>
          <w:lang w:val="en-US"/>
        </w:rPr>
        <w:t xml:space="preserve">Source: </w:t>
      </w:r>
      <w:r w:rsidR="00FF4691">
        <w:rPr>
          <w:rFonts w:ascii="Times New Roman" w:eastAsia="Times New Roman" w:hAnsi="Times New Roman" w:cs="Times New Roman"/>
          <w:color w:val="000000"/>
          <w:sz w:val="20"/>
          <w:szCs w:val="20"/>
          <w:shd w:val="clear" w:color="auto" w:fill="FFFFFF"/>
          <w:lang w:val="en-US"/>
        </w:rPr>
        <w:t>t</w:t>
      </w:r>
      <w:r w:rsidRPr="00B821FE">
        <w:rPr>
          <w:rFonts w:ascii="Times New Roman" w:eastAsia="Times New Roman" w:hAnsi="Times New Roman" w:cs="Times New Roman"/>
          <w:color w:val="000000"/>
          <w:sz w:val="20"/>
          <w:szCs w:val="20"/>
          <w:shd w:val="clear" w:color="auto" w:fill="FFFFFF"/>
          <w:lang w:val="en-US"/>
        </w:rPr>
        <w:t>he authors.</w:t>
      </w:r>
    </w:p>
    <w:p w14:paraId="3253821E" w14:textId="35F7C22E" w:rsidR="00F40655" w:rsidRPr="00076219" w:rsidRDefault="00F40655" w:rsidP="00F546EA">
      <w:pPr>
        <w:autoSpaceDE w:val="0"/>
        <w:autoSpaceDN w:val="0"/>
        <w:adjustRightInd w:val="0"/>
        <w:spacing w:after="0" w:line="241" w:lineRule="atLeast"/>
        <w:jc w:val="both"/>
        <w:rPr>
          <w:rStyle w:val="A4"/>
          <w:rFonts w:cstheme="minorBidi"/>
          <w:b w:val="0"/>
          <w:bCs w:val="0"/>
          <w:i/>
          <w:iCs/>
          <w:color w:val="141314"/>
          <w:sz w:val="22"/>
          <w:szCs w:val="22"/>
        </w:rPr>
      </w:pPr>
    </w:p>
    <w:sectPr w:rsidR="00F40655" w:rsidRPr="00076219" w:rsidSect="00930E89">
      <w:footerReference w:type="default" r:id="rId11"/>
      <w:footnotePr>
        <w:numFmt w:val="chicago"/>
        <w:numStart w:val="2"/>
      </w:foot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CEBB4" w14:textId="77777777" w:rsidR="006D059C" w:rsidRPr="00D5788D" w:rsidRDefault="006D059C">
      <w:pPr>
        <w:spacing w:after="0" w:line="240" w:lineRule="auto"/>
      </w:pPr>
      <w:r w:rsidRPr="00D5788D">
        <w:separator/>
      </w:r>
    </w:p>
  </w:endnote>
  <w:endnote w:type="continuationSeparator" w:id="0">
    <w:p w14:paraId="553A73CF" w14:textId="77777777" w:rsidR="006D059C" w:rsidRPr="00D5788D" w:rsidRDefault="006D059C">
      <w:pPr>
        <w:spacing w:after="0" w:line="240" w:lineRule="auto"/>
      </w:pPr>
      <w:r w:rsidRPr="00D57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891426"/>
      <w:docPartObj>
        <w:docPartGallery w:val="Page Numbers (Bottom of Page)"/>
        <w:docPartUnique/>
      </w:docPartObj>
    </w:sdtPr>
    <w:sdtEndPr/>
    <w:sdtContent>
      <w:p w14:paraId="43054B06" w14:textId="146DE813" w:rsidR="00EE1B99" w:rsidRPr="00D5788D" w:rsidRDefault="00EE1B99" w:rsidP="00431A33">
        <w:pPr>
          <w:pStyle w:val="Pidipagina"/>
          <w:jc w:val="center"/>
        </w:pPr>
        <w:r w:rsidRPr="00D5788D">
          <w:fldChar w:fldCharType="begin"/>
        </w:r>
        <w:r w:rsidRPr="00D5788D">
          <w:instrText>PAGE   \* MERGEFORMAT</w:instrText>
        </w:r>
        <w:r w:rsidRPr="00D5788D">
          <w:fldChar w:fldCharType="separate"/>
        </w:r>
        <w:r w:rsidR="00F0040D">
          <w:rPr>
            <w:noProof/>
          </w:rPr>
          <w:t>19</w:t>
        </w:r>
        <w:r w:rsidRPr="00D5788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EA267" w14:textId="77777777" w:rsidR="006D059C" w:rsidRPr="00D5788D" w:rsidRDefault="006D059C" w:rsidP="0053635E">
      <w:pPr>
        <w:spacing w:after="0" w:line="240" w:lineRule="auto"/>
      </w:pPr>
      <w:r w:rsidRPr="00D5788D">
        <w:separator/>
      </w:r>
    </w:p>
  </w:footnote>
  <w:footnote w:type="continuationSeparator" w:id="0">
    <w:p w14:paraId="33FAA290" w14:textId="77777777" w:rsidR="006D059C" w:rsidRPr="00D5788D" w:rsidRDefault="006D059C" w:rsidP="0053635E">
      <w:pPr>
        <w:spacing w:after="0" w:line="240" w:lineRule="auto"/>
      </w:pPr>
      <w:r w:rsidRPr="00D5788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17A"/>
    <w:multiLevelType w:val="hybridMultilevel"/>
    <w:tmpl w:val="DA84AD96"/>
    <w:lvl w:ilvl="0" w:tplc="6E948FEA">
      <w:start w:val="1"/>
      <w:numFmt w:val="decimal"/>
      <w:lvlText w:val="%1."/>
      <w:lvlJc w:val="left"/>
      <w:pPr>
        <w:ind w:left="643" w:hanging="360"/>
      </w:pPr>
      <w:rPr>
        <w:rFonts w:hint="default"/>
        <w:i/>
      </w:rPr>
    </w:lvl>
    <w:lvl w:ilvl="1" w:tplc="73C842D8" w:tentative="1">
      <w:start w:val="1"/>
      <w:numFmt w:val="lowerLetter"/>
      <w:lvlText w:val="%2."/>
      <w:lvlJc w:val="left"/>
      <w:pPr>
        <w:ind w:left="1363" w:hanging="360"/>
      </w:pPr>
    </w:lvl>
    <w:lvl w:ilvl="2" w:tplc="CE566E80" w:tentative="1">
      <w:start w:val="1"/>
      <w:numFmt w:val="lowerRoman"/>
      <w:lvlText w:val="%3."/>
      <w:lvlJc w:val="right"/>
      <w:pPr>
        <w:ind w:left="2083" w:hanging="180"/>
      </w:pPr>
    </w:lvl>
    <w:lvl w:ilvl="3" w:tplc="B504D5EA" w:tentative="1">
      <w:start w:val="1"/>
      <w:numFmt w:val="decimal"/>
      <w:lvlText w:val="%4."/>
      <w:lvlJc w:val="left"/>
      <w:pPr>
        <w:ind w:left="2803" w:hanging="360"/>
      </w:pPr>
    </w:lvl>
    <w:lvl w:ilvl="4" w:tplc="E9FCF486" w:tentative="1">
      <w:start w:val="1"/>
      <w:numFmt w:val="lowerLetter"/>
      <w:lvlText w:val="%5."/>
      <w:lvlJc w:val="left"/>
      <w:pPr>
        <w:ind w:left="3523" w:hanging="360"/>
      </w:pPr>
    </w:lvl>
    <w:lvl w:ilvl="5" w:tplc="68AAAFEA" w:tentative="1">
      <w:start w:val="1"/>
      <w:numFmt w:val="lowerRoman"/>
      <w:lvlText w:val="%6."/>
      <w:lvlJc w:val="right"/>
      <w:pPr>
        <w:ind w:left="4243" w:hanging="180"/>
      </w:pPr>
    </w:lvl>
    <w:lvl w:ilvl="6" w:tplc="54CA3FAC" w:tentative="1">
      <w:start w:val="1"/>
      <w:numFmt w:val="decimal"/>
      <w:lvlText w:val="%7."/>
      <w:lvlJc w:val="left"/>
      <w:pPr>
        <w:ind w:left="4963" w:hanging="360"/>
      </w:pPr>
    </w:lvl>
    <w:lvl w:ilvl="7" w:tplc="05225846" w:tentative="1">
      <w:start w:val="1"/>
      <w:numFmt w:val="lowerLetter"/>
      <w:lvlText w:val="%8."/>
      <w:lvlJc w:val="left"/>
      <w:pPr>
        <w:ind w:left="5683" w:hanging="360"/>
      </w:pPr>
    </w:lvl>
    <w:lvl w:ilvl="8" w:tplc="D7BA79E8" w:tentative="1">
      <w:start w:val="1"/>
      <w:numFmt w:val="lowerRoman"/>
      <w:lvlText w:val="%9."/>
      <w:lvlJc w:val="right"/>
      <w:pPr>
        <w:ind w:left="6403" w:hanging="180"/>
      </w:pPr>
    </w:lvl>
  </w:abstractNum>
  <w:abstractNum w:abstractNumId="1" w15:restartNumberingAfterBreak="0">
    <w:nsid w:val="32B34D3C"/>
    <w:multiLevelType w:val="hybridMultilevel"/>
    <w:tmpl w:val="C0FC2694"/>
    <w:lvl w:ilvl="0" w:tplc="CB30671A">
      <w:start w:val="1"/>
      <w:numFmt w:val="upperLetter"/>
      <w:lvlText w:val="%1."/>
      <w:lvlJc w:val="left"/>
      <w:pPr>
        <w:ind w:left="720" w:hanging="360"/>
      </w:pPr>
      <w:rPr>
        <w:rFonts w:hint="default"/>
      </w:rPr>
    </w:lvl>
    <w:lvl w:ilvl="1" w:tplc="EBA6C8E2" w:tentative="1">
      <w:start w:val="1"/>
      <w:numFmt w:val="lowerLetter"/>
      <w:lvlText w:val="%2."/>
      <w:lvlJc w:val="left"/>
      <w:pPr>
        <w:ind w:left="1440" w:hanging="360"/>
      </w:pPr>
    </w:lvl>
    <w:lvl w:ilvl="2" w:tplc="12DCE09C" w:tentative="1">
      <w:start w:val="1"/>
      <w:numFmt w:val="lowerRoman"/>
      <w:lvlText w:val="%3."/>
      <w:lvlJc w:val="right"/>
      <w:pPr>
        <w:ind w:left="2160" w:hanging="180"/>
      </w:pPr>
    </w:lvl>
    <w:lvl w:ilvl="3" w:tplc="40660EA0" w:tentative="1">
      <w:start w:val="1"/>
      <w:numFmt w:val="decimal"/>
      <w:lvlText w:val="%4."/>
      <w:lvlJc w:val="left"/>
      <w:pPr>
        <w:ind w:left="2880" w:hanging="360"/>
      </w:pPr>
    </w:lvl>
    <w:lvl w:ilvl="4" w:tplc="8342E420" w:tentative="1">
      <w:start w:val="1"/>
      <w:numFmt w:val="lowerLetter"/>
      <w:lvlText w:val="%5."/>
      <w:lvlJc w:val="left"/>
      <w:pPr>
        <w:ind w:left="3600" w:hanging="360"/>
      </w:pPr>
    </w:lvl>
    <w:lvl w:ilvl="5" w:tplc="64BAA2A2" w:tentative="1">
      <w:start w:val="1"/>
      <w:numFmt w:val="lowerRoman"/>
      <w:lvlText w:val="%6."/>
      <w:lvlJc w:val="right"/>
      <w:pPr>
        <w:ind w:left="4320" w:hanging="180"/>
      </w:pPr>
    </w:lvl>
    <w:lvl w:ilvl="6" w:tplc="BDA637E8" w:tentative="1">
      <w:start w:val="1"/>
      <w:numFmt w:val="decimal"/>
      <w:lvlText w:val="%7."/>
      <w:lvlJc w:val="left"/>
      <w:pPr>
        <w:ind w:left="5040" w:hanging="360"/>
      </w:pPr>
    </w:lvl>
    <w:lvl w:ilvl="7" w:tplc="3430811A" w:tentative="1">
      <w:start w:val="1"/>
      <w:numFmt w:val="lowerLetter"/>
      <w:lvlText w:val="%8."/>
      <w:lvlJc w:val="left"/>
      <w:pPr>
        <w:ind w:left="5760" w:hanging="360"/>
      </w:pPr>
    </w:lvl>
    <w:lvl w:ilvl="8" w:tplc="45C4C8F6" w:tentative="1">
      <w:start w:val="1"/>
      <w:numFmt w:val="lowerRoman"/>
      <w:lvlText w:val="%9."/>
      <w:lvlJc w:val="right"/>
      <w:pPr>
        <w:ind w:left="6480" w:hanging="180"/>
      </w:pPr>
    </w:lvl>
  </w:abstractNum>
  <w:abstractNum w:abstractNumId="2" w15:restartNumberingAfterBreak="0">
    <w:nsid w:val="3D1F1B99"/>
    <w:multiLevelType w:val="hybridMultilevel"/>
    <w:tmpl w:val="E7FE85AE"/>
    <w:lvl w:ilvl="0" w:tplc="F68E2E4A">
      <w:start w:val="1"/>
      <w:numFmt w:val="bullet"/>
      <w:lvlText w:val=""/>
      <w:lvlJc w:val="left"/>
      <w:pPr>
        <w:ind w:left="720" w:hanging="360"/>
      </w:pPr>
      <w:rPr>
        <w:rFonts w:ascii="Symbol" w:hAnsi="Symbol" w:hint="default"/>
      </w:rPr>
    </w:lvl>
    <w:lvl w:ilvl="1" w:tplc="1C122F84" w:tentative="1">
      <w:start w:val="1"/>
      <w:numFmt w:val="bullet"/>
      <w:lvlText w:val="o"/>
      <w:lvlJc w:val="left"/>
      <w:pPr>
        <w:ind w:left="1440" w:hanging="360"/>
      </w:pPr>
      <w:rPr>
        <w:rFonts w:ascii="Courier New" w:hAnsi="Courier New" w:cs="Courier New" w:hint="default"/>
      </w:rPr>
    </w:lvl>
    <w:lvl w:ilvl="2" w:tplc="3E1C1880" w:tentative="1">
      <w:start w:val="1"/>
      <w:numFmt w:val="bullet"/>
      <w:lvlText w:val=""/>
      <w:lvlJc w:val="left"/>
      <w:pPr>
        <w:ind w:left="2160" w:hanging="360"/>
      </w:pPr>
      <w:rPr>
        <w:rFonts w:ascii="Wingdings" w:hAnsi="Wingdings" w:hint="default"/>
      </w:rPr>
    </w:lvl>
    <w:lvl w:ilvl="3" w:tplc="374A9EE2" w:tentative="1">
      <w:start w:val="1"/>
      <w:numFmt w:val="bullet"/>
      <w:lvlText w:val=""/>
      <w:lvlJc w:val="left"/>
      <w:pPr>
        <w:ind w:left="2880" w:hanging="360"/>
      </w:pPr>
      <w:rPr>
        <w:rFonts w:ascii="Symbol" w:hAnsi="Symbol" w:hint="default"/>
      </w:rPr>
    </w:lvl>
    <w:lvl w:ilvl="4" w:tplc="BFDAC4CC" w:tentative="1">
      <w:start w:val="1"/>
      <w:numFmt w:val="bullet"/>
      <w:lvlText w:val="o"/>
      <w:lvlJc w:val="left"/>
      <w:pPr>
        <w:ind w:left="3600" w:hanging="360"/>
      </w:pPr>
      <w:rPr>
        <w:rFonts w:ascii="Courier New" w:hAnsi="Courier New" w:cs="Courier New" w:hint="default"/>
      </w:rPr>
    </w:lvl>
    <w:lvl w:ilvl="5" w:tplc="6D48C166" w:tentative="1">
      <w:start w:val="1"/>
      <w:numFmt w:val="bullet"/>
      <w:lvlText w:val=""/>
      <w:lvlJc w:val="left"/>
      <w:pPr>
        <w:ind w:left="4320" w:hanging="360"/>
      </w:pPr>
      <w:rPr>
        <w:rFonts w:ascii="Wingdings" w:hAnsi="Wingdings" w:hint="default"/>
      </w:rPr>
    </w:lvl>
    <w:lvl w:ilvl="6" w:tplc="F2CE8EC0" w:tentative="1">
      <w:start w:val="1"/>
      <w:numFmt w:val="bullet"/>
      <w:lvlText w:val=""/>
      <w:lvlJc w:val="left"/>
      <w:pPr>
        <w:ind w:left="5040" w:hanging="360"/>
      </w:pPr>
      <w:rPr>
        <w:rFonts w:ascii="Symbol" w:hAnsi="Symbol" w:hint="default"/>
      </w:rPr>
    </w:lvl>
    <w:lvl w:ilvl="7" w:tplc="D41A75F2" w:tentative="1">
      <w:start w:val="1"/>
      <w:numFmt w:val="bullet"/>
      <w:lvlText w:val="o"/>
      <w:lvlJc w:val="left"/>
      <w:pPr>
        <w:ind w:left="5760" w:hanging="360"/>
      </w:pPr>
      <w:rPr>
        <w:rFonts w:ascii="Courier New" w:hAnsi="Courier New" w:cs="Courier New" w:hint="default"/>
      </w:rPr>
    </w:lvl>
    <w:lvl w:ilvl="8" w:tplc="594A0864" w:tentative="1">
      <w:start w:val="1"/>
      <w:numFmt w:val="bullet"/>
      <w:lvlText w:val=""/>
      <w:lvlJc w:val="left"/>
      <w:pPr>
        <w:ind w:left="6480" w:hanging="360"/>
      </w:pPr>
      <w:rPr>
        <w:rFonts w:ascii="Wingdings" w:hAnsi="Wingdings" w:hint="default"/>
      </w:rPr>
    </w:lvl>
  </w:abstractNum>
  <w:abstractNum w:abstractNumId="3" w15:restartNumberingAfterBreak="0">
    <w:nsid w:val="60D7655F"/>
    <w:multiLevelType w:val="hybridMultilevel"/>
    <w:tmpl w:val="94285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54D638D"/>
    <w:multiLevelType w:val="hybridMultilevel"/>
    <w:tmpl w:val="82A2F4AE"/>
    <w:lvl w:ilvl="0" w:tplc="69FC814C">
      <w:start w:val="1"/>
      <w:numFmt w:val="upperLetter"/>
      <w:lvlText w:val="%1."/>
      <w:lvlJc w:val="left"/>
      <w:pPr>
        <w:ind w:left="720" w:hanging="360"/>
      </w:pPr>
      <w:rPr>
        <w:rFonts w:hint="default"/>
        <w:b/>
        <w:i w:val="0"/>
      </w:rPr>
    </w:lvl>
    <w:lvl w:ilvl="1" w:tplc="CAC21A24" w:tentative="1">
      <w:start w:val="1"/>
      <w:numFmt w:val="lowerLetter"/>
      <w:lvlText w:val="%2."/>
      <w:lvlJc w:val="left"/>
      <w:pPr>
        <w:ind w:left="1440" w:hanging="360"/>
      </w:pPr>
    </w:lvl>
    <w:lvl w:ilvl="2" w:tplc="4E0C83D6" w:tentative="1">
      <w:start w:val="1"/>
      <w:numFmt w:val="lowerRoman"/>
      <w:lvlText w:val="%3."/>
      <w:lvlJc w:val="right"/>
      <w:pPr>
        <w:ind w:left="2160" w:hanging="180"/>
      </w:pPr>
    </w:lvl>
    <w:lvl w:ilvl="3" w:tplc="4DECC75E" w:tentative="1">
      <w:start w:val="1"/>
      <w:numFmt w:val="decimal"/>
      <w:lvlText w:val="%4."/>
      <w:lvlJc w:val="left"/>
      <w:pPr>
        <w:ind w:left="2880" w:hanging="360"/>
      </w:pPr>
    </w:lvl>
    <w:lvl w:ilvl="4" w:tplc="11961D2E" w:tentative="1">
      <w:start w:val="1"/>
      <w:numFmt w:val="lowerLetter"/>
      <w:lvlText w:val="%5."/>
      <w:lvlJc w:val="left"/>
      <w:pPr>
        <w:ind w:left="3600" w:hanging="360"/>
      </w:pPr>
    </w:lvl>
    <w:lvl w:ilvl="5" w:tplc="F606017E" w:tentative="1">
      <w:start w:val="1"/>
      <w:numFmt w:val="lowerRoman"/>
      <w:lvlText w:val="%6."/>
      <w:lvlJc w:val="right"/>
      <w:pPr>
        <w:ind w:left="4320" w:hanging="180"/>
      </w:pPr>
    </w:lvl>
    <w:lvl w:ilvl="6" w:tplc="BBA4F98A" w:tentative="1">
      <w:start w:val="1"/>
      <w:numFmt w:val="decimal"/>
      <w:lvlText w:val="%7."/>
      <w:lvlJc w:val="left"/>
      <w:pPr>
        <w:ind w:left="5040" w:hanging="360"/>
      </w:pPr>
    </w:lvl>
    <w:lvl w:ilvl="7" w:tplc="D312CF36" w:tentative="1">
      <w:start w:val="1"/>
      <w:numFmt w:val="lowerLetter"/>
      <w:lvlText w:val="%8."/>
      <w:lvlJc w:val="left"/>
      <w:pPr>
        <w:ind w:left="5760" w:hanging="360"/>
      </w:pPr>
    </w:lvl>
    <w:lvl w:ilvl="8" w:tplc="ECFC3C2A" w:tentative="1">
      <w:start w:val="1"/>
      <w:numFmt w:val="lowerRoman"/>
      <w:lvlText w:val="%9."/>
      <w:lvlJc w:val="right"/>
      <w:pPr>
        <w:ind w:left="6480" w:hanging="180"/>
      </w:pPr>
    </w:lvl>
  </w:abstractNum>
  <w:num w:numId="1" w16cid:durableId="1680740902">
    <w:abstractNumId w:val="2"/>
  </w:num>
  <w:num w:numId="2" w16cid:durableId="584875867">
    <w:abstractNumId w:val="0"/>
  </w:num>
  <w:num w:numId="3" w16cid:durableId="476653420">
    <w:abstractNumId w:val="1"/>
  </w:num>
  <w:num w:numId="4" w16cid:durableId="1129010839">
    <w:abstractNumId w:val="4"/>
  </w:num>
  <w:num w:numId="5" w16cid:durableId="27343897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fr-BE" w:vendorID="64" w:dllVersion="0" w:nlCheck="1" w:checkStyle="0"/>
  <w:activeWritingStyle w:appName="MSWord" w:lang="es-ES" w:vendorID="64" w:dllVersion="0" w:nlCheck="1" w:checkStyle="0"/>
  <w:activeWritingStyle w:appName="MSWord" w:lang="fr-BE" w:vendorID="64" w:dllVersion="6" w:nlCheck="1" w:checkStyle="1"/>
  <w:activeWritingStyle w:appName="MSWord" w:lang="en-GB"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footnotePr>
    <w:numFmt w:val="chicago"/>
    <w:numStart w:val="2"/>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MwM7M0MTcxMzQxMTFX0lEKTi0uzszPAykwrAUAYBqTriwAAAA="/>
  </w:docVars>
  <w:rsids>
    <w:rsidRoot w:val="001529DD"/>
    <w:rsid w:val="00000065"/>
    <w:rsid w:val="00000723"/>
    <w:rsid w:val="00001AC6"/>
    <w:rsid w:val="00001FA8"/>
    <w:rsid w:val="00002C63"/>
    <w:rsid w:val="00002F20"/>
    <w:rsid w:val="00003E2B"/>
    <w:rsid w:val="0000410D"/>
    <w:rsid w:val="0000533B"/>
    <w:rsid w:val="00005589"/>
    <w:rsid w:val="0000685F"/>
    <w:rsid w:val="000075F4"/>
    <w:rsid w:val="00007DA7"/>
    <w:rsid w:val="00010F87"/>
    <w:rsid w:val="00011383"/>
    <w:rsid w:val="00011685"/>
    <w:rsid w:val="00011754"/>
    <w:rsid w:val="00011A4F"/>
    <w:rsid w:val="000129D1"/>
    <w:rsid w:val="00012A5A"/>
    <w:rsid w:val="00012EB8"/>
    <w:rsid w:val="00014E10"/>
    <w:rsid w:val="00015325"/>
    <w:rsid w:val="0001541E"/>
    <w:rsid w:val="00015C29"/>
    <w:rsid w:val="000163C8"/>
    <w:rsid w:val="00016D50"/>
    <w:rsid w:val="00016E8D"/>
    <w:rsid w:val="0001726F"/>
    <w:rsid w:val="00020065"/>
    <w:rsid w:val="000211F4"/>
    <w:rsid w:val="0002160F"/>
    <w:rsid w:val="000226C1"/>
    <w:rsid w:val="000230C3"/>
    <w:rsid w:val="000240A5"/>
    <w:rsid w:val="000241E0"/>
    <w:rsid w:val="00024500"/>
    <w:rsid w:val="0002597E"/>
    <w:rsid w:val="00025A6E"/>
    <w:rsid w:val="000262FD"/>
    <w:rsid w:val="00026F76"/>
    <w:rsid w:val="000270A1"/>
    <w:rsid w:val="00027489"/>
    <w:rsid w:val="00027B63"/>
    <w:rsid w:val="00027F5B"/>
    <w:rsid w:val="000308CF"/>
    <w:rsid w:val="0003284C"/>
    <w:rsid w:val="00034BC9"/>
    <w:rsid w:val="00035487"/>
    <w:rsid w:val="0003673F"/>
    <w:rsid w:val="00037AD2"/>
    <w:rsid w:val="00041454"/>
    <w:rsid w:val="000418D3"/>
    <w:rsid w:val="00042D36"/>
    <w:rsid w:val="00043A18"/>
    <w:rsid w:val="00044F4B"/>
    <w:rsid w:val="000460FB"/>
    <w:rsid w:val="0004731D"/>
    <w:rsid w:val="00050BFF"/>
    <w:rsid w:val="00050CA1"/>
    <w:rsid w:val="000525A3"/>
    <w:rsid w:val="000536CE"/>
    <w:rsid w:val="00053716"/>
    <w:rsid w:val="000539CC"/>
    <w:rsid w:val="00053B60"/>
    <w:rsid w:val="00053E72"/>
    <w:rsid w:val="0005456B"/>
    <w:rsid w:val="00054DE4"/>
    <w:rsid w:val="00055555"/>
    <w:rsid w:val="00056BC6"/>
    <w:rsid w:val="000571E9"/>
    <w:rsid w:val="00057D2C"/>
    <w:rsid w:val="00061A50"/>
    <w:rsid w:val="00062063"/>
    <w:rsid w:val="000628C1"/>
    <w:rsid w:val="00062F54"/>
    <w:rsid w:val="00063CF9"/>
    <w:rsid w:val="000657EA"/>
    <w:rsid w:val="00070136"/>
    <w:rsid w:val="00071144"/>
    <w:rsid w:val="00072181"/>
    <w:rsid w:val="000722B1"/>
    <w:rsid w:val="0007255C"/>
    <w:rsid w:val="00073680"/>
    <w:rsid w:val="00073A07"/>
    <w:rsid w:val="000749A4"/>
    <w:rsid w:val="0007529B"/>
    <w:rsid w:val="000754FE"/>
    <w:rsid w:val="00075551"/>
    <w:rsid w:val="00075832"/>
    <w:rsid w:val="00075BB4"/>
    <w:rsid w:val="00076219"/>
    <w:rsid w:val="00076224"/>
    <w:rsid w:val="00076FA2"/>
    <w:rsid w:val="0007714D"/>
    <w:rsid w:val="000773FA"/>
    <w:rsid w:val="00080491"/>
    <w:rsid w:val="00080E1F"/>
    <w:rsid w:val="000812C4"/>
    <w:rsid w:val="0008175B"/>
    <w:rsid w:val="00081B4A"/>
    <w:rsid w:val="0008687E"/>
    <w:rsid w:val="00091398"/>
    <w:rsid w:val="0009199E"/>
    <w:rsid w:val="00091D24"/>
    <w:rsid w:val="0009356D"/>
    <w:rsid w:val="00094BFC"/>
    <w:rsid w:val="0009562A"/>
    <w:rsid w:val="00095BEE"/>
    <w:rsid w:val="00095F0F"/>
    <w:rsid w:val="00096051"/>
    <w:rsid w:val="00096814"/>
    <w:rsid w:val="000972F3"/>
    <w:rsid w:val="000A023E"/>
    <w:rsid w:val="000A1979"/>
    <w:rsid w:val="000A2198"/>
    <w:rsid w:val="000A3114"/>
    <w:rsid w:val="000A3947"/>
    <w:rsid w:val="000A39C6"/>
    <w:rsid w:val="000A4A2C"/>
    <w:rsid w:val="000A50D3"/>
    <w:rsid w:val="000A51E7"/>
    <w:rsid w:val="000A5959"/>
    <w:rsid w:val="000A6259"/>
    <w:rsid w:val="000A6597"/>
    <w:rsid w:val="000A69F0"/>
    <w:rsid w:val="000A6FE2"/>
    <w:rsid w:val="000B0238"/>
    <w:rsid w:val="000B03F6"/>
    <w:rsid w:val="000B0944"/>
    <w:rsid w:val="000B09D1"/>
    <w:rsid w:val="000B0A9D"/>
    <w:rsid w:val="000B0DA3"/>
    <w:rsid w:val="000B1E84"/>
    <w:rsid w:val="000B2FD0"/>
    <w:rsid w:val="000B3095"/>
    <w:rsid w:val="000B35D8"/>
    <w:rsid w:val="000B4496"/>
    <w:rsid w:val="000B485A"/>
    <w:rsid w:val="000B4AE2"/>
    <w:rsid w:val="000B4BEC"/>
    <w:rsid w:val="000B528B"/>
    <w:rsid w:val="000B5886"/>
    <w:rsid w:val="000B58DC"/>
    <w:rsid w:val="000B68E4"/>
    <w:rsid w:val="000B7890"/>
    <w:rsid w:val="000C18FA"/>
    <w:rsid w:val="000C1C65"/>
    <w:rsid w:val="000C36C2"/>
    <w:rsid w:val="000C3A67"/>
    <w:rsid w:val="000C3AEB"/>
    <w:rsid w:val="000C4727"/>
    <w:rsid w:val="000C4F3E"/>
    <w:rsid w:val="000C62A0"/>
    <w:rsid w:val="000C665E"/>
    <w:rsid w:val="000D34BF"/>
    <w:rsid w:val="000D3779"/>
    <w:rsid w:val="000D4105"/>
    <w:rsid w:val="000D5AE3"/>
    <w:rsid w:val="000D7EC1"/>
    <w:rsid w:val="000E183F"/>
    <w:rsid w:val="000E1BEE"/>
    <w:rsid w:val="000E1F10"/>
    <w:rsid w:val="000E21CD"/>
    <w:rsid w:val="000E21CE"/>
    <w:rsid w:val="000E4A3B"/>
    <w:rsid w:val="000E4D54"/>
    <w:rsid w:val="000E5A5B"/>
    <w:rsid w:val="000E5F44"/>
    <w:rsid w:val="000E79D4"/>
    <w:rsid w:val="000E7AAA"/>
    <w:rsid w:val="000E7B7C"/>
    <w:rsid w:val="000F0218"/>
    <w:rsid w:val="000F110A"/>
    <w:rsid w:val="000F20A2"/>
    <w:rsid w:val="000F3015"/>
    <w:rsid w:val="000F4241"/>
    <w:rsid w:val="000F5333"/>
    <w:rsid w:val="001010A4"/>
    <w:rsid w:val="001017EE"/>
    <w:rsid w:val="001030D3"/>
    <w:rsid w:val="001033CE"/>
    <w:rsid w:val="00103538"/>
    <w:rsid w:val="001039DC"/>
    <w:rsid w:val="0010447B"/>
    <w:rsid w:val="00104864"/>
    <w:rsid w:val="00104F63"/>
    <w:rsid w:val="001060EE"/>
    <w:rsid w:val="0010642E"/>
    <w:rsid w:val="00106D46"/>
    <w:rsid w:val="0011027D"/>
    <w:rsid w:val="00110287"/>
    <w:rsid w:val="001109EE"/>
    <w:rsid w:val="00110A47"/>
    <w:rsid w:val="001111CB"/>
    <w:rsid w:val="001130C7"/>
    <w:rsid w:val="00116057"/>
    <w:rsid w:val="001177CE"/>
    <w:rsid w:val="001206E5"/>
    <w:rsid w:val="00120F18"/>
    <w:rsid w:val="0012749A"/>
    <w:rsid w:val="00130DFD"/>
    <w:rsid w:val="00131924"/>
    <w:rsid w:val="00131E9C"/>
    <w:rsid w:val="001322D5"/>
    <w:rsid w:val="001326DB"/>
    <w:rsid w:val="00136995"/>
    <w:rsid w:val="00137B6E"/>
    <w:rsid w:val="00137DED"/>
    <w:rsid w:val="00140158"/>
    <w:rsid w:val="0014036F"/>
    <w:rsid w:val="0014127A"/>
    <w:rsid w:val="001413D4"/>
    <w:rsid w:val="001419BE"/>
    <w:rsid w:val="00141B36"/>
    <w:rsid w:val="00143CB6"/>
    <w:rsid w:val="00144651"/>
    <w:rsid w:val="00144C59"/>
    <w:rsid w:val="00144CA6"/>
    <w:rsid w:val="00144E4A"/>
    <w:rsid w:val="001464D1"/>
    <w:rsid w:val="001471F1"/>
    <w:rsid w:val="0014744F"/>
    <w:rsid w:val="00147586"/>
    <w:rsid w:val="0014763E"/>
    <w:rsid w:val="00150681"/>
    <w:rsid w:val="00151340"/>
    <w:rsid w:val="001529DD"/>
    <w:rsid w:val="001531E5"/>
    <w:rsid w:val="00154A9F"/>
    <w:rsid w:val="00154E26"/>
    <w:rsid w:val="0015512B"/>
    <w:rsid w:val="00156ABA"/>
    <w:rsid w:val="0015761C"/>
    <w:rsid w:val="00157853"/>
    <w:rsid w:val="001603A5"/>
    <w:rsid w:val="001620F6"/>
    <w:rsid w:val="0016461B"/>
    <w:rsid w:val="0016484B"/>
    <w:rsid w:val="001648B0"/>
    <w:rsid w:val="001653D0"/>
    <w:rsid w:val="00166548"/>
    <w:rsid w:val="00167583"/>
    <w:rsid w:val="001675AD"/>
    <w:rsid w:val="001706A2"/>
    <w:rsid w:val="00172517"/>
    <w:rsid w:val="00172710"/>
    <w:rsid w:val="001727B9"/>
    <w:rsid w:val="001758F1"/>
    <w:rsid w:val="00175CD9"/>
    <w:rsid w:val="0017628A"/>
    <w:rsid w:val="00176DF7"/>
    <w:rsid w:val="00176EB8"/>
    <w:rsid w:val="001774FE"/>
    <w:rsid w:val="00177693"/>
    <w:rsid w:val="00177BB5"/>
    <w:rsid w:val="00177BE4"/>
    <w:rsid w:val="001814C5"/>
    <w:rsid w:val="0018206C"/>
    <w:rsid w:val="001827E1"/>
    <w:rsid w:val="001828D2"/>
    <w:rsid w:val="00183113"/>
    <w:rsid w:val="00183A63"/>
    <w:rsid w:val="0018440E"/>
    <w:rsid w:val="00184A4B"/>
    <w:rsid w:val="00184CA2"/>
    <w:rsid w:val="00185FE6"/>
    <w:rsid w:val="00186EA2"/>
    <w:rsid w:val="00187996"/>
    <w:rsid w:val="001900D4"/>
    <w:rsid w:val="00190657"/>
    <w:rsid w:val="00190CBE"/>
    <w:rsid w:val="00191611"/>
    <w:rsid w:val="00191758"/>
    <w:rsid w:val="00192C10"/>
    <w:rsid w:val="00194A19"/>
    <w:rsid w:val="00194B32"/>
    <w:rsid w:val="00195705"/>
    <w:rsid w:val="00195DC0"/>
    <w:rsid w:val="00196920"/>
    <w:rsid w:val="00196C34"/>
    <w:rsid w:val="00197254"/>
    <w:rsid w:val="001A0BF0"/>
    <w:rsid w:val="001A2825"/>
    <w:rsid w:val="001A2AE8"/>
    <w:rsid w:val="001A2F3A"/>
    <w:rsid w:val="001A33F2"/>
    <w:rsid w:val="001A3475"/>
    <w:rsid w:val="001A3BDC"/>
    <w:rsid w:val="001A46D0"/>
    <w:rsid w:val="001A5AD5"/>
    <w:rsid w:val="001A5D88"/>
    <w:rsid w:val="001A71FF"/>
    <w:rsid w:val="001A7343"/>
    <w:rsid w:val="001A7820"/>
    <w:rsid w:val="001A7998"/>
    <w:rsid w:val="001A7A97"/>
    <w:rsid w:val="001A7B44"/>
    <w:rsid w:val="001B0569"/>
    <w:rsid w:val="001B23F0"/>
    <w:rsid w:val="001B2CC5"/>
    <w:rsid w:val="001B39F5"/>
    <w:rsid w:val="001B3EE1"/>
    <w:rsid w:val="001B62CD"/>
    <w:rsid w:val="001B6FB1"/>
    <w:rsid w:val="001B7122"/>
    <w:rsid w:val="001B72A4"/>
    <w:rsid w:val="001B756D"/>
    <w:rsid w:val="001B7CDD"/>
    <w:rsid w:val="001C095E"/>
    <w:rsid w:val="001C2DCF"/>
    <w:rsid w:val="001C5571"/>
    <w:rsid w:val="001C5617"/>
    <w:rsid w:val="001C5C3D"/>
    <w:rsid w:val="001C5D9B"/>
    <w:rsid w:val="001C660F"/>
    <w:rsid w:val="001C70D2"/>
    <w:rsid w:val="001D193E"/>
    <w:rsid w:val="001D28E3"/>
    <w:rsid w:val="001D5744"/>
    <w:rsid w:val="001D5E59"/>
    <w:rsid w:val="001D6BE5"/>
    <w:rsid w:val="001E0B89"/>
    <w:rsid w:val="001E2077"/>
    <w:rsid w:val="001E2568"/>
    <w:rsid w:val="001E3339"/>
    <w:rsid w:val="001E3958"/>
    <w:rsid w:val="001E39A9"/>
    <w:rsid w:val="001E4DDE"/>
    <w:rsid w:val="001E58BA"/>
    <w:rsid w:val="001E5ECE"/>
    <w:rsid w:val="001E5FF0"/>
    <w:rsid w:val="001E6092"/>
    <w:rsid w:val="001E6B6B"/>
    <w:rsid w:val="001E74CE"/>
    <w:rsid w:val="001E7772"/>
    <w:rsid w:val="001E7874"/>
    <w:rsid w:val="001E79F6"/>
    <w:rsid w:val="001F12B1"/>
    <w:rsid w:val="001F34ED"/>
    <w:rsid w:val="001F3FBB"/>
    <w:rsid w:val="001F4C4E"/>
    <w:rsid w:val="001F539F"/>
    <w:rsid w:val="001F6031"/>
    <w:rsid w:val="001F6E7B"/>
    <w:rsid w:val="001F7DDB"/>
    <w:rsid w:val="002000C1"/>
    <w:rsid w:val="002003B4"/>
    <w:rsid w:val="00201578"/>
    <w:rsid w:val="00201587"/>
    <w:rsid w:val="002021B0"/>
    <w:rsid w:val="002063A3"/>
    <w:rsid w:val="00210908"/>
    <w:rsid w:val="00210FBC"/>
    <w:rsid w:val="0021162C"/>
    <w:rsid w:val="00211C3A"/>
    <w:rsid w:val="0021237F"/>
    <w:rsid w:val="00212397"/>
    <w:rsid w:val="00212D92"/>
    <w:rsid w:val="002132B6"/>
    <w:rsid w:val="00213528"/>
    <w:rsid w:val="00213554"/>
    <w:rsid w:val="00213981"/>
    <w:rsid w:val="0021478F"/>
    <w:rsid w:val="00214A13"/>
    <w:rsid w:val="00214A2F"/>
    <w:rsid w:val="00214B4F"/>
    <w:rsid w:val="00215AFB"/>
    <w:rsid w:val="00215F67"/>
    <w:rsid w:val="00216A72"/>
    <w:rsid w:val="00216BF3"/>
    <w:rsid w:val="00216C15"/>
    <w:rsid w:val="002171FD"/>
    <w:rsid w:val="00221A72"/>
    <w:rsid w:val="00222991"/>
    <w:rsid w:val="00222BE0"/>
    <w:rsid w:val="00223300"/>
    <w:rsid w:val="00224546"/>
    <w:rsid w:val="00225DF1"/>
    <w:rsid w:val="00225EA4"/>
    <w:rsid w:val="0022666E"/>
    <w:rsid w:val="00226DAE"/>
    <w:rsid w:val="00227EAC"/>
    <w:rsid w:val="00230E8A"/>
    <w:rsid w:val="00233667"/>
    <w:rsid w:val="00235506"/>
    <w:rsid w:val="00235715"/>
    <w:rsid w:val="00235CE8"/>
    <w:rsid w:val="00236589"/>
    <w:rsid w:val="00236AF2"/>
    <w:rsid w:val="00236BFE"/>
    <w:rsid w:val="00240FEB"/>
    <w:rsid w:val="00241B00"/>
    <w:rsid w:val="00241BD8"/>
    <w:rsid w:val="00241F99"/>
    <w:rsid w:val="00242473"/>
    <w:rsid w:val="002424F4"/>
    <w:rsid w:val="00242582"/>
    <w:rsid w:val="00242E72"/>
    <w:rsid w:val="00244886"/>
    <w:rsid w:val="002449A8"/>
    <w:rsid w:val="00245120"/>
    <w:rsid w:val="00247048"/>
    <w:rsid w:val="00247440"/>
    <w:rsid w:val="002503DD"/>
    <w:rsid w:val="002516A4"/>
    <w:rsid w:val="00251840"/>
    <w:rsid w:val="00251E8D"/>
    <w:rsid w:val="00252353"/>
    <w:rsid w:val="0025391B"/>
    <w:rsid w:val="00254149"/>
    <w:rsid w:val="00254B41"/>
    <w:rsid w:val="00255FF1"/>
    <w:rsid w:val="00257D24"/>
    <w:rsid w:val="002623A5"/>
    <w:rsid w:val="002628F9"/>
    <w:rsid w:val="00262D7D"/>
    <w:rsid w:val="0026385C"/>
    <w:rsid w:val="00263FD8"/>
    <w:rsid w:val="002642B9"/>
    <w:rsid w:val="00264F7A"/>
    <w:rsid w:val="00264FE4"/>
    <w:rsid w:val="002650F3"/>
    <w:rsid w:val="00265AD9"/>
    <w:rsid w:val="002669CD"/>
    <w:rsid w:val="00266BCB"/>
    <w:rsid w:val="002703BA"/>
    <w:rsid w:val="00273434"/>
    <w:rsid w:val="002734C1"/>
    <w:rsid w:val="0027363F"/>
    <w:rsid w:val="00273E91"/>
    <w:rsid w:val="00274BDB"/>
    <w:rsid w:val="00274F2F"/>
    <w:rsid w:val="0027673F"/>
    <w:rsid w:val="00277945"/>
    <w:rsid w:val="00280132"/>
    <w:rsid w:val="00280353"/>
    <w:rsid w:val="00280E49"/>
    <w:rsid w:val="00281179"/>
    <w:rsid w:val="00281797"/>
    <w:rsid w:val="0028334B"/>
    <w:rsid w:val="002838ED"/>
    <w:rsid w:val="00283B83"/>
    <w:rsid w:val="00283CC9"/>
    <w:rsid w:val="002846DF"/>
    <w:rsid w:val="00285BA3"/>
    <w:rsid w:val="00285DCC"/>
    <w:rsid w:val="002865C5"/>
    <w:rsid w:val="00290627"/>
    <w:rsid w:val="002906B3"/>
    <w:rsid w:val="00290A27"/>
    <w:rsid w:val="00291515"/>
    <w:rsid w:val="00292D29"/>
    <w:rsid w:val="0029581E"/>
    <w:rsid w:val="00297A06"/>
    <w:rsid w:val="002A0366"/>
    <w:rsid w:val="002A2593"/>
    <w:rsid w:val="002A2C44"/>
    <w:rsid w:val="002A3491"/>
    <w:rsid w:val="002A3B5C"/>
    <w:rsid w:val="002A4BFD"/>
    <w:rsid w:val="002A5149"/>
    <w:rsid w:val="002A5545"/>
    <w:rsid w:val="002A5CC9"/>
    <w:rsid w:val="002A63A2"/>
    <w:rsid w:val="002A68C8"/>
    <w:rsid w:val="002A6EE1"/>
    <w:rsid w:val="002A719F"/>
    <w:rsid w:val="002A7C5F"/>
    <w:rsid w:val="002A7EEA"/>
    <w:rsid w:val="002B0806"/>
    <w:rsid w:val="002B11A7"/>
    <w:rsid w:val="002B15D6"/>
    <w:rsid w:val="002B1FCC"/>
    <w:rsid w:val="002B28A6"/>
    <w:rsid w:val="002B2DDB"/>
    <w:rsid w:val="002B36E1"/>
    <w:rsid w:val="002B562A"/>
    <w:rsid w:val="002B59DF"/>
    <w:rsid w:val="002C1529"/>
    <w:rsid w:val="002C15E3"/>
    <w:rsid w:val="002C1BAD"/>
    <w:rsid w:val="002C2DA2"/>
    <w:rsid w:val="002C5406"/>
    <w:rsid w:val="002C61CE"/>
    <w:rsid w:val="002C6CCD"/>
    <w:rsid w:val="002C738B"/>
    <w:rsid w:val="002C7783"/>
    <w:rsid w:val="002D0311"/>
    <w:rsid w:val="002D0B41"/>
    <w:rsid w:val="002D397A"/>
    <w:rsid w:val="002D39B9"/>
    <w:rsid w:val="002D5E71"/>
    <w:rsid w:val="002D5FC0"/>
    <w:rsid w:val="002D6928"/>
    <w:rsid w:val="002D6A0C"/>
    <w:rsid w:val="002D6BBD"/>
    <w:rsid w:val="002D6EF8"/>
    <w:rsid w:val="002D7F86"/>
    <w:rsid w:val="002E0D6B"/>
    <w:rsid w:val="002E16A1"/>
    <w:rsid w:val="002E1AF5"/>
    <w:rsid w:val="002E26B0"/>
    <w:rsid w:val="002E2F9A"/>
    <w:rsid w:val="002E3038"/>
    <w:rsid w:val="002E5C6B"/>
    <w:rsid w:val="002F00F0"/>
    <w:rsid w:val="002F081D"/>
    <w:rsid w:val="002F0E7C"/>
    <w:rsid w:val="002F1E1D"/>
    <w:rsid w:val="002F26C0"/>
    <w:rsid w:val="002F2D5D"/>
    <w:rsid w:val="002F373D"/>
    <w:rsid w:val="002F3F0D"/>
    <w:rsid w:val="002F57B0"/>
    <w:rsid w:val="002F678F"/>
    <w:rsid w:val="002F6BAA"/>
    <w:rsid w:val="002F7675"/>
    <w:rsid w:val="002F76C7"/>
    <w:rsid w:val="002F79B6"/>
    <w:rsid w:val="002F7DCE"/>
    <w:rsid w:val="00300B28"/>
    <w:rsid w:val="0030122B"/>
    <w:rsid w:val="003013A6"/>
    <w:rsid w:val="0030150F"/>
    <w:rsid w:val="00301F13"/>
    <w:rsid w:val="0030204D"/>
    <w:rsid w:val="00302533"/>
    <w:rsid w:val="00303962"/>
    <w:rsid w:val="003041D2"/>
    <w:rsid w:val="003053E3"/>
    <w:rsid w:val="0030567A"/>
    <w:rsid w:val="00305F1A"/>
    <w:rsid w:val="00307A55"/>
    <w:rsid w:val="00307EFF"/>
    <w:rsid w:val="0031027E"/>
    <w:rsid w:val="00311739"/>
    <w:rsid w:val="00311CDC"/>
    <w:rsid w:val="00312005"/>
    <w:rsid w:val="00312D40"/>
    <w:rsid w:val="003130DC"/>
    <w:rsid w:val="00315E55"/>
    <w:rsid w:val="00316930"/>
    <w:rsid w:val="003175E0"/>
    <w:rsid w:val="00317827"/>
    <w:rsid w:val="003208FA"/>
    <w:rsid w:val="00320BDC"/>
    <w:rsid w:val="003218A7"/>
    <w:rsid w:val="00321B32"/>
    <w:rsid w:val="003229D6"/>
    <w:rsid w:val="00324CA8"/>
    <w:rsid w:val="00326063"/>
    <w:rsid w:val="0032675E"/>
    <w:rsid w:val="00326943"/>
    <w:rsid w:val="00327856"/>
    <w:rsid w:val="00327882"/>
    <w:rsid w:val="00327CB1"/>
    <w:rsid w:val="003304D4"/>
    <w:rsid w:val="0033181D"/>
    <w:rsid w:val="00331F9F"/>
    <w:rsid w:val="003333E4"/>
    <w:rsid w:val="00333CDF"/>
    <w:rsid w:val="00335351"/>
    <w:rsid w:val="0033778C"/>
    <w:rsid w:val="00340582"/>
    <w:rsid w:val="00340C71"/>
    <w:rsid w:val="0034170F"/>
    <w:rsid w:val="003422B1"/>
    <w:rsid w:val="00342A92"/>
    <w:rsid w:val="00342B09"/>
    <w:rsid w:val="0034343C"/>
    <w:rsid w:val="003447D5"/>
    <w:rsid w:val="00345C2F"/>
    <w:rsid w:val="0034732D"/>
    <w:rsid w:val="00347E8C"/>
    <w:rsid w:val="00347ECE"/>
    <w:rsid w:val="00351AD7"/>
    <w:rsid w:val="003524D5"/>
    <w:rsid w:val="0035264D"/>
    <w:rsid w:val="00352754"/>
    <w:rsid w:val="00353BD1"/>
    <w:rsid w:val="00353E0C"/>
    <w:rsid w:val="0035402A"/>
    <w:rsid w:val="00354A11"/>
    <w:rsid w:val="0035535F"/>
    <w:rsid w:val="003560A1"/>
    <w:rsid w:val="003564A9"/>
    <w:rsid w:val="00356BCA"/>
    <w:rsid w:val="003572C8"/>
    <w:rsid w:val="00357580"/>
    <w:rsid w:val="00362729"/>
    <w:rsid w:val="00362F04"/>
    <w:rsid w:val="003636B7"/>
    <w:rsid w:val="00363CA0"/>
    <w:rsid w:val="00365041"/>
    <w:rsid w:val="0036752C"/>
    <w:rsid w:val="00370917"/>
    <w:rsid w:val="00370B96"/>
    <w:rsid w:val="00374031"/>
    <w:rsid w:val="00374655"/>
    <w:rsid w:val="00375422"/>
    <w:rsid w:val="0037624F"/>
    <w:rsid w:val="003762D6"/>
    <w:rsid w:val="00380044"/>
    <w:rsid w:val="00380E44"/>
    <w:rsid w:val="00380FDB"/>
    <w:rsid w:val="00381030"/>
    <w:rsid w:val="0038202C"/>
    <w:rsid w:val="00382F5A"/>
    <w:rsid w:val="003830DF"/>
    <w:rsid w:val="003842A4"/>
    <w:rsid w:val="003866CE"/>
    <w:rsid w:val="00386D28"/>
    <w:rsid w:val="0039001A"/>
    <w:rsid w:val="00390D52"/>
    <w:rsid w:val="0039100A"/>
    <w:rsid w:val="00391C6D"/>
    <w:rsid w:val="00393B69"/>
    <w:rsid w:val="00393B91"/>
    <w:rsid w:val="00393E65"/>
    <w:rsid w:val="00394896"/>
    <w:rsid w:val="00394B71"/>
    <w:rsid w:val="00395CC4"/>
    <w:rsid w:val="003965A8"/>
    <w:rsid w:val="0039675B"/>
    <w:rsid w:val="0039686C"/>
    <w:rsid w:val="003A1123"/>
    <w:rsid w:val="003A216B"/>
    <w:rsid w:val="003A25AC"/>
    <w:rsid w:val="003A38D2"/>
    <w:rsid w:val="003A3CA8"/>
    <w:rsid w:val="003A522C"/>
    <w:rsid w:val="003A529A"/>
    <w:rsid w:val="003A6448"/>
    <w:rsid w:val="003A7F23"/>
    <w:rsid w:val="003B09A0"/>
    <w:rsid w:val="003B19DA"/>
    <w:rsid w:val="003B2000"/>
    <w:rsid w:val="003B2926"/>
    <w:rsid w:val="003B3911"/>
    <w:rsid w:val="003B3B83"/>
    <w:rsid w:val="003B3D52"/>
    <w:rsid w:val="003B4159"/>
    <w:rsid w:val="003B50D3"/>
    <w:rsid w:val="003B6559"/>
    <w:rsid w:val="003B7486"/>
    <w:rsid w:val="003B7DB4"/>
    <w:rsid w:val="003C0032"/>
    <w:rsid w:val="003C03CA"/>
    <w:rsid w:val="003C0988"/>
    <w:rsid w:val="003C138F"/>
    <w:rsid w:val="003C13F3"/>
    <w:rsid w:val="003C15C6"/>
    <w:rsid w:val="003C40C5"/>
    <w:rsid w:val="003C5F3C"/>
    <w:rsid w:val="003C62BA"/>
    <w:rsid w:val="003C6A59"/>
    <w:rsid w:val="003C6BD0"/>
    <w:rsid w:val="003C7472"/>
    <w:rsid w:val="003D1BBC"/>
    <w:rsid w:val="003D2081"/>
    <w:rsid w:val="003D2729"/>
    <w:rsid w:val="003D2854"/>
    <w:rsid w:val="003D2DBD"/>
    <w:rsid w:val="003D2DE1"/>
    <w:rsid w:val="003D521A"/>
    <w:rsid w:val="003D593D"/>
    <w:rsid w:val="003D59A1"/>
    <w:rsid w:val="003D5B62"/>
    <w:rsid w:val="003D5FA5"/>
    <w:rsid w:val="003E1A56"/>
    <w:rsid w:val="003E1B9E"/>
    <w:rsid w:val="003E243D"/>
    <w:rsid w:val="003E33BE"/>
    <w:rsid w:val="003E3CB4"/>
    <w:rsid w:val="003E4245"/>
    <w:rsid w:val="003E44AA"/>
    <w:rsid w:val="003E5685"/>
    <w:rsid w:val="003E5B12"/>
    <w:rsid w:val="003E5C1B"/>
    <w:rsid w:val="003E5E6E"/>
    <w:rsid w:val="003E6CB6"/>
    <w:rsid w:val="003E6E6D"/>
    <w:rsid w:val="003E7FBA"/>
    <w:rsid w:val="003F0009"/>
    <w:rsid w:val="003F09AA"/>
    <w:rsid w:val="003F1A55"/>
    <w:rsid w:val="003F21AE"/>
    <w:rsid w:val="003F4302"/>
    <w:rsid w:val="003F4586"/>
    <w:rsid w:val="003F782D"/>
    <w:rsid w:val="0040039D"/>
    <w:rsid w:val="00400776"/>
    <w:rsid w:val="004017C6"/>
    <w:rsid w:val="004018D2"/>
    <w:rsid w:val="004020E4"/>
    <w:rsid w:val="00402205"/>
    <w:rsid w:val="0040289D"/>
    <w:rsid w:val="00403A28"/>
    <w:rsid w:val="00404708"/>
    <w:rsid w:val="00405201"/>
    <w:rsid w:val="00405614"/>
    <w:rsid w:val="00405D5B"/>
    <w:rsid w:val="00406128"/>
    <w:rsid w:val="004101A6"/>
    <w:rsid w:val="0041066A"/>
    <w:rsid w:val="00410E52"/>
    <w:rsid w:val="004112FC"/>
    <w:rsid w:val="004139B0"/>
    <w:rsid w:val="00413D79"/>
    <w:rsid w:val="004154FB"/>
    <w:rsid w:val="00417462"/>
    <w:rsid w:val="00420AAA"/>
    <w:rsid w:val="00420F49"/>
    <w:rsid w:val="004227DC"/>
    <w:rsid w:val="00423473"/>
    <w:rsid w:val="00423CB1"/>
    <w:rsid w:val="00423DEC"/>
    <w:rsid w:val="00423F13"/>
    <w:rsid w:val="00424F46"/>
    <w:rsid w:val="00425494"/>
    <w:rsid w:val="004261F2"/>
    <w:rsid w:val="00426EB7"/>
    <w:rsid w:val="00426FA1"/>
    <w:rsid w:val="00427696"/>
    <w:rsid w:val="00427AB9"/>
    <w:rsid w:val="00431A33"/>
    <w:rsid w:val="00431E79"/>
    <w:rsid w:val="0043228C"/>
    <w:rsid w:val="00432471"/>
    <w:rsid w:val="004332BF"/>
    <w:rsid w:val="00434AB6"/>
    <w:rsid w:val="00434BCA"/>
    <w:rsid w:val="00437F3B"/>
    <w:rsid w:val="00441912"/>
    <w:rsid w:val="00441AB1"/>
    <w:rsid w:val="00441B3B"/>
    <w:rsid w:val="0044376B"/>
    <w:rsid w:val="00445B00"/>
    <w:rsid w:val="00445B32"/>
    <w:rsid w:val="00447BCF"/>
    <w:rsid w:val="00447EAE"/>
    <w:rsid w:val="004509CB"/>
    <w:rsid w:val="004509F0"/>
    <w:rsid w:val="0045187F"/>
    <w:rsid w:val="00451F61"/>
    <w:rsid w:val="00452084"/>
    <w:rsid w:val="00452338"/>
    <w:rsid w:val="00453208"/>
    <w:rsid w:val="00454476"/>
    <w:rsid w:val="004544C6"/>
    <w:rsid w:val="00455F57"/>
    <w:rsid w:val="0045612C"/>
    <w:rsid w:val="004568A7"/>
    <w:rsid w:val="00456AE2"/>
    <w:rsid w:val="00456E16"/>
    <w:rsid w:val="00457B2B"/>
    <w:rsid w:val="00457CD7"/>
    <w:rsid w:val="0046073B"/>
    <w:rsid w:val="00460D8A"/>
    <w:rsid w:val="004619BB"/>
    <w:rsid w:val="00461A1E"/>
    <w:rsid w:val="00461FE0"/>
    <w:rsid w:val="0046202C"/>
    <w:rsid w:val="00462037"/>
    <w:rsid w:val="00463478"/>
    <w:rsid w:val="00463843"/>
    <w:rsid w:val="00463CB8"/>
    <w:rsid w:val="00464519"/>
    <w:rsid w:val="00466934"/>
    <w:rsid w:val="00466A7B"/>
    <w:rsid w:val="00470011"/>
    <w:rsid w:val="00470D02"/>
    <w:rsid w:val="00472EA8"/>
    <w:rsid w:val="004738DC"/>
    <w:rsid w:val="00473E1D"/>
    <w:rsid w:val="00477C9F"/>
    <w:rsid w:val="00481469"/>
    <w:rsid w:val="00486F98"/>
    <w:rsid w:val="004924D0"/>
    <w:rsid w:val="00492B26"/>
    <w:rsid w:val="004949EB"/>
    <w:rsid w:val="00495127"/>
    <w:rsid w:val="004951F1"/>
    <w:rsid w:val="004961EF"/>
    <w:rsid w:val="004963DB"/>
    <w:rsid w:val="0049689A"/>
    <w:rsid w:val="004A06CF"/>
    <w:rsid w:val="004A2D0E"/>
    <w:rsid w:val="004A4E85"/>
    <w:rsid w:val="004A60CF"/>
    <w:rsid w:val="004A7278"/>
    <w:rsid w:val="004A7636"/>
    <w:rsid w:val="004B17DD"/>
    <w:rsid w:val="004B1F9E"/>
    <w:rsid w:val="004B28CF"/>
    <w:rsid w:val="004B4513"/>
    <w:rsid w:val="004B7C51"/>
    <w:rsid w:val="004C03B0"/>
    <w:rsid w:val="004C1163"/>
    <w:rsid w:val="004C1601"/>
    <w:rsid w:val="004C20D0"/>
    <w:rsid w:val="004C2B9A"/>
    <w:rsid w:val="004C2F89"/>
    <w:rsid w:val="004C3CD9"/>
    <w:rsid w:val="004C6918"/>
    <w:rsid w:val="004C6A6A"/>
    <w:rsid w:val="004D1216"/>
    <w:rsid w:val="004D21BD"/>
    <w:rsid w:val="004D2660"/>
    <w:rsid w:val="004D269A"/>
    <w:rsid w:val="004D3154"/>
    <w:rsid w:val="004D5F31"/>
    <w:rsid w:val="004D744E"/>
    <w:rsid w:val="004D7D49"/>
    <w:rsid w:val="004E043B"/>
    <w:rsid w:val="004E11FB"/>
    <w:rsid w:val="004E185F"/>
    <w:rsid w:val="004E192A"/>
    <w:rsid w:val="004E346F"/>
    <w:rsid w:val="004E454E"/>
    <w:rsid w:val="004E4C01"/>
    <w:rsid w:val="004E6464"/>
    <w:rsid w:val="004E6529"/>
    <w:rsid w:val="004E69F1"/>
    <w:rsid w:val="004E6F20"/>
    <w:rsid w:val="004E7749"/>
    <w:rsid w:val="004F054C"/>
    <w:rsid w:val="004F0F31"/>
    <w:rsid w:val="004F1425"/>
    <w:rsid w:val="004F28E0"/>
    <w:rsid w:val="004F2C61"/>
    <w:rsid w:val="004F38C5"/>
    <w:rsid w:val="004F419C"/>
    <w:rsid w:val="004F4C34"/>
    <w:rsid w:val="004F4D36"/>
    <w:rsid w:val="004F6647"/>
    <w:rsid w:val="004F799C"/>
    <w:rsid w:val="004F7AD4"/>
    <w:rsid w:val="00502DAD"/>
    <w:rsid w:val="005037B7"/>
    <w:rsid w:val="00504511"/>
    <w:rsid w:val="00505B02"/>
    <w:rsid w:val="00506A88"/>
    <w:rsid w:val="00506C5D"/>
    <w:rsid w:val="00506EE5"/>
    <w:rsid w:val="0051000B"/>
    <w:rsid w:val="00510A2B"/>
    <w:rsid w:val="00510D64"/>
    <w:rsid w:val="00511246"/>
    <w:rsid w:val="0051414C"/>
    <w:rsid w:val="0051538D"/>
    <w:rsid w:val="00516C36"/>
    <w:rsid w:val="00516F09"/>
    <w:rsid w:val="005200B9"/>
    <w:rsid w:val="00520EC7"/>
    <w:rsid w:val="00521AB3"/>
    <w:rsid w:val="00521CA9"/>
    <w:rsid w:val="0052257A"/>
    <w:rsid w:val="00523240"/>
    <w:rsid w:val="00524BF6"/>
    <w:rsid w:val="005259A6"/>
    <w:rsid w:val="005266CC"/>
    <w:rsid w:val="0052677A"/>
    <w:rsid w:val="00526A47"/>
    <w:rsid w:val="00526CBF"/>
    <w:rsid w:val="005311B4"/>
    <w:rsid w:val="00531358"/>
    <w:rsid w:val="00534872"/>
    <w:rsid w:val="00534C8F"/>
    <w:rsid w:val="005355BB"/>
    <w:rsid w:val="00535D5E"/>
    <w:rsid w:val="0053635E"/>
    <w:rsid w:val="005373EE"/>
    <w:rsid w:val="00540BB3"/>
    <w:rsid w:val="0054136C"/>
    <w:rsid w:val="005424FF"/>
    <w:rsid w:val="00542ACC"/>
    <w:rsid w:val="0054367A"/>
    <w:rsid w:val="00543D1C"/>
    <w:rsid w:val="005443C2"/>
    <w:rsid w:val="00545A27"/>
    <w:rsid w:val="00546887"/>
    <w:rsid w:val="00550E35"/>
    <w:rsid w:val="00551C14"/>
    <w:rsid w:val="00551C8D"/>
    <w:rsid w:val="0055214C"/>
    <w:rsid w:val="00552A30"/>
    <w:rsid w:val="00552BA0"/>
    <w:rsid w:val="0055346D"/>
    <w:rsid w:val="00554683"/>
    <w:rsid w:val="005548D8"/>
    <w:rsid w:val="005548FC"/>
    <w:rsid w:val="005551E8"/>
    <w:rsid w:val="00556659"/>
    <w:rsid w:val="00556A84"/>
    <w:rsid w:val="00560523"/>
    <w:rsid w:val="00560D38"/>
    <w:rsid w:val="005616FF"/>
    <w:rsid w:val="0056190A"/>
    <w:rsid w:val="00562184"/>
    <w:rsid w:val="0056324E"/>
    <w:rsid w:val="005648D3"/>
    <w:rsid w:val="00566207"/>
    <w:rsid w:val="00566918"/>
    <w:rsid w:val="00566F82"/>
    <w:rsid w:val="00567308"/>
    <w:rsid w:val="005701BA"/>
    <w:rsid w:val="0057046B"/>
    <w:rsid w:val="005707A9"/>
    <w:rsid w:val="005725C5"/>
    <w:rsid w:val="00574136"/>
    <w:rsid w:val="0057460A"/>
    <w:rsid w:val="00574D67"/>
    <w:rsid w:val="00574FCE"/>
    <w:rsid w:val="00576092"/>
    <w:rsid w:val="0057698A"/>
    <w:rsid w:val="00576CA0"/>
    <w:rsid w:val="00577D88"/>
    <w:rsid w:val="0058133C"/>
    <w:rsid w:val="00581E8D"/>
    <w:rsid w:val="0058274A"/>
    <w:rsid w:val="0058284E"/>
    <w:rsid w:val="00582B8D"/>
    <w:rsid w:val="00582BA1"/>
    <w:rsid w:val="00582CBE"/>
    <w:rsid w:val="00582EE7"/>
    <w:rsid w:val="00582F1F"/>
    <w:rsid w:val="00583FCF"/>
    <w:rsid w:val="00584420"/>
    <w:rsid w:val="005853D4"/>
    <w:rsid w:val="00586FC8"/>
    <w:rsid w:val="00587345"/>
    <w:rsid w:val="00590D20"/>
    <w:rsid w:val="005916F6"/>
    <w:rsid w:val="005919AC"/>
    <w:rsid w:val="00592893"/>
    <w:rsid w:val="0059501A"/>
    <w:rsid w:val="005954EF"/>
    <w:rsid w:val="0059578B"/>
    <w:rsid w:val="005A0CFD"/>
    <w:rsid w:val="005A36D7"/>
    <w:rsid w:val="005A482C"/>
    <w:rsid w:val="005A50B1"/>
    <w:rsid w:val="005A5A2B"/>
    <w:rsid w:val="005A794B"/>
    <w:rsid w:val="005B0CC5"/>
    <w:rsid w:val="005B2073"/>
    <w:rsid w:val="005B2A29"/>
    <w:rsid w:val="005B2DFA"/>
    <w:rsid w:val="005B397E"/>
    <w:rsid w:val="005B5A10"/>
    <w:rsid w:val="005B5B7E"/>
    <w:rsid w:val="005B5D98"/>
    <w:rsid w:val="005B68A7"/>
    <w:rsid w:val="005C06A4"/>
    <w:rsid w:val="005C0A6F"/>
    <w:rsid w:val="005C230D"/>
    <w:rsid w:val="005C2377"/>
    <w:rsid w:val="005C2F21"/>
    <w:rsid w:val="005C3447"/>
    <w:rsid w:val="005C3A0A"/>
    <w:rsid w:val="005C588A"/>
    <w:rsid w:val="005C61FD"/>
    <w:rsid w:val="005C79DA"/>
    <w:rsid w:val="005C7CE9"/>
    <w:rsid w:val="005D03AD"/>
    <w:rsid w:val="005D0BBF"/>
    <w:rsid w:val="005D2137"/>
    <w:rsid w:val="005D228F"/>
    <w:rsid w:val="005D4BAC"/>
    <w:rsid w:val="005D4C55"/>
    <w:rsid w:val="005D64D8"/>
    <w:rsid w:val="005D6D47"/>
    <w:rsid w:val="005E01FB"/>
    <w:rsid w:val="005E0FE5"/>
    <w:rsid w:val="005E1197"/>
    <w:rsid w:val="005E1A03"/>
    <w:rsid w:val="005E1EFB"/>
    <w:rsid w:val="005E29B2"/>
    <w:rsid w:val="005E2B14"/>
    <w:rsid w:val="005E6729"/>
    <w:rsid w:val="005E757A"/>
    <w:rsid w:val="005F0784"/>
    <w:rsid w:val="005F09BC"/>
    <w:rsid w:val="005F10CD"/>
    <w:rsid w:val="005F31BF"/>
    <w:rsid w:val="005F39C9"/>
    <w:rsid w:val="005F4B81"/>
    <w:rsid w:val="005F56F9"/>
    <w:rsid w:val="005F5E20"/>
    <w:rsid w:val="005F6208"/>
    <w:rsid w:val="005F76D6"/>
    <w:rsid w:val="005F7F4D"/>
    <w:rsid w:val="006006FC"/>
    <w:rsid w:val="00600B3F"/>
    <w:rsid w:val="0060107D"/>
    <w:rsid w:val="00606076"/>
    <w:rsid w:val="00606095"/>
    <w:rsid w:val="00606142"/>
    <w:rsid w:val="0060619B"/>
    <w:rsid w:val="00606419"/>
    <w:rsid w:val="00606E68"/>
    <w:rsid w:val="00606FE2"/>
    <w:rsid w:val="00610914"/>
    <w:rsid w:val="00610ADB"/>
    <w:rsid w:val="00610F74"/>
    <w:rsid w:val="00610F94"/>
    <w:rsid w:val="00611FC4"/>
    <w:rsid w:val="006121B5"/>
    <w:rsid w:val="006125F1"/>
    <w:rsid w:val="0061413F"/>
    <w:rsid w:val="00614F45"/>
    <w:rsid w:val="006165D2"/>
    <w:rsid w:val="006173F4"/>
    <w:rsid w:val="00617593"/>
    <w:rsid w:val="0062058A"/>
    <w:rsid w:val="00620BCB"/>
    <w:rsid w:val="00620EE6"/>
    <w:rsid w:val="00623313"/>
    <w:rsid w:val="006233EF"/>
    <w:rsid w:val="006238B3"/>
    <w:rsid w:val="00623E5E"/>
    <w:rsid w:val="006257D1"/>
    <w:rsid w:val="00626150"/>
    <w:rsid w:val="00626543"/>
    <w:rsid w:val="0062712F"/>
    <w:rsid w:val="00627B20"/>
    <w:rsid w:val="00627D07"/>
    <w:rsid w:val="00630784"/>
    <w:rsid w:val="00631765"/>
    <w:rsid w:val="00631C63"/>
    <w:rsid w:val="006326F8"/>
    <w:rsid w:val="006329BD"/>
    <w:rsid w:val="00632B24"/>
    <w:rsid w:val="00632F9D"/>
    <w:rsid w:val="0063332F"/>
    <w:rsid w:val="0063496E"/>
    <w:rsid w:val="00634BB5"/>
    <w:rsid w:val="00634D53"/>
    <w:rsid w:val="00634E8B"/>
    <w:rsid w:val="006368AB"/>
    <w:rsid w:val="006379C9"/>
    <w:rsid w:val="00637FE1"/>
    <w:rsid w:val="00641F40"/>
    <w:rsid w:val="00642023"/>
    <w:rsid w:val="00642E16"/>
    <w:rsid w:val="00642EF5"/>
    <w:rsid w:val="006434E4"/>
    <w:rsid w:val="00643A93"/>
    <w:rsid w:val="00643C6C"/>
    <w:rsid w:val="00644814"/>
    <w:rsid w:val="0064518B"/>
    <w:rsid w:val="00646BC5"/>
    <w:rsid w:val="0064705C"/>
    <w:rsid w:val="006471C3"/>
    <w:rsid w:val="00647A41"/>
    <w:rsid w:val="00647CAF"/>
    <w:rsid w:val="006501F0"/>
    <w:rsid w:val="00650B26"/>
    <w:rsid w:val="00651A32"/>
    <w:rsid w:val="00651A4F"/>
    <w:rsid w:val="00652467"/>
    <w:rsid w:val="00652ECA"/>
    <w:rsid w:val="0065397E"/>
    <w:rsid w:val="006541FC"/>
    <w:rsid w:val="006549CB"/>
    <w:rsid w:val="00655AE7"/>
    <w:rsid w:val="00656825"/>
    <w:rsid w:val="006568E2"/>
    <w:rsid w:val="00656C58"/>
    <w:rsid w:val="00657FE8"/>
    <w:rsid w:val="0066164D"/>
    <w:rsid w:val="00661B13"/>
    <w:rsid w:val="0066216E"/>
    <w:rsid w:val="00663598"/>
    <w:rsid w:val="00664F0A"/>
    <w:rsid w:val="00665ED7"/>
    <w:rsid w:val="0066634A"/>
    <w:rsid w:val="00667D2C"/>
    <w:rsid w:val="00670F06"/>
    <w:rsid w:val="006712B4"/>
    <w:rsid w:val="0067179D"/>
    <w:rsid w:val="0067279A"/>
    <w:rsid w:val="00673379"/>
    <w:rsid w:val="0067390B"/>
    <w:rsid w:val="006739E2"/>
    <w:rsid w:val="006750EA"/>
    <w:rsid w:val="00675861"/>
    <w:rsid w:val="00675B25"/>
    <w:rsid w:val="006761CB"/>
    <w:rsid w:val="00676A9B"/>
    <w:rsid w:val="0068029D"/>
    <w:rsid w:val="00680841"/>
    <w:rsid w:val="0068114A"/>
    <w:rsid w:val="00681AB9"/>
    <w:rsid w:val="0068383F"/>
    <w:rsid w:val="00684A0B"/>
    <w:rsid w:val="00684B4E"/>
    <w:rsid w:val="00685546"/>
    <w:rsid w:val="0069179B"/>
    <w:rsid w:val="006920B2"/>
    <w:rsid w:val="0069231A"/>
    <w:rsid w:val="00692386"/>
    <w:rsid w:val="0069272F"/>
    <w:rsid w:val="00692A4D"/>
    <w:rsid w:val="006932CD"/>
    <w:rsid w:val="0069341C"/>
    <w:rsid w:val="006941B4"/>
    <w:rsid w:val="00694A3D"/>
    <w:rsid w:val="00695815"/>
    <w:rsid w:val="00696059"/>
    <w:rsid w:val="00696753"/>
    <w:rsid w:val="006A3A12"/>
    <w:rsid w:val="006A3C04"/>
    <w:rsid w:val="006A4392"/>
    <w:rsid w:val="006A4D9C"/>
    <w:rsid w:val="006A72F5"/>
    <w:rsid w:val="006A7454"/>
    <w:rsid w:val="006B1AE0"/>
    <w:rsid w:val="006B1E67"/>
    <w:rsid w:val="006B2B1E"/>
    <w:rsid w:val="006B33FA"/>
    <w:rsid w:val="006B4379"/>
    <w:rsid w:val="006B534E"/>
    <w:rsid w:val="006B5B4C"/>
    <w:rsid w:val="006B68F6"/>
    <w:rsid w:val="006B71A2"/>
    <w:rsid w:val="006B7DBE"/>
    <w:rsid w:val="006B7F02"/>
    <w:rsid w:val="006C0C23"/>
    <w:rsid w:val="006C1D49"/>
    <w:rsid w:val="006C2FBB"/>
    <w:rsid w:val="006C33C8"/>
    <w:rsid w:val="006C49D5"/>
    <w:rsid w:val="006C51B7"/>
    <w:rsid w:val="006C5362"/>
    <w:rsid w:val="006C56BD"/>
    <w:rsid w:val="006C68C5"/>
    <w:rsid w:val="006C6DC3"/>
    <w:rsid w:val="006C7407"/>
    <w:rsid w:val="006D0481"/>
    <w:rsid w:val="006D059C"/>
    <w:rsid w:val="006D0A69"/>
    <w:rsid w:val="006D1491"/>
    <w:rsid w:val="006D1D17"/>
    <w:rsid w:val="006D2AF4"/>
    <w:rsid w:val="006D2C1A"/>
    <w:rsid w:val="006D35AF"/>
    <w:rsid w:val="006D376E"/>
    <w:rsid w:val="006D3AF1"/>
    <w:rsid w:val="006D4242"/>
    <w:rsid w:val="006D4D21"/>
    <w:rsid w:val="006D5004"/>
    <w:rsid w:val="006D577B"/>
    <w:rsid w:val="006D588C"/>
    <w:rsid w:val="006D5F0F"/>
    <w:rsid w:val="006D6B41"/>
    <w:rsid w:val="006D6CC0"/>
    <w:rsid w:val="006E1E59"/>
    <w:rsid w:val="006E1E9A"/>
    <w:rsid w:val="006E3085"/>
    <w:rsid w:val="006E32D1"/>
    <w:rsid w:val="006E33AA"/>
    <w:rsid w:val="006E3BD4"/>
    <w:rsid w:val="006E47DB"/>
    <w:rsid w:val="006E54D8"/>
    <w:rsid w:val="006E767E"/>
    <w:rsid w:val="006F11FF"/>
    <w:rsid w:val="006F1E90"/>
    <w:rsid w:val="006F2674"/>
    <w:rsid w:val="006F3E66"/>
    <w:rsid w:val="006F478F"/>
    <w:rsid w:val="006F499E"/>
    <w:rsid w:val="006F4FEA"/>
    <w:rsid w:val="006F5A76"/>
    <w:rsid w:val="006F5B3A"/>
    <w:rsid w:val="006F5D21"/>
    <w:rsid w:val="006F5DCC"/>
    <w:rsid w:val="006F697D"/>
    <w:rsid w:val="00701808"/>
    <w:rsid w:val="007018D4"/>
    <w:rsid w:val="00701C99"/>
    <w:rsid w:val="007029F8"/>
    <w:rsid w:val="00703B10"/>
    <w:rsid w:val="0070400B"/>
    <w:rsid w:val="00704F7A"/>
    <w:rsid w:val="007062BD"/>
    <w:rsid w:val="007069AD"/>
    <w:rsid w:val="00706A05"/>
    <w:rsid w:val="00707086"/>
    <w:rsid w:val="00710331"/>
    <w:rsid w:val="0071065D"/>
    <w:rsid w:val="00710AAE"/>
    <w:rsid w:val="00710AB5"/>
    <w:rsid w:val="00710BA5"/>
    <w:rsid w:val="00711699"/>
    <w:rsid w:val="00712352"/>
    <w:rsid w:val="007127E5"/>
    <w:rsid w:val="00713D99"/>
    <w:rsid w:val="00714E27"/>
    <w:rsid w:val="007152A3"/>
    <w:rsid w:val="0071573D"/>
    <w:rsid w:val="00715FA8"/>
    <w:rsid w:val="00716871"/>
    <w:rsid w:val="00721082"/>
    <w:rsid w:val="00721521"/>
    <w:rsid w:val="00722030"/>
    <w:rsid w:val="00722B56"/>
    <w:rsid w:val="00724550"/>
    <w:rsid w:val="00724967"/>
    <w:rsid w:val="00730BCC"/>
    <w:rsid w:val="00731A87"/>
    <w:rsid w:val="00734975"/>
    <w:rsid w:val="00735564"/>
    <w:rsid w:val="00735F09"/>
    <w:rsid w:val="00736462"/>
    <w:rsid w:val="00737E26"/>
    <w:rsid w:val="00740325"/>
    <w:rsid w:val="00740FCD"/>
    <w:rsid w:val="0074287F"/>
    <w:rsid w:val="00745C48"/>
    <w:rsid w:val="0074714D"/>
    <w:rsid w:val="00747878"/>
    <w:rsid w:val="00747BC0"/>
    <w:rsid w:val="00750B21"/>
    <w:rsid w:val="0075120E"/>
    <w:rsid w:val="00751D36"/>
    <w:rsid w:val="007528AC"/>
    <w:rsid w:val="00754C42"/>
    <w:rsid w:val="00754C63"/>
    <w:rsid w:val="00754DCB"/>
    <w:rsid w:val="00754EB1"/>
    <w:rsid w:val="007557AD"/>
    <w:rsid w:val="0075581B"/>
    <w:rsid w:val="00756077"/>
    <w:rsid w:val="00757CD5"/>
    <w:rsid w:val="00757EA1"/>
    <w:rsid w:val="00761139"/>
    <w:rsid w:val="00761705"/>
    <w:rsid w:val="00761B32"/>
    <w:rsid w:val="00761FD1"/>
    <w:rsid w:val="00762955"/>
    <w:rsid w:val="00762C8B"/>
    <w:rsid w:val="007648E9"/>
    <w:rsid w:val="0076526B"/>
    <w:rsid w:val="00766145"/>
    <w:rsid w:val="00766233"/>
    <w:rsid w:val="007664DB"/>
    <w:rsid w:val="007670F1"/>
    <w:rsid w:val="00770ADB"/>
    <w:rsid w:val="00770F5D"/>
    <w:rsid w:val="007713C8"/>
    <w:rsid w:val="007731BB"/>
    <w:rsid w:val="00773945"/>
    <w:rsid w:val="00774232"/>
    <w:rsid w:val="00776640"/>
    <w:rsid w:val="007804DC"/>
    <w:rsid w:val="0078309E"/>
    <w:rsid w:val="00784481"/>
    <w:rsid w:val="00785520"/>
    <w:rsid w:val="007867C5"/>
    <w:rsid w:val="00786DE4"/>
    <w:rsid w:val="007900B9"/>
    <w:rsid w:val="0079058C"/>
    <w:rsid w:val="007907ED"/>
    <w:rsid w:val="007908D0"/>
    <w:rsid w:val="00791CAC"/>
    <w:rsid w:val="00792314"/>
    <w:rsid w:val="00792670"/>
    <w:rsid w:val="007928D1"/>
    <w:rsid w:val="0079350C"/>
    <w:rsid w:val="0079353D"/>
    <w:rsid w:val="00794111"/>
    <w:rsid w:val="00794292"/>
    <w:rsid w:val="007953CB"/>
    <w:rsid w:val="0079762D"/>
    <w:rsid w:val="00797819"/>
    <w:rsid w:val="00797B31"/>
    <w:rsid w:val="00797E0D"/>
    <w:rsid w:val="00797F29"/>
    <w:rsid w:val="007A01E6"/>
    <w:rsid w:val="007A0CDE"/>
    <w:rsid w:val="007A112F"/>
    <w:rsid w:val="007A1235"/>
    <w:rsid w:val="007A19E6"/>
    <w:rsid w:val="007A1CB0"/>
    <w:rsid w:val="007A2760"/>
    <w:rsid w:val="007A4F7F"/>
    <w:rsid w:val="007A50B7"/>
    <w:rsid w:val="007A5CE6"/>
    <w:rsid w:val="007A6592"/>
    <w:rsid w:val="007A6FC2"/>
    <w:rsid w:val="007B02E5"/>
    <w:rsid w:val="007B21B1"/>
    <w:rsid w:val="007B306C"/>
    <w:rsid w:val="007B31F7"/>
    <w:rsid w:val="007B3AA8"/>
    <w:rsid w:val="007B4966"/>
    <w:rsid w:val="007B5411"/>
    <w:rsid w:val="007B566B"/>
    <w:rsid w:val="007B5B9B"/>
    <w:rsid w:val="007B5BC1"/>
    <w:rsid w:val="007C1B15"/>
    <w:rsid w:val="007C2CC4"/>
    <w:rsid w:val="007C3BF2"/>
    <w:rsid w:val="007C60AC"/>
    <w:rsid w:val="007C60AE"/>
    <w:rsid w:val="007C7BCC"/>
    <w:rsid w:val="007D0D00"/>
    <w:rsid w:val="007D0D38"/>
    <w:rsid w:val="007D117C"/>
    <w:rsid w:val="007D1233"/>
    <w:rsid w:val="007D20BC"/>
    <w:rsid w:val="007D2537"/>
    <w:rsid w:val="007D413C"/>
    <w:rsid w:val="007D5436"/>
    <w:rsid w:val="007D5739"/>
    <w:rsid w:val="007D657C"/>
    <w:rsid w:val="007D6B2A"/>
    <w:rsid w:val="007D6E1C"/>
    <w:rsid w:val="007D78FC"/>
    <w:rsid w:val="007E13CB"/>
    <w:rsid w:val="007E144A"/>
    <w:rsid w:val="007E2148"/>
    <w:rsid w:val="007E3E24"/>
    <w:rsid w:val="007E4087"/>
    <w:rsid w:val="007E426F"/>
    <w:rsid w:val="007E4449"/>
    <w:rsid w:val="007E48B8"/>
    <w:rsid w:val="007E4AB4"/>
    <w:rsid w:val="007E4E70"/>
    <w:rsid w:val="007E4F9F"/>
    <w:rsid w:val="007E5AEA"/>
    <w:rsid w:val="007E6EDF"/>
    <w:rsid w:val="007F0049"/>
    <w:rsid w:val="007F0361"/>
    <w:rsid w:val="007F1AD4"/>
    <w:rsid w:val="007F1B89"/>
    <w:rsid w:val="007F48E9"/>
    <w:rsid w:val="007F56DA"/>
    <w:rsid w:val="007F5774"/>
    <w:rsid w:val="007F5997"/>
    <w:rsid w:val="007F6725"/>
    <w:rsid w:val="007F6A45"/>
    <w:rsid w:val="007F6E56"/>
    <w:rsid w:val="007F701E"/>
    <w:rsid w:val="0080025B"/>
    <w:rsid w:val="00800C75"/>
    <w:rsid w:val="0080315D"/>
    <w:rsid w:val="008043D4"/>
    <w:rsid w:val="00806315"/>
    <w:rsid w:val="008072F9"/>
    <w:rsid w:val="00807954"/>
    <w:rsid w:val="00810025"/>
    <w:rsid w:val="00810A11"/>
    <w:rsid w:val="00812051"/>
    <w:rsid w:val="00813044"/>
    <w:rsid w:val="008135A4"/>
    <w:rsid w:val="0081410E"/>
    <w:rsid w:val="00821CC6"/>
    <w:rsid w:val="00822185"/>
    <w:rsid w:val="00822A50"/>
    <w:rsid w:val="00822B58"/>
    <w:rsid w:val="00823BC7"/>
    <w:rsid w:val="00826251"/>
    <w:rsid w:val="008310CD"/>
    <w:rsid w:val="00831561"/>
    <w:rsid w:val="008315C8"/>
    <w:rsid w:val="00831F13"/>
    <w:rsid w:val="00832FDC"/>
    <w:rsid w:val="0083538A"/>
    <w:rsid w:val="008355AF"/>
    <w:rsid w:val="00836101"/>
    <w:rsid w:val="008428E3"/>
    <w:rsid w:val="008445DA"/>
    <w:rsid w:val="00846087"/>
    <w:rsid w:val="00846E6D"/>
    <w:rsid w:val="00847A66"/>
    <w:rsid w:val="0085017D"/>
    <w:rsid w:val="00850277"/>
    <w:rsid w:val="008505CC"/>
    <w:rsid w:val="00850A06"/>
    <w:rsid w:val="00850C0C"/>
    <w:rsid w:val="00851C9D"/>
    <w:rsid w:val="00852334"/>
    <w:rsid w:val="00853DCF"/>
    <w:rsid w:val="0085416C"/>
    <w:rsid w:val="00854306"/>
    <w:rsid w:val="0085581A"/>
    <w:rsid w:val="00857893"/>
    <w:rsid w:val="00860421"/>
    <w:rsid w:val="00860575"/>
    <w:rsid w:val="00862596"/>
    <w:rsid w:val="00862CBB"/>
    <w:rsid w:val="0086417C"/>
    <w:rsid w:val="0086444B"/>
    <w:rsid w:val="00865DCF"/>
    <w:rsid w:val="008716DC"/>
    <w:rsid w:val="00873266"/>
    <w:rsid w:val="00873285"/>
    <w:rsid w:val="00873359"/>
    <w:rsid w:val="00873546"/>
    <w:rsid w:val="008741EC"/>
    <w:rsid w:val="00875E43"/>
    <w:rsid w:val="0087661C"/>
    <w:rsid w:val="0088141A"/>
    <w:rsid w:val="00882136"/>
    <w:rsid w:val="0088276B"/>
    <w:rsid w:val="008828E4"/>
    <w:rsid w:val="0088483C"/>
    <w:rsid w:val="00886011"/>
    <w:rsid w:val="00886744"/>
    <w:rsid w:val="00890993"/>
    <w:rsid w:val="00890AC5"/>
    <w:rsid w:val="00891B25"/>
    <w:rsid w:val="00892497"/>
    <w:rsid w:val="00893760"/>
    <w:rsid w:val="00893A86"/>
    <w:rsid w:val="00895566"/>
    <w:rsid w:val="0089653A"/>
    <w:rsid w:val="00896A27"/>
    <w:rsid w:val="00896BA1"/>
    <w:rsid w:val="008978E1"/>
    <w:rsid w:val="008A00A5"/>
    <w:rsid w:val="008A10D0"/>
    <w:rsid w:val="008A3593"/>
    <w:rsid w:val="008A57A9"/>
    <w:rsid w:val="008A662B"/>
    <w:rsid w:val="008A77A5"/>
    <w:rsid w:val="008A7AAF"/>
    <w:rsid w:val="008B472B"/>
    <w:rsid w:val="008B5B2D"/>
    <w:rsid w:val="008B5C7C"/>
    <w:rsid w:val="008B7496"/>
    <w:rsid w:val="008B7838"/>
    <w:rsid w:val="008C1226"/>
    <w:rsid w:val="008C15BE"/>
    <w:rsid w:val="008C1D78"/>
    <w:rsid w:val="008C3A6C"/>
    <w:rsid w:val="008C5D83"/>
    <w:rsid w:val="008C60D0"/>
    <w:rsid w:val="008D1B46"/>
    <w:rsid w:val="008D1C85"/>
    <w:rsid w:val="008D25B6"/>
    <w:rsid w:val="008D2773"/>
    <w:rsid w:val="008D27E8"/>
    <w:rsid w:val="008D2AD3"/>
    <w:rsid w:val="008D2D42"/>
    <w:rsid w:val="008D346D"/>
    <w:rsid w:val="008D458E"/>
    <w:rsid w:val="008D4CD4"/>
    <w:rsid w:val="008D534C"/>
    <w:rsid w:val="008D5717"/>
    <w:rsid w:val="008D59A2"/>
    <w:rsid w:val="008E04CA"/>
    <w:rsid w:val="008E11C3"/>
    <w:rsid w:val="008E1833"/>
    <w:rsid w:val="008E1F2B"/>
    <w:rsid w:val="008E2BFA"/>
    <w:rsid w:val="008E2DE9"/>
    <w:rsid w:val="008E34BF"/>
    <w:rsid w:val="008E485C"/>
    <w:rsid w:val="008E64F0"/>
    <w:rsid w:val="008E766C"/>
    <w:rsid w:val="008F203A"/>
    <w:rsid w:val="008F223D"/>
    <w:rsid w:val="008F43EB"/>
    <w:rsid w:val="008F7110"/>
    <w:rsid w:val="00900C77"/>
    <w:rsid w:val="00902E66"/>
    <w:rsid w:val="00902EBD"/>
    <w:rsid w:val="00903243"/>
    <w:rsid w:val="009035EC"/>
    <w:rsid w:val="00903A6E"/>
    <w:rsid w:val="0090478C"/>
    <w:rsid w:val="00905261"/>
    <w:rsid w:val="009073E0"/>
    <w:rsid w:val="0091003E"/>
    <w:rsid w:val="00911FED"/>
    <w:rsid w:val="00912F64"/>
    <w:rsid w:val="009131AF"/>
    <w:rsid w:val="009169C7"/>
    <w:rsid w:val="00917338"/>
    <w:rsid w:val="0091733D"/>
    <w:rsid w:val="009174FA"/>
    <w:rsid w:val="00917F0C"/>
    <w:rsid w:val="00920228"/>
    <w:rsid w:val="009202EE"/>
    <w:rsid w:val="0092089B"/>
    <w:rsid w:val="00922395"/>
    <w:rsid w:val="00922DC8"/>
    <w:rsid w:val="0092381B"/>
    <w:rsid w:val="009248FB"/>
    <w:rsid w:val="00924F5E"/>
    <w:rsid w:val="009268EB"/>
    <w:rsid w:val="00926D9D"/>
    <w:rsid w:val="0092790D"/>
    <w:rsid w:val="00927CC2"/>
    <w:rsid w:val="0093074F"/>
    <w:rsid w:val="00930E89"/>
    <w:rsid w:val="0093128D"/>
    <w:rsid w:val="00931C35"/>
    <w:rsid w:val="009357E0"/>
    <w:rsid w:val="00935A43"/>
    <w:rsid w:val="009360C0"/>
    <w:rsid w:val="0093744F"/>
    <w:rsid w:val="009376C3"/>
    <w:rsid w:val="00941761"/>
    <w:rsid w:val="0094177B"/>
    <w:rsid w:val="00942005"/>
    <w:rsid w:val="0094210A"/>
    <w:rsid w:val="0094271E"/>
    <w:rsid w:val="00942FAC"/>
    <w:rsid w:val="0094308B"/>
    <w:rsid w:val="00943219"/>
    <w:rsid w:val="009459A1"/>
    <w:rsid w:val="00946F81"/>
    <w:rsid w:val="00947BCF"/>
    <w:rsid w:val="00950B98"/>
    <w:rsid w:val="00950BA1"/>
    <w:rsid w:val="00950C3D"/>
    <w:rsid w:val="0095275B"/>
    <w:rsid w:val="00953D79"/>
    <w:rsid w:val="00953DF3"/>
    <w:rsid w:val="00953DFF"/>
    <w:rsid w:val="00954649"/>
    <w:rsid w:val="009546F2"/>
    <w:rsid w:val="00954724"/>
    <w:rsid w:val="00954AFC"/>
    <w:rsid w:val="00954F6E"/>
    <w:rsid w:val="00956F92"/>
    <w:rsid w:val="0096021E"/>
    <w:rsid w:val="00960460"/>
    <w:rsid w:val="00961C22"/>
    <w:rsid w:val="0096207E"/>
    <w:rsid w:val="009626CC"/>
    <w:rsid w:val="0096272E"/>
    <w:rsid w:val="00964798"/>
    <w:rsid w:val="00966151"/>
    <w:rsid w:val="00966D1C"/>
    <w:rsid w:val="009701B9"/>
    <w:rsid w:val="009702B9"/>
    <w:rsid w:val="00971405"/>
    <w:rsid w:val="009719AB"/>
    <w:rsid w:val="0097225B"/>
    <w:rsid w:val="00973279"/>
    <w:rsid w:val="009762E4"/>
    <w:rsid w:val="009775F2"/>
    <w:rsid w:val="00980E91"/>
    <w:rsid w:val="009813A2"/>
    <w:rsid w:val="00981DC4"/>
    <w:rsid w:val="00981FD2"/>
    <w:rsid w:val="009827C5"/>
    <w:rsid w:val="00982D3F"/>
    <w:rsid w:val="009832F7"/>
    <w:rsid w:val="009862F2"/>
    <w:rsid w:val="00987EAE"/>
    <w:rsid w:val="0099040B"/>
    <w:rsid w:val="009909A4"/>
    <w:rsid w:val="00990FB4"/>
    <w:rsid w:val="00991335"/>
    <w:rsid w:val="0099147B"/>
    <w:rsid w:val="009916C5"/>
    <w:rsid w:val="00991A5C"/>
    <w:rsid w:val="00991E75"/>
    <w:rsid w:val="00993AC8"/>
    <w:rsid w:val="00993FE1"/>
    <w:rsid w:val="00994323"/>
    <w:rsid w:val="00994FE9"/>
    <w:rsid w:val="00994FFE"/>
    <w:rsid w:val="0099570F"/>
    <w:rsid w:val="009A05A0"/>
    <w:rsid w:val="009A2901"/>
    <w:rsid w:val="009A4FA0"/>
    <w:rsid w:val="009A5D5A"/>
    <w:rsid w:val="009A5D90"/>
    <w:rsid w:val="009A7DC0"/>
    <w:rsid w:val="009B0317"/>
    <w:rsid w:val="009B1FA5"/>
    <w:rsid w:val="009B2514"/>
    <w:rsid w:val="009B2725"/>
    <w:rsid w:val="009B292B"/>
    <w:rsid w:val="009B2C2C"/>
    <w:rsid w:val="009B5867"/>
    <w:rsid w:val="009B76CD"/>
    <w:rsid w:val="009B7AA4"/>
    <w:rsid w:val="009C1883"/>
    <w:rsid w:val="009C4652"/>
    <w:rsid w:val="009C52CF"/>
    <w:rsid w:val="009C5A63"/>
    <w:rsid w:val="009C6AAE"/>
    <w:rsid w:val="009C6C73"/>
    <w:rsid w:val="009C7F0A"/>
    <w:rsid w:val="009D129E"/>
    <w:rsid w:val="009D17D4"/>
    <w:rsid w:val="009D1D32"/>
    <w:rsid w:val="009D3F08"/>
    <w:rsid w:val="009D436E"/>
    <w:rsid w:val="009D47B6"/>
    <w:rsid w:val="009D4DDD"/>
    <w:rsid w:val="009D5CCB"/>
    <w:rsid w:val="009D6338"/>
    <w:rsid w:val="009D7716"/>
    <w:rsid w:val="009D7A87"/>
    <w:rsid w:val="009D7AC3"/>
    <w:rsid w:val="009E0348"/>
    <w:rsid w:val="009E0CE2"/>
    <w:rsid w:val="009E15F5"/>
    <w:rsid w:val="009E585C"/>
    <w:rsid w:val="009E6187"/>
    <w:rsid w:val="009E61AB"/>
    <w:rsid w:val="009E658E"/>
    <w:rsid w:val="009E78B8"/>
    <w:rsid w:val="009F0062"/>
    <w:rsid w:val="009F0400"/>
    <w:rsid w:val="009F10D5"/>
    <w:rsid w:val="009F1122"/>
    <w:rsid w:val="009F153E"/>
    <w:rsid w:val="009F2A0F"/>
    <w:rsid w:val="009F3305"/>
    <w:rsid w:val="009F33AB"/>
    <w:rsid w:val="009F586D"/>
    <w:rsid w:val="009F5CC1"/>
    <w:rsid w:val="009F6A96"/>
    <w:rsid w:val="009F7EC1"/>
    <w:rsid w:val="00A0017A"/>
    <w:rsid w:val="00A023BA"/>
    <w:rsid w:val="00A03379"/>
    <w:rsid w:val="00A03673"/>
    <w:rsid w:val="00A037A8"/>
    <w:rsid w:val="00A03E69"/>
    <w:rsid w:val="00A03F24"/>
    <w:rsid w:val="00A06074"/>
    <w:rsid w:val="00A0749C"/>
    <w:rsid w:val="00A076FB"/>
    <w:rsid w:val="00A07717"/>
    <w:rsid w:val="00A102F0"/>
    <w:rsid w:val="00A10A6E"/>
    <w:rsid w:val="00A1102C"/>
    <w:rsid w:val="00A1367F"/>
    <w:rsid w:val="00A174C7"/>
    <w:rsid w:val="00A206B9"/>
    <w:rsid w:val="00A21440"/>
    <w:rsid w:val="00A21B9E"/>
    <w:rsid w:val="00A22499"/>
    <w:rsid w:val="00A2350F"/>
    <w:rsid w:val="00A24AD6"/>
    <w:rsid w:val="00A25C80"/>
    <w:rsid w:val="00A3017B"/>
    <w:rsid w:val="00A3024D"/>
    <w:rsid w:val="00A31349"/>
    <w:rsid w:val="00A32594"/>
    <w:rsid w:val="00A3490B"/>
    <w:rsid w:val="00A34E8B"/>
    <w:rsid w:val="00A35321"/>
    <w:rsid w:val="00A3577E"/>
    <w:rsid w:val="00A36750"/>
    <w:rsid w:val="00A36E3C"/>
    <w:rsid w:val="00A37FFE"/>
    <w:rsid w:val="00A40DE3"/>
    <w:rsid w:val="00A41461"/>
    <w:rsid w:val="00A414BD"/>
    <w:rsid w:val="00A41973"/>
    <w:rsid w:val="00A41A0F"/>
    <w:rsid w:val="00A435E8"/>
    <w:rsid w:val="00A440C6"/>
    <w:rsid w:val="00A4413E"/>
    <w:rsid w:val="00A4427D"/>
    <w:rsid w:val="00A456E1"/>
    <w:rsid w:val="00A50579"/>
    <w:rsid w:val="00A513A9"/>
    <w:rsid w:val="00A51D25"/>
    <w:rsid w:val="00A52A14"/>
    <w:rsid w:val="00A546A5"/>
    <w:rsid w:val="00A552AD"/>
    <w:rsid w:val="00A56B58"/>
    <w:rsid w:val="00A572C8"/>
    <w:rsid w:val="00A5785B"/>
    <w:rsid w:val="00A579C0"/>
    <w:rsid w:val="00A57BA3"/>
    <w:rsid w:val="00A61253"/>
    <w:rsid w:val="00A61BC8"/>
    <w:rsid w:val="00A62B29"/>
    <w:rsid w:val="00A645C6"/>
    <w:rsid w:val="00A65B4E"/>
    <w:rsid w:val="00A65C0C"/>
    <w:rsid w:val="00A65F02"/>
    <w:rsid w:val="00A67223"/>
    <w:rsid w:val="00A67267"/>
    <w:rsid w:val="00A67383"/>
    <w:rsid w:val="00A67998"/>
    <w:rsid w:val="00A67D0C"/>
    <w:rsid w:val="00A700D8"/>
    <w:rsid w:val="00A70288"/>
    <w:rsid w:val="00A703D8"/>
    <w:rsid w:val="00A70723"/>
    <w:rsid w:val="00A70AD5"/>
    <w:rsid w:val="00A722EB"/>
    <w:rsid w:val="00A73109"/>
    <w:rsid w:val="00A7394C"/>
    <w:rsid w:val="00A73FD2"/>
    <w:rsid w:val="00A749EE"/>
    <w:rsid w:val="00A77052"/>
    <w:rsid w:val="00A77E62"/>
    <w:rsid w:val="00A77FC7"/>
    <w:rsid w:val="00A81ADE"/>
    <w:rsid w:val="00A82682"/>
    <w:rsid w:val="00A828F5"/>
    <w:rsid w:val="00A82DF9"/>
    <w:rsid w:val="00A83BD5"/>
    <w:rsid w:val="00A83E1D"/>
    <w:rsid w:val="00A8625F"/>
    <w:rsid w:val="00A8681E"/>
    <w:rsid w:val="00A90303"/>
    <w:rsid w:val="00A90A06"/>
    <w:rsid w:val="00A92C40"/>
    <w:rsid w:val="00A95B76"/>
    <w:rsid w:val="00A95CF4"/>
    <w:rsid w:val="00A95EA7"/>
    <w:rsid w:val="00A95F6A"/>
    <w:rsid w:val="00A95FF2"/>
    <w:rsid w:val="00A96322"/>
    <w:rsid w:val="00A96630"/>
    <w:rsid w:val="00A968EF"/>
    <w:rsid w:val="00A97755"/>
    <w:rsid w:val="00A97995"/>
    <w:rsid w:val="00AA0046"/>
    <w:rsid w:val="00AA0FB6"/>
    <w:rsid w:val="00AA1CE9"/>
    <w:rsid w:val="00AA1F13"/>
    <w:rsid w:val="00AA28D3"/>
    <w:rsid w:val="00AA30AA"/>
    <w:rsid w:val="00AA366C"/>
    <w:rsid w:val="00AA3C76"/>
    <w:rsid w:val="00AA577F"/>
    <w:rsid w:val="00AA696B"/>
    <w:rsid w:val="00AA6E19"/>
    <w:rsid w:val="00AA7566"/>
    <w:rsid w:val="00AA79F6"/>
    <w:rsid w:val="00AA7A25"/>
    <w:rsid w:val="00AB0FEC"/>
    <w:rsid w:val="00AB1222"/>
    <w:rsid w:val="00AB1B2D"/>
    <w:rsid w:val="00AB2071"/>
    <w:rsid w:val="00AB272E"/>
    <w:rsid w:val="00AB3968"/>
    <w:rsid w:val="00AB3A80"/>
    <w:rsid w:val="00AB46BB"/>
    <w:rsid w:val="00AB477E"/>
    <w:rsid w:val="00AB47DA"/>
    <w:rsid w:val="00AB480F"/>
    <w:rsid w:val="00AB5275"/>
    <w:rsid w:val="00AB667C"/>
    <w:rsid w:val="00AB7415"/>
    <w:rsid w:val="00AC162E"/>
    <w:rsid w:val="00AC1D5B"/>
    <w:rsid w:val="00AC23B3"/>
    <w:rsid w:val="00AC5C18"/>
    <w:rsid w:val="00AC6132"/>
    <w:rsid w:val="00AC6513"/>
    <w:rsid w:val="00AC7A65"/>
    <w:rsid w:val="00AD082B"/>
    <w:rsid w:val="00AD236F"/>
    <w:rsid w:val="00AD2664"/>
    <w:rsid w:val="00AD3C01"/>
    <w:rsid w:val="00AD473A"/>
    <w:rsid w:val="00AD4CB8"/>
    <w:rsid w:val="00AD50C8"/>
    <w:rsid w:val="00AD7059"/>
    <w:rsid w:val="00AD7216"/>
    <w:rsid w:val="00AD7F7B"/>
    <w:rsid w:val="00AE08B5"/>
    <w:rsid w:val="00AE1EB8"/>
    <w:rsid w:val="00AE1FA4"/>
    <w:rsid w:val="00AE2C39"/>
    <w:rsid w:val="00AE2E07"/>
    <w:rsid w:val="00AE359B"/>
    <w:rsid w:val="00AE5FE5"/>
    <w:rsid w:val="00AE649A"/>
    <w:rsid w:val="00AF062D"/>
    <w:rsid w:val="00AF3465"/>
    <w:rsid w:val="00AF3B3E"/>
    <w:rsid w:val="00AF4626"/>
    <w:rsid w:val="00AF6DC1"/>
    <w:rsid w:val="00B01BC8"/>
    <w:rsid w:val="00B023D3"/>
    <w:rsid w:val="00B03570"/>
    <w:rsid w:val="00B03F21"/>
    <w:rsid w:val="00B04146"/>
    <w:rsid w:val="00B04670"/>
    <w:rsid w:val="00B04B47"/>
    <w:rsid w:val="00B05799"/>
    <w:rsid w:val="00B07F88"/>
    <w:rsid w:val="00B1032F"/>
    <w:rsid w:val="00B10622"/>
    <w:rsid w:val="00B10B09"/>
    <w:rsid w:val="00B117E6"/>
    <w:rsid w:val="00B11FFC"/>
    <w:rsid w:val="00B12312"/>
    <w:rsid w:val="00B12E18"/>
    <w:rsid w:val="00B141A6"/>
    <w:rsid w:val="00B150B2"/>
    <w:rsid w:val="00B1570A"/>
    <w:rsid w:val="00B159BC"/>
    <w:rsid w:val="00B171D0"/>
    <w:rsid w:val="00B178B8"/>
    <w:rsid w:val="00B205CA"/>
    <w:rsid w:val="00B21CA8"/>
    <w:rsid w:val="00B2286A"/>
    <w:rsid w:val="00B228AD"/>
    <w:rsid w:val="00B2577A"/>
    <w:rsid w:val="00B2621B"/>
    <w:rsid w:val="00B26243"/>
    <w:rsid w:val="00B27341"/>
    <w:rsid w:val="00B3001D"/>
    <w:rsid w:val="00B303A3"/>
    <w:rsid w:val="00B319DC"/>
    <w:rsid w:val="00B31B47"/>
    <w:rsid w:val="00B325AB"/>
    <w:rsid w:val="00B331F3"/>
    <w:rsid w:val="00B33550"/>
    <w:rsid w:val="00B33D94"/>
    <w:rsid w:val="00B34087"/>
    <w:rsid w:val="00B3590D"/>
    <w:rsid w:val="00B36DDB"/>
    <w:rsid w:val="00B40401"/>
    <w:rsid w:val="00B4160C"/>
    <w:rsid w:val="00B41C2F"/>
    <w:rsid w:val="00B4400E"/>
    <w:rsid w:val="00B44588"/>
    <w:rsid w:val="00B44E0C"/>
    <w:rsid w:val="00B45D4B"/>
    <w:rsid w:val="00B45E45"/>
    <w:rsid w:val="00B45F0B"/>
    <w:rsid w:val="00B45F49"/>
    <w:rsid w:val="00B5035E"/>
    <w:rsid w:val="00B50B79"/>
    <w:rsid w:val="00B5172C"/>
    <w:rsid w:val="00B54617"/>
    <w:rsid w:val="00B54736"/>
    <w:rsid w:val="00B54ACF"/>
    <w:rsid w:val="00B560C5"/>
    <w:rsid w:val="00B56982"/>
    <w:rsid w:val="00B56C97"/>
    <w:rsid w:val="00B56FB6"/>
    <w:rsid w:val="00B61570"/>
    <w:rsid w:val="00B62435"/>
    <w:rsid w:val="00B62ECB"/>
    <w:rsid w:val="00B638EC"/>
    <w:rsid w:val="00B64D83"/>
    <w:rsid w:val="00B6546C"/>
    <w:rsid w:val="00B66A87"/>
    <w:rsid w:val="00B66D38"/>
    <w:rsid w:val="00B71BDC"/>
    <w:rsid w:val="00B71BE9"/>
    <w:rsid w:val="00B73605"/>
    <w:rsid w:val="00B75629"/>
    <w:rsid w:val="00B7594C"/>
    <w:rsid w:val="00B7667D"/>
    <w:rsid w:val="00B76869"/>
    <w:rsid w:val="00B76881"/>
    <w:rsid w:val="00B773B7"/>
    <w:rsid w:val="00B77927"/>
    <w:rsid w:val="00B77BB6"/>
    <w:rsid w:val="00B77FE6"/>
    <w:rsid w:val="00B80434"/>
    <w:rsid w:val="00B80B91"/>
    <w:rsid w:val="00B80FDF"/>
    <w:rsid w:val="00B810C4"/>
    <w:rsid w:val="00B81226"/>
    <w:rsid w:val="00B81E34"/>
    <w:rsid w:val="00B84AED"/>
    <w:rsid w:val="00B862E7"/>
    <w:rsid w:val="00B8649B"/>
    <w:rsid w:val="00B87D83"/>
    <w:rsid w:val="00B91970"/>
    <w:rsid w:val="00B920E1"/>
    <w:rsid w:val="00B92E4A"/>
    <w:rsid w:val="00B92EB4"/>
    <w:rsid w:val="00B934D2"/>
    <w:rsid w:val="00B93DC9"/>
    <w:rsid w:val="00B97206"/>
    <w:rsid w:val="00B9798E"/>
    <w:rsid w:val="00BA194C"/>
    <w:rsid w:val="00BA232C"/>
    <w:rsid w:val="00BA3A76"/>
    <w:rsid w:val="00BA3A8E"/>
    <w:rsid w:val="00BA42FA"/>
    <w:rsid w:val="00BA447B"/>
    <w:rsid w:val="00BA4CA1"/>
    <w:rsid w:val="00BA52F3"/>
    <w:rsid w:val="00BA5B72"/>
    <w:rsid w:val="00BA5CCA"/>
    <w:rsid w:val="00BA7583"/>
    <w:rsid w:val="00BA768A"/>
    <w:rsid w:val="00BA780A"/>
    <w:rsid w:val="00BB061D"/>
    <w:rsid w:val="00BB07BF"/>
    <w:rsid w:val="00BB0C18"/>
    <w:rsid w:val="00BB0C7B"/>
    <w:rsid w:val="00BB1418"/>
    <w:rsid w:val="00BB225B"/>
    <w:rsid w:val="00BB2524"/>
    <w:rsid w:val="00BB2AE3"/>
    <w:rsid w:val="00BB34CA"/>
    <w:rsid w:val="00BB381A"/>
    <w:rsid w:val="00BB418A"/>
    <w:rsid w:val="00BB4454"/>
    <w:rsid w:val="00BB4799"/>
    <w:rsid w:val="00BB4842"/>
    <w:rsid w:val="00BB50BC"/>
    <w:rsid w:val="00BB6376"/>
    <w:rsid w:val="00BB6BD8"/>
    <w:rsid w:val="00BC0550"/>
    <w:rsid w:val="00BC2245"/>
    <w:rsid w:val="00BC2BEF"/>
    <w:rsid w:val="00BC2C0F"/>
    <w:rsid w:val="00BC3267"/>
    <w:rsid w:val="00BC3379"/>
    <w:rsid w:val="00BC35A9"/>
    <w:rsid w:val="00BC41CA"/>
    <w:rsid w:val="00BC4E06"/>
    <w:rsid w:val="00BC5EC3"/>
    <w:rsid w:val="00BC71ED"/>
    <w:rsid w:val="00BC7FDF"/>
    <w:rsid w:val="00BD0482"/>
    <w:rsid w:val="00BD200B"/>
    <w:rsid w:val="00BD2689"/>
    <w:rsid w:val="00BD2695"/>
    <w:rsid w:val="00BD272C"/>
    <w:rsid w:val="00BD2D2E"/>
    <w:rsid w:val="00BD3175"/>
    <w:rsid w:val="00BD4693"/>
    <w:rsid w:val="00BD4798"/>
    <w:rsid w:val="00BD7E03"/>
    <w:rsid w:val="00BE0782"/>
    <w:rsid w:val="00BE0AB0"/>
    <w:rsid w:val="00BE1C1C"/>
    <w:rsid w:val="00BE273D"/>
    <w:rsid w:val="00BE2D53"/>
    <w:rsid w:val="00BE5A77"/>
    <w:rsid w:val="00BE5B7D"/>
    <w:rsid w:val="00BE7B56"/>
    <w:rsid w:val="00BF19DB"/>
    <w:rsid w:val="00BF27AC"/>
    <w:rsid w:val="00BF2CA0"/>
    <w:rsid w:val="00BF478C"/>
    <w:rsid w:val="00BF5E76"/>
    <w:rsid w:val="00BF7616"/>
    <w:rsid w:val="00BF7C57"/>
    <w:rsid w:val="00BF7F43"/>
    <w:rsid w:val="00C000D3"/>
    <w:rsid w:val="00C010CB"/>
    <w:rsid w:val="00C017AC"/>
    <w:rsid w:val="00C0244F"/>
    <w:rsid w:val="00C033D0"/>
    <w:rsid w:val="00C0437B"/>
    <w:rsid w:val="00C0461B"/>
    <w:rsid w:val="00C04C73"/>
    <w:rsid w:val="00C04EE1"/>
    <w:rsid w:val="00C052AB"/>
    <w:rsid w:val="00C05E79"/>
    <w:rsid w:val="00C0767F"/>
    <w:rsid w:val="00C07C78"/>
    <w:rsid w:val="00C10E84"/>
    <w:rsid w:val="00C10FD5"/>
    <w:rsid w:val="00C12664"/>
    <w:rsid w:val="00C12E75"/>
    <w:rsid w:val="00C13344"/>
    <w:rsid w:val="00C13AEA"/>
    <w:rsid w:val="00C1620E"/>
    <w:rsid w:val="00C17421"/>
    <w:rsid w:val="00C177CF"/>
    <w:rsid w:val="00C21529"/>
    <w:rsid w:val="00C217EB"/>
    <w:rsid w:val="00C224F8"/>
    <w:rsid w:val="00C23575"/>
    <w:rsid w:val="00C24C6C"/>
    <w:rsid w:val="00C25D7C"/>
    <w:rsid w:val="00C262F0"/>
    <w:rsid w:val="00C27E9A"/>
    <w:rsid w:val="00C31FC5"/>
    <w:rsid w:val="00C33476"/>
    <w:rsid w:val="00C3473E"/>
    <w:rsid w:val="00C357BF"/>
    <w:rsid w:val="00C35A77"/>
    <w:rsid w:val="00C36809"/>
    <w:rsid w:val="00C37944"/>
    <w:rsid w:val="00C409D5"/>
    <w:rsid w:val="00C425F8"/>
    <w:rsid w:val="00C43E71"/>
    <w:rsid w:val="00C45574"/>
    <w:rsid w:val="00C46B2F"/>
    <w:rsid w:val="00C46CBA"/>
    <w:rsid w:val="00C479A4"/>
    <w:rsid w:val="00C50C88"/>
    <w:rsid w:val="00C50FAC"/>
    <w:rsid w:val="00C51B16"/>
    <w:rsid w:val="00C5329A"/>
    <w:rsid w:val="00C53339"/>
    <w:rsid w:val="00C53395"/>
    <w:rsid w:val="00C5467D"/>
    <w:rsid w:val="00C557C7"/>
    <w:rsid w:val="00C55D3C"/>
    <w:rsid w:val="00C55DD2"/>
    <w:rsid w:val="00C55EC0"/>
    <w:rsid w:val="00C6024D"/>
    <w:rsid w:val="00C61194"/>
    <w:rsid w:val="00C63987"/>
    <w:rsid w:val="00C647D6"/>
    <w:rsid w:val="00C668C4"/>
    <w:rsid w:val="00C66C55"/>
    <w:rsid w:val="00C67FD6"/>
    <w:rsid w:val="00C70001"/>
    <w:rsid w:val="00C70682"/>
    <w:rsid w:val="00C70BF0"/>
    <w:rsid w:val="00C70EB1"/>
    <w:rsid w:val="00C7127A"/>
    <w:rsid w:val="00C7184A"/>
    <w:rsid w:val="00C71DBA"/>
    <w:rsid w:val="00C7225F"/>
    <w:rsid w:val="00C72C7F"/>
    <w:rsid w:val="00C73064"/>
    <w:rsid w:val="00C73DE4"/>
    <w:rsid w:val="00C745A4"/>
    <w:rsid w:val="00C7480D"/>
    <w:rsid w:val="00C75244"/>
    <w:rsid w:val="00C7552A"/>
    <w:rsid w:val="00C76648"/>
    <w:rsid w:val="00C778F6"/>
    <w:rsid w:val="00C800AA"/>
    <w:rsid w:val="00C82CE8"/>
    <w:rsid w:val="00C82D8A"/>
    <w:rsid w:val="00C831BE"/>
    <w:rsid w:val="00C83535"/>
    <w:rsid w:val="00C83982"/>
    <w:rsid w:val="00C83E27"/>
    <w:rsid w:val="00C8540A"/>
    <w:rsid w:val="00C85544"/>
    <w:rsid w:val="00C86C98"/>
    <w:rsid w:val="00C86CAF"/>
    <w:rsid w:val="00C86EF9"/>
    <w:rsid w:val="00C87502"/>
    <w:rsid w:val="00C908C3"/>
    <w:rsid w:val="00C90BA3"/>
    <w:rsid w:val="00C911AA"/>
    <w:rsid w:val="00C91B73"/>
    <w:rsid w:val="00C92964"/>
    <w:rsid w:val="00C929AB"/>
    <w:rsid w:val="00C93416"/>
    <w:rsid w:val="00C93547"/>
    <w:rsid w:val="00C93A19"/>
    <w:rsid w:val="00C94ECC"/>
    <w:rsid w:val="00C94EEE"/>
    <w:rsid w:val="00C950CF"/>
    <w:rsid w:val="00C956C9"/>
    <w:rsid w:val="00C958F9"/>
    <w:rsid w:val="00C96459"/>
    <w:rsid w:val="00C97095"/>
    <w:rsid w:val="00CA063C"/>
    <w:rsid w:val="00CA1528"/>
    <w:rsid w:val="00CA50B1"/>
    <w:rsid w:val="00CA603C"/>
    <w:rsid w:val="00CB0219"/>
    <w:rsid w:val="00CB08BB"/>
    <w:rsid w:val="00CB1706"/>
    <w:rsid w:val="00CB1DE1"/>
    <w:rsid w:val="00CB1F5C"/>
    <w:rsid w:val="00CB24E5"/>
    <w:rsid w:val="00CB3C1F"/>
    <w:rsid w:val="00CB3ECC"/>
    <w:rsid w:val="00CB40E7"/>
    <w:rsid w:val="00CB48F4"/>
    <w:rsid w:val="00CB514E"/>
    <w:rsid w:val="00CB690C"/>
    <w:rsid w:val="00CB6A25"/>
    <w:rsid w:val="00CB7424"/>
    <w:rsid w:val="00CC3219"/>
    <w:rsid w:val="00CC4010"/>
    <w:rsid w:val="00CC74C9"/>
    <w:rsid w:val="00CC777A"/>
    <w:rsid w:val="00CC7CBA"/>
    <w:rsid w:val="00CD18D9"/>
    <w:rsid w:val="00CD3AE9"/>
    <w:rsid w:val="00CD4CFA"/>
    <w:rsid w:val="00CD52A8"/>
    <w:rsid w:val="00CD5D51"/>
    <w:rsid w:val="00CD7159"/>
    <w:rsid w:val="00CE00FD"/>
    <w:rsid w:val="00CE032B"/>
    <w:rsid w:val="00CE07D3"/>
    <w:rsid w:val="00CE2357"/>
    <w:rsid w:val="00CE2B79"/>
    <w:rsid w:val="00CE2C2B"/>
    <w:rsid w:val="00CE722E"/>
    <w:rsid w:val="00CE7BC1"/>
    <w:rsid w:val="00CF066A"/>
    <w:rsid w:val="00CF17BF"/>
    <w:rsid w:val="00CF2966"/>
    <w:rsid w:val="00CF3E93"/>
    <w:rsid w:val="00CF4B19"/>
    <w:rsid w:val="00CF50B0"/>
    <w:rsid w:val="00CF55AA"/>
    <w:rsid w:val="00CF5AA4"/>
    <w:rsid w:val="00CF5CDB"/>
    <w:rsid w:val="00CF5F61"/>
    <w:rsid w:val="00D00347"/>
    <w:rsid w:val="00D0128D"/>
    <w:rsid w:val="00D0139A"/>
    <w:rsid w:val="00D02803"/>
    <w:rsid w:val="00D034F0"/>
    <w:rsid w:val="00D03543"/>
    <w:rsid w:val="00D03FBB"/>
    <w:rsid w:val="00D0642D"/>
    <w:rsid w:val="00D06B98"/>
    <w:rsid w:val="00D07769"/>
    <w:rsid w:val="00D07DCE"/>
    <w:rsid w:val="00D07F16"/>
    <w:rsid w:val="00D1281C"/>
    <w:rsid w:val="00D1453C"/>
    <w:rsid w:val="00D1506F"/>
    <w:rsid w:val="00D161D9"/>
    <w:rsid w:val="00D17B82"/>
    <w:rsid w:val="00D2068C"/>
    <w:rsid w:val="00D20705"/>
    <w:rsid w:val="00D2106D"/>
    <w:rsid w:val="00D21BC5"/>
    <w:rsid w:val="00D21F71"/>
    <w:rsid w:val="00D2292E"/>
    <w:rsid w:val="00D23F4A"/>
    <w:rsid w:val="00D2509C"/>
    <w:rsid w:val="00D257FD"/>
    <w:rsid w:val="00D263B9"/>
    <w:rsid w:val="00D271D7"/>
    <w:rsid w:val="00D2727E"/>
    <w:rsid w:val="00D27A6F"/>
    <w:rsid w:val="00D308E1"/>
    <w:rsid w:val="00D30A6E"/>
    <w:rsid w:val="00D3126E"/>
    <w:rsid w:val="00D312E5"/>
    <w:rsid w:val="00D3140A"/>
    <w:rsid w:val="00D3168C"/>
    <w:rsid w:val="00D316B0"/>
    <w:rsid w:val="00D317DF"/>
    <w:rsid w:val="00D31D6B"/>
    <w:rsid w:val="00D32BB1"/>
    <w:rsid w:val="00D33D34"/>
    <w:rsid w:val="00D354BF"/>
    <w:rsid w:val="00D35F4F"/>
    <w:rsid w:val="00D36BF4"/>
    <w:rsid w:val="00D36E9F"/>
    <w:rsid w:val="00D37411"/>
    <w:rsid w:val="00D4109D"/>
    <w:rsid w:val="00D4496A"/>
    <w:rsid w:val="00D44D21"/>
    <w:rsid w:val="00D4541B"/>
    <w:rsid w:val="00D4623D"/>
    <w:rsid w:val="00D4662B"/>
    <w:rsid w:val="00D46735"/>
    <w:rsid w:val="00D47051"/>
    <w:rsid w:val="00D4749E"/>
    <w:rsid w:val="00D50EEE"/>
    <w:rsid w:val="00D51479"/>
    <w:rsid w:val="00D51664"/>
    <w:rsid w:val="00D522F1"/>
    <w:rsid w:val="00D52BE7"/>
    <w:rsid w:val="00D53C43"/>
    <w:rsid w:val="00D5406E"/>
    <w:rsid w:val="00D562BD"/>
    <w:rsid w:val="00D56D30"/>
    <w:rsid w:val="00D57736"/>
    <w:rsid w:val="00D5788D"/>
    <w:rsid w:val="00D60D4C"/>
    <w:rsid w:val="00D613F5"/>
    <w:rsid w:val="00D635E6"/>
    <w:rsid w:val="00D6368D"/>
    <w:rsid w:val="00D63EB7"/>
    <w:rsid w:val="00D63FBC"/>
    <w:rsid w:val="00D64763"/>
    <w:rsid w:val="00D64779"/>
    <w:rsid w:val="00D64911"/>
    <w:rsid w:val="00D64ABD"/>
    <w:rsid w:val="00D64DA0"/>
    <w:rsid w:val="00D66835"/>
    <w:rsid w:val="00D6702F"/>
    <w:rsid w:val="00D70176"/>
    <w:rsid w:val="00D703C1"/>
    <w:rsid w:val="00D707B2"/>
    <w:rsid w:val="00D7175B"/>
    <w:rsid w:val="00D72F61"/>
    <w:rsid w:val="00D73CA7"/>
    <w:rsid w:val="00D74D53"/>
    <w:rsid w:val="00D752EB"/>
    <w:rsid w:val="00D756CF"/>
    <w:rsid w:val="00D775AD"/>
    <w:rsid w:val="00D77784"/>
    <w:rsid w:val="00D8004B"/>
    <w:rsid w:val="00D81E7A"/>
    <w:rsid w:val="00D81F95"/>
    <w:rsid w:val="00D83A2D"/>
    <w:rsid w:val="00D84191"/>
    <w:rsid w:val="00D841AA"/>
    <w:rsid w:val="00D84CCA"/>
    <w:rsid w:val="00D850AD"/>
    <w:rsid w:val="00D853A1"/>
    <w:rsid w:val="00D86A46"/>
    <w:rsid w:val="00D87346"/>
    <w:rsid w:val="00D91022"/>
    <w:rsid w:val="00D91955"/>
    <w:rsid w:val="00D91D20"/>
    <w:rsid w:val="00D9236B"/>
    <w:rsid w:val="00D92A82"/>
    <w:rsid w:val="00D92FB4"/>
    <w:rsid w:val="00D930D4"/>
    <w:rsid w:val="00D94D31"/>
    <w:rsid w:val="00D957FF"/>
    <w:rsid w:val="00D969C8"/>
    <w:rsid w:val="00D974E6"/>
    <w:rsid w:val="00D97757"/>
    <w:rsid w:val="00DA1B6C"/>
    <w:rsid w:val="00DA2209"/>
    <w:rsid w:val="00DA24F3"/>
    <w:rsid w:val="00DA297C"/>
    <w:rsid w:val="00DA3956"/>
    <w:rsid w:val="00DA4711"/>
    <w:rsid w:val="00DA6266"/>
    <w:rsid w:val="00DA62FF"/>
    <w:rsid w:val="00DA6517"/>
    <w:rsid w:val="00DA6567"/>
    <w:rsid w:val="00DA7913"/>
    <w:rsid w:val="00DB00C6"/>
    <w:rsid w:val="00DB0FB8"/>
    <w:rsid w:val="00DB1098"/>
    <w:rsid w:val="00DB26FE"/>
    <w:rsid w:val="00DB2C38"/>
    <w:rsid w:val="00DB4A6D"/>
    <w:rsid w:val="00DB5A19"/>
    <w:rsid w:val="00DB6939"/>
    <w:rsid w:val="00DB764B"/>
    <w:rsid w:val="00DB7A66"/>
    <w:rsid w:val="00DC0CDF"/>
    <w:rsid w:val="00DC3490"/>
    <w:rsid w:val="00DC6213"/>
    <w:rsid w:val="00DD0C24"/>
    <w:rsid w:val="00DD15AC"/>
    <w:rsid w:val="00DD1A66"/>
    <w:rsid w:val="00DD1AF9"/>
    <w:rsid w:val="00DD1F2A"/>
    <w:rsid w:val="00DD4351"/>
    <w:rsid w:val="00DD5E84"/>
    <w:rsid w:val="00DD76B6"/>
    <w:rsid w:val="00DD776E"/>
    <w:rsid w:val="00DE0B45"/>
    <w:rsid w:val="00DE0C73"/>
    <w:rsid w:val="00DE0D19"/>
    <w:rsid w:val="00DE2781"/>
    <w:rsid w:val="00DE4881"/>
    <w:rsid w:val="00DE5358"/>
    <w:rsid w:val="00DE5E3E"/>
    <w:rsid w:val="00DE6950"/>
    <w:rsid w:val="00DE6C74"/>
    <w:rsid w:val="00DF0786"/>
    <w:rsid w:val="00DF2398"/>
    <w:rsid w:val="00DF2691"/>
    <w:rsid w:val="00DF26BC"/>
    <w:rsid w:val="00DF295A"/>
    <w:rsid w:val="00DF2A2C"/>
    <w:rsid w:val="00DF3290"/>
    <w:rsid w:val="00DF32D9"/>
    <w:rsid w:val="00DF39C0"/>
    <w:rsid w:val="00DF47DA"/>
    <w:rsid w:val="00DF5F2E"/>
    <w:rsid w:val="00DF67C2"/>
    <w:rsid w:val="00E00B08"/>
    <w:rsid w:val="00E026E3"/>
    <w:rsid w:val="00E04010"/>
    <w:rsid w:val="00E04F80"/>
    <w:rsid w:val="00E05193"/>
    <w:rsid w:val="00E05C54"/>
    <w:rsid w:val="00E05FCA"/>
    <w:rsid w:val="00E0674D"/>
    <w:rsid w:val="00E06AB9"/>
    <w:rsid w:val="00E06D3D"/>
    <w:rsid w:val="00E11799"/>
    <w:rsid w:val="00E1292B"/>
    <w:rsid w:val="00E12C05"/>
    <w:rsid w:val="00E13037"/>
    <w:rsid w:val="00E13990"/>
    <w:rsid w:val="00E14AFF"/>
    <w:rsid w:val="00E14BF4"/>
    <w:rsid w:val="00E15FA0"/>
    <w:rsid w:val="00E2048A"/>
    <w:rsid w:val="00E20B72"/>
    <w:rsid w:val="00E212FA"/>
    <w:rsid w:val="00E21A8E"/>
    <w:rsid w:val="00E22454"/>
    <w:rsid w:val="00E23017"/>
    <w:rsid w:val="00E2387B"/>
    <w:rsid w:val="00E23D7B"/>
    <w:rsid w:val="00E23F67"/>
    <w:rsid w:val="00E24DF7"/>
    <w:rsid w:val="00E256D3"/>
    <w:rsid w:val="00E260D5"/>
    <w:rsid w:val="00E26CA2"/>
    <w:rsid w:val="00E26EF0"/>
    <w:rsid w:val="00E27972"/>
    <w:rsid w:val="00E30217"/>
    <w:rsid w:val="00E309A9"/>
    <w:rsid w:val="00E316F4"/>
    <w:rsid w:val="00E320E4"/>
    <w:rsid w:val="00E32E8F"/>
    <w:rsid w:val="00E361C2"/>
    <w:rsid w:val="00E36348"/>
    <w:rsid w:val="00E36A3F"/>
    <w:rsid w:val="00E41605"/>
    <w:rsid w:val="00E44496"/>
    <w:rsid w:val="00E44A6C"/>
    <w:rsid w:val="00E46952"/>
    <w:rsid w:val="00E50CCD"/>
    <w:rsid w:val="00E510F8"/>
    <w:rsid w:val="00E52D27"/>
    <w:rsid w:val="00E531C6"/>
    <w:rsid w:val="00E536E7"/>
    <w:rsid w:val="00E54482"/>
    <w:rsid w:val="00E555EB"/>
    <w:rsid w:val="00E556F6"/>
    <w:rsid w:val="00E55BA2"/>
    <w:rsid w:val="00E55F47"/>
    <w:rsid w:val="00E55F55"/>
    <w:rsid w:val="00E56912"/>
    <w:rsid w:val="00E56CB5"/>
    <w:rsid w:val="00E56DCA"/>
    <w:rsid w:val="00E57701"/>
    <w:rsid w:val="00E57BB1"/>
    <w:rsid w:val="00E57C58"/>
    <w:rsid w:val="00E57ECC"/>
    <w:rsid w:val="00E604B9"/>
    <w:rsid w:val="00E60D62"/>
    <w:rsid w:val="00E6133E"/>
    <w:rsid w:val="00E615C4"/>
    <w:rsid w:val="00E61687"/>
    <w:rsid w:val="00E61B70"/>
    <w:rsid w:val="00E62C8F"/>
    <w:rsid w:val="00E62D27"/>
    <w:rsid w:val="00E62E7C"/>
    <w:rsid w:val="00E6330C"/>
    <w:rsid w:val="00E63501"/>
    <w:rsid w:val="00E63C07"/>
    <w:rsid w:val="00E64351"/>
    <w:rsid w:val="00E64D88"/>
    <w:rsid w:val="00E65B63"/>
    <w:rsid w:val="00E663BE"/>
    <w:rsid w:val="00E672F1"/>
    <w:rsid w:val="00E6749A"/>
    <w:rsid w:val="00E674AE"/>
    <w:rsid w:val="00E67804"/>
    <w:rsid w:val="00E67CC9"/>
    <w:rsid w:val="00E70B41"/>
    <w:rsid w:val="00E7184B"/>
    <w:rsid w:val="00E71A72"/>
    <w:rsid w:val="00E73AC5"/>
    <w:rsid w:val="00E73B59"/>
    <w:rsid w:val="00E7506D"/>
    <w:rsid w:val="00E75488"/>
    <w:rsid w:val="00E758F5"/>
    <w:rsid w:val="00E76411"/>
    <w:rsid w:val="00E776AD"/>
    <w:rsid w:val="00E77E59"/>
    <w:rsid w:val="00E8165A"/>
    <w:rsid w:val="00E8213A"/>
    <w:rsid w:val="00E8259B"/>
    <w:rsid w:val="00E82C5A"/>
    <w:rsid w:val="00E83988"/>
    <w:rsid w:val="00E84613"/>
    <w:rsid w:val="00E872E8"/>
    <w:rsid w:val="00E8741F"/>
    <w:rsid w:val="00E87B87"/>
    <w:rsid w:val="00E90173"/>
    <w:rsid w:val="00E904C5"/>
    <w:rsid w:val="00E92399"/>
    <w:rsid w:val="00E92AF4"/>
    <w:rsid w:val="00E931D3"/>
    <w:rsid w:val="00E9426A"/>
    <w:rsid w:val="00E94C1F"/>
    <w:rsid w:val="00E951F9"/>
    <w:rsid w:val="00E9571C"/>
    <w:rsid w:val="00E958F1"/>
    <w:rsid w:val="00E96B09"/>
    <w:rsid w:val="00E96F26"/>
    <w:rsid w:val="00EA029F"/>
    <w:rsid w:val="00EA11EB"/>
    <w:rsid w:val="00EA2395"/>
    <w:rsid w:val="00EA2F1A"/>
    <w:rsid w:val="00EA34B8"/>
    <w:rsid w:val="00EA4475"/>
    <w:rsid w:val="00EA4954"/>
    <w:rsid w:val="00EA4C33"/>
    <w:rsid w:val="00EA50DF"/>
    <w:rsid w:val="00EA56B1"/>
    <w:rsid w:val="00EA5BB6"/>
    <w:rsid w:val="00EA7C68"/>
    <w:rsid w:val="00EB04DD"/>
    <w:rsid w:val="00EB0664"/>
    <w:rsid w:val="00EB0F66"/>
    <w:rsid w:val="00EB1E18"/>
    <w:rsid w:val="00EB35D4"/>
    <w:rsid w:val="00EB3DEF"/>
    <w:rsid w:val="00EB40B7"/>
    <w:rsid w:val="00EB4D1F"/>
    <w:rsid w:val="00EB5227"/>
    <w:rsid w:val="00EB54C0"/>
    <w:rsid w:val="00EB5914"/>
    <w:rsid w:val="00EB6225"/>
    <w:rsid w:val="00EC00F6"/>
    <w:rsid w:val="00EC09AC"/>
    <w:rsid w:val="00EC10EB"/>
    <w:rsid w:val="00EC151C"/>
    <w:rsid w:val="00EC2077"/>
    <w:rsid w:val="00EC2A7F"/>
    <w:rsid w:val="00EC3D18"/>
    <w:rsid w:val="00EC58F4"/>
    <w:rsid w:val="00EC74CD"/>
    <w:rsid w:val="00ED1377"/>
    <w:rsid w:val="00ED276E"/>
    <w:rsid w:val="00ED2782"/>
    <w:rsid w:val="00ED5AB4"/>
    <w:rsid w:val="00EE14E4"/>
    <w:rsid w:val="00EE1557"/>
    <w:rsid w:val="00EE1645"/>
    <w:rsid w:val="00EE1B99"/>
    <w:rsid w:val="00EE1DAB"/>
    <w:rsid w:val="00EE4261"/>
    <w:rsid w:val="00EE4903"/>
    <w:rsid w:val="00EE672B"/>
    <w:rsid w:val="00EE734D"/>
    <w:rsid w:val="00EF069E"/>
    <w:rsid w:val="00EF0AF9"/>
    <w:rsid w:val="00EF14BD"/>
    <w:rsid w:val="00EF1837"/>
    <w:rsid w:val="00EF1BE2"/>
    <w:rsid w:val="00EF5D40"/>
    <w:rsid w:val="00F0040D"/>
    <w:rsid w:val="00F00BAC"/>
    <w:rsid w:val="00F00F6D"/>
    <w:rsid w:val="00F01AF3"/>
    <w:rsid w:val="00F01F14"/>
    <w:rsid w:val="00F030C0"/>
    <w:rsid w:val="00F0383E"/>
    <w:rsid w:val="00F04F15"/>
    <w:rsid w:val="00F06E6A"/>
    <w:rsid w:val="00F12A49"/>
    <w:rsid w:val="00F13FC3"/>
    <w:rsid w:val="00F146F1"/>
    <w:rsid w:val="00F14D20"/>
    <w:rsid w:val="00F14E75"/>
    <w:rsid w:val="00F15777"/>
    <w:rsid w:val="00F16372"/>
    <w:rsid w:val="00F1652E"/>
    <w:rsid w:val="00F21879"/>
    <w:rsid w:val="00F21A89"/>
    <w:rsid w:val="00F22699"/>
    <w:rsid w:val="00F249E8"/>
    <w:rsid w:val="00F24B4E"/>
    <w:rsid w:val="00F24D78"/>
    <w:rsid w:val="00F26CCD"/>
    <w:rsid w:val="00F26DA7"/>
    <w:rsid w:val="00F274F9"/>
    <w:rsid w:val="00F30C73"/>
    <w:rsid w:val="00F311F3"/>
    <w:rsid w:val="00F321DB"/>
    <w:rsid w:val="00F32651"/>
    <w:rsid w:val="00F3416E"/>
    <w:rsid w:val="00F35B69"/>
    <w:rsid w:val="00F35EDC"/>
    <w:rsid w:val="00F378BA"/>
    <w:rsid w:val="00F40655"/>
    <w:rsid w:val="00F42120"/>
    <w:rsid w:val="00F4379F"/>
    <w:rsid w:val="00F43AFA"/>
    <w:rsid w:val="00F4573A"/>
    <w:rsid w:val="00F458A7"/>
    <w:rsid w:val="00F4687F"/>
    <w:rsid w:val="00F468FF"/>
    <w:rsid w:val="00F46AC9"/>
    <w:rsid w:val="00F46D14"/>
    <w:rsid w:val="00F47189"/>
    <w:rsid w:val="00F477E2"/>
    <w:rsid w:val="00F5034C"/>
    <w:rsid w:val="00F50414"/>
    <w:rsid w:val="00F50516"/>
    <w:rsid w:val="00F50AEA"/>
    <w:rsid w:val="00F51FEF"/>
    <w:rsid w:val="00F531EF"/>
    <w:rsid w:val="00F5338A"/>
    <w:rsid w:val="00F53CD4"/>
    <w:rsid w:val="00F546EA"/>
    <w:rsid w:val="00F57D77"/>
    <w:rsid w:val="00F6136C"/>
    <w:rsid w:val="00F61735"/>
    <w:rsid w:val="00F6273F"/>
    <w:rsid w:val="00F63A5D"/>
    <w:rsid w:val="00F64F94"/>
    <w:rsid w:val="00F6674D"/>
    <w:rsid w:val="00F66E5C"/>
    <w:rsid w:val="00F67885"/>
    <w:rsid w:val="00F67ADC"/>
    <w:rsid w:val="00F71B6A"/>
    <w:rsid w:val="00F741ED"/>
    <w:rsid w:val="00F74FC7"/>
    <w:rsid w:val="00F75494"/>
    <w:rsid w:val="00F756EA"/>
    <w:rsid w:val="00F75EE4"/>
    <w:rsid w:val="00F76037"/>
    <w:rsid w:val="00F76722"/>
    <w:rsid w:val="00F767E3"/>
    <w:rsid w:val="00F771B7"/>
    <w:rsid w:val="00F80146"/>
    <w:rsid w:val="00F81389"/>
    <w:rsid w:val="00F816FD"/>
    <w:rsid w:val="00F8172C"/>
    <w:rsid w:val="00F82D3D"/>
    <w:rsid w:val="00F838C4"/>
    <w:rsid w:val="00F84271"/>
    <w:rsid w:val="00F8443F"/>
    <w:rsid w:val="00F85732"/>
    <w:rsid w:val="00F85F33"/>
    <w:rsid w:val="00F86455"/>
    <w:rsid w:val="00F86765"/>
    <w:rsid w:val="00F87957"/>
    <w:rsid w:val="00F87C9A"/>
    <w:rsid w:val="00F90135"/>
    <w:rsid w:val="00F9013F"/>
    <w:rsid w:val="00F91A74"/>
    <w:rsid w:val="00F91E1B"/>
    <w:rsid w:val="00F922E0"/>
    <w:rsid w:val="00F9245A"/>
    <w:rsid w:val="00F93406"/>
    <w:rsid w:val="00F943CC"/>
    <w:rsid w:val="00F94EA7"/>
    <w:rsid w:val="00F95F6D"/>
    <w:rsid w:val="00F96E0B"/>
    <w:rsid w:val="00FA0849"/>
    <w:rsid w:val="00FA18E5"/>
    <w:rsid w:val="00FA2002"/>
    <w:rsid w:val="00FA2296"/>
    <w:rsid w:val="00FA2BDF"/>
    <w:rsid w:val="00FA46AE"/>
    <w:rsid w:val="00FA497B"/>
    <w:rsid w:val="00FA49B4"/>
    <w:rsid w:val="00FA4ADE"/>
    <w:rsid w:val="00FA63FA"/>
    <w:rsid w:val="00FA6419"/>
    <w:rsid w:val="00FB0AA7"/>
    <w:rsid w:val="00FB12CE"/>
    <w:rsid w:val="00FB1655"/>
    <w:rsid w:val="00FB26DD"/>
    <w:rsid w:val="00FB2CAE"/>
    <w:rsid w:val="00FB35C8"/>
    <w:rsid w:val="00FB39F1"/>
    <w:rsid w:val="00FB3BCD"/>
    <w:rsid w:val="00FB4641"/>
    <w:rsid w:val="00FB541C"/>
    <w:rsid w:val="00FB550F"/>
    <w:rsid w:val="00FB5986"/>
    <w:rsid w:val="00FB6137"/>
    <w:rsid w:val="00FB6508"/>
    <w:rsid w:val="00FB658E"/>
    <w:rsid w:val="00FB69CB"/>
    <w:rsid w:val="00FB6FC5"/>
    <w:rsid w:val="00FC0817"/>
    <w:rsid w:val="00FC15B9"/>
    <w:rsid w:val="00FC1BC4"/>
    <w:rsid w:val="00FC29E1"/>
    <w:rsid w:val="00FC2DDB"/>
    <w:rsid w:val="00FC4670"/>
    <w:rsid w:val="00FC4681"/>
    <w:rsid w:val="00FC4822"/>
    <w:rsid w:val="00FC567E"/>
    <w:rsid w:val="00FC56C9"/>
    <w:rsid w:val="00FC57CC"/>
    <w:rsid w:val="00FC7240"/>
    <w:rsid w:val="00FD0461"/>
    <w:rsid w:val="00FD048C"/>
    <w:rsid w:val="00FD0700"/>
    <w:rsid w:val="00FD12CA"/>
    <w:rsid w:val="00FD29EB"/>
    <w:rsid w:val="00FD30A1"/>
    <w:rsid w:val="00FD30F1"/>
    <w:rsid w:val="00FD4AD4"/>
    <w:rsid w:val="00FD4B11"/>
    <w:rsid w:val="00FD4E0A"/>
    <w:rsid w:val="00FD5229"/>
    <w:rsid w:val="00FD7ABA"/>
    <w:rsid w:val="00FE12D6"/>
    <w:rsid w:val="00FE1C74"/>
    <w:rsid w:val="00FE1EC6"/>
    <w:rsid w:val="00FE2CFA"/>
    <w:rsid w:val="00FE36EE"/>
    <w:rsid w:val="00FE3FB7"/>
    <w:rsid w:val="00FE4F11"/>
    <w:rsid w:val="00FE5A6F"/>
    <w:rsid w:val="00FE6C0C"/>
    <w:rsid w:val="00FE7B0E"/>
    <w:rsid w:val="00FF0306"/>
    <w:rsid w:val="00FF0339"/>
    <w:rsid w:val="00FF0B89"/>
    <w:rsid w:val="00FF1C4C"/>
    <w:rsid w:val="00FF2504"/>
    <w:rsid w:val="00FF2B4F"/>
    <w:rsid w:val="00FF4691"/>
    <w:rsid w:val="00FF4DF0"/>
    <w:rsid w:val="00FF5443"/>
    <w:rsid w:val="00FF775D"/>
    <w:rsid w:val="00FF79C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91687"/>
  <w15:docId w15:val="{9F746DA3-A6B1-437A-80F9-095237EB2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4481"/>
    <w:rPr>
      <w:lang w:val="en-GB"/>
    </w:rPr>
  </w:style>
  <w:style w:type="paragraph" w:styleId="Titolo1">
    <w:name w:val="heading 1"/>
    <w:basedOn w:val="Normale"/>
    <w:next w:val="Normale"/>
    <w:link w:val="Titolo1Carattere"/>
    <w:qFormat/>
    <w:rsid w:val="00D77784"/>
    <w:pPr>
      <w:keepNext/>
      <w:spacing w:before="240" w:after="60" w:line="240" w:lineRule="auto"/>
      <w:outlineLvl w:val="0"/>
    </w:pPr>
    <w:rPr>
      <w:rFonts w:ascii="Arial" w:eastAsia="Times New Roman" w:hAnsi="Arial" w:cs="Arial"/>
      <w:b/>
      <w:bCs/>
      <w:kern w:val="32"/>
      <w:sz w:val="32"/>
      <w:szCs w:val="32"/>
    </w:rPr>
  </w:style>
  <w:style w:type="paragraph" w:styleId="Titolo3">
    <w:name w:val="heading 3"/>
    <w:basedOn w:val="Normale"/>
    <w:next w:val="Normale"/>
    <w:link w:val="Titolo3Carattere"/>
    <w:qFormat/>
    <w:rsid w:val="00D77784"/>
    <w:pPr>
      <w:keepNext/>
      <w:spacing w:before="240" w:after="60" w:line="240" w:lineRule="auto"/>
      <w:outlineLvl w:val="2"/>
    </w:pPr>
    <w:rPr>
      <w:rFonts w:ascii="Arial" w:eastAsia="Times New Roman" w:hAnsi="Arial" w:cs="Arial"/>
      <w:b/>
      <w:bCs/>
      <w:sz w:val="26"/>
      <w:szCs w:val="26"/>
    </w:rPr>
  </w:style>
  <w:style w:type="paragraph" w:styleId="Titolo4">
    <w:name w:val="heading 4"/>
    <w:basedOn w:val="Normale"/>
    <w:next w:val="Normale"/>
    <w:link w:val="Titolo4Carattere"/>
    <w:uiPriority w:val="9"/>
    <w:unhideWhenUsed/>
    <w:qFormat/>
    <w:rsid w:val="00DD435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529DD"/>
    <w:pPr>
      <w:ind w:left="720"/>
      <w:contextualSpacing/>
    </w:pPr>
  </w:style>
  <w:style w:type="character" w:customStyle="1" w:styleId="hps">
    <w:name w:val="hps"/>
    <w:basedOn w:val="Carpredefinitoparagrafo"/>
    <w:rsid w:val="001529DD"/>
  </w:style>
  <w:style w:type="character" w:customStyle="1" w:styleId="longtext">
    <w:name w:val="long_text"/>
    <w:basedOn w:val="Carpredefinitoparagrafo"/>
    <w:rsid w:val="00776640"/>
  </w:style>
  <w:style w:type="character" w:customStyle="1" w:styleId="atn">
    <w:name w:val="atn"/>
    <w:basedOn w:val="Carpredefinitoparagrafo"/>
    <w:rsid w:val="00776640"/>
  </w:style>
  <w:style w:type="paragraph" w:styleId="Testofumetto">
    <w:name w:val="Balloon Text"/>
    <w:basedOn w:val="Normale"/>
    <w:link w:val="TestofumettoCarattere"/>
    <w:unhideWhenUsed/>
    <w:rsid w:val="0018206C"/>
    <w:pPr>
      <w:spacing w:after="0" w:line="240" w:lineRule="auto"/>
    </w:pPr>
    <w:rPr>
      <w:rFonts w:ascii="Tahoma" w:hAnsi="Tahoma" w:cs="Tahoma"/>
      <w:sz w:val="16"/>
      <w:szCs w:val="16"/>
      <w:lang w:val="en-US"/>
    </w:rPr>
  </w:style>
  <w:style w:type="character" w:customStyle="1" w:styleId="TestofumettoCarattere">
    <w:name w:val="Testo fumetto Carattere"/>
    <w:basedOn w:val="Carpredefinitoparagrafo"/>
    <w:link w:val="Testofumetto"/>
    <w:rsid w:val="0018206C"/>
    <w:rPr>
      <w:rFonts w:ascii="Tahoma" w:hAnsi="Tahoma" w:cs="Tahoma"/>
      <w:sz w:val="16"/>
      <w:szCs w:val="16"/>
    </w:rPr>
  </w:style>
  <w:style w:type="paragraph" w:styleId="Nessunaspaziatura">
    <w:name w:val="No Spacing"/>
    <w:uiPriority w:val="1"/>
    <w:qFormat/>
    <w:rsid w:val="002F678F"/>
    <w:pPr>
      <w:spacing w:after="0" w:line="240" w:lineRule="auto"/>
    </w:pPr>
  </w:style>
  <w:style w:type="paragraph" w:styleId="NormaleWeb">
    <w:name w:val="Normal (Web)"/>
    <w:basedOn w:val="Normale"/>
    <w:unhideWhenUsed/>
    <w:rsid w:val="00D91D20"/>
    <w:pPr>
      <w:spacing w:before="100" w:beforeAutospacing="1" w:after="100" w:afterAutospacing="1" w:line="240" w:lineRule="auto"/>
    </w:pPr>
    <w:rPr>
      <w:rFonts w:ascii="Times New Roman" w:eastAsia="Times New Roman" w:hAnsi="Times New Roman" w:cs="Times New Roman"/>
      <w:sz w:val="24"/>
      <w:szCs w:val="24"/>
    </w:rPr>
  </w:style>
  <w:style w:type="table" w:styleId="Grigliatabella">
    <w:name w:val="Table Grid"/>
    <w:basedOn w:val="Tabellanormale"/>
    <w:rsid w:val="006317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1Carattere">
    <w:name w:val="Titolo 1 Carattere"/>
    <w:basedOn w:val="Carpredefinitoparagrafo"/>
    <w:link w:val="Titolo1"/>
    <w:rsid w:val="00D77784"/>
    <w:rPr>
      <w:rFonts w:ascii="Arial" w:eastAsia="Times New Roman" w:hAnsi="Arial" w:cs="Arial"/>
      <w:b/>
      <w:bCs/>
      <w:kern w:val="32"/>
      <w:sz w:val="32"/>
      <w:szCs w:val="32"/>
    </w:rPr>
  </w:style>
  <w:style w:type="character" w:customStyle="1" w:styleId="Titolo3Carattere">
    <w:name w:val="Titolo 3 Carattere"/>
    <w:basedOn w:val="Carpredefinitoparagrafo"/>
    <w:link w:val="Titolo3"/>
    <w:rsid w:val="00D77784"/>
    <w:rPr>
      <w:rFonts w:ascii="Arial" w:eastAsia="Times New Roman" w:hAnsi="Arial" w:cs="Arial"/>
      <w:b/>
      <w:bCs/>
      <w:sz w:val="26"/>
      <w:szCs w:val="26"/>
    </w:rPr>
  </w:style>
  <w:style w:type="paragraph" w:styleId="Pidipagina">
    <w:name w:val="footer"/>
    <w:basedOn w:val="Normale"/>
    <w:link w:val="PidipaginaCarattere"/>
    <w:uiPriority w:val="99"/>
    <w:rsid w:val="00D7778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idipaginaCarattere">
    <w:name w:val="Piè di pagina Carattere"/>
    <w:basedOn w:val="Carpredefinitoparagrafo"/>
    <w:link w:val="Pidipagina"/>
    <w:uiPriority w:val="99"/>
    <w:rsid w:val="00D77784"/>
    <w:rPr>
      <w:rFonts w:ascii="Times New Roman" w:eastAsia="Times New Roman" w:hAnsi="Times New Roman" w:cs="Times New Roman"/>
      <w:sz w:val="24"/>
      <w:szCs w:val="24"/>
    </w:rPr>
  </w:style>
  <w:style w:type="character" w:styleId="Numeropagina">
    <w:name w:val="page number"/>
    <w:basedOn w:val="Carpredefinitoparagrafo"/>
    <w:rsid w:val="00D77784"/>
  </w:style>
  <w:style w:type="character" w:styleId="Rimandocommento">
    <w:name w:val="annotation reference"/>
    <w:basedOn w:val="Carpredefinitoparagrafo"/>
    <w:semiHidden/>
    <w:rsid w:val="00D77784"/>
    <w:rPr>
      <w:rFonts w:ascii="Tahoma" w:hAnsi="Tahoma" w:cs="Tahoma"/>
      <w:b w:val="0"/>
      <w:i w:val="0"/>
      <w:caps w:val="0"/>
      <w:strike w:val="0"/>
      <w:sz w:val="16"/>
      <w:szCs w:val="16"/>
      <w:u w:val="none"/>
    </w:rPr>
  </w:style>
  <w:style w:type="paragraph" w:styleId="Testocommento">
    <w:name w:val="annotation text"/>
    <w:basedOn w:val="Normale"/>
    <w:link w:val="TestocommentoCarattere"/>
    <w:semiHidden/>
    <w:rsid w:val="00784481"/>
    <w:pPr>
      <w:spacing w:after="0" w:line="240" w:lineRule="auto"/>
    </w:pPr>
    <w:rPr>
      <w:rFonts w:ascii="Tahoma" w:eastAsia="Times New Roman" w:hAnsi="Tahoma" w:cs="Tahoma"/>
      <w:sz w:val="16"/>
      <w:szCs w:val="20"/>
      <w:lang w:val="en-US"/>
    </w:rPr>
  </w:style>
  <w:style w:type="character" w:customStyle="1" w:styleId="TestocommentoCarattere">
    <w:name w:val="Testo commento Carattere"/>
    <w:basedOn w:val="Carpredefinitoparagrafo"/>
    <w:link w:val="Testocommento"/>
    <w:semiHidden/>
    <w:rsid w:val="00784481"/>
    <w:rPr>
      <w:rFonts w:ascii="Tahoma" w:eastAsia="Times New Roman" w:hAnsi="Tahoma" w:cs="Tahoma"/>
      <w:sz w:val="16"/>
      <w:szCs w:val="20"/>
    </w:rPr>
  </w:style>
  <w:style w:type="character" w:customStyle="1" w:styleId="mediumtext">
    <w:name w:val="medium_text"/>
    <w:basedOn w:val="Carpredefinitoparagrafo"/>
    <w:rsid w:val="00D77784"/>
  </w:style>
  <w:style w:type="character" w:customStyle="1" w:styleId="shorttext">
    <w:name w:val="short_text"/>
    <w:basedOn w:val="Carpredefinitoparagrafo"/>
    <w:rsid w:val="00D77784"/>
  </w:style>
  <w:style w:type="paragraph" w:styleId="Intestazione">
    <w:name w:val="header"/>
    <w:basedOn w:val="Normale"/>
    <w:link w:val="IntestazioneCarattere"/>
    <w:uiPriority w:val="99"/>
    <w:rsid w:val="00D7778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IntestazioneCarattere">
    <w:name w:val="Intestazione Carattere"/>
    <w:basedOn w:val="Carpredefinitoparagrafo"/>
    <w:link w:val="Intestazione"/>
    <w:uiPriority w:val="99"/>
    <w:rsid w:val="00D77784"/>
    <w:rPr>
      <w:rFonts w:ascii="Times New Roman" w:eastAsia="Times New Roman" w:hAnsi="Times New Roman" w:cs="Times New Roman"/>
      <w:sz w:val="24"/>
      <w:szCs w:val="24"/>
    </w:rPr>
  </w:style>
  <w:style w:type="character" w:styleId="Collegamentoipertestuale">
    <w:name w:val="Hyperlink"/>
    <w:basedOn w:val="Carpredefinitoparagrafo"/>
    <w:rsid w:val="00D77784"/>
    <w:rPr>
      <w:color w:val="0000FF"/>
      <w:u w:val="single"/>
    </w:rPr>
  </w:style>
  <w:style w:type="paragraph" w:styleId="Testonotaapidipagina">
    <w:name w:val="footnote text"/>
    <w:basedOn w:val="Normale"/>
    <w:link w:val="TestonotaapidipaginaCarattere"/>
    <w:unhideWhenUsed/>
    <w:rsid w:val="00EA239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EA2395"/>
    <w:rPr>
      <w:sz w:val="20"/>
      <w:szCs w:val="20"/>
    </w:rPr>
  </w:style>
  <w:style w:type="character" w:styleId="Rimandonotaapidipagina">
    <w:name w:val="footnote reference"/>
    <w:basedOn w:val="Carpredefinitoparagrafo"/>
    <w:unhideWhenUsed/>
    <w:rsid w:val="00EA2395"/>
    <w:rPr>
      <w:vertAlign w:val="superscript"/>
    </w:rPr>
  </w:style>
  <w:style w:type="paragraph" w:styleId="Titolo">
    <w:name w:val="Title"/>
    <w:basedOn w:val="Normale"/>
    <w:link w:val="TitoloCarattere"/>
    <w:uiPriority w:val="99"/>
    <w:qFormat/>
    <w:rsid w:val="00283B83"/>
    <w:pPr>
      <w:widowControl w:val="0"/>
      <w:spacing w:after="0" w:line="240" w:lineRule="auto"/>
      <w:jc w:val="center"/>
    </w:pPr>
    <w:rPr>
      <w:rFonts w:ascii="Arial" w:eastAsia="Times New Roman" w:hAnsi="Arial" w:cs="Times New Roman"/>
      <w:sz w:val="28"/>
      <w:szCs w:val="20"/>
      <w:lang w:eastAsia="x-none"/>
    </w:rPr>
  </w:style>
  <w:style w:type="character" w:customStyle="1" w:styleId="TitoloCarattere">
    <w:name w:val="Titolo Carattere"/>
    <w:basedOn w:val="Carpredefinitoparagrafo"/>
    <w:link w:val="Titolo"/>
    <w:uiPriority w:val="99"/>
    <w:rsid w:val="00283B83"/>
    <w:rPr>
      <w:rFonts w:ascii="Arial" w:eastAsia="Times New Roman" w:hAnsi="Arial" w:cs="Times New Roman"/>
      <w:sz w:val="28"/>
      <w:szCs w:val="20"/>
      <w:lang w:val="x-none" w:eastAsia="x-none"/>
    </w:rPr>
  </w:style>
  <w:style w:type="paragraph" w:customStyle="1" w:styleId="Pa1">
    <w:name w:val="Pa1"/>
    <w:basedOn w:val="Normale"/>
    <w:next w:val="Normale"/>
    <w:uiPriority w:val="99"/>
    <w:rsid w:val="00283B83"/>
    <w:pPr>
      <w:autoSpaceDE w:val="0"/>
      <w:autoSpaceDN w:val="0"/>
      <w:adjustRightInd w:val="0"/>
      <w:spacing w:after="0" w:line="241" w:lineRule="atLeast"/>
    </w:pPr>
    <w:rPr>
      <w:rFonts w:ascii="Minion Pro" w:hAnsi="Minion Pro"/>
      <w:sz w:val="24"/>
      <w:szCs w:val="24"/>
    </w:rPr>
  </w:style>
  <w:style w:type="character" w:customStyle="1" w:styleId="A4">
    <w:name w:val="A4"/>
    <w:uiPriority w:val="99"/>
    <w:rsid w:val="00283B83"/>
    <w:rPr>
      <w:rFonts w:cs="Minion Pro"/>
      <w:b/>
      <w:bCs/>
      <w:color w:val="000000"/>
      <w:sz w:val="20"/>
      <w:szCs w:val="20"/>
    </w:rPr>
  </w:style>
  <w:style w:type="paragraph" w:customStyle="1" w:styleId="Pa2">
    <w:name w:val="Pa2"/>
    <w:basedOn w:val="Normale"/>
    <w:next w:val="Normale"/>
    <w:uiPriority w:val="99"/>
    <w:rsid w:val="00283B83"/>
    <w:pPr>
      <w:autoSpaceDE w:val="0"/>
      <w:autoSpaceDN w:val="0"/>
      <w:adjustRightInd w:val="0"/>
      <w:spacing w:after="0" w:line="241" w:lineRule="atLeast"/>
    </w:pPr>
    <w:rPr>
      <w:rFonts w:ascii="Minion Pro" w:hAnsi="Minion Pro"/>
      <w:sz w:val="24"/>
      <w:szCs w:val="24"/>
    </w:rPr>
  </w:style>
  <w:style w:type="character" w:customStyle="1" w:styleId="A5">
    <w:name w:val="A5"/>
    <w:uiPriority w:val="99"/>
    <w:rsid w:val="00283B83"/>
    <w:rPr>
      <w:rFonts w:cs="Minion Pro"/>
      <w:i/>
      <w:iCs/>
      <w:color w:val="000000"/>
      <w:sz w:val="18"/>
      <w:szCs w:val="18"/>
    </w:rPr>
  </w:style>
  <w:style w:type="character" w:styleId="Enfasigrassetto">
    <w:name w:val="Strong"/>
    <w:qFormat/>
    <w:rsid w:val="00CE7BC1"/>
    <w:rPr>
      <w:b/>
      <w:bCs/>
    </w:rPr>
  </w:style>
  <w:style w:type="paragraph" w:styleId="PreformattatoHTML">
    <w:name w:val="HTML Preformatted"/>
    <w:basedOn w:val="Normale"/>
    <w:link w:val="PreformattatoHTMLCarattere"/>
    <w:uiPriority w:val="99"/>
    <w:unhideWhenUsed/>
    <w:rsid w:val="00581E8D"/>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581E8D"/>
    <w:rPr>
      <w:rFonts w:ascii="Consolas" w:hAnsi="Consolas"/>
      <w:sz w:val="20"/>
      <w:szCs w:val="20"/>
      <w:lang w:val="en-GB"/>
    </w:rPr>
  </w:style>
  <w:style w:type="character" w:customStyle="1" w:styleId="Menzionenonrisolta1">
    <w:name w:val="Menzione non risolta1"/>
    <w:basedOn w:val="Carpredefinitoparagrafo"/>
    <w:uiPriority w:val="99"/>
    <w:semiHidden/>
    <w:unhideWhenUsed/>
    <w:rsid w:val="00FD7ABA"/>
    <w:rPr>
      <w:color w:val="605E5C"/>
      <w:shd w:val="clear" w:color="auto" w:fill="E1DFDD"/>
    </w:rPr>
  </w:style>
  <w:style w:type="paragraph" w:styleId="Testonotadichiusura">
    <w:name w:val="endnote text"/>
    <w:basedOn w:val="Normale"/>
    <w:link w:val="TestonotadichiusuraCarattere"/>
    <w:uiPriority w:val="99"/>
    <w:semiHidden/>
    <w:unhideWhenUsed/>
    <w:rsid w:val="004F4D36"/>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4F4D36"/>
    <w:rPr>
      <w:sz w:val="20"/>
      <w:szCs w:val="20"/>
      <w:lang w:val="en-GB"/>
    </w:rPr>
  </w:style>
  <w:style w:type="character" w:styleId="Rimandonotadichiusura">
    <w:name w:val="endnote reference"/>
    <w:basedOn w:val="Carpredefinitoparagrafo"/>
    <w:uiPriority w:val="99"/>
    <w:semiHidden/>
    <w:unhideWhenUsed/>
    <w:rsid w:val="004F4D36"/>
    <w:rPr>
      <w:vertAlign w:val="superscript"/>
    </w:rPr>
  </w:style>
  <w:style w:type="character" w:customStyle="1" w:styleId="Titolo4Carattere">
    <w:name w:val="Titolo 4 Carattere"/>
    <w:basedOn w:val="Carpredefinitoparagrafo"/>
    <w:link w:val="Titolo4"/>
    <w:uiPriority w:val="9"/>
    <w:rsid w:val="00DD4351"/>
    <w:rPr>
      <w:rFonts w:asciiTheme="majorHAnsi" w:eastAsiaTheme="majorEastAsia" w:hAnsiTheme="majorHAnsi" w:cstheme="majorBidi"/>
      <w:i/>
      <w:iCs/>
      <w:color w:val="365F91" w:themeColor="accent1" w:themeShade="BF"/>
      <w:lang w:val="en-GB"/>
    </w:rPr>
  </w:style>
  <w:style w:type="paragraph" w:styleId="Soggettocommento">
    <w:name w:val="annotation subject"/>
    <w:basedOn w:val="Testocommento"/>
    <w:next w:val="Testocommento"/>
    <w:link w:val="SoggettocommentoCarattere"/>
    <w:uiPriority w:val="99"/>
    <w:semiHidden/>
    <w:unhideWhenUsed/>
    <w:rsid w:val="00C91B73"/>
    <w:pPr>
      <w:spacing w:after="200"/>
    </w:pPr>
    <w:rPr>
      <w:rFonts w:asciiTheme="minorHAnsi" w:eastAsiaTheme="minorEastAsia" w:hAnsiTheme="minorHAnsi" w:cstheme="minorBidi"/>
      <w:b/>
      <w:bCs/>
    </w:rPr>
  </w:style>
  <w:style w:type="character" w:customStyle="1" w:styleId="SoggettocommentoCarattere">
    <w:name w:val="Soggetto commento Carattere"/>
    <w:basedOn w:val="TestocommentoCarattere"/>
    <w:link w:val="Soggettocommento"/>
    <w:uiPriority w:val="99"/>
    <w:semiHidden/>
    <w:rsid w:val="00C91B73"/>
    <w:rPr>
      <w:rFonts w:ascii="Tahoma" w:eastAsia="Times New Roman" w:hAnsi="Tahoma" w:cs="Tahoma"/>
      <w:b/>
      <w:bCs/>
      <w:sz w:val="16"/>
      <w:szCs w:val="20"/>
    </w:rPr>
  </w:style>
  <w:style w:type="paragraph" w:styleId="Revisione">
    <w:name w:val="Revision"/>
    <w:hidden/>
    <w:uiPriority w:val="99"/>
    <w:semiHidden/>
    <w:rsid w:val="00F74FC7"/>
    <w:pPr>
      <w:spacing w:after="0" w:line="240" w:lineRule="auto"/>
    </w:pPr>
    <w:rPr>
      <w:lang w:val="en-GB"/>
    </w:rPr>
  </w:style>
  <w:style w:type="character" w:customStyle="1" w:styleId="Menzionenonrisolta2">
    <w:name w:val="Menzione non risolta2"/>
    <w:basedOn w:val="Carpredefinitoparagrafo"/>
    <w:uiPriority w:val="99"/>
    <w:semiHidden/>
    <w:unhideWhenUsed/>
    <w:rsid w:val="00C7225F"/>
    <w:rPr>
      <w:color w:val="605E5C"/>
      <w:shd w:val="clear" w:color="auto" w:fill="E1DFDD"/>
    </w:rPr>
  </w:style>
  <w:style w:type="character" w:customStyle="1" w:styleId="jlqj4b">
    <w:name w:val="jlqj4b"/>
    <w:basedOn w:val="Carpredefinitoparagrafo"/>
    <w:rsid w:val="00213554"/>
  </w:style>
  <w:style w:type="character" w:customStyle="1" w:styleId="source-language">
    <w:name w:val="source-language"/>
    <w:basedOn w:val="Carpredefinitoparagrafo"/>
    <w:rsid w:val="00E6133E"/>
  </w:style>
  <w:style w:type="character" w:customStyle="1" w:styleId="target-language">
    <w:name w:val="target-language"/>
    <w:basedOn w:val="Carpredefinitoparagrafo"/>
    <w:rsid w:val="00E6133E"/>
  </w:style>
  <w:style w:type="character" w:customStyle="1" w:styleId="y2iqfc">
    <w:name w:val="y2iqfc"/>
    <w:basedOn w:val="Carpredefinitoparagrafo"/>
    <w:rsid w:val="00E6133E"/>
  </w:style>
  <w:style w:type="character" w:styleId="Menzionenonrisolta">
    <w:name w:val="Unresolved Mention"/>
    <w:basedOn w:val="Carpredefinitoparagrafo"/>
    <w:uiPriority w:val="99"/>
    <w:semiHidden/>
    <w:unhideWhenUsed/>
    <w:rsid w:val="00A57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3408">
      <w:bodyDiv w:val="1"/>
      <w:marLeft w:val="0"/>
      <w:marRight w:val="0"/>
      <w:marTop w:val="0"/>
      <w:marBottom w:val="0"/>
      <w:divBdr>
        <w:top w:val="none" w:sz="0" w:space="0" w:color="auto"/>
        <w:left w:val="none" w:sz="0" w:space="0" w:color="auto"/>
        <w:bottom w:val="none" w:sz="0" w:space="0" w:color="auto"/>
        <w:right w:val="none" w:sz="0" w:space="0" w:color="auto"/>
      </w:divBdr>
    </w:div>
    <w:div w:id="142353992">
      <w:bodyDiv w:val="1"/>
      <w:marLeft w:val="0"/>
      <w:marRight w:val="0"/>
      <w:marTop w:val="0"/>
      <w:marBottom w:val="0"/>
      <w:divBdr>
        <w:top w:val="none" w:sz="0" w:space="0" w:color="auto"/>
        <w:left w:val="none" w:sz="0" w:space="0" w:color="auto"/>
        <w:bottom w:val="none" w:sz="0" w:space="0" w:color="auto"/>
        <w:right w:val="none" w:sz="0" w:space="0" w:color="auto"/>
      </w:divBdr>
      <w:divsChild>
        <w:div w:id="1959071145">
          <w:marLeft w:val="0"/>
          <w:marRight w:val="0"/>
          <w:marTop w:val="0"/>
          <w:marBottom w:val="0"/>
          <w:divBdr>
            <w:top w:val="none" w:sz="0" w:space="0" w:color="auto"/>
            <w:left w:val="none" w:sz="0" w:space="0" w:color="auto"/>
            <w:bottom w:val="none" w:sz="0" w:space="0" w:color="auto"/>
            <w:right w:val="none" w:sz="0" w:space="0" w:color="auto"/>
          </w:divBdr>
        </w:div>
      </w:divsChild>
    </w:div>
    <w:div w:id="437482518">
      <w:bodyDiv w:val="1"/>
      <w:marLeft w:val="0"/>
      <w:marRight w:val="0"/>
      <w:marTop w:val="0"/>
      <w:marBottom w:val="0"/>
      <w:divBdr>
        <w:top w:val="none" w:sz="0" w:space="0" w:color="auto"/>
        <w:left w:val="none" w:sz="0" w:space="0" w:color="auto"/>
        <w:bottom w:val="none" w:sz="0" w:space="0" w:color="auto"/>
        <w:right w:val="none" w:sz="0" w:space="0" w:color="auto"/>
      </w:divBdr>
    </w:div>
    <w:div w:id="555821097">
      <w:bodyDiv w:val="1"/>
      <w:marLeft w:val="0"/>
      <w:marRight w:val="0"/>
      <w:marTop w:val="0"/>
      <w:marBottom w:val="0"/>
      <w:divBdr>
        <w:top w:val="none" w:sz="0" w:space="0" w:color="auto"/>
        <w:left w:val="none" w:sz="0" w:space="0" w:color="auto"/>
        <w:bottom w:val="none" w:sz="0" w:space="0" w:color="auto"/>
        <w:right w:val="none" w:sz="0" w:space="0" w:color="auto"/>
      </w:divBdr>
      <w:divsChild>
        <w:div w:id="2019961277">
          <w:marLeft w:val="0"/>
          <w:marRight w:val="0"/>
          <w:marTop w:val="0"/>
          <w:marBottom w:val="0"/>
          <w:divBdr>
            <w:top w:val="none" w:sz="0" w:space="0" w:color="auto"/>
            <w:left w:val="none" w:sz="0" w:space="0" w:color="auto"/>
            <w:bottom w:val="none" w:sz="0" w:space="0" w:color="auto"/>
            <w:right w:val="none" w:sz="0" w:space="0" w:color="auto"/>
          </w:divBdr>
        </w:div>
        <w:div w:id="1485465715">
          <w:marLeft w:val="0"/>
          <w:marRight w:val="0"/>
          <w:marTop w:val="0"/>
          <w:marBottom w:val="0"/>
          <w:divBdr>
            <w:top w:val="none" w:sz="0" w:space="0" w:color="auto"/>
            <w:left w:val="none" w:sz="0" w:space="0" w:color="auto"/>
            <w:bottom w:val="none" w:sz="0" w:space="0" w:color="auto"/>
            <w:right w:val="none" w:sz="0" w:space="0" w:color="auto"/>
          </w:divBdr>
        </w:div>
        <w:div w:id="460078386">
          <w:marLeft w:val="0"/>
          <w:marRight w:val="0"/>
          <w:marTop w:val="0"/>
          <w:marBottom w:val="0"/>
          <w:divBdr>
            <w:top w:val="none" w:sz="0" w:space="0" w:color="auto"/>
            <w:left w:val="none" w:sz="0" w:space="0" w:color="auto"/>
            <w:bottom w:val="none" w:sz="0" w:space="0" w:color="auto"/>
            <w:right w:val="none" w:sz="0" w:space="0" w:color="auto"/>
          </w:divBdr>
        </w:div>
        <w:div w:id="1152793976">
          <w:marLeft w:val="0"/>
          <w:marRight w:val="0"/>
          <w:marTop w:val="0"/>
          <w:marBottom w:val="0"/>
          <w:divBdr>
            <w:top w:val="none" w:sz="0" w:space="0" w:color="auto"/>
            <w:left w:val="none" w:sz="0" w:space="0" w:color="auto"/>
            <w:bottom w:val="none" w:sz="0" w:space="0" w:color="auto"/>
            <w:right w:val="none" w:sz="0" w:space="0" w:color="auto"/>
          </w:divBdr>
        </w:div>
        <w:div w:id="963998471">
          <w:marLeft w:val="0"/>
          <w:marRight w:val="0"/>
          <w:marTop w:val="0"/>
          <w:marBottom w:val="0"/>
          <w:divBdr>
            <w:top w:val="none" w:sz="0" w:space="0" w:color="auto"/>
            <w:left w:val="none" w:sz="0" w:space="0" w:color="auto"/>
            <w:bottom w:val="none" w:sz="0" w:space="0" w:color="auto"/>
            <w:right w:val="none" w:sz="0" w:space="0" w:color="auto"/>
          </w:divBdr>
          <w:divsChild>
            <w:div w:id="835263214">
              <w:marLeft w:val="0"/>
              <w:marRight w:val="0"/>
              <w:marTop w:val="0"/>
              <w:marBottom w:val="0"/>
              <w:divBdr>
                <w:top w:val="none" w:sz="0" w:space="0" w:color="auto"/>
                <w:left w:val="none" w:sz="0" w:space="0" w:color="auto"/>
                <w:bottom w:val="none" w:sz="0" w:space="0" w:color="auto"/>
                <w:right w:val="none" w:sz="0" w:space="0" w:color="auto"/>
              </w:divBdr>
            </w:div>
          </w:divsChild>
        </w:div>
        <w:div w:id="932199834">
          <w:marLeft w:val="0"/>
          <w:marRight w:val="0"/>
          <w:marTop w:val="0"/>
          <w:marBottom w:val="0"/>
          <w:divBdr>
            <w:top w:val="none" w:sz="0" w:space="0" w:color="auto"/>
            <w:left w:val="none" w:sz="0" w:space="0" w:color="auto"/>
            <w:bottom w:val="none" w:sz="0" w:space="0" w:color="auto"/>
            <w:right w:val="none" w:sz="0" w:space="0" w:color="auto"/>
          </w:divBdr>
          <w:divsChild>
            <w:div w:id="597907964">
              <w:marLeft w:val="0"/>
              <w:marRight w:val="0"/>
              <w:marTop w:val="0"/>
              <w:marBottom w:val="0"/>
              <w:divBdr>
                <w:top w:val="none" w:sz="0" w:space="0" w:color="auto"/>
                <w:left w:val="none" w:sz="0" w:space="0" w:color="auto"/>
                <w:bottom w:val="none" w:sz="0" w:space="0" w:color="auto"/>
                <w:right w:val="none" w:sz="0" w:space="0" w:color="auto"/>
              </w:divBdr>
              <w:divsChild>
                <w:div w:id="595141245">
                  <w:marLeft w:val="0"/>
                  <w:marRight w:val="0"/>
                  <w:marTop w:val="0"/>
                  <w:marBottom w:val="0"/>
                  <w:divBdr>
                    <w:top w:val="none" w:sz="0" w:space="0" w:color="auto"/>
                    <w:left w:val="none" w:sz="0" w:space="0" w:color="auto"/>
                    <w:bottom w:val="none" w:sz="0" w:space="0" w:color="auto"/>
                    <w:right w:val="none" w:sz="0" w:space="0" w:color="auto"/>
                  </w:divBdr>
                  <w:divsChild>
                    <w:div w:id="261232353">
                      <w:marLeft w:val="0"/>
                      <w:marRight w:val="0"/>
                      <w:marTop w:val="0"/>
                      <w:marBottom w:val="0"/>
                      <w:divBdr>
                        <w:top w:val="none" w:sz="0" w:space="0" w:color="auto"/>
                        <w:left w:val="none" w:sz="0" w:space="0" w:color="auto"/>
                        <w:bottom w:val="none" w:sz="0" w:space="0" w:color="auto"/>
                        <w:right w:val="none" w:sz="0" w:space="0" w:color="auto"/>
                      </w:divBdr>
                      <w:divsChild>
                        <w:div w:id="958754737">
                          <w:marLeft w:val="0"/>
                          <w:marRight w:val="0"/>
                          <w:marTop w:val="0"/>
                          <w:marBottom w:val="0"/>
                          <w:divBdr>
                            <w:top w:val="none" w:sz="0" w:space="0" w:color="auto"/>
                            <w:left w:val="none" w:sz="0" w:space="0" w:color="auto"/>
                            <w:bottom w:val="none" w:sz="0" w:space="0" w:color="auto"/>
                            <w:right w:val="none" w:sz="0" w:space="0" w:color="auto"/>
                          </w:divBdr>
                          <w:divsChild>
                            <w:div w:id="332876146">
                              <w:marLeft w:val="0"/>
                              <w:marRight w:val="0"/>
                              <w:marTop w:val="0"/>
                              <w:marBottom w:val="0"/>
                              <w:divBdr>
                                <w:top w:val="none" w:sz="0" w:space="0" w:color="auto"/>
                                <w:left w:val="none" w:sz="0" w:space="0" w:color="auto"/>
                                <w:bottom w:val="none" w:sz="0" w:space="0" w:color="auto"/>
                                <w:right w:val="none" w:sz="0" w:space="0" w:color="auto"/>
                              </w:divBdr>
                              <w:divsChild>
                                <w:div w:id="193659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27">
                          <w:marLeft w:val="0"/>
                          <w:marRight w:val="0"/>
                          <w:marTop w:val="0"/>
                          <w:marBottom w:val="0"/>
                          <w:divBdr>
                            <w:top w:val="none" w:sz="0" w:space="0" w:color="auto"/>
                            <w:left w:val="none" w:sz="0" w:space="0" w:color="auto"/>
                            <w:bottom w:val="none" w:sz="0" w:space="0" w:color="auto"/>
                            <w:right w:val="none" w:sz="0" w:space="0" w:color="auto"/>
                          </w:divBdr>
                          <w:divsChild>
                            <w:div w:id="16910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000680">
          <w:marLeft w:val="0"/>
          <w:marRight w:val="0"/>
          <w:marTop w:val="0"/>
          <w:marBottom w:val="0"/>
          <w:divBdr>
            <w:top w:val="none" w:sz="0" w:space="0" w:color="auto"/>
            <w:left w:val="none" w:sz="0" w:space="0" w:color="auto"/>
            <w:bottom w:val="none" w:sz="0" w:space="0" w:color="auto"/>
            <w:right w:val="none" w:sz="0" w:space="0" w:color="auto"/>
          </w:divBdr>
          <w:divsChild>
            <w:div w:id="819536326">
              <w:marLeft w:val="0"/>
              <w:marRight w:val="0"/>
              <w:marTop w:val="0"/>
              <w:marBottom w:val="0"/>
              <w:divBdr>
                <w:top w:val="none" w:sz="0" w:space="0" w:color="auto"/>
                <w:left w:val="none" w:sz="0" w:space="0" w:color="auto"/>
                <w:bottom w:val="none" w:sz="0" w:space="0" w:color="auto"/>
                <w:right w:val="none" w:sz="0" w:space="0" w:color="auto"/>
              </w:divBdr>
              <w:divsChild>
                <w:div w:id="1960722187">
                  <w:marLeft w:val="0"/>
                  <w:marRight w:val="0"/>
                  <w:marTop w:val="0"/>
                  <w:marBottom w:val="0"/>
                  <w:divBdr>
                    <w:top w:val="none" w:sz="0" w:space="0" w:color="auto"/>
                    <w:left w:val="none" w:sz="0" w:space="0" w:color="auto"/>
                    <w:bottom w:val="none" w:sz="0" w:space="0" w:color="auto"/>
                    <w:right w:val="none" w:sz="0" w:space="0" w:color="auto"/>
                  </w:divBdr>
                  <w:divsChild>
                    <w:div w:id="1228490573">
                      <w:marLeft w:val="0"/>
                      <w:marRight w:val="0"/>
                      <w:marTop w:val="0"/>
                      <w:marBottom w:val="0"/>
                      <w:divBdr>
                        <w:top w:val="none" w:sz="0" w:space="0" w:color="auto"/>
                        <w:left w:val="none" w:sz="0" w:space="0" w:color="auto"/>
                        <w:bottom w:val="none" w:sz="0" w:space="0" w:color="auto"/>
                        <w:right w:val="none" w:sz="0" w:space="0" w:color="auto"/>
                      </w:divBdr>
                      <w:divsChild>
                        <w:div w:id="1153134188">
                          <w:marLeft w:val="0"/>
                          <w:marRight w:val="0"/>
                          <w:marTop w:val="0"/>
                          <w:marBottom w:val="0"/>
                          <w:divBdr>
                            <w:top w:val="none" w:sz="0" w:space="0" w:color="auto"/>
                            <w:left w:val="none" w:sz="0" w:space="0" w:color="auto"/>
                            <w:bottom w:val="none" w:sz="0" w:space="0" w:color="auto"/>
                            <w:right w:val="none" w:sz="0" w:space="0" w:color="auto"/>
                          </w:divBdr>
                          <w:divsChild>
                            <w:div w:id="138752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623054">
          <w:marLeft w:val="0"/>
          <w:marRight w:val="0"/>
          <w:marTop w:val="0"/>
          <w:marBottom w:val="0"/>
          <w:divBdr>
            <w:top w:val="none" w:sz="0" w:space="0" w:color="auto"/>
            <w:left w:val="none" w:sz="0" w:space="0" w:color="auto"/>
            <w:bottom w:val="none" w:sz="0" w:space="0" w:color="auto"/>
            <w:right w:val="none" w:sz="0" w:space="0" w:color="auto"/>
          </w:divBdr>
          <w:divsChild>
            <w:div w:id="677123358">
              <w:marLeft w:val="0"/>
              <w:marRight w:val="0"/>
              <w:marTop w:val="0"/>
              <w:marBottom w:val="0"/>
              <w:divBdr>
                <w:top w:val="none" w:sz="0" w:space="0" w:color="auto"/>
                <w:left w:val="none" w:sz="0" w:space="0" w:color="auto"/>
                <w:bottom w:val="none" w:sz="0" w:space="0" w:color="auto"/>
                <w:right w:val="none" w:sz="0" w:space="0" w:color="auto"/>
              </w:divBdr>
              <w:divsChild>
                <w:div w:id="1442142305">
                  <w:marLeft w:val="0"/>
                  <w:marRight w:val="0"/>
                  <w:marTop w:val="0"/>
                  <w:marBottom w:val="0"/>
                  <w:divBdr>
                    <w:top w:val="none" w:sz="0" w:space="0" w:color="auto"/>
                    <w:left w:val="none" w:sz="0" w:space="0" w:color="auto"/>
                    <w:bottom w:val="none" w:sz="0" w:space="0" w:color="auto"/>
                    <w:right w:val="none" w:sz="0" w:space="0" w:color="auto"/>
                  </w:divBdr>
                  <w:divsChild>
                    <w:div w:id="837770739">
                      <w:marLeft w:val="0"/>
                      <w:marRight w:val="0"/>
                      <w:marTop w:val="0"/>
                      <w:marBottom w:val="0"/>
                      <w:divBdr>
                        <w:top w:val="none" w:sz="0" w:space="0" w:color="auto"/>
                        <w:left w:val="none" w:sz="0" w:space="0" w:color="auto"/>
                        <w:bottom w:val="none" w:sz="0" w:space="0" w:color="auto"/>
                        <w:right w:val="none" w:sz="0" w:space="0" w:color="auto"/>
                      </w:divBdr>
                      <w:divsChild>
                        <w:div w:id="81233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807558">
          <w:marLeft w:val="0"/>
          <w:marRight w:val="0"/>
          <w:marTop w:val="0"/>
          <w:marBottom w:val="0"/>
          <w:divBdr>
            <w:top w:val="none" w:sz="0" w:space="0" w:color="auto"/>
            <w:left w:val="none" w:sz="0" w:space="0" w:color="auto"/>
            <w:bottom w:val="none" w:sz="0" w:space="0" w:color="auto"/>
            <w:right w:val="none" w:sz="0" w:space="0" w:color="auto"/>
          </w:divBdr>
          <w:divsChild>
            <w:div w:id="1800688253">
              <w:marLeft w:val="0"/>
              <w:marRight w:val="0"/>
              <w:marTop w:val="0"/>
              <w:marBottom w:val="0"/>
              <w:divBdr>
                <w:top w:val="none" w:sz="0" w:space="0" w:color="auto"/>
                <w:left w:val="none" w:sz="0" w:space="0" w:color="auto"/>
                <w:bottom w:val="none" w:sz="0" w:space="0" w:color="auto"/>
                <w:right w:val="none" w:sz="0" w:space="0" w:color="auto"/>
              </w:divBdr>
            </w:div>
          </w:divsChild>
        </w:div>
        <w:div w:id="719479885">
          <w:marLeft w:val="0"/>
          <w:marRight w:val="0"/>
          <w:marTop w:val="0"/>
          <w:marBottom w:val="0"/>
          <w:divBdr>
            <w:top w:val="none" w:sz="0" w:space="0" w:color="auto"/>
            <w:left w:val="none" w:sz="0" w:space="0" w:color="auto"/>
            <w:bottom w:val="none" w:sz="0" w:space="0" w:color="auto"/>
            <w:right w:val="none" w:sz="0" w:space="0" w:color="auto"/>
          </w:divBdr>
          <w:divsChild>
            <w:div w:id="788441">
              <w:marLeft w:val="0"/>
              <w:marRight w:val="0"/>
              <w:marTop w:val="0"/>
              <w:marBottom w:val="0"/>
              <w:divBdr>
                <w:top w:val="none" w:sz="0" w:space="0" w:color="auto"/>
                <w:left w:val="none" w:sz="0" w:space="0" w:color="auto"/>
                <w:bottom w:val="none" w:sz="0" w:space="0" w:color="auto"/>
                <w:right w:val="none" w:sz="0" w:space="0" w:color="auto"/>
              </w:divBdr>
              <w:divsChild>
                <w:div w:id="1727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50879">
          <w:marLeft w:val="0"/>
          <w:marRight w:val="0"/>
          <w:marTop w:val="0"/>
          <w:marBottom w:val="0"/>
          <w:divBdr>
            <w:top w:val="none" w:sz="0" w:space="0" w:color="auto"/>
            <w:left w:val="none" w:sz="0" w:space="0" w:color="auto"/>
            <w:bottom w:val="none" w:sz="0" w:space="0" w:color="auto"/>
            <w:right w:val="none" w:sz="0" w:space="0" w:color="auto"/>
          </w:divBdr>
          <w:divsChild>
            <w:div w:id="559093119">
              <w:marLeft w:val="0"/>
              <w:marRight w:val="0"/>
              <w:marTop w:val="0"/>
              <w:marBottom w:val="0"/>
              <w:divBdr>
                <w:top w:val="none" w:sz="0" w:space="0" w:color="auto"/>
                <w:left w:val="none" w:sz="0" w:space="0" w:color="auto"/>
                <w:bottom w:val="none" w:sz="0" w:space="0" w:color="auto"/>
                <w:right w:val="none" w:sz="0" w:space="0" w:color="auto"/>
              </w:divBdr>
              <w:divsChild>
                <w:div w:id="1068916246">
                  <w:marLeft w:val="0"/>
                  <w:marRight w:val="0"/>
                  <w:marTop w:val="0"/>
                  <w:marBottom w:val="0"/>
                  <w:divBdr>
                    <w:top w:val="none" w:sz="0" w:space="0" w:color="auto"/>
                    <w:left w:val="none" w:sz="0" w:space="0" w:color="auto"/>
                    <w:bottom w:val="none" w:sz="0" w:space="0" w:color="auto"/>
                    <w:right w:val="none" w:sz="0" w:space="0" w:color="auto"/>
                  </w:divBdr>
                  <w:divsChild>
                    <w:div w:id="207211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246878">
      <w:bodyDiv w:val="1"/>
      <w:marLeft w:val="0"/>
      <w:marRight w:val="0"/>
      <w:marTop w:val="0"/>
      <w:marBottom w:val="0"/>
      <w:divBdr>
        <w:top w:val="none" w:sz="0" w:space="0" w:color="auto"/>
        <w:left w:val="none" w:sz="0" w:space="0" w:color="auto"/>
        <w:bottom w:val="none" w:sz="0" w:space="0" w:color="auto"/>
        <w:right w:val="none" w:sz="0" w:space="0" w:color="auto"/>
      </w:divBdr>
    </w:div>
    <w:div w:id="1016418847">
      <w:bodyDiv w:val="1"/>
      <w:marLeft w:val="0"/>
      <w:marRight w:val="0"/>
      <w:marTop w:val="0"/>
      <w:marBottom w:val="0"/>
      <w:divBdr>
        <w:top w:val="none" w:sz="0" w:space="0" w:color="auto"/>
        <w:left w:val="none" w:sz="0" w:space="0" w:color="auto"/>
        <w:bottom w:val="none" w:sz="0" w:space="0" w:color="auto"/>
        <w:right w:val="none" w:sz="0" w:space="0" w:color="auto"/>
      </w:divBdr>
    </w:div>
    <w:div w:id="1073550503">
      <w:bodyDiv w:val="1"/>
      <w:marLeft w:val="0"/>
      <w:marRight w:val="0"/>
      <w:marTop w:val="0"/>
      <w:marBottom w:val="0"/>
      <w:divBdr>
        <w:top w:val="none" w:sz="0" w:space="0" w:color="auto"/>
        <w:left w:val="none" w:sz="0" w:space="0" w:color="auto"/>
        <w:bottom w:val="none" w:sz="0" w:space="0" w:color="auto"/>
        <w:right w:val="none" w:sz="0" w:space="0" w:color="auto"/>
      </w:divBdr>
    </w:div>
    <w:div w:id="1258101787">
      <w:bodyDiv w:val="1"/>
      <w:marLeft w:val="0"/>
      <w:marRight w:val="0"/>
      <w:marTop w:val="0"/>
      <w:marBottom w:val="0"/>
      <w:divBdr>
        <w:top w:val="none" w:sz="0" w:space="0" w:color="auto"/>
        <w:left w:val="none" w:sz="0" w:space="0" w:color="auto"/>
        <w:bottom w:val="none" w:sz="0" w:space="0" w:color="auto"/>
        <w:right w:val="none" w:sz="0" w:space="0" w:color="auto"/>
      </w:divBdr>
      <w:divsChild>
        <w:div w:id="1905599683">
          <w:marLeft w:val="0"/>
          <w:marRight w:val="0"/>
          <w:marTop w:val="0"/>
          <w:marBottom w:val="0"/>
          <w:divBdr>
            <w:top w:val="none" w:sz="0" w:space="0" w:color="auto"/>
            <w:left w:val="none" w:sz="0" w:space="0" w:color="auto"/>
            <w:bottom w:val="none" w:sz="0" w:space="0" w:color="auto"/>
            <w:right w:val="none" w:sz="0" w:space="0" w:color="auto"/>
          </w:divBdr>
        </w:div>
        <w:div w:id="1440876427">
          <w:marLeft w:val="0"/>
          <w:marRight w:val="0"/>
          <w:marTop w:val="0"/>
          <w:marBottom w:val="0"/>
          <w:divBdr>
            <w:top w:val="none" w:sz="0" w:space="0" w:color="auto"/>
            <w:left w:val="none" w:sz="0" w:space="0" w:color="auto"/>
            <w:bottom w:val="none" w:sz="0" w:space="0" w:color="auto"/>
            <w:right w:val="none" w:sz="0" w:space="0" w:color="auto"/>
          </w:divBdr>
        </w:div>
        <w:div w:id="1675720580">
          <w:marLeft w:val="0"/>
          <w:marRight w:val="0"/>
          <w:marTop w:val="0"/>
          <w:marBottom w:val="0"/>
          <w:divBdr>
            <w:top w:val="none" w:sz="0" w:space="0" w:color="auto"/>
            <w:left w:val="none" w:sz="0" w:space="0" w:color="auto"/>
            <w:bottom w:val="none" w:sz="0" w:space="0" w:color="auto"/>
            <w:right w:val="none" w:sz="0" w:space="0" w:color="auto"/>
          </w:divBdr>
        </w:div>
        <w:div w:id="668368857">
          <w:marLeft w:val="0"/>
          <w:marRight w:val="0"/>
          <w:marTop w:val="0"/>
          <w:marBottom w:val="0"/>
          <w:divBdr>
            <w:top w:val="none" w:sz="0" w:space="0" w:color="auto"/>
            <w:left w:val="none" w:sz="0" w:space="0" w:color="auto"/>
            <w:bottom w:val="none" w:sz="0" w:space="0" w:color="auto"/>
            <w:right w:val="none" w:sz="0" w:space="0" w:color="auto"/>
          </w:divBdr>
        </w:div>
        <w:div w:id="164639434">
          <w:marLeft w:val="0"/>
          <w:marRight w:val="0"/>
          <w:marTop w:val="0"/>
          <w:marBottom w:val="0"/>
          <w:divBdr>
            <w:top w:val="none" w:sz="0" w:space="0" w:color="auto"/>
            <w:left w:val="none" w:sz="0" w:space="0" w:color="auto"/>
            <w:bottom w:val="none" w:sz="0" w:space="0" w:color="auto"/>
            <w:right w:val="none" w:sz="0" w:space="0" w:color="auto"/>
          </w:divBdr>
          <w:divsChild>
            <w:div w:id="1753238927">
              <w:marLeft w:val="0"/>
              <w:marRight w:val="0"/>
              <w:marTop w:val="0"/>
              <w:marBottom w:val="0"/>
              <w:divBdr>
                <w:top w:val="none" w:sz="0" w:space="0" w:color="auto"/>
                <w:left w:val="none" w:sz="0" w:space="0" w:color="auto"/>
                <w:bottom w:val="none" w:sz="0" w:space="0" w:color="auto"/>
                <w:right w:val="none" w:sz="0" w:space="0" w:color="auto"/>
              </w:divBdr>
            </w:div>
          </w:divsChild>
        </w:div>
        <w:div w:id="1249660240">
          <w:marLeft w:val="0"/>
          <w:marRight w:val="0"/>
          <w:marTop w:val="0"/>
          <w:marBottom w:val="0"/>
          <w:divBdr>
            <w:top w:val="none" w:sz="0" w:space="0" w:color="auto"/>
            <w:left w:val="none" w:sz="0" w:space="0" w:color="auto"/>
            <w:bottom w:val="none" w:sz="0" w:space="0" w:color="auto"/>
            <w:right w:val="none" w:sz="0" w:space="0" w:color="auto"/>
          </w:divBdr>
          <w:divsChild>
            <w:div w:id="557669618">
              <w:marLeft w:val="0"/>
              <w:marRight w:val="0"/>
              <w:marTop w:val="0"/>
              <w:marBottom w:val="0"/>
              <w:divBdr>
                <w:top w:val="none" w:sz="0" w:space="0" w:color="auto"/>
                <w:left w:val="none" w:sz="0" w:space="0" w:color="auto"/>
                <w:bottom w:val="none" w:sz="0" w:space="0" w:color="auto"/>
                <w:right w:val="none" w:sz="0" w:space="0" w:color="auto"/>
              </w:divBdr>
              <w:divsChild>
                <w:div w:id="241449699">
                  <w:marLeft w:val="0"/>
                  <w:marRight w:val="0"/>
                  <w:marTop w:val="0"/>
                  <w:marBottom w:val="0"/>
                  <w:divBdr>
                    <w:top w:val="none" w:sz="0" w:space="0" w:color="auto"/>
                    <w:left w:val="none" w:sz="0" w:space="0" w:color="auto"/>
                    <w:bottom w:val="none" w:sz="0" w:space="0" w:color="auto"/>
                    <w:right w:val="none" w:sz="0" w:space="0" w:color="auto"/>
                  </w:divBdr>
                  <w:divsChild>
                    <w:div w:id="1131940055">
                      <w:marLeft w:val="0"/>
                      <w:marRight w:val="0"/>
                      <w:marTop w:val="0"/>
                      <w:marBottom w:val="0"/>
                      <w:divBdr>
                        <w:top w:val="none" w:sz="0" w:space="0" w:color="auto"/>
                        <w:left w:val="none" w:sz="0" w:space="0" w:color="auto"/>
                        <w:bottom w:val="none" w:sz="0" w:space="0" w:color="auto"/>
                        <w:right w:val="none" w:sz="0" w:space="0" w:color="auto"/>
                      </w:divBdr>
                      <w:divsChild>
                        <w:div w:id="262494564">
                          <w:marLeft w:val="0"/>
                          <w:marRight w:val="0"/>
                          <w:marTop w:val="0"/>
                          <w:marBottom w:val="0"/>
                          <w:divBdr>
                            <w:top w:val="none" w:sz="0" w:space="0" w:color="auto"/>
                            <w:left w:val="none" w:sz="0" w:space="0" w:color="auto"/>
                            <w:bottom w:val="none" w:sz="0" w:space="0" w:color="auto"/>
                            <w:right w:val="none" w:sz="0" w:space="0" w:color="auto"/>
                          </w:divBdr>
                          <w:divsChild>
                            <w:div w:id="24912635">
                              <w:marLeft w:val="0"/>
                              <w:marRight w:val="0"/>
                              <w:marTop w:val="0"/>
                              <w:marBottom w:val="0"/>
                              <w:divBdr>
                                <w:top w:val="none" w:sz="0" w:space="0" w:color="auto"/>
                                <w:left w:val="none" w:sz="0" w:space="0" w:color="auto"/>
                                <w:bottom w:val="none" w:sz="0" w:space="0" w:color="auto"/>
                                <w:right w:val="none" w:sz="0" w:space="0" w:color="auto"/>
                              </w:divBdr>
                              <w:divsChild>
                                <w:div w:id="16517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9348">
                          <w:marLeft w:val="0"/>
                          <w:marRight w:val="0"/>
                          <w:marTop w:val="0"/>
                          <w:marBottom w:val="0"/>
                          <w:divBdr>
                            <w:top w:val="none" w:sz="0" w:space="0" w:color="auto"/>
                            <w:left w:val="none" w:sz="0" w:space="0" w:color="auto"/>
                            <w:bottom w:val="none" w:sz="0" w:space="0" w:color="auto"/>
                            <w:right w:val="none" w:sz="0" w:space="0" w:color="auto"/>
                          </w:divBdr>
                          <w:divsChild>
                            <w:div w:id="4719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212425">
          <w:marLeft w:val="0"/>
          <w:marRight w:val="0"/>
          <w:marTop w:val="0"/>
          <w:marBottom w:val="0"/>
          <w:divBdr>
            <w:top w:val="none" w:sz="0" w:space="0" w:color="auto"/>
            <w:left w:val="none" w:sz="0" w:space="0" w:color="auto"/>
            <w:bottom w:val="none" w:sz="0" w:space="0" w:color="auto"/>
            <w:right w:val="none" w:sz="0" w:space="0" w:color="auto"/>
          </w:divBdr>
          <w:divsChild>
            <w:div w:id="1343162214">
              <w:marLeft w:val="0"/>
              <w:marRight w:val="0"/>
              <w:marTop w:val="0"/>
              <w:marBottom w:val="0"/>
              <w:divBdr>
                <w:top w:val="none" w:sz="0" w:space="0" w:color="auto"/>
                <w:left w:val="none" w:sz="0" w:space="0" w:color="auto"/>
                <w:bottom w:val="none" w:sz="0" w:space="0" w:color="auto"/>
                <w:right w:val="none" w:sz="0" w:space="0" w:color="auto"/>
              </w:divBdr>
              <w:divsChild>
                <w:div w:id="216010371">
                  <w:marLeft w:val="0"/>
                  <w:marRight w:val="0"/>
                  <w:marTop w:val="0"/>
                  <w:marBottom w:val="0"/>
                  <w:divBdr>
                    <w:top w:val="none" w:sz="0" w:space="0" w:color="auto"/>
                    <w:left w:val="none" w:sz="0" w:space="0" w:color="auto"/>
                    <w:bottom w:val="none" w:sz="0" w:space="0" w:color="auto"/>
                    <w:right w:val="none" w:sz="0" w:space="0" w:color="auto"/>
                  </w:divBdr>
                  <w:divsChild>
                    <w:div w:id="1061100303">
                      <w:marLeft w:val="0"/>
                      <w:marRight w:val="0"/>
                      <w:marTop w:val="0"/>
                      <w:marBottom w:val="0"/>
                      <w:divBdr>
                        <w:top w:val="none" w:sz="0" w:space="0" w:color="auto"/>
                        <w:left w:val="none" w:sz="0" w:space="0" w:color="auto"/>
                        <w:bottom w:val="none" w:sz="0" w:space="0" w:color="auto"/>
                        <w:right w:val="none" w:sz="0" w:space="0" w:color="auto"/>
                      </w:divBdr>
                      <w:divsChild>
                        <w:div w:id="1660576733">
                          <w:marLeft w:val="0"/>
                          <w:marRight w:val="0"/>
                          <w:marTop w:val="0"/>
                          <w:marBottom w:val="0"/>
                          <w:divBdr>
                            <w:top w:val="none" w:sz="0" w:space="0" w:color="auto"/>
                            <w:left w:val="none" w:sz="0" w:space="0" w:color="auto"/>
                            <w:bottom w:val="none" w:sz="0" w:space="0" w:color="auto"/>
                            <w:right w:val="none" w:sz="0" w:space="0" w:color="auto"/>
                          </w:divBdr>
                          <w:divsChild>
                            <w:div w:id="4333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607207">
          <w:marLeft w:val="0"/>
          <w:marRight w:val="0"/>
          <w:marTop w:val="0"/>
          <w:marBottom w:val="0"/>
          <w:divBdr>
            <w:top w:val="none" w:sz="0" w:space="0" w:color="auto"/>
            <w:left w:val="none" w:sz="0" w:space="0" w:color="auto"/>
            <w:bottom w:val="none" w:sz="0" w:space="0" w:color="auto"/>
            <w:right w:val="none" w:sz="0" w:space="0" w:color="auto"/>
          </w:divBdr>
          <w:divsChild>
            <w:div w:id="2022465142">
              <w:marLeft w:val="0"/>
              <w:marRight w:val="0"/>
              <w:marTop w:val="0"/>
              <w:marBottom w:val="0"/>
              <w:divBdr>
                <w:top w:val="none" w:sz="0" w:space="0" w:color="auto"/>
                <w:left w:val="none" w:sz="0" w:space="0" w:color="auto"/>
                <w:bottom w:val="none" w:sz="0" w:space="0" w:color="auto"/>
                <w:right w:val="none" w:sz="0" w:space="0" w:color="auto"/>
              </w:divBdr>
              <w:divsChild>
                <w:div w:id="415596416">
                  <w:marLeft w:val="0"/>
                  <w:marRight w:val="0"/>
                  <w:marTop w:val="0"/>
                  <w:marBottom w:val="0"/>
                  <w:divBdr>
                    <w:top w:val="none" w:sz="0" w:space="0" w:color="auto"/>
                    <w:left w:val="none" w:sz="0" w:space="0" w:color="auto"/>
                    <w:bottom w:val="none" w:sz="0" w:space="0" w:color="auto"/>
                    <w:right w:val="none" w:sz="0" w:space="0" w:color="auto"/>
                  </w:divBdr>
                  <w:divsChild>
                    <w:div w:id="1784618343">
                      <w:marLeft w:val="0"/>
                      <w:marRight w:val="0"/>
                      <w:marTop w:val="0"/>
                      <w:marBottom w:val="0"/>
                      <w:divBdr>
                        <w:top w:val="none" w:sz="0" w:space="0" w:color="auto"/>
                        <w:left w:val="none" w:sz="0" w:space="0" w:color="auto"/>
                        <w:bottom w:val="none" w:sz="0" w:space="0" w:color="auto"/>
                        <w:right w:val="none" w:sz="0" w:space="0" w:color="auto"/>
                      </w:divBdr>
                      <w:divsChild>
                        <w:div w:id="18685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949684">
          <w:marLeft w:val="0"/>
          <w:marRight w:val="0"/>
          <w:marTop w:val="0"/>
          <w:marBottom w:val="0"/>
          <w:divBdr>
            <w:top w:val="none" w:sz="0" w:space="0" w:color="auto"/>
            <w:left w:val="none" w:sz="0" w:space="0" w:color="auto"/>
            <w:bottom w:val="none" w:sz="0" w:space="0" w:color="auto"/>
            <w:right w:val="none" w:sz="0" w:space="0" w:color="auto"/>
          </w:divBdr>
          <w:divsChild>
            <w:div w:id="1282035255">
              <w:marLeft w:val="0"/>
              <w:marRight w:val="0"/>
              <w:marTop w:val="0"/>
              <w:marBottom w:val="0"/>
              <w:divBdr>
                <w:top w:val="none" w:sz="0" w:space="0" w:color="auto"/>
                <w:left w:val="none" w:sz="0" w:space="0" w:color="auto"/>
                <w:bottom w:val="none" w:sz="0" w:space="0" w:color="auto"/>
                <w:right w:val="none" w:sz="0" w:space="0" w:color="auto"/>
              </w:divBdr>
            </w:div>
          </w:divsChild>
        </w:div>
        <w:div w:id="1441149233">
          <w:marLeft w:val="0"/>
          <w:marRight w:val="0"/>
          <w:marTop w:val="0"/>
          <w:marBottom w:val="0"/>
          <w:divBdr>
            <w:top w:val="none" w:sz="0" w:space="0" w:color="auto"/>
            <w:left w:val="none" w:sz="0" w:space="0" w:color="auto"/>
            <w:bottom w:val="none" w:sz="0" w:space="0" w:color="auto"/>
            <w:right w:val="none" w:sz="0" w:space="0" w:color="auto"/>
          </w:divBdr>
          <w:divsChild>
            <w:div w:id="294529332">
              <w:marLeft w:val="0"/>
              <w:marRight w:val="0"/>
              <w:marTop w:val="0"/>
              <w:marBottom w:val="0"/>
              <w:divBdr>
                <w:top w:val="none" w:sz="0" w:space="0" w:color="auto"/>
                <w:left w:val="none" w:sz="0" w:space="0" w:color="auto"/>
                <w:bottom w:val="none" w:sz="0" w:space="0" w:color="auto"/>
                <w:right w:val="none" w:sz="0" w:space="0" w:color="auto"/>
              </w:divBdr>
              <w:divsChild>
                <w:div w:id="17991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73444">
          <w:marLeft w:val="0"/>
          <w:marRight w:val="0"/>
          <w:marTop w:val="0"/>
          <w:marBottom w:val="0"/>
          <w:divBdr>
            <w:top w:val="none" w:sz="0" w:space="0" w:color="auto"/>
            <w:left w:val="none" w:sz="0" w:space="0" w:color="auto"/>
            <w:bottom w:val="none" w:sz="0" w:space="0" w:color="auto"/>
            <w:right w:val="none" w:sz="0" w:space="0" w:color="auto"/>
          </w:divBdr>
          <w:divsChild>
            <w:div w:id="1984116368">
              <w:marLeft w:val="0"/>
              <w:marRight w:val="0"/>
              <w:marTop w:val="0"/>
              <w:marBottom w:val="0"/>
              <w:divBdr>
                <w:top w:val="none" w:sz="0" w:space="0" w:color="auto"/>
                <w:left w:val="none" w:sz="0" w:space="0" w:color="auto"/>
                <w:bottom w:val="none" w:sz="0" w:space="0" w:color="auto"/>
                <w:right w:val="none" w:sz="0" w:space="0" w:color="auto"/>
              </w:divBdr>
              <w:divsChild>
                <w:div w:id="1687902988">
                  <w:marLeft w:val="0"/>
                  <w:marRight w:val="0"/>
                  <w:marTop w:val="0"/>
                  <w:marBottom w:val="0"/>
                  <w:divBdr>
                    <w:top w:val="none" w:sz="0" w:space="0" w:color="auto"/>
                    <w:left w:val="none" w:sz="0" w:space="0" w:color="auto"/>
                    <w:bottom w:val="none" w:sz="0" w:space="0" w:color="auto"/>
                    <w:right w:val="none" w:sz="0" w:space="0" w:color="auto"/>
                  </w:divBdr>
                  <w:divsChild>
                    <w:div w:id="8622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251099">
      <w:bodyDiv w:val="1"/>
      <w:marLeft w:val="0"/>
      <w:marRight w:val="0"/>
      <w:marTop w:val="0"/>
      <w:marBottom w:val="0"/>
      <w:divBdr>
        <w:top w:val="none" w:sz="0" w:space="0" w:color="auto"/>
        <w:left w:val="none" w:sz="0" w:space="0" w:color="auto"/>
        <w:bottom w:val="none" w:sz="0" w:space="0" w:color="auto"/>
        <w:right w:val="none" w:sz="0" w:space="0" w:color="auto"/>
      </w:divBdr>
      <w:divsChild>
        <w:div w:id="1640184938">
          <w:marLeft w:val="0"/>
          <w:marRight w:val="0"/>
          <w:marTop w:val="0"/>
          <w:marBottom w:val="0"/>
          <w:divBdr>
            <w:top w:val="none" w:sz="0" w:space="0" w:color="auto"/>
            <w:left w:val="none" w:sz="0" w:space="0" w:color="auto"/>
            <w:bottom w:val="none" w:sz="0" w:space="0" w:color="auto"/>
            <w:right w:val="none" w:sz="0" w:space="0" w:color="auto"/>
          </w:divBdr>
        </w:div>
      </w:divsChild>
    </w:div>
    <w:div w:id="1420327331">
      <w:bodyDiv w:val="1"/>
      <w:marLeft w:val="0"/>
      <w:marRight w:val="0"/>
      <w:marTop w:val="0"/>
      <w:marBottom w:val="0"/>
      <w:divBdr>
        <w:top w:val="none" w:sz="0" w:space="0" w:color="auto"/>
        <w:left w:val="none" w:sz="0" w:space="0" w:color="auto"/>
        <w:bottom w:val="none" w:sz="0" w:space="0" w:color="auto"/>
        <w:right w:val="none" w:sz="0" w:space="0" w:color="auto"/>
      </w:divBdr>
      <w:divsChild>
        <w:div w:id="737823388">
          <w:marLeft w:val="0"/>
          <w:marRight w:val="0"/>
          <w:marTop w:val="0"/>
          <w:marBottom w:val="0"/>
          <w:divBdr>
            <w:top w:val="none" w:sz="0" w:space="0" w:color="auto"/>
            <w:left w:val="none" w:sz="0" w:space="0" w:color="auto"/>
            <w:bottom w:val="none" w:sz="0" w:space="0" w:color="auto"/>
            <w:right w:val="none" w:sz="0" w:space="0" w:color="auto"/>
          </w:divBdr>
        </w:div>
      </w:divsChild>
    </w:div>
    <w:div w:id="1575043622">
      <w:bodyDiv w:val="1"/>
      <w:marLeft w:val="0"/>
      <w:marRight w:val="0"/>
      <w:marTop w:val="0"/>
      <w:marBottom w:val="0"/>
      <w:divBdr>
        <w:top w:val="none" w:sz="0" w:space="0" w:color="auto"/>
        <w:left w:val="none" w:sz="0" w:space="0" w:color="auto"/>
        <w:bottom w:val="none" w:sz="0" w:space="0" w:color="auto"/>
        <w:right w:val="none" w:sz="0" w:space="0" w:color="auto"/>
      </w:divBdr>
    </w:div>
    <w:div w:id="1579048568">
      <w:bodyDiv w:val="1"/>
      <w:marLeft w:val="0"/>
      <w:marRight w:val="0"/>
      <w:marTop w:val="0"/>
      <w:marBottom w:val="0"/>
      <w:divBdr>
        <w:top w:val="none" w:sz="0" w:space="0" w:color="auto"/>
        <w:left w:val="none" w:sz="0" w:space="0" w:color="auto"/>
        <w:bottom w:val="none" w:sz="0" w:space="0" w:color="auto"/>
        <w:right w:val="none" w:sz="0" w:space="0" w:color="auto"/>
      </w:divBdr>
      <w:divsChild>
        <w:div w:id="50424778">
          <w:marLeft w:val="0"/>
          <w:marRight w:val="0"/>
          <w:marTop w:val="0"/>
          <w:marBottom w:val="0"/>
          <w:divBdr>
            <w:top w:val="none" w:sz="0" w:space="0" w:color="auto"/>
            <w:left w:val="none" w:sz="0" w:space="0" w:color="auto"/>
            <w:bottom w:val="none" w:sz="0" w:space="0" w:color="auto"/>
            <w:right w:val="none" w:sz="0" w:space="0" w:color="auto"/>
          </w:divBdr>
        </w:div>
      </w:divsChild>
    </w:div>
    <w:div w:id="1725446441">
      <w:bodyDiv w:val="1"/>
      <w:marLeft w:val="0"/>
      <w:marRight w:val="0"/>
      <w:marTop w:val="0"/>
      <w:marBottom w:val="0"/>
      <w:divBdr>
        <w:top w:val="none" w:sz="0" w:space="0" w:color="auto"/>
        <w:left w:val="none" w:sz="0" w:space="0" w:color="auto"/>
        <w:bottom w:val="none" w:sz="0" w:space="0" w:color="auto"/>
        <w:right w:val="none" w:sz="0" w:space="0" w:color="auto"/>
      </w:divBdr>
    </w:div>
    <w:div w:id="1859542963">
      <w:bodyDiv w:val="1"/>
      <w:marLeft w:val="0"/>
      <w:marRight w:val="0"/>
      <w:marTop w:val="0"/>
      <w:marBottom w:val="0"/>
      <w:divBdr>
        <w:top w:val="none" w:sz="0" w:space="0" w:color="auto"/>
        <w:left w:val="none" w:sz="0" w:space="0" w:color="auto"/>
        <w:bottom w:val="none" w:sz="0" w:space="0" w:color="auto"/>
        <w:right w:val="none" w:sz="0" w:space="0" w:color="auto"/>
      </w:divBdr>
    </w:div>
    <w:div w:id="2001543034">
      <w:bodyDiv w:val="1"/>
      <w:marLeft w:val="0"/>
      <w:marRight w:val="0"/>
      <w:marTop w:val="0"/>
      <w:marBottom w:val="0"/>
      <w:divBdr>
        <w:top w:val="none" w:sz="0" w:space="0" w:color="auto"/>
        <w:left w:val="none" w:sz="0" w:space="0" w:color="auto"/>
        <w:bottom w:val="none" w:sz="0" w:space="0" w:color="auto"/>
        <w:right w:val="none" w:sz="0" w:space="0" w:color="auto"/>
      </w:divBdr>
    </w:div>
    <w:div w:id="2056662886">
      <w:bodyDiv w:val="1"/>
      <w:marLeft w:val="0"/>
      <w:marRight w:val="0"/>
      <w:marTop w:val="0"/>
      <w:marBottom w:val="0"/>
      <w:divBdr>
        <w:top w:val="none" w:sz="0" w:space="0" w:color="auto"/>
        <w:left w:val="none" w:sz="0" w:space="0" w:color="auto"/>
        <w:bottom w:val="none" w:sz="0" w:space="0" w:color="auto"/>
        <w:right w:val="none" w:sz="0" w:space="0" w:color="auto"/>
      </w:divBdr>
    </w:div>
    <w:div w:id="2128817774">
      <w:bodyDiv w:val="1"/>
      <w:marLeft w:val="0"/>
      <w:marRight w:val="0"/>
      <w:marTop w:val="0"/>
      <w:marBottom w:val="0"/>
      <w:divBdr>
        <w:top w:val="none" w:sz="0" w:space="0" w:color="auto"/>
        <w:left w:val="none" w:sz="0" w:space="0" w:color="auto"/>
        <w:bottom w:val="none" w:sz="0" w:space="0" w:color="auto"/>
        <w:right w:val="none" w:sz="0" w:space="0" w:color="auto"/>
      </w:divBdr>
      <w:divsChild>
        <w:div w:id="2073843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783D4B095CF2F478A1428BEBA163866" ma:contentTypeVersion="4" ma:contentTypeDescription="Creare un nuovo documento." ma:contentTypeScope="" ma:versionID="0964cbd03ecfb80052f80eeea4088506">
  <xsd:schema xmlns:xsd="http://www.w3.org/2001/XMLSchema" xmlns:xs="http://www.w3.org/2001/XMLSchema" xmlns:p="http://schemas.microsoft.com/office/2006/metadata/properties" xmlns:ns2="8810d1ff-1cd6-4980-bb64-9c8c7e9f41e2" targetNamespace="http://schemas.microsoft.com/office/2006/metadata/properties" ma:root="true" ma:fieldsID="c238e177587ea9af65f7faf91e4488b6" ns2:_="">
    <xsd:import namespace="8810d1ff-1cd6-4980-bb64-9c8c7e9f41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10d1ff-1cd6-4980-bb64-9c8c7e9f4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8887BD-9A23-42F2-AB77-6BAAE40BD3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B75465-651D-4981-91E8-3BE353298393}">
  <ds:schemaRefs>
    <ds:schemaRef ds:uri="http://schemas.openxmlformats.org/officeDocument/2006/bibliography"/>
  </ds:schemaRefs>
</ds:datastoreItem>
</file>

<file path=customXml/itemProps3.xml><?xml version="1.0" encoding="utf-8"?>
<ds:datastoreItem xmlns:ds="http://schemas.openxmlformats.org/officeDocument/2006/customXml" ds:itemID="{55ECD1E8-7DCD-4D08-BF22-D8858A832261}">
  <ds:schemaRefs>
    <ds:schemaRef ds:uri="http://schemas.microsoft.com/sharepoint/v3/contenttype/forms"/>
  </ds:schemaRefs>
</ds:datastoreItem>
</file>

<file path=customXml/itemProps4.xml><?xml version="1.0" encoding="utf-8"?>
<ds:datastoreItem xmlns:ds="http://schemas.openxmlformats.org/officeDocument/2006/customXml" ds:itemID="{EC624A27-0647-4673-8CA6-8DFED18C8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10d1ff-1cd6-4980-bb64-9c8c7e9f4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3164</Words>
  <Characters>18144</Characters>
  <Application>Microsoft Office Word</Application>
  <DocSecurity>0</DocSecurity>
  <Lines>518</Lines>
  <Paragraphs>145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Manager/>
  <Company/>
  <LinksUpToDate>false</LinksUpToDate>
  <CharactersWithSpaces>21163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Cantone</dc:creator>
  <cp:keywords/>
  <dc:description/>
  <cp:lastModifiedBy>VINCENZO BASILE</cp:lastModifiedBy>
  <cp:revision>6</cp:revision>
  <cp:lastPrinted>2019-02-14T16:11:00Z</cp:lastPrinted>
  <dcterms:created xsi:type="dcterms:W3CDTF">2025-08-08T06:49:00Z</dcterms:created>
  <dcterms:modified xsi:type="dcterms:W3CDTF">2025-09-27T10:12:00Z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0x010100F783D4B095CF2F478A1428BEBA163866</vt:lpwstr>
  </property>
  <property fmtid="{D5CDD505-2E9C-101B-9397-08002B2CF9AE}" pid="3" name="LE1">
    <vt:filetime>2022-01-18T10:00:00Z</vt:filetime>
  </property>
  <property fmtid="{D5CDD505-2E9C-101B-9397-08002B2CF9AE}" pid="4" name="GrammarlyDocumentId">
    <vt:lpwstr>78f07cab41d89d6168d494e5af71bb237637b011c909e41c527d93464b7b661b</vt:lpwstr>
  </property>
  <property fmtid="{D5CDD505-2E9C-101B-9397-08002B2CF9AE}" pid="5" name="MSIP_Label_2ad0b24d-6422-44b0-b3de-abb3a9e8c81a_Enabled">
    <vt:lpwstr>true</vt:lpwstr>
  </property>
  <property fmtid="{D5CDD505-2E9C-101B-9397-08002B2CF9AE}" pid="6" name="MSIP_Label_2ad0b24d-6422-44b0-b3de-abb3a9e8c81a_SetDate">
    <vt:lpwstr>2023-12-18T12:03:10Z</vt:lpwstr>
  </property>
  <property fmtid="{D5CDD505-2E9C-101B-9397-08002B2CF9AE}" pid="7" name="MSIP_Label_2ad0b24d-6422-44b0-b3de-abb3a9e8c81a_Method">
    <vt:lpwstr>Standard</vt:lpwstr>
  </property>
  <property fmtid="{D5CDD505-2E9C-101B-9397-08002B2CF9AE}" pid="8" name="MSIP_Label_2ad0b24d-6422-44b0-b3de-abb3a9e8c81a_Name">
    <vt:lpwstr>defa4170-0d19-0005-0004-bc88714345d2</vt:lpwstr>
  </property>
  <property fmtid="{D5CDD505-2E9C-101B-9397-08002B2CF9AE}" pid="9" name="MSIP_Label_2ad0b24d-6422-44b0-b3de-abb3a9e8c81a_SiteId">
    <vt:lpwstr>2fcfe26a-bb62-46b0-b1e3-28f9da0c45fd</vt:lpwstr>
  </property>
  <property fmtid="{D5CDD505-2E9C-101B-9397-08002B2CF9AE}" pid="10" name="MSIP_Label_2ad0b24d-6422-44b0-b3de-abb3a9e8c81a_ActionId">
    <vt:lpwstr>25e41a04-a31e-425d-ae3d-67638e1654fd</vt:lpwstr>
  </property>
  <property fmtid="{D5CDD505-2E9C-101B-9397-08002B2CF9AE}" pid="11" name="MSIP_Label_2ad0b24d-6422-44b0-b3de-abb3a9e8c81a_ContentBits">
    <vt:lpwstr>0</vt:lpwstr>
  </property>
</Properties>
</file>