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5C83D" w14:textId="226DF568" w:rsidR="0065065F" w:rsidRPr="00712B16" w:rsidRDefault="005832CF" w:rsidP="00E474E4">
      <w:pPr>
        <w:spacing w:after="0" w:line="240" w:lineRule="auto"/>
        <w:jc w:val="center"/>
        <w:rPr>
          <w:rFonts w:ascii="Times New Roman" w:hAnsi="Times New Roman" w:cs="Times New Roman"/>
          <w:b/>
          <w:bCs/>
          <w:sz w:val="24"/>
          <w:szCs w:val="24"/>
        </w:rPr>
      </w:pPr>
      <w:bookmarkStart w:id="0" w:name="_Hlk120889713"/>
      <w:bookmarkStart w:id="1" w:name="_Hlk119341074"/>
      <w:bookmarkStart w:id="2" w:name="_Toc118295315"/>
      <w:bookmarkStart w:id="3" w:name="_Toc118278467"/>
      <w:bookmarkStart w:id="4" w:name="_Toc118295324"/>
      <w:r w:rsidRPr="00712B16">
        <w:rPr>
          <w:rFonts w:ascii="Times New Roman" w:hAnsi="Times New Roman" w:cs="Times New Roman"/>
          <w:b/>
          <w:bCs/>
          <w:sz w:val="24"/>
          <w:szCs w:val="24"/>
        </w:rPr>
        <w:t>Net zero</w:t>
      </w:r>
      <w:r w:rsidR="00CE3803" w:rsidRPr="00712B16">
        <w:rPr>
          <w:rFonts w:ascii="Times New Roman" w:hAnsi="Times New Roman" w:cs="Times New Roman"/>
          <w:b/>
          <w:bCs/>
          <w:sz w:val="24"/>
          <w:szCs w:val="24"/>
        </w:rPr>
        <w:t xml:space="preserve"> Target</w:t>
      </w:r>
      <w:r w:rsidR="00FF2A3C" w:rsidRPr="00712B16">
        <w:rPr>
          <w:rFonts w:ascii="Times New Roman" w:hAnsi="Times New Roman" w:cs="Times New Roman"/>
          <w:b/>
          <w:bCs/>
          <w:sz w:val="24"/>
          <w:szCs w:val="24"/>
        </w:rPr>
        <w:t>: Implications for</w:t>
      </w:r>
      <w:r w:rsidR="00D71377" w:rsidRPr="00712B16">
        <w:rPr>
          <w:rFonts w:ascii="Times New Roman" w:hAnsi="Times New Roman" w:cs="Times New Roman"/>
          <w:b/>
          <w:bCs/>
          <w:sz w:val="24"/>
          <w:szCs w:val="24"/>
        </w:rPr>
        <w:t xml:space="preserve"> </w:t>
      </w:r>
      <w:r w:rsidR="00D4453D" w:rsidRPr="00712B16">
        <w:rPr>
          <w:rFonts w:ascii="Times New Roman" w:hAnsi="Times New Roman" w:cs="Times New Roman"/>
          <w:b/>
          <w:bCs/>
          <w:sz w:val="24"/>
          <w:szCs w:val="24"/>
        </w:rPr>
        <w:t xml:space="preserve">Real </w:t>
      </w:r>
      <w:r w:rsidR="00FF2A3C" w:rsidRPr="00712B16">
        <w:rPr>
          <w:rFonts w:ascii="Times New Roman" w:hAnsi="Times New Roman" w:cs="Times New Roman"/>
          <w:b/>
          <w:bCs/>
          <w:sz w:val="24"/>
          <w:szCs w:val="24"/>
        </w:rPr>
        <w:t>Earnings Management</w:t>
      </w:r>
    </w:p>
    <w:bookmarkEnd w:id="0"/>
    <w:p w14:paraId="6C8F9B12" w14:textId="0733223F" w:rsidR="00E474E4" w:rsidRPr="00712B16" w:rsidRDefault="00E474E4">
      <w:pPr>
        <w:spacing w:after="0" w:line="480" w:lineRule="auto"/>
        <w:rPr>
          <w:rFonts w:ascii="Times New Roman" w:hAnsi="Times New Roman" w:cs="Times New Roman"/>
          <w:b/>
          <w:bCs/>
          <w:sz w:val="24"/>
          <w:szCs w:val="24"/>
        </w:rPr>
      </w:pPr>
    </w:p>
    <w:p w14:paraId="2EF1EE61" w14:textId="1CE58DE7" w:rsidR="009032E8" w:rsidRPr="00712B16" w:rsidRDefault="0080476A" w:rsidP="002325DD">
      <w:pPr>
        <w:spacing w:after="0" w:line="240" w:lineRule="auto"/>
        <w:rPr>
          <w:rFonts w:ascii="Times New Roman" w:hAnsi="Times New Roman" w:cs="Times New Roman"/>
          <w:sz w:val="24"/>
          <w:szCs w:val="24"/>
        </w:rPr>
      </w:pPr>
      <w:r w:rsidRPr="00712B16">
        <w:rPr>
          <w:rFonts w:ascii="Times New Roman" w:hAnsi="Times New Roman" w:cs="Times New Roman"/>
          <w:b/>
          <w:bCs/>
          <w:sz w:val="24"/>
          <w:szCs w:val="24"/>
        </w:rPr>
        <w:t>ABSTRACT</w:t>
      </w:r>
      <w:bookmarkStart w:id="5" w:name="_Hlk47700891"/>
      <w:bookmarkStart w:id="6" w:name="_Hlk65432313"/>
      <w:bookmarkStart w:id="7" w:name="_Hlk65432731"/>
      <w:bookmarkEnd w:id="5"/>
    </w:p>
    <w:p w14:paraId="49D49236" w14:textId="731F106D" w:rsidR="009E42F4" w:rsidRPr="00712B16" w:rsidRDefault="009E42F4" w:rsidP="002325DD">
      <w:pPr>
        <w:spacing w:after="0" w:line="240" w:lineRule="auto"/>
        <w:jc w:val="both"/>
        <w:rPr>
          <w:rFonts w:ascii="Times New Roman" w:hAnsi="Times New Roman" w:cs="Times New Roman"/>
          <w:sz w:val="24"/>
          <w:szCs w:val="24"/>
        </w:rPr>
      </w:pPr>
      <w:bookmarkStart w:id="8" w:name="_Hlk145235088"/>
      <w:r w:rsidRPr="00712B16">
        <w:rPr>
          <w:rFonts w:ascii="Times New Roman" w:hAnsi="Times New Roman" w:cs="Times New Roman"/>
          <w:b/>
          <w:sz w:val="24"/>
          <w:szCs w:val="24"/>
        </w:rPr>
        <w:t>Purpose –</w:t>
      </w:r>
      <w:r w:rsidRPr="00712B16">
        <w:rPr>
          <w:rFonts w:ascii="Times New Roman" w:hAnsi="Times New Roman" w:cs="Times New Roman"/>
          <w:sz w:val="24"/>
          <w:szCs w:val="24"/>
        </w:rPr>
        <w:t xml:space="preserve"> This study investigates the impact of </w:t>
      </w:r>
      <w:r w:rsidR="00884838" w:rsidRPr="00712B16">
        <w:rPr>
          <w:rFonts w:ascii="Times New Roman" w:hAnsi="Times New Roman" w:cs="Times New Roman"/>
          <w:sz w:val="24"/>
          <w:szCs w:val="24"/>
        </w:rPr>
        <w:t xml:space="preserve">country </w:t>
      </w:r>
      <w:r w:rsidR="005832CF" w:rsidRPr="00712B16">
        <w:rPr>
          <w:rFonts w:ascii="Times New Roman" w:hAnsi="Times New Roman" w:cs="Times New Roman"/>
          <w:sz w:val="24"/>
          <w:szCs w:val="24"/>
        </w:rPr>
        <w:t>net zero</w:t>
      </w:r>
      <w:r w:rsidRPr="00712B16">
        <w:rPr>
          <w:rFonts w:ascii="Times New Roman" w:hAnsi="Times New Roman" w:cs="Times New Roman"/>
          <w:sz w:val="24"/>
          <w:szCs w:val="24"/>
        </w:rPr>
        <w:t xml:space="preserve"> target</w:t>
      </w:r>
      <w:r w:rsidR="008045E5" w:rsidRPr="00712B16">
        <w:rPr>
          <w:rFonts w:ascii="Times New Roman" w:hAnsi="Times New Roman" w:cs="Times New Roman"/>
          <w:sz w:val="24"/>
          <w:szCs w:val="24"/>
        </w:rPr>
        <w:t xml:space="preserve"> commitment</w:t>
      </w:r>
      <w:r w:rsidRPr="00712B16">
        <w:rPr>
          <w:rFonts w:ascii="Times New Roman" w:hAnsi="Times New Roman" w:cs="Times New Roman"/>
          <w:sz w:val="24"/>
          <w:szCs w:val="24"/>
        </w:rPr>
        <w:t xml:space="preserve"> on real earnings management (REM)</w:t>
      </w:r>
      <w:r w:rsidR="005E073B" w:rsidRPr="00712B16">
        <w:rPr>
          <w:rFonts w:ascii="Times New Roman" w:hAnsi="Times New Roman" w:cs="Times New Roman"/>
          <w:sz w:val="24"/>
          <w:szCs w:val="24"/>
        </w:rPr>
        <w:t xml:space="preserve"> of listed firms</w:t>
      </w:r>
      <w:r w:rsidR="00FC18E7" w:rsidRPr="00712B16">
        <w:rPr>
          <w:rFonts w:ascii="Times New Roman" w:hAnsi="Times New Roman" w:cs="Times New Roman"/>
          <w:sz w:val="24"/>
          <w:szCs w:val="24"/>
        </w:rPr>
        <w:t xml:space="preserve"> in response to global climate change risk</w:t>
      </w:r>
      <w:r w:rsidR="00884838" w:rsidRPr="00712B16">
        <w:rPr>
          <w:rFonts w:ascii="Times New Roman" w:hAnsi="Times New Roman" w:cs="Times New Roman"/>
          <w:sz w:val="24"/>
          <w:szCs w:val="24"/>
        </w:rPr>
        <w:t>. In addition, the study also examines the moderating effect of corporate social responsibility</w:t>
      </w:r>
      <w:r w:rsidR="000C7CF2" w:rsidRPr="00712B16">
        <w:rPr>
          <w:rFonts w:ascii="Times New Roman" w:hAnsi="Times New Roman" w:cs="Times New Roman"/>
          <w:sz w:val="24"/>
          <w:szCs w:val="24"/>
        </w:rPr>
        <w:t xml:space="preserve"> (CSR)</w:t>
      </w:r>
      <w:r w:rsidR="00884838" w:rsidRPr="00712B16">
        <w:rPr>
          <w:rFonts w:ascii="Times New Roman" w:hAnsi="Times New Roman" w:cs="Times New Roman"/>
          <w:sz w:val="24"/>
          <w:szCs w:val="24"/>
        </w:rPr>
        <w:t xml:space="preserve"> on the relationship between country </w:t>
      </w:r>
      <w:r w:rsidR="005832CF" w:rsidRPr="00712B16">
        <w:rPr>
          <w:rFonts w:ascii="Times New Roman" w:hAnsi="Times New Roman" w:cs="Times New Roman"/>
          <w:sz w:val="24"/>
          <w:szCs w:val="24"/>
        </w:rPr>
        <w:t>net zero</w:t>
      </w:r>
      <w:r w:rsidR="00884838" w:rsidRPr="00712B16">
        <w:rPr>
          <w:rFonts w:ascii="Times New Roman" w:hAnsi="Times New Roman" w:cs="Times New Roman"/>
          <w:sz w:val="24"/>
          <w:szCs w:val="24"/>
        </w:rPr>
        <w:t xml:space="preserve"> target</w:t>
      </w:r>
      <w:r w:rsidR="008045E5" w:rsidRPr="00712B16">
        <w:rPr>
          <w:rFonts w:ascii="Times New Roman" w:hAnsi="Times New Roman" w:cs="Times New Roman"/>
          <w:sz w:val="24"/>
          <w:szCs w:val="24"/>
        </w:rPr>
        <w:t xml:space="preserve"> commitment</w:t>
      </w:r>
      <w:r w:rsidR="00884838" w:rsidRPr="00712B16">
        <w:rPr>
          <w:rFonts w:ascii="Times New Roman" w:hAnsi="Times New Roman" w:cs="Times New Roman"/>
          <w:sz w:val="24"/>
          <w:szCs w:val="24"/>
        </w:rPr>
        <w:t xml:space="preserve"> and REM.</w:t>
      </w:r>
    </w:p>
    <w:p w14:paraId="6FD22DF3" w14:textId="20724953" w:rsidR="00D11216" w:rsidRPr="00712B16" w:rsidRDefault="009E42F4" w:rsidP="002325DD">
      <w:pPr>
        <w:pStyle w:val="1"/>
        <w:spacing w:before="0" w:beforeAutospacing="0" w:after="0" w:line="240" w:lineRule="auto"/>
        <w:jc w:val="both"/>
        <w:rPr>
          <w:iCs/>
        </w:rPr>
      </w:pPr>
      <w:bookmarkStart w:id="9" w:name="_Hlk52290720"/>
      <w:r w:rsidRPr="00712B16">
        <w:rPr>
          <w:b/>
        </w:rPr>
        <w:t>Design/methodology/approach –</w:t>
      </w:r>
      <w:r w:rsidRPr="00712B16">
        <w:t xml:space="preserve"> </w:t>
      </w:r>
      <w:r w:rsidR="00884838" w:rsidRPr="00712B16">
        <w:t>This study uses</w:t>
      </w:r>
      <w:r w:rsidRPr="00712B16">
        <w:t xml:space="preserve"> a sample of 249,711 firm-year observations</w:t>
      </w:r>
      <w:r w:rsidR="00D11216" w:rsidRPr="00712B16">
        <w:t xml:space="preserve"> of listed firms</w:t>
      </w:r>
      <w:r w:rsidRPr="00712B16">
        <w:t xml:space="preserve"> across 71 countries from 2011 to 2021</w:t>
      </w:r>
      <w:r w:rsidR="00884838" w:rsidRPr="00712B16">
        <w:t xml:space="preserve">. </w:t>
      </w:r>
      <w:r w:rsidR="00D11216" w:rsidRPr="00712B16">
        <w:rPr>
          <w:iCs/>
        </w:rPr>
        <w:t>Following prior literature, we employ four measures of REM</w:t>
      </w:r>
      <w:r w:rsidR="00E223E8" w:rsidRPr="00712B16">
        <w:rPr>
          <w:iCs/>
        </w:rPr>
        <w:t>:</w:t>
      </w:r>
      <w:r w:rsidR="00D11216" w:rsidRPr="00712B16">
        <w:rPr>
          <w:iCs/>
        </w:rPr>
        <w:t xml:space="preserve"> abnormal cash flow from operations, abnormal discretionary expenses, abnormal production costs</w:t>
      </w:r>
      <w:r w:rsidR="00E223E8" w:rsidRPr="00712B16">
        <w:rPr>
          <w:iCs/>
        </w:rPr>
        <w:t>,</w:t>
      </w:r>
      <w:r w:rsidR="00D11216" w:rsidRPr="00712B16">
        <w:rPr>
          <w:iCs/>
        </w:rPr>
        <w:t xml:space="preserve"> and the sum of the three aforementioned measures</w:t>
      </w:r>
      <w:r w:rsidR="00D11216" w:rsidRPr="00712B16">
        <w:t xml:space="preserve">. </w:t>
      </w:r>
    </w:p>
    <w:p w14:paraId="301B9AED" w14:textId="6B39486D" w:rsidR="009E42F4" w:rsidRPr="00712B16" w:rsidRDefault="009E42F4" w:rsidP="002325DD">
      <w:pPr>
        <w:spacing w:after="0" w:line="240" w:lineRule="auto"/>
        <w:jc w:val="both"/>
        <w:rPr>
          <w:rFonts w:ascii="Times New Roman" w:hAnsi="Times New Roman" w:cs="Times New Roman"/>
          <w:sz w:val="24"/>
          <w:szCs w:val="24"/>
        </w:rPr>
      </w:pPr>
      <w:r w:rsidRPr="00712B16">
        <w:rPr>
          <w:rFonts w:ascii="Times New Roman" w:hAnsi="Times New Roman" w:cs="Times New Roman"/>
          <w:b/>
          <w:sz w:val="24"/>
          <w:szCs w:val="24"/>
        </w:rPr>
        <w:t>Findings –</w:t>
      </w:r>
      <w:r w:rsidRPr="00712B16">
        <w:rPr>
          <w:rFonts w:ascii="Times New Roman" w:hAnsi="Times New Roman" w:cs="Times New Roman"/>
          <w:sz w:val="24"/>
          <w:szCs w:val="24"/>
        </w:rPr>
        <w:t xml:space="preserve"> </w:t>
      </w:r>
      <w:bookmarkEnd w:id="9"/>
      <w:r w:rsidR="00590ABA" w:rsidRPr="00712B16">
        <w:rPr>
          <w:rFonts w:ascii="Times New Roman" w:hAnsi="Times New Roman" w:cs="Times New Roman"/>
          <w:sz w:val="24"/>
          <w:szCs w:val="24"/>
        </w:rPr>
        <w:t xml:space="preserve">We find that REM is higher in firms headquartered in countries that have </w:t>
      </w:r>
      <w:r w:rsidR="00510E73" w:rsidRPr="00712B16">
        <w:rPr>
          <w:rFonts w:ascii="Times New Roman" w:hAnsi="Times New Roman" w:cs="Times New Roman"/>
          <w:sz w:val="24"/>
          <w:szCs w:val="24"/>
        </w:rPr>
        <w:t>committed to</w:t>
      </w:r>
      <w:r w:rsidR="00590ABA" w:rsidRPr="00712B16">
        <w:rPr>
          <w:rFonts w:ascii="Times New Roman" w:hAnsi="Times New Roman" w:cs="Times New Roman"/>
          <w:sz w:val="24"/>
          <w:szCs w:val="24"/>
        </w:rPr>
        <w:t xml:space="preserve"> a </w:t>
      </w:r>
      <w:r w:rsidR="005832CF" w:rsidRPr="00712B16">
        <w:rPr>
          <w:rFonts w:ascii="Times New Roman" w:hAnsi="Times New Roman" w:cs="Times New Roman"/>
          <w:sz w:val="24"/>
          <w:szCs w:val="24"/>
        </w:rPr>
        <w:t>net zero</w:t>
      </w:r>
      <w:r w:rsidR="00590ABA" w:rsidRPr="00712B16">
        <w:rPr>
          <w:rFonts w:ascii="Times New Roman" w:hAnsi="Times New Roman" w:cs="Times New Roman"/>
          <w:sz w:val="24"/>
          <w:szCs w:val="24"/>
        </w:rPr>
        <w:t xml:space="preserve"> target. Moreover, we document that REM activities are less prevalent when firms voluntarily </w:t>
      </w:r>
      <w:r w:rsidR="00510E73" w:rsidRPr="00712B16">
        <w:rPr>
          <w:rFonts w:ascii="Times New Roman" w:hAnsi="Times New Roman" w:cs="Times New Roman"/>
          <w:sz w:val="24"/>
          <w:szCs w:val="24"/>
        </w:rPr>
        <w:t>commit to</w:t>
      </w:r>
      <w:r w:rsidR="00413B0F" w:rsidRPr="00712B16">
        <w:rPr>
          <w:rFonts w:ascii="Times New Roman" w:hAnsi="Times New Roman" w:cs="Times New Roman"/>
          <w:sz w:val="24"/>
          <w:szCs w:val="24"/>
        </w:rPr>
        <w:t xml:space="preserve"> a</w:t>
      </w:r>
      <w:r w:rsidR="00590ABA" w:rsidRPr="00712B16">
        <w:rPr>
          <w:rFonts w:ascii="Times New Roman" w:hAnsi="Times New Roman" w:cs="Times New Roman"/>
          <w:sz w:val="24"/>
          <w:szCs w:val="24"/>
        </w:rPr>
        <w:t xml:space="preserve"> </w:t>
      </w:r>
      <w:r w:rsidR="005832CF" w:rsidRPr="00712B16">
        <w:rPr>
          <w:rFonts w:ascii="Times New Roman" w:hAnsi="Times New Roman" w:cs="Times New Roman"/>
          <w:sz w:val="24"/>
          <w:szCs w:val="24"/>
        </w:rPr>
        <w:t>net zero</w:t>
      </w:r>
      <w:r w:rsidR="00590ABA" w:rsidRPr="00712B16">
        <w:rPr>
          <w:rFonts w:ascii="Times New Roman" w:hAnsi="Times New Roman" w:cs="Times New Roman"/>
          <w:sz w:val="24"/>
          <w:szCs w:val="24"/>
        </w:rPr>
        <w:t xml:space="preserve"> target and demonstrate high </w:t>
      </w:r>
      <w:r w:rsidR="000C7CF2" w:rsidRPr="00712B16">
        <w:rPr>
          <w:rFonts w:ascii="Times New Roman" w:hAnsi="Times New Roman" w:cs="Times New Roman"/>
          <w:sz w:val="24"/>
          <w:szCs w:val="24"/>
        </w:rPr>
        <w:t>CSR</w:t>
      </w:r>
      <w:r w:rsidR="00590ABA" w:rsidRPr="00712B16">
        <w:rPr>
          <w:rFonts w:ascii="Times New Roman" w:hAnsi="Times New Roman" w:cs="Times New Roman"/>
          <w:sz w:val="24"/>
          <w:szCs w:val="24"/>
        </w:rPr>
        <w:t xml:space="preserve"> </w:t>
      </w:r>
      <w:r w:rsidR="005E073B" w:rsidRPr="00712B16">
        <w:rPr>
          <w:rFonts w:ascii="Times New Roman" w:hAnsi="Times New Roman" w:cs="Times New Roman"/>
          <w:sz w:val="24"/>
          <w:szCs w:val="24"/>
        </w:rPr>
        <w:t>performance</w:t>
      </w:r>
      <w:r w:rsidR="00590ABA" w:rsidRPr="00712B16">
        <w:rPr>
          <w:rFonts w:ascii="Times New Roman" w:hAnsi="Times New Roman" w:cs="Times New Roman"/>
          <w:sz w:val="24"/>
          <w:szCs w:val="24"/>
        </w:rPr>
        <w:t xml:space="preserve">. Results suggest that these firms are better equipped to navigate the regulatory changes imposed by their headquarter countries. </w:t>
      </w:r>
    </w:p>
    <w:p w14:paraId="4AD81DB1" w14:textId="0F9C68D3" w:rsidR="009E42F4" w:rsidRPr="00712B16" w:rsidRDefault="009E42F4" w:rsidP="002325DD">
      <w:pPr>
        <w:spacing w:after="0" w:line="240" w:lineRule="auto"/>
        <w:jc w:val="both"/>
        <w:rPr>
          <w:rFonts w:ascii="Times New Roman" w:hAnsi="Times New Roman" w:cs="Times New Roman"/>
          <w:sz w:val="24"/>
          <w:szCs w:val="24"/>
        </w:rPr>
      </w:pPr>
      <w:r w:rsidRPr="00712B16">
        <w:rPr>
          <w:rFonts w:ascii="Times New Roman" w:hAnsi="Times New Roman" w:cs="Times New Roman"/>
          <w:b/>
          <w:sz w:val="24"/>
          <w:szCs w:val="24"/>
        </w:rPr>
        <w:t xml:space="preserve">Originality/value – </w:t>
      </w:r>
      <w:r w:rsidR="00590ABA" w:rsidRPr="00712B16">
        <w:rPr>
          <w:rFonts w:ascii="Times New Roman" w:hAnsi="Times New Roman" w:cs="Times New Roman"/>
          <w:sz w:val="24"/>
          <w:szCs w:val="24"/>
        </w:rPr>
        <w:t>Our findings are informative to</w:t>
      </w:r>
      <w:r w:rsidR="0042384D" w:rsidRPr="00712B16">
        <w:rPr>
          <w:rFonts w:ascii="Times New Roman" w:hAnsi="Times New Roman" w:cs="Times New Roman"/>
          <w:sz w:val="24"/>
          <w:szCs w:val="24"/>
        </w:rPr>
        <w:t xml:space="preserve"> </w:t>
      </w:r>
      <w:r w:rsidR="00590ABA" w:rsidRPr="00712B16">
        <w:rPr>
          <w:rFonts w:ascii="Times New Roman" w:hAnsi="Times New Roman" w:cs="Times New Roman"/>
          <w:sz w:val="24"/>
          <w:szCs w:val="24"/>
        </w:rPr>
        <w:t>firms’ insiders, investors</w:t>
      </w:r>
      <w:r w:rsidR="00E223E8" w:rsidRPr="00712B16">
        <w:rPr>
          <w:rFonts w:ascii="Times New Roman" w:hAnsi="Times New Roman" w:cs="Times New Roman"/>
          <w:sz w:val="24"/>
          <w:szCs w:val="24"/>
        </w:rPr>
        <w:t>,</w:t>
      </w:r>
      <w:r w:rsidR="00590ABA" w:rsidRPr="00712B16">
        <w:rPr>
          <w:rFonts w:ascii="Times New Roman" w:hAnsi="Times New Roman" w:cs="Times New Roman"/>
          <w:sz w:val="24"/>
          <w:szCs w:val="24"/>
        </w:rPr>
        <w:t xml:space="preserve"> and regulators in relation to the potential risks that arise due to managers’ discretionary choice in using REM as a strategy to achieve both the </w:t>
      </w:r>
      <w:r w:rsidR="005832CF" w:rsidRPr="00712B16">
        <w:rPr>
          <w:rFonts w:ascii="Times New Roman" w:hAnsi="Times New Roman" w:cs="Times New Roman"/>
          <w:sz w:val="24"/>
          <w:szCs w:val="24"/>
        </w:rPr>
        <w:t>net zero</w:t>
      </w:r>
      <w:r w:rsidR="00590ABA" w:rsidRPr="00712B16">
        <w:rPr>
          <w:rFonts w:ascii="Times New Roman" w:hAnsi="Times New Roman" w:cs="Times New Roman"/>
          <w:sz w:val="24"/>
          <w:szCs w:val="24"/>
        </w:rPr>
        <w:t xml:space="preserve"> target preparations and </w:t>
      </w:r>
      <w:r w:rsidR="005832CF" w:rsidRPr="00712B16">
        <w:rPr>
          <w:rFonts w:ascii="Times New Roman" w:hAnsi="Times New Roman" w:cs="Times New Roman"/>
          <w:sz w:val="24"/>
          <w:szCs w:val="24"/>
        </w:rPr>
        <w:t xml:space="preserve">the </w:t>
      </w:r>
      <w:r w:rsidR="00590ABA" w:rsidRPr="00712B16">
        <w:rPr>
          <w:rFonts w:ascii="Times New Roman" w:hAnsi="Times New Roman" w:cs="Times New Roman"/>
          <w:sz w:val="24"/>
          <w:szCs w:val="24"/>
        </w:rPr>
        <w:t xml:space="preserve">desired earnings outlook. More importantly, the findings provide insights to investors and analysts in helping them to assess the true value of firms. In particular, many countries are now racing to achieve a </w:t>
      </w:r>
      <w:r w:rsidR="005832CF" w:rsidRPr="00712B16">
        <w:rPr>
          <w:rFonts w:ascii="Times New Roman" w:hAnsi="Times New Roman" w:cs="Times New Roman"/>
          <w:sz w:val="24"/>
          <w:szCs w:val="24"/>
        </w:rPr>
        <w:t>net zero</w:t>
      </w:r>
      <w:r w:rsidR="00590ABA" w:rsidRPr="00712B16">
        <w:rPr>
          <w:rFonts w:ascii="Times New Roman" w:hAnsi="Times New Roman" w:cs="Times New Roman"/>
          <w:sz w:val="24"/>
          <w:szCs w:val="24"/>
        </w:rPr>
        <w:t xml:space="preserve"> target, which may cause economic trade-offs between </w:t>
      </w:r>
      <w:r w:rsidR="00784AF9" w:rsidRPr="00712B16">
        <w:rPr>
          <w:rFonts w:ascii="Times New Roman" w:hAnsi="Times New Roman" w:cs="Times New Roman"/>
          <w:sz w:val="24"/>
          <w:szCs w:val="24"/>
        </w:rPr>
        <w:t xml:space="preserve">achieving the </w:t>
      </w:r>
      <w:r w:rsidR="005832CF" w:rsidRPr="00712B16">
        <w:rPr>
          <w:rFonts w:ascii="Times New Roman" w:hAnsi="Times New Roman" w:cs="Times New Roman"/>
          <w:sz w:val="24"/>
          <w:szCs w:val="24"/>
        </w:rPr>
        <w:t>net zero</w:t>
      </w:r>
      <w:r w:rsidR="00590ABA" w:rsidRPr="00712B16">
        <w:rPr>
          <w:rFonts w:ascii="Times New Roman" w:hAnsi="Times New Roman" w:cs="Times New Roman"/>
          <w:sz w:val="24"/>
          <w:szCs w:val="24"/>
        </w:rPr>
        <w:t xml:space="preserve"> target and the financial implications </w:t>
      </w:r>
      <w:r w:rsidR="00BC4011" w:rsidRPr="00712B16">
        <w:rPr>
          <w:rFonts w:ascii="Times New Roman" w:hAnsi="Times New Roman" w:cs="Times New Roman"/>
          <w:sz w:val="24"/>
          <w:szCs w:val="24"/>
        </w:rPr>
        <w:t>on firms due to the</w:t>
      </w:r>
      <w:r w:rsidR="00784AF9" w:rsidRPr="00712B16">
        <w:rPr>
          <w:rFonts w:ascii="Times New Roman" w:hAnsi="Times New Roman" w:cs="Times New Roman"/>
          <w:sz w:val="24"/>
          <w:szCs w:val="24"/>
        </w:rPr>
        <w:t>se</w:t>
      </w:r>
      <w:r w:rsidR="00BC4011" w:rsidRPr="00712B16">
        <w:rPr>
          <w:rFonts w:ascii="Times New Roman" w:hAnsi="Times New Roman" w:cs="Times New Roman"/>
          <w:sz w:val="24"/>
          <w:szCs w:val="24"/>
        </w:rPr>
        <w:t xml:space="preserve"> regula</w:t>
      </w:r>
      <w:r w:rsidR="001F6BB8" w:rsidRPr="00712B16">
        <w:rPr>
          <w:rFonts w:ascii="Times New Roman" w:hAnsi="Times New Roman" w:cs="Times New Roman"/>
          <w:sz w:val="24"/>
          <w:szCs w:val="24"/>
        </w:rPr>
        <w:t>tory changes</w:t>
      </w:r>
      <w:r w:rsidR="00590ABA" w:rsidRPr="00712B16">
        <w:rPr>
          <w:rFonts w:ascii="Times New Roman" w:hAnsi="Times New Roman" w:cs="Times New Roman"/>
          <w:sz w:val="24"/>
          <w:szCs w:val="24"/>
        </w:rPr>
        <w:t>.</w:t>
      </w:r>
    </w:p>
    <w:bookmarkEnd w:id="6"/>
    <w:bookmarkEnd w:id="7"/>
    <w:bookmarkEnd w:id="8"/>
    <w:p w14:paraId="1CDEBEC6" w14:textId="77777777" w:rsidR="00B609D9" w:rsidRPr="00712B16" w:rsidRDefault="00B609D9" w:rsidP="00413B0F">
      <w:pPr>
        <w:spacing w:after="0" w:line="240" w:lineRule="auto"/>
        <w:rPr>
          <w:rFonts w:ascii="Times New Roman" w:hAnsi="Times New Roman" w:cs="Times New Roman"/>
          <w:sz w:val="24"/>
          <w:szCs w:val="24"/>
        </w:rPr>
      </w:pPr>
    </w:p>
    <w:p w14:paraId="1CF23098" w14:textId="3F8E83DC" w:rsidR="009032E8" w:rsidRPr="00712B16" w:rsidRDefault="00E051A3" w:rsidP="00E80AED">
      <w:pPr>
        <w:spacing w:after="0" w:line="240" w:lineRule="auto"/>
        <w:jc w:val="both"/>
      </w:pPr>
      <w:r w:rsidRPr="00712B16">
        <w:rPr>
          <w:rFonts w:ascii="Times New Roman" w:hAnsi="Times New Roman" w:cs="Times New Roman"/>
          <w:b/>
          <w:bCs/>
          <w:sz w:val="24"/>
          <w:szCs w:val="24"/>
        </w:rPr>
        <w:t>Keywords:</w:t>
      </w:r>
      <w:r w:rsidRPr="00712B16">
        <w:rPr>
          <w:rFonts w:ascii="Times New Roman" w:hAnsi="Times New Roman" w:cs="Times New Roman"/>
          <w:sz w:val="24"/>
          <w:szCs w:val="24"/>
        </w:rPr>
        <w:t xml:space="preserve"> </w:t>
      </w:r>
      <w:r w:rsidR="00297442" w:rsidRPr="00712B16">
        <w:rPr>
          <w:rFonts w:ascii="Times New Roman" w:hAnsi="Times New Roman" w:cs="Times New Roman"/>
          <w:sz w:val="24"/>
          <w:szCs w:val="24"/>
        </w:rPr>
        <w:t xml:space="preserve">Corporate social responsibility; </w:t>
      </w:r>
      <w:r w:rsidR="00D1567B" w:rsidRPr="00712B16">
        <w:rPr>
          <w:rFonts w:ascii="Times New Roman" w:hAnsi="Times New Roman" w:cs="Times New Roman"/>
          <w:sz w:val="24"/>
          <w:szCs w:val="24"/>
        </w:rPr>
        <w:t>global risk challenge</w:t>
      </w:r>
      <w:r w:rsidR="007C2526" w:rsidRPr="00712B16">
        <w:rPr>
          <w:rFonts w:ascii="Times New Roman" w:hAnsi="Times New Roman" w:cs="Times New Roman"/>
          <w:sz w:val="24"/>
          <w:szCs w:val="24"/>
        </w:rPr>
        <w:t>s</w:t>
      </w:r>
      <w:r w:rsidR="00297442" w:rsidRPr="00712B16">
        <w:rPr>
          <w:rFonts w:ascii="Times New Roman" w:hAnsi="Times New Roman" w:cs="Times New Roman"/>
          <w:sz w:val="24"/>
          <w:szCs w:val="24"/>
        </w:rPr>
        <w:t xml:space="preserve">; </w:t>
      </w:r>
      <w:r w:rsidR="005832CF" w:rsidRPr="00712B16">
        <w:rPr>
          <w:rFonts w:ascii="Times New Roman" w:hAnsi="Times New Roman" w:cs="Times New Roman"/>
          <w:sz w:val="24"/>
          <w:szCs w:val="24"/>
        </w:rPr>
        <w:t>net zero</w:t>
      </w:r>
      <w:r w:rsidR="009F3396" w:rsidRPr="00712B16">
        <w:rPr>
          <w:rFonts w:ascii="Times New Roman" w:hAnsi="Times New Roman" w:cs="Times New Roman"/>
          <w:sz w:val="24"/>
          <w:szCs w:val="24"/>
        </w:rPr>
        <w:t xml:space="preserve"> </w:t>
      </w:r>
      <w:r w:rsidRPr="00712B16">
        <w:rPr>
          <w:rFonts w:ascii="Times New Roman" w:hAnsi="Times New Roman" w:cs="Times New Roman"/>
          <w:sz w:val="24"/>
          <w:szCs w:val="24"/>
        </w:rPr>
        <w:t>target; real earnings management</w:t>
      </w:r>
      <w:r w:rsidR="00A61521" w:rsidRPr="00712B16">
        <w:rPr>
          <w:rFonts w:ascii="Times New Roman" w:hAnsi="Times New Roman" w:cs="Times New Roman"/>
          <w:sz w:val="24"/>
          <w:szCs w:val="24"/>
        </w:rPr>
        <w:t xml:space="preserve">; </w:t>
      </w:r>
      <w:r w:rsidR="00D1567B" w:rsidRPr="00712B16">
        <w:rPr>
          <w:rFonts w:ascii="Times New Roman" w:hAnsi="Times New Roman" w:cs="Times New Roman"/>
          <w:sz w:val="24"/>
          <w:szCs w:val="24"/>
        </w:rPr>
        <w:t>regulatory shock</w:t>
      </w:r>
      <w:r w:rsidR="00A61521" w:rsidRPr="00712B16">
        <w:rPr>
          <w:rFonts w:ascii="Times New Roman" w:hAnsi="Times New Roman" w:cs="Times New Roman"/>
          <w:sz w:val="24"/>
          <w:szCs w:val="24"/>
        </w:rPr>
        <w:t>.</w:t>
      </w:r>
      <w:bookmarkEnd w:id="1"/>
    </w:p>
    <w:p w14:paraId="123EF317" w14:textId="77777777" w:rsidR="009032E8" w:rsidRPr="00712B16" w:rsidRDefault="009032E8">
      <w:pPr>
        <w:pStyle w:val="Heading1"/>
        <w:spacing w:before="0" w:line="480" w:lineRule="auto"/>
        <w:jc w:val="both"/>
        <w:rPr>
          <w:rFonts w:ascii="Times New Roman" w:hAnsi="Times New Roman" w:cs="Times New Roman"/>
          <w:b/>
          <w:color w:val="auto"/>
          <w:sz w:val="24"/>
          <w:szCs w:val="24"/>
        </w:rPr>
        <w:sectPr w:rsidR="009032E8" w:rsidRPr="00712B16" w:rsidSect="00F35385">
          <w:pgSz w:w="11906" w:h="16838"/>
          <w:pgMar w:top="993" w:right="1797" w:bottom="1440" w:left="1797" w:header="709" w:footer="709" w:gutter="0"/>
          <w:pgNumType w:start="1"/>
          <w:cols w:space="708"/>
          <w:docGrid w:linePitch="360"/>
        </w:sectPr>
      </w:pPr>
    </w:p>
    <w:p w14:paraId="140071DB" w14:textId="076BADD6" w:rsidR="009032E8" w:rsidRPr="00712B16" w:rsidRDefault="00E051A3">
      <w:pPr>
        <w:pStyle w:val="Heading1"/>
        <w:spacing w:before="0" w:line="480" w:lineRule="auto"/>
        <w:jc w:val="both"/>
        <w:rPr>
          <w:rFonts w:ascii="Times New Roman" w:hAnsi="Times New Roman" w:cs="Times New Roman"/>
          <w:b/>
          <w:color w:val="auto"/>
          <w:sz w:val="24"/>
          <w:szCs w:val="24"/>
        </w:rPr>
      </w:pPr>
      <w:r w:rsidRPr="00712B16">
        <w:rPr>
          <w:rFonts w:ascii="Times New Roman" w:hAnsi="Times New Roman" w:cs="Times New Roman"/>
          <w:b/>
          <w:color w:val="auto"/>
          <w:sz w:val="24"/>
          <w:szCs w:val="24"/>
        </w:rPr>
        <w:lastRenderedPageBreak/>
        <w:t xml:space="preserve">1. </w:t>
      </w:r>
      <w:bookmarkEnd w:id="2"/>
      <w:r w:rsidRPr="00712B16">
        <w:rPr>
          <w:rFonts w:ascii="Times New Roman" w:hAnsi="Times New Roman" w:cs="Times New Roman"/>
          <w:b/>
          <w:color w:val="auto"/>
          <w:sz w:val="24"/>
          <w:szCs w:val="24"/>
        </w:rPr>
        <w:t xml:space="preserve">Introduction </w:t>
      </w:r>
    </w:p>
    <w:p w14:paraId="240EFEB4" w14:textId="37B005A2" w:rsidR="004E722F" w:rsidRPr="00712B16" w:rsidRDefault="005C710F" w:rsidP="00AB2F0B">
      <w:pPr>
        <w:spacing w:after="0" w:line="480" w:lineRule="auto"/>
        <w:jc w:val="both"/>
        <w:rPr>
          <w:rFonts w:ascii="Times New Roman" w:hAnsi="Times New Roman" w:cs="Times New Roman"/>
          <w:sz w:val="24"/>
          <w:szCs w:val="24"/>
        </w:rPr>
      </w:pPr>
      <w:bookmarkStart w:id="10" w:name="_Hlk119333672"/>
      <w:r w:rsidRPr="00712B16">
        <w:rPr>
          <w:rFonts w:ascii="Times New Roman" w:hAnsi="Times New Roman" w:cs="Times New Roman"/>
          <w:sz w:val="24"/>
          <w:szCs w:val="24"/>
        </w:rPr>
        <w:t>The adverse impact of climate change and extreme weather events has been well-documented in the literature (see, for example,</w:t>
      </w:r>
      <w:r w:rsidR="000B7A23" w:rsidRPr="00712B16">
        <w:rPr>
          <w:rFonts w:ascii="Times New Roman" w:hAnsi="Times New Roman" w:cs="Times New Roman"/>
          <w:sz w:val="24"/>
          <w:szCs w:val="24"/>
        </w:rPr>
        <w:t xml:space="preserve"> Do</w:t>
      </w:r>
      <w:r w:rsidR="00E67B90" w:rsidRPr="00712B16">
        <w:rPr>
          <w:rFonts w:ascii="Times New Roman" w:hAnsi="Times New Roman" w:cs="Times New Roman"/>
          <w:sz w:val="24"/>
          <w:szCs w:val="24"/>
        </w:rPr>
        <w:t xml:space="preserve"> </w:t>
      </w:r>
      <w:r w:rsidR="00E67B90" w:rsidRPr="00712B16">
        <w:rPr>
          <w:rFonts w:ascii="Times New Roman" w:hAnsi="Times New Roman" w:cs="Times New Roman"/>
          <w:i/>
          <w:sz w:val="24"/>
          <w:szCs w:val="24"/>
        </w:rPr>
        <w:t>et al</w:t>
      </w:r>
      <w:r w:rsidR="00E67B90" w:rsidRPr="00712B16">
        <w:rPr>
          <w:rFonts w:ascii="Times New Roman" w:hAnsi="Times New Roman" w:cs="Times New Roman"/>
          <w:sz w:val="24"/>
          <w:szCs w:val="24"/>
        </w:rPr>
        <w:t>.</w:t>
      </w:r>
      <w:r w:rsidR="000B7A23" w:rsidRPr="00712B16">
        <w:rPr>
          <w:rFonts w:ascii="Times New Roman" w:hAnsi="Times New Roman" w:cs="Times New Roman"/>
          <w:sz w:val="24"/>
          <w:szCs w:val="24"/>
        </w:rPr>
        <w:t xml:space="preserve">, 2021; Huynh </w:t>
      </w:r>
      <w:r w:rsidR="00AC7AF8" w:rsidRPr="00712B16">
        <w:rPr>
          <w:rFonts w:ascii="Times New Roman" w:hAnsi="Times New Roman" w:cs="Times New Roman"/>
          <w:i/>
          <w:sz w:val="24"/>
          <w:szCs w:val="24"/>
        </w:rPr>
        <w:t>et al</w:t>
      </w:r>
      <w:r w:rsidR="00AC7AF8" w:rsidRPr="00712B16">
        <w:rPr>
          <w:rFonts w:ascii="Times New Roman" w:hAnsi="Times New Roman" w:cs="Times New Roman"/>
          <w:sz w:val="24"/>
          <w:szCs w:val="24"/>
        </w:rPr>
        <w:t>.</w:t>
      </w:r>
      <w:r w:rsidR="000B7A23" w:rsidRPr="00712B16">
        <w:rPr>
          <w:rFonts w:ascii="Times New Roman" w:hAnsi="Times New Roman" w:cs="Times New Roman"/>
          <w:sz w:val="24"/>
          <w:szCs w:val="24"/>
        </w:rPr>
        <w:t xml:space="preserve">, 2020; </w:t>
      </w:r>
      <w:r w:rsidRPr="00712B16">
        <w:rPr>
          <w:rFonts w:ascii="Times New Roman" w:hAnsi="Times New Roman" w:cs="Times New Roman"/>
          <w:sz w:val="24"/>
          <w:szCs w:val="24"/>
        </w:rPr>
        <w:t xml:space="preserve">Shan </w:t>
      </w:r>
      <w:r w:rsidR="00B36D65" w:rsidRPr="00712B16">
        <w:rPr>
          <w:rFonts w:ascii="Times New Roman" w:hAnsi="Times New Roman" w:cs="Times New Roman"/>
          <w:sz w:val="24"/>
          <w:szCs w:val="24"/>
        </w:rPr>
        <w:t>&amp;</w:t>
      </w:r>
      <w:r w:rsidRPr="00712B16">
        <w:rPr>
          <w:rFonts w:ascii="Times New Roman" w:hAnsi="Times New Roman" w:cs="Times New Roman"/>
          <w:sz w:val="24"/>
          <w:szCs w:val="24"/>
        </w:rPr>
        <w:t xml:space="preserve"> Gong</w:t>
      </w:r>
      <w:r w:rsidR="000B7A23" w:rsidRPr="00712B16">
        <w:rPr>
          <w:rFonts w:ascii="Times New Roman" w:hAnsi="Times New Roman" w:cs="Times New Roman"/>
          <w:sz w:val="24"/>
          <w:szCs w:val="24"/>
        </w:rPr>
        <w:t>,</w:t>
      </w:r>
      <w:r w:rsidRPr="00712B16">
        <w:rPr>
          <w:rFonts w:ascii="Times New Roman" w:hAnsi="Times New Roman" w:cs="Times New Roman"/>
          <w:sz w:val="24"/>
          <w:szCs w:val="24"/>
        </w:rPr>
        <w:t xml:space="preserve"> 2012; </w:t>
      </w:r>
      <w:r w:rsidR="000B7A23" w:rsidRPr="00712B16">
        <w:rPr>
          <w:rFonts w:ascii="Times New Roman" w:hAnsi="Times New Roman" w:cs="Times New Roman"/>
          <w:noProof/>
          <w:sz w:val="24"/>
          <w:szCs w:val="24"/>
        </w:rPr>
        <w:t>Truong</w:t>
      </w:r>
      <w:r w:rsidR="00AC7AF8" w:rsidRPr="00712B16">
        <w:rPr>
          <w:rFonts w:ascii="Times New Roman" w:hAnsi="Times New Roman" w:cs="Times New Roman"/>
          <w:noProof/>
          <w:sz w:val="24"/>
          <w:szCs w:val="24"/>
        </w:rPr>
        <w:t xml:space="preserve"> </w:t>
      </w:r>
      <w:r w:rsidR="00AC7AF8" w:rsidRPr="00712B16">
        <w:rPr>
          <w:rFonts w:ascii="Times New Roman" w:hAnsi="Times New Roman" w:cs="Times New Roman"/>
          <w:i/>
          <w:sz w:val="24"/>
          <w:szCs w:val="24"/>
        </w:rPr>
        <w:t>et al</w:t>
      </w:r>
      <w:r w:rsidR="00AC7AF8" w:rsidRPr="00712B16">
        <w:rPr>
          <w:rFonts w:ascii="Times New Roman" w:hAnsi="Times New Roman" w:cs="Times New Roman"/>
          <w:sz w:val="24"/>
          <w:szCs w:val="24"/>
        </w:rPr>
        <w:t>.</w:t>
      </w:r>
      <w:r w:rsidR="000B7A23" w:rsidRPr="00712B16">
        <w:rPr>
          <w:rFonts w:ascii="Times New Roman" w:hAnsi="Times New Roman" w:cs="Times New Roman"/>
          <w:noProof/>
          <w:sz w:val="24"/>
          <w:szCs w:val="24"/>
        </w:rPr>
        <w:t>, 2020</w:t>
      </w:r>
      <w:r w:rsidRPr="00712B16">
        <w:rPr>
          <w:rFonts w:ascii="Times New Roman" w:hAnsi="Times New Roman" w:cs="Times New Roman"/>
          <w:sz w:val="24"/>
          <w:szCs w:val="24"/>
        </w:rPr>
        <w:t>).</w:t>
      </w:r>
      <w:r w:rsidR="00081F79" w:rsidRPr="00712B16">
        <w:rPr>
          <w:rStyle w:val="FootnoteReference"/>
          <w:rFonts w:ascii="Times New Roman" w:hAnsi="Times New Roman" w:cs="Times New Roman"/>
          <w:sz w:val="24"/>
          <w:szCs w:val="24"/>
        </w:rPr>
        <w:footnoteReference w:id="1"/>
      </w:r>
      <w:r w:rsidRPr="00712B16">
        <w:rPr>
          <w:rFonts w:ascii="Times New Roman" w:hAnsi="Times New Roman" w:cs="Times New Roman"/>
          <w:sz w:val="24"/>
          <w:szCs w:val="24"/>
        </w:rPr>
        <w:t xml:space="preserve"> </w:t>
      </w:r>
      <w:r w:rsidR="00FC18E7" w:rsidRPr="00712B16">
        <w:rPr>
          <w:rFonts w:ascii="Times New Roman" w:hAnsi="Times New Roman" w:cs="Times New Roman"/>
          <w:sz w:val="24"/>
          <w:szCs w:val="24"/>
        </w:rPr>
        <w:t xml:space="preserve">Climate change is a major global risk challenge due to its widespread and interconnected impacts on the environment, economy, health, and security. </w:t>
      </w:r>
      <w:r w:rsidRPr="00712B16">
        <w:rPr>
          <w:rFonts w:ascii="Times New Roman" w:hAnsi="Times New Roman" w:cs="Times New Roman"/>
          <w:sz w:val="24"/>
          <w:szCs w:val="24"/>
        </w:rPr>
        <w:t>In</w:t>
      </w:r>
      <w:r w:rsidR="00FF2A3C" w:rsidRPr="00712B16">
        <w:rPr>
          <w:rFonts w:ascii="Times New Roman" w:hAnsi="Times New Roman" w:cs="Times New Roman"/>
          <w:sz w:val="24"/>
          <w:szCs w:val="24"/>
        </w:rPr>
        <w:t xml:space="preserve"> mitigat</w:t>
      </w:r>
      <w:r w:rsidRPr="00712B16">
        <w:rPr>
          <w:rFonts w:ascii="Times New Roman" w:hAnsi="Times New Roman" w:cs="Times New Roman"/>
          <w:sz w:val="24"/>
          <w:szCs w:val="24"/>
        </w:rPr>
        <w:t>ing</w:t>
      </w:r>
      <w:r w:rsidR="00FF2A3C" w:rsidRPr="00712B16">
        <w:rPr>
          <w:rFonts w:ascii="Times New Roman" w:hAnsi="Times New Roman" w:cs="Times New Roman"/>
          <w:sz w:val="24"/>
          <w:szCs w:val="24"/>
        </w:rPr>
        <w:t xml:space="preserve"> the adverse impact of climate change on human well-being and the environment, the Paris Agreement (COP21) proposed a 45% decrease in CO2 emissions by 2030 and a </w:t>
      </w:r>
      <w:r w:rsidR="005832CF" w:rsidRPr="00712B16">
        <w:rPr>
          <w:rFonts w:ascii="Times New Roman" w:hAnsi="Times New Roman" w:cs="Times New Roman"/>
          <w:sz w:val="24"/>
          <w:szCs w:val="24"/>
        </w:rPr>
        <w:t>net zero</w:t>
      </w:r>
      <w:r w:rsidR="004F6E4A" w:rsidRPr="00712B16">
        <w:rPr>
          <w:rFonts w:ascii="Times New Roman" w:hAnsi="Times New Roman" w:cs="Times New Roman"/>
          <w:sz w:val="24"/>
          <w:szCs w:val="24"/>
        </w:rPr>
        <w:t xml:space="preserve"> carbon</w:t>
      </w:r>
      <w:r w:rsidR="00FF2A3C" w:rsidRPr="00712B16">
        <w:rPr>
          <w:rFonts w:ascii="Times New Roman" w:hAnsi="Times New Roman" w:cs="Times New Roman"/>
          <w:sz w:val="24"/>
          <w:szCs w:val="24"/>
        </w:rPr>
        <w:t xml:space="preserve"> emissions target</w:t>
      </w:r>
      <w:r w:rsidR="007335E8" w:rsidRPr="00712B16">
        <w:rPr>
          <w:rFonts w:ascii="Times New Roman" w:hAnsi="Times New Roman" w:cs="Times New Roman"/>
          <w:sz w:val="24"/>
          <w:szCs w:val="24"/>
        </w:rPr>
        <w:t>,</w:t>
      </w:r>
      <w:r w:rsidR="00A86DDB" w:rsidRPr="00712B16">
        <w:rPr>
          <w:rFonts w:ascii="Times New Roman" w:hAnsi="Times New Roman" w:cs="Times New Roman"/>
          <w:sz w:val="24"/>
          <w:szCs w:val="24"/>
        </w:rPr>
        <w:t xml:space="preserve"> </w:t>
      </w:r>
      <w:r w:rsidR="00A169F6" w:rsidRPr="00712B16">
        <w:rPr>
          <w:rFonts w:ascii="Times New Roman" w:hAnsi="Times New Roman" w:cs="Times New Roman"/>
          <w:sz w:val="24"/>
          <w:szCs w:val="24"/>
        </w:rPr>
        <w:t>hereafter referred to</w:t>
      </w:r>
      <w:r w:rsidR="007335E8" w:rsidRPr="00712B16">
        <w:rPr>
          <w:rFonts w:ascii="Times New Roman" w:hAnsi="Times New Roman" w:cs="Times New Roman"/>
          <w:sz w:val="24"/>
          <w:szCs w:val="24"/>
        </w:rPr>
        <w:t xml:space="preserve"> as a </w:t>
      </w:r>
      <w:r w:rsidR="005832CF" w:rsidRPr="00712B16">
        <w:rPr>
          <w:rFonts w:ascii="Times New Roman" w:hAnsi="Times New Roman" w:cs="Times New Roman"/>
          <w:sz w:val="24"/>
          <w:szCs w:val="24"/>
        </w:rPr>
        <w:t>net zero</w:t>
      </w:r>
      <w:r w:rsidR="007335E8" w:rsidRPr="00712B16">
        <w:rPr>
          <w:rFonts w:ascii="Times New Roman" w:hAnsi="Times New Roman" w:cs="Times New Roman"/>
          <w:sz w:val="24"/>
          <w:szCs w:val="24"/>
        </w:rPr>
        <w:t xml:space="preserve"> target</w:t>
      </w:r>
      <w:r w:rsidR="00FF2A3C" w:rsidRPr="00712B16">
        <w:rPr>
          <w:rFonts w:ascii="Times New Roman" w:hAnsi="Times New Roman" w:cs="Times New Roman"/>
          <w:sz w:val="24"/>
          <w:szCs w:val="24"/>
        </w:rPr>
        <w:t xml:space="preserve"> by 2050 (United Nations</w:t>
      </w:r>
      <w:r w:rsidR="0072544F" w:rsidRPr="00712B16">
        <w:rPr>
          <w:rFonts w:ascii="Times New Roman" w:hAnsi="Times New Roman" w:cs="Times New Roman"/>
          <w:sz w:val="24"/>
          <w:szCs w:val="24"/>
        </w:rPr>
        <w:t>,</w:t>
      </w:r>
      <w:r w:rsidR="005B6484" w:rsidRPr="00712B16">
        <w:rPr>
          <w:rFonts w:ascii="Times New Roman" w:hAnsi="Times New Roman" w:cs="Times New Roman"/>
          <w:sz w:val="24"/>
          <w:szCs w:val="24"/>
        </w:rPr>
        <w:t xml:space="preserve"> </w:t>
      </w:r>
      <w:r w:rsidR="00FF2A3C" w:rsidRPr="00712B16">
        <w:rPr>
          <w:rFonts w:ascii="Times New Roman" w:hAnsi="Times New Roman" w:cs="Times New Roman"/>
          <w:sz w:val="24"/>
          <w:szCs w:val="24"/>
        </w:rPr>
        <w:t xml:space="preserve">2022). </w:t>
      </w:r>
      <w:r w:rsidR="003B4BFB" w:rsidRPr="00712B16">
        <w:rPr>
          <w:rFonts w:ascii="Times New Roman" w:hAnsi="Times New Roman" w:cs="Times New Roman"/>
          <w:sz w:val="24"/>
          <w:szCs w:val="24"/>
        </w:rPr>
        <w:t xml:space="preserve">Given that the </w:t>
      </w:r>
      <w:r w:rsidR="005832CF" w:rsidRPr="00712B16">
        <w:rPr>
          <w:rFonts w:ascii="Times New Roman" w:hAnsi="Times New Roman" w:cs="Times New Roman"/>
          <w:sz w:val="24"/>
          <w:szCs w:val="24"/>
        </w:rPr>
        <w:t>net zero</w:t>
      </w:r>
      <w:r w:rsidR="003B4BFB" w:rsidRPr="00712B16">
        <w:rPr>
          <w:rFonts w:ascii="Times New Roman" w:hAnsi="Times New Roman" w:cs="Times New Roman"/>
          <w:sz w:val="24"/>
          <w:szCs w:val="24"/>
        </w:rPr>
        <w:t xml:space="preserve"> target has become a global rallying cry and requires substantial financial support, it is crucial to investigate the economic outcomes and/or consequences</w:t>
      </w:r>
      <w:r w:rsidR="0003562B" w:rsidRPr="00712B16">
        <w:rPr>
          <w:rFonts w:ascii="Times New Roman" w:hAnsi="Times New Roman" w:cs="Times New Roman"/>
          <w:sz w:val="24"/>
          <w:szCs w:val="24"/>
        </w:rPr>
        <w:t xml:space="preserve"> </w:t>
      </w:r>
      <w:r w:rsidR="00E6748C" w:rsidRPr="00712B16">
        <w:rPr>
          <w:rFonts w:ascii="Times New Roman" w:hAnsi="Times New Roman" w:cs="Times New Roman"/>
          <w:sz w:val="24"/>
          <w:szCs w:val="24"/>
        </w:rPr>
        <w:t>for</w:t>
      </w:r>
      <w:r w:rsidR="0003562B" w:rsidRPr="00712B16">
        <w:rPr>
          <w:rFonts w:ascii="Times New Roman" w:hAnsi="Times New Roman" w:cs="Times New Roman"/>
          <w:sz w:val="24"/>
          <w:szCs w:val="24"/>
        </w:rPr>
        <w:t xml:space="preserve"> firms that commit</w:t>
      </w:r>
      <w:r w:rsidR="003B4BFB" w:rsidRPr="00712B16">
        <w:rPr>
          <w:rFonts w:ascii="Times New Roman" w:hAnsi="Times New Roman" w:cs="Times New Roman"/>
          <w:sz w:val="24"/>
          <w:szCs w:val="24"/>
        </w:rPr>
        <w:t xml:space="preserve"> </w:t>
      </w:r>
      <w:r w:rsidR="00E6748C" w:rsidRPr="00712B16">
        <w:rPr>
          <w:rFonts w:ascii="Times New Roman" w:hAnsi="Times New Roman" w:cs="Times New Roman"/>
          <w:sz w:val="24"/>
          <w:szCs w:val="24"/>
        </w:rPr>
        <w:t>to</w:t>
      </w:r>
      <w:r w:rsidR="003B4BFB" w:rsidRPr="00712B16">
        <w:rPr>
          <w:rFonts w:ascii="Times New Roman" w:hAnsi="Times New Roman" w:cs="Times New Roman"/>
          <w:sz w:val="24"/>
          <w:szCs w:val="24"/>
        </w:rPr>
        <w:t xml:space="preserve"> </w:t>
      </w:r>
      <w:r w:rsidR="0003562B" w:rsidRPr="00712B16">
        <w:rPr>
          <w:rFonts w:ascii="Times New Roman" w:hAnsi="Times New Roman" w:cs="Times New Roman"/>
          <w:sz w:val="24"/>
          <w:szCs w:val="24"/>
        </w:rPr>
        <w:t>moving</w:t>
      </w:r>
      <w:r w:rsidR="003B4BFB" w:rsidRPr="00712B16">
        <w:rPr>
          <w:rFonts w:ascii="Times New Roman" w:hAnsi="Times New Roman" w:cs="Times New Roman"/>
          <w:sz w:val="24"/>
          <w:szCs w:val="24"/>
        </w:rPr>
        <w:t xml:space="preserve"> </w:t>
      </w:r>
      <w:r w:rsidR="0023685A" w:rsidRPr="00712B16">
        <w:rPr>
          <w:rFonts w:ascii="Times New Roman" w:hAnsi="Times New Roman" w:cs="Times New Roman"/>
          <w:sz w:val="24"/>
          <w:szCs w:val="24"/>
        </w:rPr>
        <w:t>toward</w:t>
      </w:r>
      <w:r w:rsidR="003B4BFB" w:rsidRPr="00712B16">
        <w:rPr>
          <w:rFonts w:ascii="Times New Roman" w:hAnsi="Times New Roman" w:cs="Times New Roman"/>
          <w:sz w:val="24"/>
          <w:szCs w:val="24"/>
        </w:rPr>
        <w:t xml:space="preserve"> the </w:t>
      </w:r>
      <w:r w:rsidR="005832CF" w:rsidRPr="00712B16">
        <w:rPr>
          <w:rFonts w:ascii="Times New Roman" w:hAnsi="Times New Roman" w:cs="Times New Roman"/>
          <w:sz w:val="24"/>
          <w:szCs w:val="24"/>
        </w:rPr>
        <w:t>net zero</w:t>
      </w:r>
      <w:r w:rsidR="003B4BFB" w:rsidRPr="00712B16">
        <w:rPr>
          <w:rFonts w:ascii="Times New Roman" w:hAnsi="Times New Roman" w:cs="Times New Roman"/>
          <w:sz w:val="24"/>
          <w:szCs w:val="24"/>
        </w:rPr>
        <w:t xml:space="preserve"> target</w:t>
      </w:r>
      <w:r w:rsidR="00784AF9" w:rsidRPr="00712B16">
        <w:rPr>
          <w:rFonts w:ascii="Times New Roman" w:hAnsi="Times New Roman" w:cs="Times New Roman"/>
          <w:sz w:val="24"/>
          <w:szCs w:val="24"/>
        </w:rPr>
        <w:t>s</w:t>
      </w:r>
      <w:r w:rsidR="003B4BFB" w:rsidRPr="00712B16">
        <w:rPr>
          <w:rFonts w:ascii="Times New Roman" w:hAnsi="Times New Roman" w:cs="Times New Roman"/>
          <w:sz w:val="24"/>
          <w:szCs w:val="24"/>
        </w:rPr>
        <w:t xml:space="preserve">. As such, this study examines the real earnings management (REM) among firms subjected to regulatory changes associated with countries </w:t>
      </w:r>
      <w:r w:rsidR="00F6357C" w:rsidRPr="00712B16">
        <w:rPr>
          <w:rFonts w:ascii="Times New Roman" w:hAnsi="Times New Roman" w:cs="Times New Roman"/>
          <w:sz w:val="24"/>
          <w:szCs w:val="24"/>
        </w:rPr>
        <w:t>committing</w:t>
      </w:r>
      <w:r w:rsidR="00510E73" w:rsidRPr="00712B16">
        <w:rPr>
          <w:rFonts w:ascii="Times New Roman" w:hAnsi="Times New Roman" w:cs="Times New Roman"/>
          <w:sz w:val="24"/>
          <w:szCs w:val="24"/>
        </w:rPr>
        <w:t xml:space="preserve"> to</w:t>
      </w:r>
      <w:r w:rsidR="003B4BFB" w:rsidRPr="00712B16">
        <w:rPr>
          <w:rFonts w:ascii="Times New Roman" w:hAnsi="Times New Roman" w:cs="Times New Roman"/>
          <w:sz w:val="24"/>
          <w:szCs w:val="24"/>
        </w:rPr>
        <w:t xml:space="preserve"> a </w:t>
      </w:r>
      <w:r w:rsidR="005832CF" w:rsidRPr="00712B16">
        <w:rPr>
          <w:rFonts w:ascii="Times New Roman" w:hAnsi="Times New Roman" w:cs="Times New Roman"/>
          <w:sz w:val="24"/>
          <w:szCs w:val="24"/>
        </w:rPr>
        <w:t>net zero</w:t>
      </w:r>
      <w:r w:rsidR="003B4BFB" w:rsidRPr="00712B16">
        <w:rPr>
          <w:rFonts w:ascii="Times New Roman" w:hAnsi="Times New Roman" w:cs="Times New Roman"/>
          <w:sz w:val="24"/>
          <w:szCs w:val="24"/>
        </w:rPr>
        <w:t xml:space="preserve"> target in which firms are headquartered.</w:t>
      </w:r>
    </w:p>
    <w:p w14:paraId="0B477BF1" w14:textId="2CEDC438" w:rsidR="00FC650D" w:rsidRPr="00712B16" w:rsidRDefault="00FC650D" w:rsidP="00AB2F0B">
      <w:pPr>
        <w:spacing w:after="0" w:line="480" w:lineRule="auto"/>
        <w:jc w:val="both"/>
        <w:rPr>
          <w:rFonts w:ascii="Times New Roman" w:hAnsi="Times New Roman" w:cs="Times New Roman"/>
          <w:bCs/>
          <w:iCs/>
          <w:sz w:val="24"/>
          <w:szCs w:val="24"/>
        </w:rPr>
      </w:pPr>
      <w:r w:rsidRPr="00712B16">
        <w:rPr>
          <w:rFonts w:ascii="Times New Roman" w:hAnsi="Times New Roman" w:cs="Times New Roman"/>
          <w:sz w:val="24"/>
          <w:szCs w:val="24"/>
        </w:rPr>
        <w:tab/>
        <w:t xml:space="preserve">From a theoretical perspective, there are three mechanisms through which national-level </w:t>
      </w:r>
      <w:r w:rsidR="005832CF" w:rsidRPr="00712B16">
        <w:rPr>
          <w:rFonts w:ascii="Times New Roman" w:hAnsi="Times New Roman" w:cs="Times New Roman"/>
          <w:sz w:val="24"/>
          <w:szCs w:val="24"/>
        </w:rPr>
        <w:t>net zero</w:t>
      </w:r>
      <w:r w:rsidRPr="00712B16">
        <w:rPr>
          <w:rFonts w:ascii="Times New Roman" w:hAnsi="Times New Roman" w:cs="Times New Roman"/>
          <w:sz w:val="24"/>
          <w:szCs w:val="24"/>
        </w:rPr>
        <w:t xml:space="preserve"> commitments can influence </w:t>
      </w:r>
      <w:r w:rsidR="00E223E8" w:rsidRPr="00712B16">
        <w:rPr>
          <w:rFonts w:ascii="Times New Roman" w:hAnsi="Times New Roman" w:cs="Times New Roman"/>
          <w:sz w:val="24"/>
          <w:szCs w:val="24"/>
        </w:rPr>
        <w:t xml:space="preserve">managers’ </w:t>
      </w:r>
      <w:r w:rsidRPr="00712B16">
        <w:rPr>
          <w:rFonts w:ascii="Times New Roman" w:hAnsi="Times New Roman" w:cs="Times New Roman"/>
          <w:sz w:val="24"/>
          <w:szCs w:val="24"/>
        </w:rPr>
        <w:t xml:space="preserve">REM decisions, namely </w:t>
      </w:r>
      <w:proofErr w:type="spellStart"/>
      <w:r w:rsidRPr="00712B16">
        <w:rPr>
          <w:rFonts w:ascii="Times New Roman" w:hAnsi="Times New Roman" w:cs="Times New Roman"/>
          <w:sz w:val="24"/>
          <w:szCs w:val="24"/>
        </w:rPr>
        <w:t>i</w:t>
      </w:r>
      <w:proofErr w:type="spellEnd"/>
      <w:r w:rsidRPr="00712B16">
        <w:rPr>
          <w:rFonts w:ascii="Times New Roman" w:hAnsi="Times New Roman" w:cs="Times New Roman"/>
          <w:sz w:val="24"/>
          <w:szCs w:val="24"/>
        </w:rPr>
        <w:t xml:space="preserve">) Regulatory uncertainty and anticipated compliance costs, ii) legitimacy pressures and stakeholder scrutiny, and iii) capital market expectations and transition risk pricing. First, </w:t>
      </w:r>
      <w:r w:rsidRPr="00712B16">
        <w:rPr>
          <w:rFonts w:ascii="Times New Roman" w:hAnsi="Times New Roman" w:cs="Times New Roman"/>
          <w:bCs/>
          <w:iCs/>
          <w:sz w:val="24"/>
          <w:szCs w:val="24"/>
        </w:rPr>
        <w:t xml:space="preserve">national </w:t>
      </w:r>
      <w:r w:rsidR="00897E37" w:rsidRPr="00712B16">
        <w:rPr>
          <w:rFonts w:ascii="Times New Roman" w:hAnsi="Times New Roman" w:cs="Times New Roman"/>
          <w:bCs/>
          <w:iCs/>
          <w:sz w:val="24"/>
          <w:szCs w:val="24"/>
        </w:rPr>
        <w:t>commitment to the</w:t>
      </w:r>
      <w:r w:rsidRPr="00712B16">
        <w:rPr>
          <w:rFonts w:ascii="Times New Roman" w:hAnsi="Times New Roman" w:cs="Times New Roman"/>
          <w:bCs/>
          <w:iCs/>
          <w:sz w:val="24"/>
          <w:szCs w:val="24"/>
        </w:rPr>
        <w:t xml:space="preserve"> </w:t>
      </w:r>
      <w:r w:rsidR="005832CF" w:rsidRPr="00712B16">
        <w:rPr>
          <w:rFonts w:ascii="Times New Roman" w:hAnsi="Times New Roman" w:cs="Times New Roman"/>
          <w:bCs/>
          <w:iCs/>
          <w:sz w:val="24"/>
          <w:szCs w:val="24"/>
        </w:rPr>
        <w:t>net zero</w:t>
      </w:r>
      <w:r w:rsidRPr="00712B16">
        <w:rPr>
          <w:rFonts w:ascii="Times New Roman" w:hAnsi="Times New Roman" w:cs="Times New Roman"/>
          <w:bCs/>
          <w:iCs/>
          <w:sz w:val="24"/>
          <w:szCs w:val="24"/>
        </w:rPr>
        <w:t xml:space="preserve"> targets should signal to </w:t>
      </w:r>
      <w:r w:rsidR="00E223E8" w:rsidRPr="00712B16">
        <w:rPr>
          <w:rFonts w:ascii="Times New Roman" w:hAnsi="Times New Roman" w:cs="Times New Roman"/>
          <w:bCs/>
          <w:iCs/>
          <w:sz w:val="24"/>
          <w:szCs w:val="24"/>
        </w:rPr>
        <w:t xml:space="preserve">firms </w:t>
      </w:r>
      <w:r w:rsidRPr="00712B16">
        <w:rPr>
          <w:rFonts w:ascii="Times New Roman" w:hAnsi="Times New Roman" w:cs="Times New Roman"/>
          <w:bCs/>
          <w:iCs/>
          <w:sz w:val="24"/>
          <w:szCs w:val="24"/>
        </w:rPr>
        <w:t>the likelihood of more stringent regulatory measures (e.g., carbon pricing, mandatory disclosure, or industry-specific transition plans). This</w:t>
      </w:r>
      <w:r w:rsidR="00FF0ED3" w:rsidRPr="00712B16">
        <w:rPr>
          <w:rFonts w:ascii="Times New Roman" w:hAnsi="Times New Roman" w:cs="Times New Roman"/>
          <w:bCs/>
          <w:iCs/>
          <w:sz w:val="24"/>
          <w:szCs w:val="24"/>
        </w:rPr>
        <w:t>,</w:t>
      </w:r>
      <w:r w:rsidRPr="00712B16">
        <w:rPr>
          <w:rFonts w:ascii="Times New Roman" w:hAnsi="Times New Roman" w:cs="Times New Roman"/>
          <w:bCs/>
          <w:iCs/>
          <w:sz w:val="24"/>
          <w:szCs w:val="24"/>
        </w:rPr>
        <w:t xml:space="preserve"> in turn</w:t>
      </w:r>
      <w:r w:rsidR="00FF0ED3" w:rsidRPr="00712B16">
        <w:rPr>
          <w:rFonts w:ascii="Times New Roman" w:hAnsi="Times New Roman" w:cs="Times New Roman"/>
          <w:bCs/>
          <w:iCs/>
          <w:sz w:val="24"/>
          <w:szCs w:val="24"/>
        </w:rPr>
        <w:t>,</w:t>
      </w:r>
      <w:r w:rsidRPr="00712B16">
        <w:rPr>
          <w:rFonts w:ascii="Times New Roman" w:hAnsi="Times New Roman" w:cs="Times New Roman"/>
          <w:bCs/>
          <w:iCs/>
          <w:sz w:val="24"/>
          <w:szCs w:val="24"/>
        </w:rPr>
        <w:t xml:space="preserve"> creates uncertainty about future </w:t>
      </w:r>
      <w:r w:rsidRPr="00712B16">
        <w:rPr>
          <w:rFonts w:ascii="Times New Roman" w:hAnsi="Times New Roman" w:cs="Times New Roman"/>
          <w:bCs/>
          <w:iCs/>
          <w:sz w:val="24"/>
          <w:szCs w:val="24"/>
        </w:rPr>
        <w:lastRenderedPageBreak/>
        <w:t>operating costs and performance benchmarks</w:t>
      </w:r>
      <w:r w:rsidR="00E223E8" w:rsidRPr="00712B16">
        <w:rPr>
          <w:rFonts w:ascii="Times New Roman" w:hAnsi="Times New Roman" w:cs="Times New Roman"/>
          <w:bCs/>
          <w:iCs/>
          <w:sz w:val="24"/>
          <w:szCs w:val="24"/>
        </w:rPr>
        <w:t>,</w:t>
      </w:r>
      <w:r w:rsidRPr="00712B16">
        <w:rPr>
          <w:rFonts w:ascii="Times New Roman" w:hAnsi="Times New Roman" w:cs="Times New Roman"/>
          <w:bCs/>
          <w:iCs/>
          <w:sz w:val="24"/>
          <w:szCs w:val="24"/>
        </w:rPr>
        <w:t xml:space="preserve"> and such uncertainty incentivizes managers to use REM to present a smoother earnings trajectory (Francis </w:t>
      </w:r>
      <w:r w:rsidRPr="00712B16">
        <w:rPr>
          <w:rFonts w:ascii="Times New Roman" w:hAnsi="Times New Roman" w:cs="Times New Roman"/>
          <w:bCs/>
          <w:i/>
          <w:sz w:val="24"/>
          <w:szCs w:val="24"/>
        </w:rPr>
        <w:t>et al</w:t>
      </w:r>
      <w:r w:rsidRPr="00712B16">
        <w:rPr>
          <w:rFonts w:ascii="Times New Roman" w:hAnsi="Times New Roman" w:cs="Times New Roman"/>
          <w:bCs/>
          <w:iCs/>
          <w:sz w:val="24"/>
          <w:szCs w:val="24"/>
        </w:rPr>
        <w:t xml:space="preserve">., 2004; Ilhan </w:t>
      </w:r>
      <w:r w:rsidRPr="00712B16">
        <w:rPr>
          <w:rFonts w:ascii="Times New Roman" w:hAnsi="Times New Roman" w:cs="Times New Roman"/>
          <w:bCs/>
          <w:i/>
          <w:sz w:val="24"/>
          <w:szCs w:val="24"/>
        </w:rPr>
        <w:t>et al</w:t>
      </w:r>
      <w:r w:rsidRPr="00712B16">
        <w:rPr>
          <w:rFonts w:ascii="Times New Roman" w:hAnsi="Times New Roman" w:cs="Times New Roman"/>
          <w:bCs/>
          <w:iCs/>
          <w:sz w:val="24"/>
          <w:szCs w:val="24"/>
        </w:rPr>
        <w:t xml:space="preserve">., 2023). Second, firms headquartered in countries with formal </w:t>
      </w:r>
      <w:r w:rsidR="005832CF" w:rsidRPr="00712B16">
        <w:rPr>
          <w:rFonts w:ascii="Times New Roman" w:hAnsi="Times New Roman" w:cs="Times New Roman"/>
          <w:bCs/>
          <w:iCs/>
          <w:sz w:val="24"/>
          <w:szCs w:val="24"/>
        </w:rPr>
        <w:t>net zero</w:t>
      </w:r>
      <w:r w:rsidRPr="00712B16">
        <w:rPr>
          <w:rFonts w:ascii="Times New Roman" w:hAnsi="Times New Roman" w:cs="Times New Roman"/>
          <w:bCs/>
          <w:iCs/>
          <w:sz w:val="24"/>
          <w:szCs w:val="24"/>
        </w:rPr>
        <w:t xml:space="preserve"> </w:t>
      </w:r>
      <w:r w:rsidR="0023685A" w:rsidRPr="00712B16">
        <w:rPr>
          <w:rFonts w:ascii="Times New Roman" w:hAnsi="Times New Roman" w:cs="Times New Roman"/>
          <w:bCs/>
          <w:iCs/>
          <w:sz w:val="24"/>
          <w:szCs w:val="24"/>
        </w:rPr>
        <w:t>targets</w:t>
      </w:r>
      <w:r w:rsidRPr="00712B16">
        <w:rPr>
          <w:rFonts w:ascii="Times New Roman" w:hAnsi="Times New Roman" w:cs="Times New Roman"/>
          <w:bCs/>
          <w:iCs/>
          <w:sz w:val="24"/>
          <w:szCs w:val="24"/>
        </w:rPr>
        <w:t xml:space="preserve"> should face heightened legitimacy threats if they are perceived as lagging in climate preparedness (Suchman, 1995; Patten, 2002). Managers may respond by engaging in REM to demonstrate short-term resilience, particularly in carbon-intensive sectors. Finally, there is strong evidence that investors in global capital markets increasingly factor national climate commitments into risk assessments and capital allocation (Bolton &amp; </w:t>
      </w:r>
      <w:proofErr w:type="spellStart"/>
      <w:r w:rsidRPr="00712B16">
        <w:rPr>
          <w:rFonts w:ascii="Times New Roman" w:hAnsi="Times New Roman" w:cs="Times New Roman"/>
          <w:bCs/>
          <w:iCs/>
          <w:sz w:val="24"/>
          <w:szCs w:val="24"/>
        </w:rPr>
        <w:t>Kacperczyk</w:t>
      </w:r>
      <w:proofErr w:type="spellEnd"/>
      <w:r w:rsidRPr="00712B16">
        <w:rPr>
          <w:rFonts w:ascii="Times New Roman" w:hAnsi="Times New Roman" w:cs="Times New Roman"/>
          <w:bCs/>
          <w:iCs/>
          <w:sz w:val="24"/>
          <w:szCs w:val="24"/>
        </w:rPr>
        <w:t xml:space="preserve">, 2021; Krueger </w:t>
      </w:r>
      <w:r w:rsidRPr="00712B16">
        <w:rPr>
          <w:rFonts w:ascii="Times New Roman" w:hAnsi="Times New Roman" w:cs="Times New Roman"/>
          <w:bCs/>
          <w:i/>
          <w:iCs/>
          <w:sz w:val="24"/>
          <w:szCs w:val="24"/>
        </w:rPr>
        <w:t>et al</w:t>
      </w:r>
      <w:r w:rsidRPr="00712B16">
        <w:rPr>
          <w:rFonts w:ascii="Times New Roman" w:hAnsi="Times New Roman" w:cs="Times New Roman"/>
          <w:bCs/>
          <w:iCs/>
          <w:sz w:val="24"/>
          <w:szCs w:val="24"/>
        </w:rPr>
        <w:t>., 2020). Thus, managers may engage in REM</w:t>
      </w:r>
      <w:r w:rsidR="00454B86" w:rsidRPr="00712B16">
        <w:rPr>
          <w:rFonts w:ascii="Times New Roman" w:hAnsi="Times New Roman" w:cs="Times New Roman"/>
          <w:bCs/>
          <w:iCs/>
          <w:sz w:val="24"/>
          <w:szCs w:val="24"/>
        </w:rPr>
        <w:t xml:space="preserve"> </w:t>
      </w:r>
      <w:r w:rsidRPr="00712B16">
        <w:rPr>
          <w:rFonts w:ascii="Times New Roman" w:hAnsi="Times New Roman" w:cs="Times New Roman"/>
          <w:bCs/>
          <w:iCs/>
          <w:sz w:val="24"/>
          <w:szCs w:val="24"/>
        </w:rPr>
        <w:t>to meet heightened performance expectations under climate-constrained scenarios</w:t>
      </w:r>
      <w:r w:rsidR="00454B86" w:rsidRPr="00712B16">
        <w:rPr>
          <w:rFonts w:ascii="Times New Roman" w:hAnsi="Times New Roman" w:cs="Times New Roman"/>
          <w:bCs/>
          <w:iCs/>
          <w:sz w:val="24"/>
          <w:szCs w:val="24"/>
        </w:rPr>
        <w:t>.</w:t>
      </w:r>
    </w:p>
    <w:p w14:paraId="3478452D" w14:textId="410B44E8" w:rsidR="00B63B27" w:rsidRPr="00712B16" w:rsidRDefault="00B63B27" w:rsidP="00B63B27">
      <w:pPr>
        <w:spacing w:after="0" w:line="480" w:lineRule="auto"/>
        <w:ind w:firstLine="567"/>
        <w:jc w:val="both"/>
        <w:rPr>
          <w:rFonts w:ascii="Times New Roman" w:hAnsi="Times New Roman" w:cs="Times New Roman"/>
          <w:sz w:val="24"/>
          <w:szCs w:val="24"/>
        </w:rPr>
      </w:pPr>
      <w:r w:rsidRPr="00712B16">
        <w:rPr>
          <w:rFonts w:ascii="Times New Roman" w:hAnsi="Times New Roman" w:cs="Times New Roman"/>
          <w:sz w:val="24"/>
          <w:szCs w:val="24"/>
        </w:rPr>
        <w:t xml:space="preserve">There is ample evidence that eliminating excessive carbon emissions requires substantial costs and significant funding, as operational transformations are necessary. It is crucial to consider how firms operating in countries that </w:t>
      </w:r>
      <w:r w:rsidR="0011427C" w:rsidRPr="00712B16">
        <w:rPr>
          <w:rFonts w:ascii="Times New Roman" w:hAnsi="Times New Roman" w:cs="Times New Roman"/>
          <w:sz w:val="24"/>
          <w:szCs w:val="24"/>
        </w:rPr>
        <w:t xml:space="preserve">have </w:t>
      </w:r>
      <w:r w:rsidR="00510E73" w:rsidRPr="00712B16">
        <w:rPr>
          <w:rFonts w:ascii="Times New Roman" w:hAnsi="Times New Roman" w:cs="Times New Roman"/>
          <w:sz w:val="24"/>
          <w:szCs w:val="24"/>
        </w:rPr>
        <w:t>committed to</w:t>
      </w:r>
      <w:r w:rsidRPr="00712B16">
        <w:rPr>
          <w:rFonts w:ascii="Times New Roman" w:hAnsi="Times New Roman" w:cs="Times New Roman"/>
          <w:sz w:val="24"/>
          <w:szCs w:val="24"/>
        </w:rPr>
        <w:t xml:space="preserve"> a </w:t>
      </w:r>
      <w:r w:rsidR="005832CF" w:rsidRPr="00712B16">
        <w:rPr>
          <w:rFonts w:ascii="Times New Roman" w:hAnsi="Times New Roman" w:cs="Times New Roman"/>
          <w:sz w:val="24"/>
          <w:szCs w:val="24"/>
        </w:rPr>
        <w:t>net zero</w:t>
      </w:r>
      <w:r w:rsidRPr="00712B16">
        <w:rPr>
          <w:rFonts w:ascii="Times New Roman" w:hAnsi="Times New Roman" w:cs="Times New Roman"/>
          <w:sz w:val="24"/>
          <w:szCs w:val="24"/>
        </w:rPr>
        <w:t xml:space="preserve"> target would finance the operational changes needed to align with the target reduction in carbon emissions. From a managerial perspective, countries exert significant pressure on firms to contribute</w:t>
      </w:r>
      <w:r w:rsidR="003D59EF" w:rsidRPr="00712B16">
        <w:rPr>
          <w:rFonts w:ascii="Times New Roman" w:hAnsi="Times New Roman" w:cs="Times New Roman"/>
          <w:sz w:val="24"/>
          <w:szCs w:val="24"/>
        </w:rPr>
        <w:t xml:space="preserve"> </w:t>
      </w:r>
      <w:r w:rsidR="00E6748C" w:rsidRPr="00712B16">
        <w:rPr>
          <w:rFonts w:ascii="Times New Roman" w:hAnsi="Times New Roman" w:cs="Times New Roman"/>
          <w:sz w:val="24"/>
          <w:szCs w:val="24"/>
        </w:rPr>
        <w:t>to</w:t>
      </w:r>
      <w:r w:rsidR="003D59EF" w:rsidRPr="00712B16">
        <w:rPr>
          <w:rFonts w:ascii="Times New Roman" w:hAnsi="Times New Roman" w:cs="Times New Roman"/>
          <w:sz w:val="24"/>
          <w:szCs w:val="24"/>
        </w:rPr>
        <w:t xml:space="preserve"> moving</w:t>
      </w:r>
      <w:r w:rsidRPr="00712B16">
        <w:rPr>
          <w:rFonts w:ascii="Times New Roman" w:hAnsi="Times New Roman" w:cs="Times New Roman"/>
          <w:sz w:val="24"/>
          <w:szCs w:val="24"/>
        </w:rPr>
        <w:t xml:space="preserve"> toward </w:t>
      </w:r>
      <w:r w:rsidR="0071683C" w:rsidRPr="00712B16">
        <w:rPr>
          <w:rFonts w:ascii="Times New Roman" w:hAnsi="Times New Roman" w:cs="Times New Roman"/>
          <w:sz w:val="24"/>
          <w:szCs w:val="24"/>
        </w:rPr>
        <w:t xml:space="preserve">the </w:t>
      </w:r>
      <w:r w:rsidR="005832CF" w:rsidRPr="00712B16">
        <w:rPr>
          <w:rFonts w:ascii="Times New Roman" w:hAnsi="Times New Roman" w:cs="Times New Roman"/>
          <w:sz w:val="24"/>
          <w:szCs w:val="24"/>
        </w:rPr>
        <w:t>net zero</w:t>
      </w:r>
      <w:r w:rsidRPr="00712B16">
        <w:rPr>
          <w:rFonts w:ascii="Times New Roman" w:hAnsi="Times New Roman" w:cs="Times New Roman"/>
          <w:sz w:val="24"/>
          <w:szCs w:val="24"/>
        </w:rPr>
        <w:t xml:space="preserve"> targets.</w:t>
      </w:r>
      <w:r w:rsidR="00BC790F" w:rsidRPr="00712B16">
        <w:rPr>
          <w:rStyle w:val="FootnoteReference"/>
          <w:rFonts w:ascii="Times New Roman" w:hAnsi="Times New Roman" w:cs="Times New Roman"/>
          <w:sz w:val="24"/>
          <w:szCs w:val="24"/>
        </w:rPr>
        <w:footnoteReference w:id="2"/>
      </w:r>
      <w:r w:rsidRPr="00712B16">
        <w:rPr>
          <w:rFonts w:ascii="Times New Roman" w:hAnsi="Times New Roman" w:cs="Times New Roman"/>
          <w:sz w:val="24"/>
          <w:szCs w:val="24"/>
        </w:rPr>
        <w:t xml:space="preserve"> Therefore, </w:t>
      </w:r>
      <w:r w:rsidRPr="00712B16">
        <w:rPr>
          <w:rFonts w:ascii="Times New Roman" w:eastAsia="SimSun" w:hAnsi="Times New Roman" w:cs="Times New Roman"/>
          <w:sz w:val="24"/>
          <w:szCs w:val="24"/>
          <w:lang w:bidi="ar"/>
        </w:rPr>
        <w:t xml:space="preserve">in transitioning to the </w:t>
      </w:r>
      <w:r w:rsidR="005832CF" w:rsidRPr="00712B16">
        <w:rPr>
          <w:rFonts w:ascii="Times New Roman" w:eastAsia="SimSun" w:hAnsi="Times New Roman" w:cs="Times New Roman"/>
          <w:sz w:val="24"/>
          <w:szCs w:val="24"/>
          <w:lang w:bidi="ar"/>
        </w:rPr>
        <w:t>net zero</w:t>
      </w:r>
      <w:r w:rsidRPr="00712B16">
        <w:rPr>
          <w:rFonts w:ascii="Times New Roman" w:eastAsia="SimSun" w:hAnsi="Times New Roman" w:cs="Times New Roman"/>
          <w:sz w:val="24"/>
          <w:szCs w:val="24"/>
          <w:lang w:bidi="ar"/>
        </w:rPr>
        <w:t xml:space="preserve"> targets</w:t>
      </w:r>
      <w:r w:rsidRPr="00712B16">
        <w:rPr>
          <w:rFonts w:ascii="Times New Roman" w:hAnsi="Times New Roman" w:cs="Times New Roman"/>
          <w:sz w:val="24"/>
          <w:szCs w:val="24"/>
        </w:rPr>
        <w:t>, managers of firms</w:t>
      </w:r>
      <w:r w:rsidRPr="00712B16">
        <w:rPr>
          <w:rFonts w:ascii="Times New Roman" w:hAnsi="Times New Roman" w:cs="Times New Roman"/>
          <w:i/>
          <w:sz w:val="24"/>
          <w:szCs w:val="24"/>
        </w:rPr>
        <w:t xml:space="preserve"> </w:t>
      </w:r>
      <w:r w:rsidRPr="00712B16">
        <w:rPr>
          <w:rFonts w:ascii="Times New Roman" w:hAnsi="Times New Roman" w:cs="Times New Roman"/>
          <w:iCs/>
          <w:sz w:val="24"/>
          <w:szCs w:val="24"/>
        </w:rPr>
        <w:t xml:space="preserve">headquartered in countries that have </w:t>
      </w:r>
      <w:r w:rsidR="0071683C" w:rsidRPr="00712B16">
        <w:rPr>
          <w:rFonts w:ascii="Times New Roman" w:hAnsi="Times New Roman" w:cs="Times New Roman"/>
          <w:iCs/>
          <w:sz w:val="24"/>
          <w:szCs w:val="24"/>
        </w:rPr>
        <w:t>committed to</w:t>
      </w:r>
      <w:r w:rsidRPr="00712B16">
        <w:rPr>
          <w:rFonts w:ascii="Times New Roman" w:hAnsi="Times New Roman" w:cs="Times New Roman"/>
          <w:iCs/>
          <w:sz w:val="24"/>
          <w:szCs w:val="24"/>
        </w:rPr>
        <w:t xml:space="preserve"> a </w:t>
      </w:r>
      <w:r w:rsidR="005832CF" w:rsidRPr="00712B16">
        <w:rPr>
          <w:rFonts w:ascii="Times New Roman" w:hAnsi="Times New Roman" w:cs="Times New Roman"/>
          <w:iCs/>
          <w:sz w:val="24"/>
          <w:szCs w:val="24"/>
        </w:rPr>
        <w:t>net zero</w:t>
      </w:r>
      <w:r w:rsidRPr="00712B16">
        <w:rPr>
          <w:rFonts w:ascii="Times New Roman" w:hAnsi="Times New Roman" w:cs="Times New Roman"/>
          <w:iCs/>
          <w:sz w:val="24"/>
          <w:szCs w:val="24"/>
        </w:rPr>
        <w:t xml:space="preserve"> target could engage in REM</w:t>
      </w:r>
      <w:r w:rsidR="00A96CAF" w:rsidRPr="00712B16">
        <w:rPr>
          <w:rFonts w:ascii="Times New Roman" w:hAnsi="Times New Roman" w:cs="Times New Roman"/>
          <w:iCs/>
          <w:sz w:val="24"/>
          <w:szCs w:val="24"/>
        </w:rPr>
        <w:t>.</w:t>
      </w:r>
      <w:r w:rsidRPr="00712B16">
        <w:rPr>
          <w:rFonts w:ascii="Times New Roman" w:hAnsi="Times New Roman" w:cs="Times New Roman"/>
          <w:iCs/>
          <w:sz w:val="24"/>
          <w:szCs w:val="24"/>
        </w:rPr>
        <w:t xml:space="preserve"> </w:t>
      </w:r>
    </w:p>
    <w:p w14:paraId="4F4B82E0" w14:textId="2AAAAEC6" w:rsidR="00D050A3" w:rsidRPr="00712B16" w:rsidRDefault="00FF2A3C" w:rsidP="007723A2">
      <w:pPr>
        <w:spacing w:after="0" w:line="480" w:lineRule="auto"/>
        <w:ind w:firstLine="567"/>
        <w:jc w:val="both"/>
        <w:rPr>
          <w:rFonts w:ascii="Times New Roman" w:hAnsi="Times New Roman" w:cs="Times New Roman"/>
          <w:sz w:val="24"/>
          <w:szCs w:val="24"/>
        </w:rPr>
      </w:pPr>
      <w:r w:rsidRPr="00712B16">
        <w:rPr>
          <w:rFonts w:ascii="Times New Roman" w:hAnsi="Times New Roman" w:cs="Times New Roman"/>
          <w:sz w:val="24"/>
          <w:szCs w:val="24"/>
        </w:rPr>
        <w:t>REM activities</w:t>
      </w:r>
      <w:r w:rsidR="00396567" w:rsidRPr="00712B16">
        <w:rPr>
          <w:rFonts w:ascii="Times New Roman" w:hAnsi="Times New Roman" w:cs="Times New Roman"/>
          <w:sz w:val="24"/>
          <w:szCs w:val="24"/>
        </w:rPr>
        <w:t xml:space="preserve"> provide ideal research setting for our empirical examination as they</w:t>
      </w:r>
      <w:r w:rsidRPr="00712B16">
        <w:rPr>
          <w:rFonts w:ascii="Times New Roman" w:hAnsi="Times New Roman" w:cs="Times New Roman"/>
          <w:sz w:val="24"/>
          <w:szCs w:val="24"/>
        </w:rPr>
        <w:t xml:space="preserve"> are relatively easier for managers to manage</w:t>
      </w:r>
      <w:r w:rsidR="002716E8" w:rsidRPr="00712B16">
        <w:rPr>
          <w:rFonts w:ascii="Times New Roman" w:hAnsi="Times New Roman" w:cs="Times New Roman"/>
          <w:sz w:val="24"/>
          <w:szCs w:val="24"/>
        </w:rPr>
        <w:t>. M</w:t>
      </w:r>
      <w:r w:rsidR="00A67F1A" w:rsidRPr="00712B16">
        <w:rPr>
          <w:rFonts w:ascii="Times New Roman" w:hAnsi="Times New Roman" w:cs="Times New Roman"/>
          <w:sz w:val="24"/>
          <w:szCs w:val="24"/>
        </w:rPr>
        <w:t>anagers can use their</w:t>
      </w:r>
      <w:r w:rsidR="002716E8" w:rsidRPr="00712B16">
        <w:rPr>
          <w:rFonts w:ascii="Times New Roman" w:hAnsi="Times New Roman" w:cs="Times New Roman"/>
          <w:sz w:val="24"/>
          <w:szCs w:val="24"/>
        </w:rPr>
        <w:t xml:space="preserve"> operational </w:t>
      </w:r>
      <w:r w:rsidR="002716E8" w:rsidRPr="00712B16">
        <w:rPr>
          <w:rFonts w:ascii="Times New Roman" w:hAnsi="Times New Roman" w:cs="Times New Roman"/>
          <w:sz w:val="24"/>
          <w:szCs w:val="24"/>
        </w:rPr>
        <w:lastRenderedPageBreak/>
        <w:t>and long-term investment</w:t>
      </w:r>
      <w:r w:rsidR="00A67F1A" w:rsidRPr="00712B16">
        <w:rPr>
          <w:rFonts w:ascii="Times New Roman" w:hAnsi="Times New Roman" w:cs="Times New Roman"/>
          <w:sz w:val="24"/>
          <w:szCs w:val="24"/>
        </w:rPr>
        <w:t xml:space="preserve"> discretion to engage in </w:t>
      </w:r>
      <w:r w:rsidR="002716E8" w:rsidRPr="00712B16">
        <w:rPr>
          <w:rFonts w:ascii="Times New Roman" w:hAnsi="Times New Roman" w:cs="Times New Roman"/>
          <w:sz w:val="24"/>
          <w:szCs w:val="24"/>
        </w:rPr>
        <w:t>REM</w:t>
      </w:r>
      <w:r w:rsidR="00A67F1A" w:rsidRPr="00712B16">
        <w:rPr>
          <w:rFonts w:ascii="Times New Roman" w:hAnsi="Times New Roman" w:cs="Times New Roman"/>
          <w:sz w:val="24"/>
          <w:szCs w:val="24"/>
        </w:rPr>
        <w:t xml:space="preserve"> activities</w:t>
      </w:r>
      <w:r w:rsidR="006D44C3" w:rsidRPr="00712B16">
        <w:rPr>
          <w:rFonts w:ascii="Times New Roman" w:hAnsi="Times New Roman" w:cs="Times New Roman"/>
          <w:sz w:val="24"/>
          <w:szCs w:val="24"/>
        </w:rPr>
        <w:t xml:space="preserve"> </w:t>
      </w:r>
      <w:r w:rsidR="00B36D65" w:rsidRPr="00712B16">
        <w:rPr>
          <w:rFonts w:ascii="Times New Roman" w:hAnsi="Times New Roman" w:cs="Times New Roman"/>
          <w:sz w:val="24"/>
          <w:szCs w:val="24"/>
        </w:rPr>
        <w:t xml:space="preserve">at </w:t>
      </w:r>
      <w:r w:rsidR="006D44C3" w:rsidRPr="00712B16">
        <w:rPr>
          <w:rFonts w:ascii="Times New Roman" w:hAnsi="Times New Roman" w:cs="Times New Roman"/>
          <w:sz w:val="24"/>
          <w:szCs w:val="24"/>
        </w:rPr>
        <w:t>any time during the financial year</w:t>
      </w:r>
      <w:r w:rsidRPr="00712B16">
        <w:rPr>
          <w:rFonts w:ascii="Times New Roman" w:hAnsi="Times New Roman" w:cs="Times New Roman"/>
          <w:sz w:val="24"/>
          <w:szCs w:val="24"/>
        </w:rPr>
        <w:t xml:space="preserve">. </w:t>
      </w:r>
      <w:r w:rsidR="00A96CAF" w:rsidRPr="00712B16">
        <w:rPr>
          <w:rFonts w:ascii="Times New Roman" w:hAnsi="Times New Roman" w:cs="Times New Roman"/>
          <w:sz w:val="24"/>
          <w:szCs w:val="24"/>
        </w:rPr>
        <w:t xml:space="preserve">Prior studies find that managers could use REM activities to provide cash savings, and simultaneously improve the firm’s current earnings outlook as a result of the reduction in capital expenditures or expenses related to those projects (Baber </w:t>
      </w:r>
      <w:r w:rsidR="00A96CAF" w:rsidRPr="00712B16">
        <w:rPr>
          <w:rFonts w:ascii="Times New Roman" w:hAnsi="Times New Roman" w:cs="Times New Roman"/>
          <w:i/>
          <w:sz w:val="24"/>
          <w:szCs w:val="24"/>
        </w:rPr>
        <w:t>et al</w:t>
      </w:r>
      <w:r w:rsidR="00A96CAF" w:rsidRPr="00712B16">
        <w:rPr>
          <w:rFonts w:ascii="Times New Roman" w:hAnsi="Times New Roman" w:cs="Times New Roman"/>
          <w:sz w:val="24"/>
          <w:szCs w:val="24"/>
        </w:rPr>
        <w:t xml:space="preserve">., 1991; Bushee, 1998; Graham </w:t>
      </w:r>
      <w:r w:rsidR="00A96CAF" w:rsidRPr="00712B16">
        <w:rPr>
          <w:rFonts w:ascii="Times New Roman" w:hAnsi="Times New Roman" w:cs="Times New Roman"/>
          <w:i/>
          <w:sz w:val="24"/>
          <w:szCs w:val="24"/>
        </w:rPr>
        <w:t>et al</w:t>
      </w:r>
      <w:r w:rsidR="00A96CAF" w:rsidRPr="00712B16">
        <w:rPr>
          <w:rFonts w:ascii="Times New Roman" w:hAnsi="Times New Roman" w:cs="Times New Roman"/>
          <w:sz w:val="24"/>
          <w:szCs w:val="24"/>
        </w:rPr>
        <w:t xml:space="preserve">., 2005). </w:t>
      </w:r>
      <w:r w:rsidR="00102CEA" w:rsidRPr="00712B16">
        <w:rPr>
          <w:rFonts w:ascii="Times New Roman" w:hAnsi="Times New Roman" w:cs="Times New Roman"/>
          <w:bCs/>
          <w:iCs/>
          <w:sz w:val="24"/>
        </w:rPr>
        <w:t>This cash availability could be used to finance investments in new technologies and infrastructure systems in the coming years that allow firms to reduce their carbon emissions.</w:t>
      </w:r>
      <w:r w:rsidR="00102CEA" w:rsidRPr="00712B16">
        <w:rPr>
          <w:rStyle w:val="FootnoteReference"/>
          <w:rFonts w:ascii="Times New Roman" w:hAnsi="Times New Roman" w:cs="Times New Roman"/>
          <w:bCs/>
          <w:iCs/>
          <w:sz w:val="24"/>
        </w:rPr>
        <w:footnoteReference w:id="3"/>
      </w:r>
      <w:r w:rsidR="00102CEA" w:rsidRPr="00712B16">
        <w:rPr>
          <w:rFonts w:ascii="Times New Roman" w:hAnsi="Times New Roman" w:cs="Times New Roman"/>
          <w:bCs/>
          <w:iCs/>
          <w:sz w:val="24"/>
        </w:rPr>
        <w:t xml:space="preserve"> </w:t>
      </w:r>
      <w:r w:rsidR="00A96CAF" w:rsidRPr="00712B16">
        <w:rPr>
          <w:rFonts w:ascii="Times New Roman" w:hAnsi="Times New Roman" w:cs="Times New Roman"/>
          <w:sz w:val="24"/>
          <w:szCs w:val="24"/>
        </w:rPr>
        <w:t xml:space="preserve">In the context of net zero targets, managers could </w:t>
      </w:r>
      <w:r w:rsidR="00102CEA" w:rsidRPr="00712B16">
        <w:rPr>
          <w:rFonts w:ascii="Times New Roman" w:hAnsi="Times New Roman" w:cs="Times New Roman"/>
          <w:sz w:val="24"/>
          <w:szCs w:val="24"/>
        </w:rPr>
        <w:t xml:space="preserve">also </w:t>
      </w:r>
      <w:r w:rsidR="00A96CAF" w:rsidRPr="00712B16">
        <w:rPr>
          <w:rFonts w:ascii="Times New Roman" w:hAnsi="Times New Roman" w:cs="Times New Roman"/>
          <w:sz w:val="24"/>
          <w:szCs w:val="24"/>
        </w:rPr>
        <w:t>engage in REM activities</w:t>
      </w:r>
      <w:r w:rsidR="002716E8" w:rsidRPr="00712B16">
        <w:rPr>
          <w:rFonts w:ascii="Times New Roman" w:hAnsi="Times New Roman" w:cs="Times New Roman"/>
          <w:sz w:val="24"/>
          <w:szCs w:val="24"/>
        </w:rPr>
        <w:t xml:space="preserve"> </w:t>
      </w:r>
      <w:r w:rsidR="00A96CAF" w:rsidRPr="00712B16">
        <w:rPr>
          <w:rFonts w:ascii="Times New Roman" w:hAnsi="Times New Roman" w:cs="Times New Roman"/>
          <w:iCs/>
          <w:sz w:val="24"/>
          <w:szCs w:val="24"/>
        </w:rPr>
        <w:t xml:space="preserve">by </w:t>
      </w:r>
      <w:r w:rsidR="00A96CAF" w:rsidRPr="00712B16">
        <w:rPr>
          <w:rFonts w:ascii="Times New Roman" w:hAnsi="Times New Roman" w:cs="Times New Roman"/>
          <w:bCs/>
          <w:iCs/>
          <w:sz w:val="24"/>
        </w:rPr>
        <w:t>reducing current capital expenditures and R&amp;D that are less likely to have a direct effect on reducing carbon emissions and achieving net zero targets</w:t>
      </w:r>
      <w:r w:rsidR="00A96CAF" w:rsidRPr="00712B16">
        <w:rPr>
          <w:rFonts w:ascii="Times New Roman" w:hAnsi="Times New Roman" w:cs="Times New Roman"/>
          <w:sz w:val="24"/>
          <w:szCs w:val="24"/>
        </w:rPr>
        <w:t xml:space="preserve">. These </w:t>
      </w:r>
      <w:r w:rsidRPr="00712B16">
        <w:rPr>
          <w:rFonts w:ascii="Times New Roman" w:hAnsi="Times New Roman" w:cs="Times New Roman"/>
          <w:sz w:val="24"/>
          <w:szCs w:val="24"/>
        </w:rPr>
        <w:t>REM</w:t>
      </w:r>
      <w:r w:rsidR="00A96CAF" w:rsidRPr="00712B16">
        <w:rPr>
          <w:rFonts w:ascii="Times New Roman" w:hAnsi="Times New Roman" w:cs="Times New Roman"/>
          <w:sz w:val="24"/>
          <w:szCs w:val="24"/>
        </w:rPr>
        <w:t xml:space="preserve"> activities</w:t>
      </w:r>
      <w:r w:rsidRPr="00712B16">
        <w:rPr>
          <w:rFonts w:ascii="Times New Roman" w:hAnsi="Times New Roman" w:cs="Times New Roman"/>
          <w:sz w:val="24"/>
          <w:szCs w:val="24"/>
        </w:rPr>
        <w:t xml:space="preserve"> could provide cash savings, which may be used to finance new technologies and infrastructure systems in preparing firms </w:t>
      </w:r>
      <w:r w:rsidR="00732ED0" w:rsidRPr="00712B16">
        <w:rPr>
          <w:rFonts w:ascii="Times New Roman" w:hAnsi="Times New Roman" w:cs="Times New Roman"/>
          <w:sz w:val="24"/>
          <w:szCs w:val="24"/>
        </w:rPr>
        <w:t>to</w:t>
      </w:r>
      <w:r w:rsidR="00102CEA" w:rsidRPr="00712B16">
        <w:rPr>
          <w:rFonts w:ascii="Times New Roman" w:hAnsi="Times New Roman" w:cs="Times New Roman"/>
          <w:sz w:val="24"/>
          <w:szCs w:val="24"/>
        </w:rPr>
        <w:t xml:space="preserve"> co</w:t>
      </w:r>
      <w:r w:rsidR="00BF40D6" w:rsidRPr="00712B16">
        <w:rPr>
          <w:rFonts w:ascii="Times New Roman" w:hAnsi="Times New Roman" w:cs="Times New Roman"/>
          <w:sz w:val="24"/>
          <w:szCs w:val="24"/>
        </w:rPr>
        <w:t>mmit</w:t>
      </w:r>
      <w:r w:rsidR="00102CEA" w:rsidRPr="00712B16">
        <w:rPr>
          <w:rFonts w:ascii="Times New Roman" w:hAnsi="Times New Roman" w:cs="Times New Roman"/>
          <w:sz w:val="24"/>
          <w:szCs w:val="24"/>
        </w:rPr>
        <w:t xml:space="preserve"> to</w:t>
      </w:r>
      <w:r w:rsidRPr="00712B16">
        <w:rPr>
          <w:rFonts w:ascii="Times New Roman" w:hAnsi="Times New Roman" w:cs="Times New Roman"/>
          <w:sz w:val="24"/>
          <w:szCs w:val="24"/>
        </w:rPr>
        <w:t xml:space="preserve"> a </w:t>
      </w:r>
      <w:r w:rsidR="005832CF" w:rsidRPr="00712B16">
        <w:rPr>
          <w:rFonts w:ascii="Times New Roman" w:hAnsi="Times New Roman" w:cs="Times New Roman"/>
          <w:sz w:val="24"/>
          <w:szCs w:val="24"/>
        </w:rPr>
        <w:t>net zero</w:t>
      </w:r>
      <w:r w:rsidRPr="00712B16">
        <w:rPr>
          <w:rFonts w:ascii="Times New Roman" w:hAnsi="Times New Roman" w:cs="Times New Roman"/>
          <w:sz w:val="24"/>
          <w:szCs w:val="24"/>
        </w:rPr>
        <w:t xml:space="preserve"> target. </w:t>
      </w:r>
      <w:r w:rsidR="003B4BFB" w:rsidRPr="00712B16">
        <w:rPr>
          <w:rFonts w:ascii="Times New Roman" w:hAnsi="Times New Roman" w:cs="Times New Roman"/>
          <w:sz w:val="24"/>
          <w:szCs w:val="24"/>
        </w:rPr>
        <w:t xml:space="preserve"> </w:t>
      </w:r>
    </w:p>
    <w:p w14:paraId="3F4DF639" w14:textId="70FFA7E9" w:rsidR="00FF2A3C" w:rsidRPr="00712B16" w:rsidRDefault="00191B36">
      <w:pPr>
        <w:spacing w:after="0" w:line="480" w:lineRule="auto"/>
        <w:ind w:firstLine="567"/>
        <w:jc w:val="both"/>
        <w:rPr>
          <w:rFonts w:ascii="Times New Roman" w:hAnsi="Times New Roman" w:cs="Times New Roman"/>
          <w:sz w:val="24"/>
          <w:szCs w:val="24"/>
        </w:rPr>
      </w:pPr>
      <w:r w:rsidRPr="00712B16">
        <w:rPr>
          <w:rFonts w:ascii="Times New Roman" w:hAnsi="Times New Roman" w:cs="Times New Roman"/>
          <w:sz w:val="24"/>
          <w:szCs w:val="24"/>
        </w:rPr>
        <w:t>Based on the above notions</w:t>
      </w:r>
      <w:r w:rsidR="000B7AA3" w:rsidRPr="00712B16">
        <w:rPr>
          <w:rFonts w:ascii="Times New Roman" w:hAnsi="Times New Roman" w:cs="Times New Roman"/>
          <w:sz w:val="24"/>
          <w:szCs w:val="24"/>
        </w:rPr>
        <w:t xml:space="preserve">, we investigate whether firms headquartered in countries </w:t>
      </w:r>
      <w:r w:rsidR="00DA4A45" w:rsidRPr="00712B16">
        <w:rPr>
          <w:rFonts w:ascii="Times New Roman" w:hAnsi="Times New Roman" w:cs="Times New Roman"/>
          <w:sz w:val="24"/>
          <w:szCs w:val="24"/>
        </w:rPr>
        <w:t>that</w:t>
      </w:r>
      <w:r w:rsidR="000B7AA3" w:rsidRPr="00712B16">
        <w:rPr>
          <w:rFonts w:ascii="Times New Roman" w:hAnsi="Times New Roman" w:cs="Times New Roman"/>
          <w:sz w:val="24"/>
          <w:szCs w:val="24"/>
        </w:rPr>
        <w:t xml:space="preserve"> </w:t>
      </w:r>
      <w:r w:rsidR="001B03C5" w:rsidRPr="00712B16">
        <w:rPr>
          <w:rFonts w:ascii="Times New Roman" w:hAnsi="Times New Roman" w:cs="Times New Roman"/>
          <w:sz w:val="24"/>
          <w:szCs w:val="24"/>
        </w:rPr>
        <w:t xml:space="preserve">have </w:t>
      </w:r>
      <w:r w:rsidR="0071683C" w:rsidRPr="00712B16">
        <w:rPr>
          <w:rFonts w:ascii="Times New Roman" w:hAnsi="Times New Roman" w:cs="Times New Roman"/>
          <w:sz w:val="24"/>
          <w:szCs w:val="24"/>
        </w:rPr>
        <w:t>committed to</w:t>
      </w:r>
      <w:r w:rsidR="000B7AA3" w:rsidRPr="00712B16">
        <w:rPr>
          <w:rFonts w:ascii="Times New Roman" w:hAnsi="Times New Roman" w:cs="Times New Roman"/>
          <w:sz w:val="24"/>
          <w:szCs w:val="24"/>
        </w:rPr>
        <w:t xml:space="preserve"> a net zero target engage more in REM. </w:t>
      </w:r>
      <w:r w:rsidR="000B793F" w:rsidRPr="00712B16">
        <w:rPr>
          <w:rFonts w:ascii="Times New Roman" w:hAnsi="Times New Roman" w:cs="Times New Roman"/>
          <w:sz w:val="24"/>
          <w:szCs w:val="24"/>
        </w:rPr>
        <w:t>We</w:t>
      </w:r>
      <w:r w:rsidR="00FF2A3C" w:rsidRPr="00712B16">
        <w:rPr>
          <w:rFonts w:ascii="Times New Roman" w:hAnsi="Times New Roman" w:cs="Times New Roman"/>
          <w:sz w:val="24"/>
          <w:szCs w:val="24"/>
        </w:rPr>
        <w:t xml:space="preserve"> predict that in achieving both a </w:t>
      </w:r>
      <w:r w:rsidR="005832CF" w:rsidRPr="00712B16">
        <w:rPr>
          <w:rFonts w:ascii="Times New Roman" w:hAnsi="Times New Roman" w:cs="Times New Roman"/>
          <w:sz w:val="24"/>
          <w:szCs w:val="24"/>
        </w:rPr>
        <w:t>net zero</w:t>
      </w:r>
      <w:r w:rsidR="00FF2A3C" w:rsidRPr="00712B16">
        <w:rPr>
          <w:rFonts w:ascii="Times New Roman" w:hAnsi="Times New Roman" w:cs="Times New Roman"/>
          <w:sz w:val="24"/>
          <w:szCs w:val="24"/>
        </w:rPr>
        <w:t xml:space="preserve"> target and a </w:t>
      </w:r>
      <w:r w:rsidR="00DD0E91" w:rsidRPr="00712B16">
        <w:rPr>
          <w:rFonts w:ascii="Times New Roman" w:hAnsi="Times New Roman" w:cs="Times New Roman"/>
          <w:sz w:val="24"/>
          <w:szCs w:val="24"/>
        </w:rPr>
        <w:t>desired</w:t>
      </w:r>
      <w:r w:rsidR="00FF2A3C" w:rsidRPr="00712B16">
        <w:rPr>
          <w:rFonts w:ascii="Times New Roman" w:hAnsi="Times New Roman" w:cs="Times New Roman"/>
          <w:sz w:val="24"/>
          <w:szCs w:val="24"/>
        </w:rPr>
        <w:t xml:space="preserve"> earnings outlook, firms headquartered in countries that have </w:t>
      </w:r>
      <w:r w:rsidR="00510E73" w:rsidRPr="00712B16">
        <w:rPr>
          <w:rFonts w:ascii="Times New Roman" w:hAnsi="Times New Roman" w:cs="Times New Roman"/>
          <w:sz w:val="24"/>
          <w:szCs w:val="24"/>
        </w:rPr>
        <w:t>committed to</w:t>
      </w:r>
      <w:r w:rsidR="00FF2A3C" w:rsidRPr="00712B16">
        <w:rPr>
          <w:rFonts w:ascii="Times New Roman" w:hAnsi="Times New Roman" w:cs="Times New Roman"/>
          <w:sz w:val="24"/>
          <w:szCs w:val="24"/>
        </w:rPr>
        <w:t xml:space="preserve"> </w:t>
      </w:r>
      <w:r w:rsidR="00BF72B0" w:rsidRPr="00712B16">
        <w:rPr>
          <w:rFonts w:ascii="Times New Roman" w:hAnsi="Times New Roman" w:cs="Times New Roman"/>
          <w:sz w:val="24"/>
          <w:szCs w:val="24"/>
        </w:rPr>
        <w:t xml:space="preserve">a </w:t>
      </w:r>
      <w:r w:rsidR="005832CF" w:rsidRPr="00712B16">
        <w:rPr>
          <w:rFonts w:ascii="Times New Roman" w:hAnsi="Times New Roman" w:cs="Times New Roman"/>
          <w:sz w:val="24"/>
          <w:szCs w:val="24"/>
        </w:rPr>
        <w:t>net zero</w:t>
      </w:r>
      <w:r w:rsidR="00BF72B0" w:rsidRPr="00712B16">
        <w:rPr>
          <w:rFonts w:ascii="Times New Roman" w:hAnsi="Times New Roman" w:cs="Times New Roman"/>
          <w:sz w:val="24"/>
          <w:szCs w:val="24"/>
        </w:rPr>
        <w:t xml:space="preserve"> target</w:t>
      </w:r>
      <w:r w:rsidR="00CE6B71" w:rsidRPr="00712B16">
        <w:rPr>
          <w:rFonts w:ascii="Times New Roman" w:hAnsi="Times New Roman" w:cs="Times New Roman"/>
          <w:sz w:val="24"/>
          <w:szCs w:val="24"/>
        </w:rPr>
        <w:t xml:space="preserve"> exhibit higher levels of REM</w:t>
      </w:r>
      <w:r w:rsidR="00FF2A3C" w:rsidRPr="00712B16">
        <w:rPr>
          <w:rFonts w:ascii="Times New Roman" w:hAnsi="Times New Roman" w:cs="Times New Roman"/>
          <w:sz w:val="24"/>
          <w:szCs w:val="24"/>
        </w:rPr>
        <w:t>.</w:t>
      </w:r>
      <w:r w:rsidR="00C05943" w:rsidRPr="00712B16">
        <w:rPr>
          <w:rFonts w:ascii="Times New Roman" w:hAnsi="Times New Roman" w:cs="Times New Roman"/>
          <w:sz w:val="24"/>
          <w:szCs w:val="24"/>
        </w:rPr>
        <w:t xml:space="preserve"> </w:t>
      </w:r>
      <w:r w:rsidR="000B7AA3" w:rsidRPr="00712B16">
        <w:rPr>
          <w:rFonts w:ascii="Times New Roman" w:hAnsi="Times New Roman" w:cs="Times New Roman"/>
          <w:sz w:val="24"/>
          <w:szCs w:val="24"/>
        </w:rPr>
        <w:t>In addition, w</w:t>
      </w:r>
      <w:r w:rsidR="00FF2A3C" w:rsidRPr="00712B16">
        <w:rPr>
          <w:rFonts w:ascii="Times New Roman" w:hAnsi="Times New Roman" w:cs="Times New Roman"/>
          <w:sz w:val="24"/>
          <w:szCs w:val="24"/>
        </w:rPr>
        <w:t xml:space="preserve">e </w:t>
      </w:r>
      <w:r w:rsidR="00CE6B71" w:rsidRPr="00712B16">
        <w:rPr>
          <w:rFonts w:ascii="Times New Roman" w:hAnsi="Times New Roman" w:cs="Times New Roman"/>
          <w:sz w:val="24"/>
          <w:szCs w:val="24"/>
        </w:rPr>
        <w:t xml:space="preserve">also </w:t>
      </w:r>
      <w:r w:rsidR="001B03C5" w:rsidRPr="00712B16">
        <w:rPr>
          <w:rFonts w:ascii="Times New Roman" w:hAnsi="Times New Roman" w:cs="Times New Roman"/>
          <w:sz w:val="24"/>
          <w:szCs w:val="24"/>
        </w:rPr>
        <w:t>investigate</w:t>
      </w:r>
      <w:r w:rsidR="00FF2A3C" w:rsidRPr="00712B16">
        <w:rPr>
          <w:rFonts w:ascii="Times New Roman" w:hAnsi="Times New Roman" w:cs="Times New Roman"/>
          <w:sz w:val="24"/>
          <w:szCs w:val="24"/>
        </w:rPr>
        <w:t xml:space="preserve"> whether </w:t>
      </w:r>
      <w:r w:rsidR="000C7CF2" w:rsidRPr="00712B16">
        <w:rPr>
          <w:rFonts w:ascii="Times New Roman" w:hAnsi="Times New Roman" w:cs="Times New Roman"/>
          <w:sz w:val="24"/>
          <w:szCs w:val="24"/>
        </w:rPr>
        <w:t>corporate social responsibility (</w:t>
      </w:r>
      <w:r w:rsidR="00FF2A3C" w:rsidRPr="00712B16">
        <w:rPr>
          <w:rFonts w:ascii="Times New Roman" w:hAnsi="Times New Roman" w:cs="Times New Roman"/>
          <w:sz w:val="24"/>
          <w:szCs w:val="24"/>
        </w:rPr>
        <w:t>CSR</w:t>
      </w:r>
      <w:r w:rsidR="000C7CF2" w:rsidRPr="00712B16">
        <w:rPr>
          <w:rFonts w:ascii="Times New Roman" w:hAnsi="Times New Roman" w:cs="Times New Roman"/>
          <w:sz w:val="24"/>
          <w:szCs w:val="24"/>
        </w:rPr>
        <w:t>)</w:t>
      </w:r>
      <w:r w:rsidR="00FF2A3C" w:rsidRPr="00712B16">
        <w:rPr>
          <w:rFonts w:ascii="Times New Roman" w:hAnsi="Times New Roman" w:cs="Times New Roman"/>
          <w:sz w:val="24"/>
          <w:szCs w:val="24"/>
        </w:rPr>
        <w:t xml:space="preserve"> performance significantly affects the association between REM and </w:t>
      </w:r>
      <w:r w:rsidR="007026A1" w:rsidRPr="00712B16">
        <w:rPr>
          <w:rFonts w:ascii="Times New Roman" w:hAnsi="Times New Roman" w:cs="Times New Roman"/>
          <w:sz w:val="24"/>
          <w:szCs w:val="24"/>
        </w:rPr>
        <w:t xml:space="preserve">the </w:t>
      </w:r>
      <w:r w:rsidR="001B03C5" w:rsidRPr="00712B16">
        <w:rPr>
          <w:rFonts w:ascii="Times New Roman" w:hAnsi="Times New Roman" w:cs="Times New Roman"/>
          <w:sz w:val="24"/>
          <w:szCs w:val="24"/>
        </w:rPr>
        <w:t>commitment</w:t>
      </w:r>
      <w:r w:rsidR="003D59EF" w:rsidRPr="00712B16">
        <w:rPr>
          <w:rFonts w:ascii="Times New Roman" w:hAnsi="Times New Roman" w:cs="Times New Roman"/>
          <w:sz w:val="24"/>
          <w:szCs w:val="24"/>
        </w:rPr>
        <w:t xml:space="preserve"> to move</w:t>
      </w:r>
      <w:r w:rsidR="00784AF9" w:rsidRPr="00712B16">
        <w:rPr>
          <w:rFonts w:ascii="Times New Roman" w:hAnsi="Times New Roman" w:cs="Times New Roman"/>
          <w:sz w:val="24"/>
          <w:szCs w:val="24"/>
        </w:rPr>
        <w:t xml:space="preserve"> toward a </w:t>
      </w:r>
      <w:r w:rsidR="005832CF" w:rsidRPr="00712B16">
        <w:rPr>
          <w:rFonts w:ascii="Times New Roman" w:hAnsi="Times New Roman" w:cs="Times New Roman"/>
          <w:sz w:val="24"/>
          <w:szCs w:val="24"/>
        </w:rPr>
        <w:t>net zero</w:t>
      </w:r>
      <w:r w:rsidR="00FF2A3C" w:rsidRPr="00712B16">
        <w:rPr>
          <w:rFonts w:ascii="Times New Roman" w:hAnsi="Times New Roman" w:cs="Times New Roman"/>
          <w:sz w:val="24"/>
          <w:szCs w:val="24"/>
        </w:rPr>
        <w:t xml:space="preserve"> target. The effect of CSR in relation to</w:t>
      </w:r>
      <w:r w:rsidR="00C81362" w:rsidRPr="00712B16">
        <w:rPr>
          <w:rFonts w:ascii="Times New Roman" w:hAnsi="Times New Roman" w:cs="Times New Roman"/>
          <w:sz w:val="24"/>
          <w:szCs w:val="24"/>
        </w:rPr>
        <w:t xml:space="preserve"> the</w:t>
      </w:r>
      <w:r w:rsidR="00FF2A3C" w:rsidRPr="00712B16">
        <w:rPr>
          <w:rFonts w:ascii="Times New Roman" w:hAnsi="Times New Roman" w:cs="Times New Roman"/>
          <w:sz w:val="24"/>
          <w:szCs w:val="24"/>
        </w:rPr>
        <w:t xml:space="preserve"> </w:t>
      </w:r>
      <w:r w:rsidR="005832CF" w:rsidRPr="00712B16">
        <w:rPr>
          <w:rFonts w:ascii="Times New Roman" w:hAnsi="Times New Roman" w:cs="Times New Roman"/>
          <w:sz w:val="24"/>
          <w:szCs w:val="24"/>
        </w:rPr>
        <w:t>net zero</w:t>
      </w:r>
      <w:r w:rsidR="00FF2A3C" w:rsidRPr="00712B16">
        <w:rPr>
          <w:rFonts w:ascii="Times New Roman" w:hAnsi="Times New Roman" w:cs="Times New Roman"/>
          <w:sz w:val="24"/>
          <w:szCs w:val="24"/>
        </w:rPr>
        <w:t xml:space="preserve"> target</w:t>
      </w:r>
      <w:r w:rsidR="00C81362" w:rsidRPr="00712B16">
        <w:rPr>
          <w:rFonts w:ascii="Times New Roman" w:hAnsi="Times New Roman" w:cs="Times New Roman"/>
          <w:sz w:val="24"/>
          <w:szCs w:val="24"/>
        </w:rPr>
        <w:t>s</w:t>
      </w:r>
      <w:r w:rsidR="00FF2A3C" w:rsidRPr="00712B16">
        <w:rPr>
          <w:rFonts w:ascii="Times New Roman" w:hAnsi="Times New Roman" w:cs="Times New Roman"/>
          <w:sz w:val="24"/>
          <w:szCs w:val="24"/>
        </w:rPr>
        <w:t xml:space="preserve"> is particularly important given the growing concerns about firms’ sustainability (</w:t>
      </w:r>
      <w:r w:rsidR="00542297" w:rsidRPr="00712B16">
        <w:rPr>
          <w:rFonts w:ascii="Times New Roman" w:hAnsi="Times New Roman" w:cs="Times New Roman"/>
          <w:noProof/>
          <w:sz w:val="24"/>
          <w:szCs w:val="24"/>
        </w:rPr>
        <w:t>Mackey</w:t>
      </w:r>
      <w:r w:rsidR="005D7166" w:rsidRPr="00712B16">
        <w:rPr>
          <w:rFonts w:ascii="Times New Roman" w:hAnsi="Times New Roman" w:cs="Times New Roman"/>
          <w:noProof/>
          <w:sz w:val="24"/>
          <w:szCs w:val="24"/>
        </w:rPr>
        <w:t xml:space="preserve"> </w:t>
      </w:r>
      <w:r w:rsidR="005D7166" w:rsidRPr="00712B16">
        <w:rPr>
          <w:rFonts w:ascii="Times New Roman" w:hAnsi="Times New Roman" w:cs="Times New Roman"/>
          <w:i/>
          <w:sz w:val="24"/>
          <w:szCs w:val="24"/>
        </w:rPr>
        <w:t>et al</w:t>
      </w:r>
      <w:r w:rsidR="005D7166" w:rsidRPr="00712B16">
        <w:rPr>
          <w:rFonts w:ascii="Times New Roman" w:hAnsi="Times New Roman" w:cs="Times New Roman"/>
          <w:sz w:val="24"/>
          <w:szCs w:val="24"/>
        </w:rPr>
        <w:t>.</w:t>
      </w:r>
      <w:r w:rsidR="00542297" w:rsidRPr="00712B16">
        <w:rPr>
          <w:rFonts w:ascii="Times New Roman" w:hAnsi="Times New Roman" w:cs="Times New Roman"/>
          <w:noProof/>
          <w:sz w:val="24"/>
          <w:szCs w:val="24"/>
        </w:rPr>
        <w:t>, 2007</w:t>
      </w:r>
      <w:r w:rsidR="00FF2A3C" w:rsidRPr="00712B16">
        <w:rPr>
          <w:rFonts w:ascii="Times New Roman" w:hAnsi="Times New Roman" w:cs="Times New Roman"/>
          <w:sz w:val="24"/>
          <w:szCs w:val="24"/>
        </w:rPr>
        <w:t xml:space="preserve">; Margolis </w:t>
      </w:r>
      <w:r w:rsidR="00542297" w:rsidRPr="00712B16">
        <w:rPr>
          <w:rFonts w:ascii="Times New Roman" w:hAnsi="Times New Roman" w:cs="Times New Roman"/>
          <w:sz w:val="24"/>
          <w:szCs w:val="24"/>
        </w:rPr>
        <w:t xml:space="preserve">&amp; </w:t>
      </w:r>
      <w:r w:rsidR="00FF2A3C" w:rsidRPr="00712B16">
        <w:rPr>
          <w:rFonts w:ascii="Times New Roman" w:hAnsi="Times New Roman" w:cs="Times New Roman"/>
          <w:sz w:val="24"/>
          <w:szCs w:val="24"/>
        </w:rPr>
        <w:t>Walsh</w:t>
      </w:r>
      <w:r w:rsidR="00542297" w:rsidRPr="00712B16">
        <w:rPr>
          <w:rFonts w:ascii="Times New Roman" w:hAnsi="Times New Roman" w:cs="Times New Roman"/>
          <w:sz w:val="24"/>
          <w:szCs w:val="24"/>
        </w:rPr>
        <w:t>,</w:t>
      </w:r>
      <w:r w:rsidR="00FF2A3C" w:rsidRPr="00712B16">
        <w:rPr>
          <w:rFonts w:ascii="Times New Roman" w:hAnsi="Times New Roman" w:cs="Times New Roman"/>
          <w:sz w:val="24"/>
          <w:szCs w:val="24"/>
        </w:rPr>
        <w:t xml:space="preserve"> 2003).</w:t>
      </w:r>
      <w:r w:rsidR="0022113D" w:rsidRPr="00712B16">
        <w:rPr>
          <w:rFonts w:ascii="Times New Roman" w:hAnsi="Times New Roman" w:cs="Times New Roman"/>
          <w:sz w:val="24"/>
          <w:szCs w:val="24"/>
        </w:rPr>
        <w:t xml:space="preserve"> </w:t>
      </w:r>
      <w:r w:rsidR="00291231" w:rsidRPr="00712B16">
        <w:rPr>
          <w:rFonts w:ascii="Times New Roman" w:hAnsi="Times New Roman" w:cs="Times New Roman"/>
          <w:sz w:val="24"/>
          <w:szCs w:val="24"/>
        </w:rPr>
        <w:t xml:space="preserve">The relation between CSR performance and </w:t>
      </w:r>
      <w:r w:rsidR="00291231" w:rsidRPr="00712B16">
        <w:rPr>
          <w:rFonts w:ascii="Times New Roman" w:hAnsi="Times New Roman" w:cs="Times New Roman"/>
          <w:sz w:val="24"/>
          <w:szCs w:val="24"/>
        </w:rPr>
        <w:lastRenderedPageBreak/>
        <w:t xml:space="preserve">REM is </w:t>
      </w:r>
      <w:r w:rsidR="00B20930" w:rsidRPr="00712B16">
        <w:rPr>
          <w:rFonts w:ascii="Times New Roman" w:hAnsi="Times New Roman" w:cs="Times New Roman"/>
          <w:sz w:val="24"/>
          <w:szCs w:val="24"/>
        </w:rPr>
        <w:t>not intuitively straightforward</w:t>
      </w:r>
      <w:r w:rsidR="00291231" w:rsidRPr="00712B16">
        <w:rPr>
          <w:rFonts w:ascii="Times New Roman" w:hAnsi="Times New Roman" w:cs="Times New Roman"/>
          <w:sz w:val="24"/>
          <w:szCs w:val="24"/>
        </w:rPr>
        <w:t>. On the one hand</w:t>
      </w:r>
      <w:r w:rsidR="00FF2A3C" w:rsidRPr="00712B16">
        <w:rPr>
          <w:rFonts w:ascii="Times New Roman" w:hAnsi="Times New Roman" w:cs="Times New Roman"/>
          <w:sz w:val="24"/>
          <w:szCs w:val="24"/>
        </w:rPr>
        <w:t xml:space="preserve">, </w:t>
      </w:r>
      <w:r w:rsidR="00324E54" w:rsidRPr="00712B16">
        <w:rPr>
          <w:rFonts w:ascii="Times New Roman" w:hAnsi="Times New Roman" w:cs="Times New Roman"/>
          <w:sz w:val="24"/>
          <w:szCs w:val="24"/>
        </w:rPr>
        <w:t xml:space="preserve">prior </w:t>
      </w:r>
      <w:r w:rsidR="00FF2A3C" w:rsidRPr="00712B16">
        <w:rPr>
          <w:rFonts w:ascii="Times New Roman" w:hAnsi="Times New Roman" w:cs="Times New Roman"/>
          <w:sz w:val="24"/>
          <w:szCs w:val="24"/>
        </w:rPr>
        <w:t xml:space="preserve">studies find that </w:t>
      </w:r>
      <w:r w:rsidR="00E7512E" w:rsidRPr="00712B16">
        <w:rPr>
          <w:rFonts w:ascii="Times New Roman" w:hAnsi="Times New Roman" w:cs="Times New Roman"/>
          <w:sz w:val="24"/>
          <w:szCs w:val="24"/>
        </w:rPr>
        <w:t xml:space="preserve">good </w:t>
      </w:r>
      <w:r w:rsidR="00FF2A3C" w:rsidRPr="00712B16">
        <w:rPr>
          <w:rFonts w:ascii="Times New Roman" w:hAnsi="Times New Roman" w:cs="Times New Roman"/>
          <w:sz w:val="24"/>
          <w:szCs w:val="24"/>
        </w:rPr>
        <w:t xml:space="preserve">CSR enhances a firm’s performance, thereby providing less incentive for managers to manage earnings via REM (Hong </w:t>
      </w:r>
      <w:r w:rsidR="008B5AA4" w:rsidRPr="00712B16">
        <w:rPr>
          <w:rFonts w:ascii="Times New Roman" w:hAnsi="Times New Roman" w:cs="Times New Roman"/>
          <w:sz w:val="24"/>
          <w:szCs w:val="24"/>
        </w:rPr>
        <w:t xml:space="preserve">&amp; </w:t>
      </w:r>
      <w:r w:rsidR="00FF2A3C" w:rsidRPr="00712B16">
        <w:rPr>
          <w:rFonts w:ascii="Times New Roman" w:hAnsi="Times New Roman" w:cs="Times New Roman"/>
          <w:sz w:val="24"/>
          <w:szCs w:val="24"/>
        </w:rPr>
        <w:t>Andersen</w:t>
      </w:r>
      <w:r w:rsidR="008B5AA4" w:rsidRPr="00712B16">
        <w:rPr>
          <w:rFonts w:ascii="Times New Roman" w:hAnsi="Times New Roman" w:cs="Times New Roman"/>
          <w:sz w:val="24"/>
          <w:szCs w:val="24"/>
        </w:rPr>
        <w:t>,</w:t>
      </w:r>
      <w:r w:rsidR="00FF2A3C" w:rsidRPr="00712B16">
        <w:rPr>
          <w:rFonts w:ascii="Times New Roman" w:hAnsi="Times New Roman" w:cs="Times New Roman"/>
          <w:sz w:val="24"/>
          <w:szCs w:val="24"/>
        </w:rPr>
        <w:t xml:space="preserve"> 2011; </w:t>
      </w:r>
      <w:r w:rsidR="008B5AA4" w:rsidRPr="00712B16">
        <w:rPr>
          <w:rFonts w:ascii="Times New Roman" w:hAnsi="Times New Roman" w:cs="Times New Roman"/>
          <w:noProof/>
          <w:sz w:val="24"/>
          <w:szCs w:val="24"/>
        </w:rPr>
        <w:t>Kim</w:t>
      </w:r>
      <w:r w:rsidR="00006918" w:rsidRPr="00712B16">
        <w:rPr>
          <w:rFonts w:ascii="Times New Roman" w:hAnsi="Times New Roman" w:cs="Times New Roman"/>
          <w:noProof/>
          <w:sz w:val="24"/>
          <w:szCs w:val="24"/>
        </w:rPr>
        <w:t xml:space="preserve"> </w:t>
      </w:r>
      <w:r w:rsidR="00006918" w:rsidRPr="00712B16">
        <w:rPr>
          <w:rFonts w:ascii="Times New Roman" w:hAnsi="Times New Roman" w:cs="Times New Roman"/>
          <w:i/>
          <w:sz w:val="24"/>
          <w:szCs w:val="24"/>
        </w:rPr>
        <w:t>et al</w:t>
      </w:r>
      <w:r w:rsidR="00006918" w:rsidRPr="00712B16">
        <w:rPr>
          <w:rFonts w:ascii="Times New Roman" w:hAnsi="Times New Roman" w:cs="Times New Roman"/>
          <w:sz w:val="24"/>
          <w:szCs w:val="24"/>
        </w:rPr>
        <w:t>.</w:t>
      </w:r>
      <w:r w:rsidR="008B5AA4" w:rsidRPr="00712B16">
        <w:rPr>
          <w:rFonts w:ascii="Times New Roman" w:hAnsi="Times New Roman" w:cs="Times New Roman"/>
          <w:noProof/>
          <w:sz w:val="24"/>
          <w:szCs w:val="24"/>
        </w:rPr>
        <w:t>, 2012</w:t>
      </w:r>
      <w:r w:rsidR="00FF2A3C" w:rsidRPr="00712B16">
        <w:rPr>
          <w:rFonts w:ascii="Times New Roman" w:hAnsi="Times New Roman" w:cs="Times New Roman"/>
          <w:sz w:val="24"/>
          <w:szCs w:val="24"/>
        </w:rPr>
        <w:t xml:space="preserve">; Scholtens </w:t>
      </w:r>
      <w:r w:rsidR="008B5AA4" w:rsidRPr="00712B16">
        <w:rPr>
          <w:rFonts w:ascii="Times New Roman" w:hAnsi="Times New Roman" w:cs="Times New Roman"/>
          <w:sz w:val="24"/>
          <w:szCs w:val="24"/>
        </w:rPr>
        <w:t xml:space="preserve">&amp; </w:t>
      </w:r>
      <w:r w:rsidR="00FF2A3C" w:rsidRPr="00712B16">
        <w:rPr>
          <w:rFonts w:ascii="Times New Roman" w:hAnsi="Times New Roman" w:cs="Times New Roman"/>
          <w:sz w:val="24"/>
          <w:szCs w:val="24"/>
        </w:rPr>
        <w:t>Kang</w:t>
      </w:r>
      <w:r w:rsidR="008B5AA4" w:rsidRPr="00712B16">
        <w:rPr>
          <w:rFonts w:ascii="Times New Roman" w:hAnsi="Times New Roman" w:cs="Times New Roman"/>
          <w:sz w:val="24"/>
          <w:szCs w:val="24"/>
        </w:rPr>
        <w:t>,</w:t>
      </w:r>
      <w:r w:rsidR="00FF2A3C" w:rsidRPr="00712B16">
        <w:rPr>
          <w:rFonts w:ascii="Times New Roman" w:hAnsi="Times New Roman" w:cs="Times New Roman"/>
          <w:sz w:val="24"/>
          <w:szCs w:val="24"/>
        </w:rPr>
        <w:t xml:space="preserve"> 2013).</w:t>
      </w:r>
      <w:r w:rsidR="00EF00F7" w:rsidRPr="00712B16">
        <w:rPr>
          <w:rFonts w:ascii="Times New Roman" w:hAnsi="Times New Roman" w:cs="Times New Roman"/>
          <w:sz w:val="24"/>
          <w:szCs w:val="24"/>
        </w:rPr>
        <w:t xml:space="preserve"> </w:t>
      </w:r>
      <w:r w:rsidR="00FF2A3C" w:rsidRPr="00712B16">
        <w:rPr>
          <w:rFonts w:ascii="Times New Roman" w:hAnsi="Times New Roman" w:cs="Times New Roman"/>
          <w:sz w:val="24"/>
          <w:szCs w:val="24"/>
        </w:rPr>
        <w:t>Conversely, other studies find that firms require substantial funds to enhance their CSR performance through various activities, thereby inducing managers to engage in more earnings management via REM (</w:t>
      </w:r>
      <w:proofErr w:type="spellStart"/>
      <w:r w:rsidR="00FF2A3C" w:rsidRPr="00712B16">
        <w:rPr>
          <w:rFonts w:ascii="Times New Roman" w:hAnsi="Times New Roman" w:cs="Times New Roman"/>
          <w:sz w:val="24"/>
          <w:szCs w:val="24"/>
        </w:rPr>
        <w:t>Boukattaya</w:t>
      </w:r>
      <w:proofErr w:type="spellEnd"/>
      <w:r w:rsidR="00FF2A3C" w:rsidRPr="00712B16">
        <w:rPr>
          <w:rFonts w:ascii="Times New Roman" w:hAnsi="Times New Roman" w:cs="Times New Roman"/>
          <w:sz w:val="24"/>
          <w:szCs w:val="24"/>
        </w:rPr>
        <w:t xml:space="preserve"> </w:t>
      </w:r>
      <w:r w:rsidR="008B5AA4" w:rsidRPr="00712B16">
        <w:rPr>
          <w:rFonts w:ascii="Times New Roman" w:hAnsi="Times New Roman" w:cs="Times New Roman"/>
          <w:sz w:val="24"/>
          <w:szCs w:val="24"/>
        </w:rPr>
        <w:t xml:space="preserve">&amp; </w:t>
      </w:r>
      <w:proofErr w:type="spellStart"/>
      <w:r w:rsidR="00FF2A3C" w:rsidRPr="00712B16">
        <w:rPr>
          <w:rFonts w:ascii="Times New Roman" w:hAnsi="Times New Roman" w:cs="Times New Roman"/>
          <w:sz w:val="24"/>
          <w:szCs w:val="24"/>
        </w:rPr>
        <w:t>Halaoua</w:t>
      </w:r>
      <w:proofErr w:type="spellEnd"/>
      <w:r w:rsidR="008B5AA4" w:rsidRPr="00712B16">
        <w:rPr>
          <w:rFonts w:ascii="Times New Roman" w:hAnsi="Times New Roman" w:cs="Times New Roman"/>
          <w:sz w:val="24"/>
          <w:szCs w:val="24"/>
        </w:rPr>
        <w:t>,</w:t>
      </w:r>
      <w:r w:rsidR="00FF2A3C" w:rsidRPr="00712B16">
        <w:rPr>
          <w:rFonts w:ascii="Times New Roman" w:hAnsi="Times New Roman" w:cs="Times New Roman"/>
          <w:sz w:val="24"/>
          <w:szCs w:val="24"/>
        </w:rPr>
        <w:t xml:space="preserve"> 2022; </w:t>
      </w:r>
      <w:r w:rsidR="008B5AA4" w:rsidRPr="00712B16">
        <w:rPr>
          <w:rFonts w:ascii="Times New Roman" w:hAnsi="Times New Roman" w:cs="Times New Roman"/>
          <w:sz w:val="24"/>
          <w:szCs w:val="24"/>
        </w:rPr>
        <w:t>Kim</w:t>
      </w:r>
      <w:r w:rsidR="00A2340F" w:rsidRPr="00712B16">
        <w:rPr>
          <w:rFonts w:ascii="Times New Roman" w:hAnsi="Times New Roman" w:cs="Times New Roman"/>
          <w:sz w:val="24"/>
          <w:szCs w:val="24"/>
        </w:rPr>
        <w:t xml:space="preserve"> </w:t>
      </w:r>
      <w:r w:rsidR="00A2340F" w:rsidRPr="00712B16">
        <w:rPr>
          <w:rFonts w:ascii="Times New Roman" w:hAnsi="Times New Roman" w:cs="Times New Roman"/>
          <w:i/>
          <w:sz w:val="24"/>
          <w:szCs w:val="24"/>
        </w:rPr>
        <w:t>et al</w:t>
      </w:r>
      <w:r w:rsidR="00A2340F" w:rsidRPr="00712B16">
        <w:rPr>
          <w:rFonts w:ascii="Times New Roman" w:hAnsi="Times New Roman" w:cs="Times New Roman"/>
          <w:sz w:val="24"/>
          <w:szCs w:val="24"/>
        </w:rPr>
        <w:t>.</w:t>
      </w:r>
      <w:r w:rsidR="008B5AA4" w:rsidRPr="00712B16">
        <w:rPr>
          <w:rFonts w:ascii="Times New Roman" w:hAnsi="Times New Roman" w:cs="Times New Roman"/>
          <w:sz w:val="24"/>
          <w:szCs w:val="24"/>
        </w:rPr>
        <w:t>, 2019</w:t>
      </w:r>
      <w:r w:rsidR="00FF2A3C" w:rsidRPr="00712B16">
        <w:rPr>
          <w:rFonts w:ascii="Times New Roman" w:hAnsi="Times New Roman" w:cs="Times New Roman"/>
          <w:sz w:val="24"/>
          <w:szCs w:val="24"/>
        </w:rPr>
        <w:t xml:space="preserve">; </w:t>
      </w:r>
      <w:r w:rsidR="008B5AA4" w:rsidRPr="00712B16">
        <w:rPr>
          <w:rFonts w:ascii="Times New Roman" w:hAnsi="Times New Roman" w:cs="Times New Roman"/>
          <w:noProof/>
          <w:sz w:val="24"/>
          <w:szCs w:val="24"/>
        </w:rPr>
        <w:t>Kuo</w:t>
      </w:r>
      <w:r w:rsidR="00C25B4A" w:rsidRPr="00712B16">
        <w:rPr>
          <w:rFonts w:ascii="Times New Roman" w:hAnsi="Times New Roman" w:cs="Times New Roman"/>
          <w:noProof/>
          <w:sz w:val="24"/>
          <w:szCs w:val="24"/>
        </w:rPr>
        <w:t xml:space="preserve"> </w:t>
      </w:r>
      <w:r w:rsidR="00C25B4A" w:rsidRPr="00712B16">
        <w:rPr>
          <w:rFonts w:ascii="Times New Roman" w:hAnsi="Times New Roman" w:cs="Times New Roman"/>
          <w:i/>
          <w:sz w:val="24"/>
          <w:szCs w:val="24"/>
        </w:rPr>
        <w:t>et al</w:t>
      </w:r>
      <w:r w:rsidR="00C25B4A" w:rsidRPr="00712B16">
        <w:rPr>
          <w:rFonts w:ascii="Times New Roman" w:hAnsi="Times New Roman" w:cs="Times New Roman"/>
          <w:sz w:val="24"/>
          <w:szCs w:val="24"/>
        </w:rPr>
        <w:t>.</w:t>
      </w:r>
      <w:r w:rsidR="008B5AA4" w:rsidRPr="00712B16">
        <w:rPr>
          <w:rFonts w:ascii="Times New Roman" w:hAnsi="Times New Roman" w:cs="Times New Roman"/>
          <w:noProof/>
          <w:sz w:val="24"/>
          <w:szCs w:val="24"/>
        </w:rPr>
        <w:t>, 2021</w:t>
      </w:r>
      <w:r w:rsidR="00FF2A3C" w:rsidRPr="00712B16">
        <w:rPr>
          <w:rFonts w:ascii="Times New Roman" w:hAnsi="Times New Roman" w:cs="Times New Roman"/>
          <w:sz w:val="24"/>
          <w:szCs w:val="24"/>
        </w:rPr>
        <w:t xml:space="preserve">). Due to the inconclusive findings on the association between CSR performance and REM, we conjecture that CSR performance has no significant effect on the association between firms’ REM and </w:t>
      </w:r>
      <w:r w:rsidR="005832CF" w:rsidRPr="00712B16">
        <w:rPr>
          <w:rFonts w:ascii="Times New Roman" w:hAnsi="Times New Roman" w:cs="Times New Roman"/>
          <w:sz w:val="24"/>
          <w:szCs w:val="24"/>
        </w:rPr>
        <w:t>net zero</w:t>
      </w:r>
      <w:r w:rsidR="00FF2A3C" w:rsidRPr="00712B16">
        <w:rPr>
          <w:rFonts w:ascii="Times New Roman" w:hAnsi="Times New Roman" w:cs="Times New Roman"/>
          <w:sz w:val="24"/>
          <w:szCs w:val="24"/>
        </w:rPr>
        <w:t xml:space="preserve"> target</w:t>
      </w:r>
      <w:r w:rsidR="0071683C" w:rsidRPr="00712B16">
        <w:rPr>
          <w:rFonts w:ascii="Times New Roman" w:hAnsi="Times New Roman" w:cs="Times New Roman"/>
          <w:sz w:val="24"/>
          <w:szCs w:val="24"/>
        </w:rPr>
        <w:t xml:space="preserve"> commitment</w:t>
      </w:r>
      <w:r w:rsidR="00FF2A3C" w:rsidRPr="00712B16">
        <w:rPr>
          <w:rFonts w:ascii="Times New Roman" w:hAnsi="Times New Roman" w:cs="Times New Roman"/>
          <w:sz w:val="24"/>
          <w:szCs w:val="24"/>
        </w:rPr>
        <w:t>.</w:t>
      </w:r>
    </w:p>
    <w:p w14:paraId="3DD106E8" w14:textId="077D35DA" w:rsidR="00F16BED" w:rsidRPr="00712B16" w:rsidRDefault="00FF2A3C" w:rsidP="007706F6">
      <w:pPr>
        <w:spacing w:after="0" w:line="480" w:lineRule="auto"/>
        <w:ind w:firstLine="720"/>
        <w:jc w:val="both"/>
        <w:rPr>
          <w:rFonts w:ascii="Times New Roman" w:hAnsi="Times New Roman" w:cs="Times New Roman"/>
          <w:sz w:val="24"/>
          <w:szCs w:val="24"/>
        </w:rPr>
      </w:pPr>
      <w:r w:rsidRPr="00712B16">
        <w:rPr>
          <w:rFonts w:ascii="Times New Roman" w:hAnsi="Times New Roman" w:cs="Times New Roman"/>
          <w:sz w:val="24"/>
          <w:szCs w:val="24"/>
        </w:rPr>
        <w:t xml:space="preserve">To test these conjectures, we employ a sample of firms listed on stock exchanges across 71 countries from 2011 to 2021, for which financial data are available in the Compustat Global and Worldscope databases. </w:t>
      </w:r>
      <w:r w:rsidR="00307D4A" w:rsidRPr="00712B16">
        <w:rPr>
          <w:rFonts w:ascii="Times New Roman" w:hAnsi="Times New Roman" w:cs="Times New Roman"/>
          <w:sz w:val="24"/>
          <w:szCs w:val="24"/>
        </w:rPr>
        <w:t xml:space="preserve">Using a sample of 249,711 firm-year observations, our results indicate that firms headquartered in countries </w:t>
      </w:r>
      <w:r w:rsidR="00DA4A45" w:rsidRPr="00712B16">
        <w:rPr>
          <w:rFonts w:ascii="Times New Roman" w:hAnsi="Times New Roman" w:cs="Times New Roman"/>
          <w:sz w:val="24"/>
          <w:szCs w:val="24"/>
        </w:rPr>
        <w:t>that</w:t>
      </w:r>
      <w:r w:rsidR="00C81362" w:rsidRPr="00712B16">
        <w:rPr>
          <w:rFonts w:ascii="Times New Roman" w:hAnsi="Times New Roman" w:cs="Times New Roman"/>
          <w:sz w:val="24"/>
          <w:szCs w:val="24"/>
        </w:rPr>
        <w:t xml:space="preserve"> </w:t>
      </w:r>
      <w:r w:rsidR="001B03C5" w:rsidRPr="00712B16">
        <w:rPr>
          <w:rFonts w:ascii="Times New Roman" w:hAnsi="Times New Roman" w:cs="Times New Roman"/>
          <w:sz w:val="24"/>
          <w:szCs w:val="24"/>
        </w:rPr>
        <w:t xml:space="preserve">have </w:t>
      </w:r>
      <w:r w:rsidR="00510E73" w:rsidRPr="00712B16">
        <w:rPr>
          <w:rFonts w:ascii="Times New Roman" w:hAnsi="Times New Roman" w:cs="Times New Roman"/>
          <w:sz w:val="24"/>
          <w:szCs w:val="24"/>
        </w:rPr>
        <w:t xml:space="preserve">committed </w:t>
      </w:r>
      <w:r w:rsidR="007026A1" w:rsidRPr="00712B16">
        <w:rPr>
          <w:rFonts w:ascii="Times New Roman" w:hAnsi="Times New Roman" w:cs="Times New Roman"/>
          <w:sz w:val="24"/>
          <w:szCs w:val="24"/>
        </w:rPr>
        <w:t>to the</w:t>
      </w:r>
      <w:r w:rsidR="003A1052" w:rsidRPr="00712B16">
        <w:rPr>
          <w:rFonts w:ascii="Times New Roman" w:hAnsi="Times New Roman" w:cs="Times New Roman"/>
          <w:sz w:val="24"/>
          <w:szCs w:val="24"/>
        </w:rPr>
        <w:t xml:space="preserve"> </w:t>
      </w:r>
      <w:r w:rsidR="005832CF" w:rsidRPr="00712B16">
        <w:rPr>
          <w:rFonts w:ascii="Times New Roman" w:hAnsi="Times New Roman" w:cs="Times New Roman"/>
          <w:sz w:val="24"/>
          <w:szCs w:val="24"/>
        </w:rPr>
        <w:t>net zero</w:t>
      </w:r>
      <w:r w:rsidR="00307D4A" w:rsidRPr="00712B16">
        <w:rPr>
          <w:rFonts w:ascii="Times New Roman" w:hAnsi="Times New Roman" w:cs="Times New Roman"/>
          <w:sz w:val="24"/>
          <w:szCs w:val="24"/>
        </w:rPr>
        <w:t xml:space="preserve"> targets</w:t>
      </w:r>
      <w:r w:rsidR="007026A1" w:rsidRPr="00712B16">
        <w:rPr>
          <w:rFonts w:ascii="Times New Roman" w:hAnsi="Times New Roman" w:cs="Times New Roman"/>
          <w:sz w:val="24"/>
          <w:szCs w:val="24"/>
        </w:rPr>
        <w:t xml:space="preserve"> </w:t>
      </w:r>
      <w:r w:rsidR="00307D4A" w:rsidRPr="00712B16">
        <w:rPr>
          <w:rFonts w:ascii="Times New Roman" w:hAnsi="Times New Roman" w:cs="Times New Roman"/>
          <w:sz w:val="24"/>
          <w:szCs w:val="24"/>
        </w:rPr>
        <w:t xml:space="preserve">engage in more REM activities. Our results are consistent for all four measures of REM activities. In addition, our findings show that this relation is weaker in firms with better CSR, which is an indication of a firm's readiness and willingness to align with the objectives associated with </w:t>
      </w:r>
      <w:r w:rsidR="003A1052" w:rsidRPr="00712B16">
        <w:rPr>
          <w:rFonts w:ascii="Times New Roman" w:hAnsi="Times New Roman" w:cs="Times New Roman"/>
          <w:sz w:val="24"/>
          <w:szCs w:val="24"/>
        </w:rPr>
        <w:t>the</w:t>
      </w:r>
      <w:r w:rsidR="007026A1" w:rsidRPr="00712B16">
        <w:rPr>
          <w:rFonts w:ascii="Times New Roman" w:hAnsi="Times New Roman" w:cs="Times New Roman"/>
          <w:sz w:val="24"/>
          <w:szCs w:val="24"/>
        </w:rPr>
        <w:t xml:space="preserve"> </w:t>
      </w:r>
      <w:r w:rsidR="005832CF" w:rsidRPr="00712B16">
        <w:rPr>
          <w:rFonts w:ascii="Times New Roman" w:hAnsi="Times New Roman" w:cs="Times New Roman"/>
          <w:sz w:val="24"/>
          <w:szCs w:val="24"/>
        </w:rPr>
        <w:t>net zero</w:t>
      </w:r>
      <w:r w:rsidR="003A1052" w:rsidRPr="00712B16">
        <w:rPr>
          <w:rFonts w:ascii="Times New Roman" w:hAnsi="Times New Roman" w:cs="Times New Roman"/>
          <w:sz w:val="24"/>
          <w:szCs w:val="24"/>
        </w:rPr>
        <w:t xml:space="preserve"> target</w:t>
      </w:r>
      <w:r w:rsidR="00B078D8" w:rsidRPr="00712B16">
        <w:rPr>
          <w:rFonts w:ascii="Times New Roman" w:hAnsi="Times New Roman" w:cs="Times New Roman"/>
          <w:sz w:val="24"/>
          <w:szCs w:val="24"/>
        </w:rPr>
        <w:t xml:space="preserve"> </w:t>
      </w:r>
      <w:r w:rsidR="007026A1" w:rsidRPr="00712B16">
        <w:rPr>
          <w:rFonts w:ascii="Times New Roman" w:hAnsi="Times New Roman" w:cs="Times New Roman"/>
          <w:sz w:val="24"/>
          <w:szCs w:val="24"/>
        </w:rPr>
        <w:t>commitment</w:t>
      </w:r>
      <w:r w:rsidR="00307D4A" w:rsidRPr="00712B16">
        <w:rPr>
          <w:rFonts w:ascii="Times New Roman" w:hAnsi="Times New Roman" w:cs="Times New Roman"/>
          <w:sz w:val="24"/>
          <w:szCs w:val="24"/>
        </w:rPr>
        <w:t xml:space="preserve">. The results are robust to alternative measures of REM and </w:t>
      </w:r>
      <w:r w:rsidR="00DA4A45" w:rsidRPr="00712B16">
        <w:rPr>
          <w:rFonts w:ascii="Times New Roman" w:hAnsi="Times New Roman" w:cs="Times New Roman"/>
          <w:sz w:val="24"/>
          <w:szCs w:val="24"/>
        </w:rPr>
        <w:t>employment of</w:t>
      </w:r>
      <w:r w:rsidR="00307D4A" w:rsidRPr="00712B16">
        <w:rPr>
          <w:rFonts w:ascii="Times New Roman" w:hAnsi="Times New Roman" w:cs="Times New Roman"/>
          <w:sz w:val="24"/>
          <w:szCs w:val="24"/>
        </w:rPr>
        <w:t xml:space="preserve"> </w:t>
      </w:r>
      <w:r w:rsidR="00E223E8" w:rsidRPr="00712B16">
        <w:rPr>
          <w:rFonts w:ascii="Times New Roman" w:hAnsi="Times New Roman" w:cs="Times New Roman"/>
          <w:sz w:val="24"/>
          <w:szCs w:val="24"/>
        </w:rPr>
        <w:t xml:space="preserve">the </w:t>
      </w:r>
      <w:r w:rsidR="00307D4A" w:rsidRPr="00712B16">
        <w:rPr>
          <w:rFonts w:ascii="Times New Roman" w:hAnsi="Times New Roman" w:cs="Times New Roman"/>
          <w:sz w:val="24"/>
          <w:szCs w:val="24"/>
        </w:rPr>
        <w:t xml:space="preserve">propensity score matching methodology. We also employ four levels of </w:t>
      </w:r>
      <w:r w:rsidR="005832CF" w:rsidRPr="00712B16">
        <w:rPr>
          <w:rFonts w:ascii="Times New Roman" w:hAnsi="Times New Roman" w:cs="Times New Roman"/>
          <w:sz w:val="24"/>
          <w:szCs w:val="24"/>
        </w:rPr>
        <w:t>net zero</w:t>
      </w:r>
      <w:r w:rsidR="00090DC8" w:rsidRPr="00712B16">
        <w:rPr>
          <w:rFonts w:ascii="Times New Roman" w:hAnsi="Times New Roman" w:cs="Times New Roman"/>
          <w:sz w:val="24"/>
          <w:szCs w:val="24"/>
        </w:rPr>
        <w:t xml:space="preserve"> target</w:t>
      </w:r>
      <w:r w:rsidR="00307D4A" w:rsidRPr="00712B16">
        <w:rPr>
          <w:rFonts w:ascii="Times New Roman" w:hAnsi="Times New Roman" w:cs="Times New Roman"/>
          <w:sz w:val="24"/>
          <w:szCs w:val="24"/>
        </w:rPr>
        <w:t xml:space="preserve"> commitments to determine the intensity at the country level and find REM increases with an increase in </w:t>
      </w:r>
      <w:r w:rsidR="00B36D65" w:rsidRPr="00712B16">
        <w:rPr>
          <w:rFonts w:ascii="Times New Roman" w:hAnsi="Times New Roman" w:cs="Times New Roman"/>
          <w:sz w:val="24"/>
          <w:szCs w:val="24"/>
        </w:rPr>
        <w:t xml:space="preserve">the </w:t>
      </w:r>
      <w:r w:rsidR="00307D4A" w:rsidRPr="00712B16">
        <w:rPr>
          <w:rFonts w:ascii="Times New Roman" w:hAnsi="Times New Roman" w:cs="Times New Roman"/>
          <w:sz w:val="24"/>
          <w:szCs w:val="24"/>
        </w:rPr>
        <w:t>intensity</w:t>
      </w:r>
      <w:r w:rsidR="0092516F" w:rsidRPr="00712B16">
        <w:rPr>
          <w:rFonts w:ascii="Times New Roman" w:hAnsi="Times New Roman" w:cs="Times New Roman"/>
          <w:sz w:val="24"/>
          <w:szCs w:val="24"/>
        </w:rPr>
        <w:t xml:space="preserve"> of </w:t>
      </w:r>
      <w:r w:rsidR="000D1E4D" w:rsidRPr="00712B16">
        <w:rPr>
          <w:rFonts w:ascii="Times New Roman" w:hAnsi="Times New Roman" w:cs="Times New Roman"/>
          <w:sz w:val="24"/>
          <w:szCs w:val="24"/>
        </w:rPr>
        <w:t xml:space="preserve">the </w:t>
      </w:r>
      <w:r w:rsidR="005832CF" w:rsidRPr="00712B16">
        <w:rPr>
          <w:rFonts w:ascii="Times New Roman" w:hAnsi="Times New Roman" w:cs="Times New Roman"/>
          <w:sz w:val="24"/>
          <w:szCs w:val="24"/>
        </w:rPr>
        <w:t>net zero</w:t>
      </w:r>
      <w:r w:rsidR="000D1E4D" w:rsidRPr="00712B16">
        <w:rPr>
          <w:rFonts w:ascii="Times New Roman" w:hAnsi="Times New Roman" w:cs="Times New Roman"/>
          <w:sz w:val="24"/>
          <w:szCs w:val="24"/>
        </w:rPr>
        <w:t xml:space="preserve"> target</w:t>
      </w:r>
      <w:r w:rsidR="0092516F" w:rsidRPr="00712B16">
        <w:rPr>
          <w:rFonts w:ascii="Times New Roman" w:hAnsi="Times New Roman" w:cs="Times New Roman"/>
          <w:sz w:val="24"/>
          <w:szCs w:val="24"/>
        </w:rPr>
        <w:t xml:space="preserve"> </w:t>
      </w:r>
      <w:r w:rsidR="001B03C5" w:rsidRPr="00712B16">
        <w:rPr>
          <w:rFonts w:ascii="Times New Roman" w:hAnsi="Times New Roman" w:cs="Times New Roman"/>
          <w:sz w:val="24"/>
          <w:szCs w:val="24"/>
        </w:rPr>
        <w:t>commitment</w:t>
      </w:r>
      <w:r w:rsidR="00307D4A" w:rsidRPr="00712B16">
        <w:rPr>
          <w:rFonts w:ascii="Times New Roman" w:hAnsi="Times New Roman" w:cs="Times New Roman"/>
          <w:sz w:val="24"/>
          <w:szCs w:val="24"/>
        </w:rPr>
        <w:t xml:space="preserve">. Finally, we find that firms that voluntarily </w:t>
      </w:r>
      <w:r w:rsidR="0071683C" w:rsidRPr="00712B16">
        <w:rPr>
          <w:rFonts w:ascii="Times New Roman" w:hAnsi="Times New Roman" w:cs="Times New Roman"/>
          <w:sz w:val="24"/>
          <w:szCs w:val="24"/>
        </w:rPr>
        <w:t>commit to</w:t>
      </w:r>
      <w:r w:rsidR="00307D4A" w:rsidRPr="00712B16">
        <w:rPr>
          <w:rFonts w:ascii="Times New Roman" w:hAnsi="Times New Roman" w:cs="Times New Roman"/>
          <w:sz w:val="24"/>
          <w:szCs w:val="24"/>
        </w:rPr>
        <w:t xml:space="preserve"> </w:t>
      </w:r>
      <w:r w:rsidR="003A1052" w:rsidRPr="00712B16">
        <w:rPr>
          <w:rFonts w:ascii="Times New Roman" w:hAnsi="Times New Roman" w:cs="Times New Roman"/>
          <w:sz w:val="24"/>
          <w:szCs w:val="24"/>
        </w:rPr>
        <w:t xml:space="preserve">the </w:t>
      </w:r>
      <w:r w:rsidR="005832CF" w:rsidRPr="00712B16">
        <w:rPr>
          <w:rFonts w:ascii="Times New Roman" w:hAnsi="Times New Roman" w:cs="Times New Roman"/>
          <w:sz w:val="24"/>
          <w:szCs w:val="24"/>
        </w:rPr>
        <w:t>net zero</w:t>
      </w:r>
      <w:r w:rsidR="00307D4A" w:rsidRPr="00712B16">
        <w:rPr>
          <w:rFonts w:ascii="Times New Roman" w:hAnsi="Times New Roman" w:cs="Times New Roman"/>
          <w:sz w:val="24"/>
          <w:szCs w:val="24"/>
        </w:rPr>
        <w:t xml:space="preserve"> targets do not exhibit higher REM, consistent with the notion that such firms are better prepared to </w:t>
      </w:r>
      <w:r w:rsidR="00BB0F48" w:rsidRPr="00712B16">
        <w:rPr>
          <w:rFonts w:ascii="Times New Roman" w:hAnsi="Times New Roman" w:cs="Times New Roman"/>
          <w:sz w:val="24"/>
          <w:szCs w:val="24"/>
        </w:rPr>
        <w:t>respond to</w:t>
      </w:r>
      <w:r w:rsidR="00307D4A" w:rsidRPr="00712B16">
        <w:rPr>
          <w:rFonts w:ascii="Times New Roman" w:hAnsi="Times New Roman" w:cs="Times New Roman"/>
          <w:sz w:val="24"/>
          <w:szCs w:val="24"/>
        </w:rPr>
        <w:t xml:space="preserve"> the regulatory changes imposed by the country where they are headquartered.</w:t>
      </w:r>
      <w:r w:rsidR="00F16BED" w:rsidRPr="00712B16">
        <w:rPr>
          <w:rFonts w:ascii="Times New Roman" w:hAnsi="Times New Roman" w:cs="Times New Roman"/>
          <w:sz w:val="24"/>
          <w:szCs w:val="24"/>
        </w:rPr>
        <w:t xml:space="preserve"> </w:t>
      </w:r>
    </w:p>
    <w:p w14:paraId="57F8A5FD" w14:textId="1AD98883" w:rsidR="00D17C2F" w:rsidRPr="00712B16" w:rsidRDefault="00D17C2F" w:rsidP="00D17C2F">
      <w:pPr>
        <w:spacing w:after="0" w:line="480" w:lineRule="auto"/>
        <w:ind w:firstLine="720"/>
        <w:jc w:val="both"/>
        <w:rPr>
          <w:rFonts w:ascii="Times New Roman" w:hAnsi="Times New Roman" w:cs="Times New Roman"/>
          <w:sz w:val="24"/>
          <w:szCs w:val="24"/>
        </w:rPr>
      </w:pPr>
      <w:bookmarkStart w:id="11" w:name="_Hlk145234862"/>
      <w:r w:rsidRPr="00712B16">
        <w:rPr>
          <w:rFonts w:ascii="Times New Roman" w:hAnsi="Times New Roman" w:cs="Times New Roman"/>
          <w:sz w:val="24"/>
          <w:szCs w:val="24"/>
        </w:rPr>
        <w:lastRenderedPageBreak/>
        <w:t xml:space="preserve">Our study makes several important contributions to the literature and practice in the following ways. First, our study contributes to the growing literature on how </w:t>
      </w:r>
      <w:r w:rsidRPr="00712B16">
        <w:rPr>
          <w:rFonts w:ascii="Times New Roman" w:hAnsi="Times New Roman" w:cs="Times New Roman"/>
          <w:bCs/>
          <w:iCs/>
          <w:sz w:val="24"/>
          <w:szCs w:val="24"/>
        </w:rPr>
        <w:t>macro-level climate policy can have micro-level reporting consequences on firms.</w:t>
      </w:r>
      <w:r w:rsidRPr="00712B16">
        <w:rPr>
          <w:rFonts w:ascii="Times New Roman" w:hAnsi="Times New Roman" w:cs="Times New Roman"/>
          <w:sz w:val="24"/>
          <w:szCs w:val="24"/>
        </w:rPr>
        <w:t xml:space="preserve"> </w:t>
      </w:r>
      <w:r w:rsidRPr="00712B16">
        <w:rPr>
          <w:rFonts w:ascii="Times New Roman" w:hAnsi="Times New Roman" w:cs="Times New Roman"/>
          <w:sz w:val="24"/>
          <w:szCs w:val="24"/>
          <w:lang w:val="en-NZ"/>
        </w:rPr>
        <w:t xml:space="preserve">While prior research has examined the effects of climate regulation </w:t>
      </w:r>
      <w:r w:rsidR="00BC5130" w:rsidRPr="00712B16">
        <w:rPr>
          <w:rFonts w:ascii="Times New Roman" w:hAnsi="Times New Roman" w:cs="Times New Roman"/>
          <w:bCs/>
          <w:iCs/>
          <w:sz w:val="24"/>
          <w:szCs w:val="24"/>
        </w:rPr>
        <w:t xml:space="preserve">on investment behavior (D’Arcangelo </w:t>
      </w:r>
      <w:r w:rsidR="00BC5130" w:rsidRPr="00712B16">
        <w:rPr>
          <w:rFonts w:ascii="Times New Roman" w:hAnsi="Times New Roman" w:cs="Times New Roman"/>
          <w:bCs/>
          <w:i/>
          <w:sz w:val="24"/>
          <w:szCs w:val="24"/>
        </w:rPr>
        <w:t>et al</w:t>
      </w:r>
      <w:r w:rsidR="00BC5130" w:rsidRPr="00712B16">
        <w:rPr>
          <w:rFonts w:ascii="Times New Roman" w:hAnsi="Times New Roman" w:cs="Times New Roman"/>
          <w:bCs/>
          <w:iCs/>
          <w:sz w:val="24"/>
          <w:szCs w:val="24"/>
        </w:rPr>
        <w:t xml:space="preserve">., 2023; Grewal </w:t>
      </w:r>
      <w:r w:rsidR="00BC5130" w:rsidRPr="00712B16">
        <w:rPr>
          <w:rFonts w:ascii="Times New Roman" w:hAnsi="Times New Roman" w:cs="Times New Roman"/>
          <w:bCs/>
          <w:i/>
          <w:sz w:val="24"/>
          <w:szCs w:val="24"/>
        </w:rPr>
        <w:t>et al</w:t>
      </w:r>
      <w:r w:rsidR="00BC5130" w:rsidRPr="00712B16">
        <w:rPr>
          <w:rFonts w:ascii="Times New Roman" w:hAnsi="Times New Roman" w:cs="Times New Roman"/>
          <w:bCs/>
          <w:iCs/>
          <w:sz w:val="24"/>
          <w:szCs w:val="24"/>
        </w:rPr>
        <w:t xml:space="preserve">., 2019), disclosure (Christensen </w:t>
      </w:r>
      <w:r w:rsidR="00BC5130" w:rsidRPr="00712B16">
        <w:rPr>
          <w:rFonts w:ascii="Times New Roman" w:hAnsi="Times New Roman" w:cs="Times New Roman"/>
          <w:bCs/>
          <w:i/>
          <w:sz w:val="24"/>
          <w:szCs w:val="24"/>
        </w:rPr>
        <w:t>et al</w:t>
      </w:r>
      <w:r w:rsidR="00BC5130" w:rsidRPr="00712B16">
        <w:rPr>
          <w:rFonts w:ascii="Times New Roman" w:hAnsi="Times New Roman" w:cs="Times New Roman"/>
          <w:bCs/>
          <w:iCs/>
          <w:sz w:val="24"/>
          <w:szCs w:val="24"/>
        </w:rPr>
        <w:t xml:space="preserve">., 2021), corporate innovation (Liu </w:t>
      </w:r>
      <w:r w:rsidR="00BC5130" w:rsidRPr="00712B16">
        <w:rPr>
          <w:rFonts w:ascii="Times New Roman" w:hAnsi="Times New Roman" w:cs="Times New Roman"/>
          <w:bCs/>
          <w:i/>
          <w:sz w:val="24"/>
          <w:szCs w:val="24"/>
        </w:rPr>
        <w:t>et al</w:t>
      </w:r>
      <w:r w:rsidR="00BC5130" w:rsidRPr="00712B16">
        <w:rPr>
          <w:rFonts w:ascii="Times New Roman" w:hAnsi="Times New Roman" w:cs="Times New Roman"/>
          <w:bCs/>
          <w:iCs/>
          <w:sz w:val="24"/>
          <w:szCs w:val="24"/>
        </w:rPr>
        <w:t xml:space="preserve">., 2024), or financing activities (Nguyen </w:t>
      </w:r>
      <w:r w:rsidR="00BC5130" w:rsidRPr="00712B16">
        <w:rPr>
          <w:rFonts w:ascii="Times New Roman" w:hAnsi="Times New Roman" w:cs="Times New Roman"/>
          <w:bCs/>
          <w:i/>
          <w:sz w:val="24"/>
          <w:szCs w:val="24"/>
        </w:rPr>
        <w:t>et al</w:t>
      </w:r>
      <w:r w:rsidR="00BC5130" w:rsidRPr="00712B16">
        <w:rPr>
          <w:rFonts w:ascii="Times New Roman" w:hAnsi="Times New Roman" w:cs="Times New Roman"/>
          <w:bCs/>
          <w:iCs/>
          <w:sz w:val="24"/>
          <w:szCs w:val="24"/>
        </w:rPr>
        <w:t>., 2025)</w:t>
      </w:r>
      <w:r w:rsidRPr="00712B16">
        <w:rPr>
          <w:rFonts w:ascii="Times New Roman" w:hAnsi="Times New Roman" w:cs="Times New Roman"/>
          <w:sz w:val="24"/>
          <w:szCs w:val="24"/>
          <w:lang w:val="en-NZ"/>
        </w:rPr>
        <w:t xml:space="preserve">, to the best of our knowledge no study has directly linked national </w:t>
      </w:r>
      <w:r w:rsidR="005832CF" w:rsidRPr="00712B16">
        <w:rPr>
          <w:rFonts w:ascii="Times New Roman" w:hAnsi="Times New Roman" w:cs="Times New Roman"/>
          <w:sz w:val="24"/>
          <w:szCs w:val="24"/>
          <w:lang w:val="en-NZ"/>
        </w:rPr>
        <w:t>net zero</w:t>
      </w:r>
      <w:r w:rsidRPr="00712B16">
        <w:rPr>
          <w:rFonts w:ascii="Times New Roman" w:hAnsi="Times New Roman" w:cs="Times New Roman"/>
          <w:sz w:val="24"/>
          <w:szCs w:val="24"/>
          <w:lang w:val="en-NZ"/>
        </w:rPr>
        <w:t xml:space="preserve"> target </w:t>
      </w:r>
      <w:r w:rsidR="00897E37" w:rsidRPr="00712B16">
        <w:rPr>
          <w:rFonts w:ascii="Times New Roman" w:hAnsi="Times New Roman" w:cs="Times New Roman"/>
          <w:sz w:val="24"/>
          <w:szCs w:val="24"/>
          <w:lang w:val="en-NZ"/>
        </w:rPr>
        <w:t>commitment</w:t>
      </w:r>
      <w:r w:rsidRPr="00712B16">
        <w:rPr>
          <w:rFonts w:ascii="Times New Roman" w:hAnsi="Times New Roman" w:cs="Times New Roman"/>
          <w:sz w:val="24"/>
          <w:szCs w:val="24"/>
          <w:lang w:val="en-NZ"/>
        </w:rPr>
        <w:t xml:space="preserve">, a cornerstone of global climate governance, to managers’ </w:t>
      </w:r>
      <w:r w:rsidR="00D71377" w:rsidRPr="00712B16">
        <w:rPr>
          <w:rFonts w:ascii="Times New Roman" w:hAnsi="Times New Roman" w:cs="Times New Roman"/>
          <w:sz w:val="24"/>
          <w:szCs w:val="24"/>
          <w:lang w:val="en-NZ"/>
        </w:rPr>
        <w:t>REM</w:t>
      </w:r>
      <w:r w:rsidRPr="00712B16">
        <w:rPr>
          <w:rFonts w:ascii="Times New Roman" w:hAnsi="Times New Roman" w:cs="Times New Roman"/>
          <w:sz w:val="24"/>
          <w:szCs w:val="24"/>
          <w:lang w:val="en-NZ"/>
        </w:rPr>
        <w:t xml:space="preserve"> decisions. This unique linkage allows us to provide new insights into how global climate commitments shape firm-level financial reporting incentives.</w:t>
      </w:r>
    </w:p>
    <w:p w14:paraId="7904C1B5" w14:textId="6B40A895" w:rsidR="00D17C2F" w:rsidRPr="00712B16" w:rsidRDefault="00D17C2F" w:rsidP="00D17C2F">
      <w:pPr>
        <w:spacing w:after="0" w:line="480" w:lineRule="auto"/>
        <w:ind w:firstLine="720"/>
        <w:jc w:val="both"/>
        <w:rPr>
          <w:rFonts w:ascii="Times New Roman" w:hAnsi="Times New Roman" w:cs="Times New Roman"/>
          <w:sz w:val="24"/>
          <w:szCs w:val="24"/>
          <w:lang w:val="en-AU"/>
        </w:rPr>
      </w:pPr>
      <w:r w:rsidRPr="00712B16">
        <w:rPr>
          <w:rFonts w:ascii="Times New Roman" w:hAnsi="Times New Roman" w:cs="Times New Roman"/>
          <w:sz w:val="24"/>
          <w:szCs w:val="24"/>
          <w:lang w:val="en-AU"/>
        </w:rPr>
        <w:t xml:space="preserve">REM is particularly salient in the context of </w:t>
      </w:r>
      <w:r w:rsidR="005832CF" w:rsidRPr="00712B16">
        <w:rPr>
          <w:rFonts w:ascii="Times New Roman" w:hAnsi="Times New Roman" w:cs="Times New Roman"/>
          <w:sz w:val="24"/>
          <w:szCs w:val="24"/>
          <w:lang w:val="en-AU"/>
        </w:rPr>
        <w:t>net zero</w:t>
      </w:r>
      <w:r w:rsidRPr="00712B16">
        <w:rPr>
          <w:rFonts w:ascii="Times New Roman" w:hAnsi="Times New Roman" w:cs="Times New Roman"/>
          <w:sz w:val="24"/>
          <w:szCs w:val="24"/>
          <w:lang w:val="en-AU"/>
        </w:rPr>
        <w:t xml:space="preserve"> </w:t>
      </w:r>
      <w:r w:rsidR="00615111" w:rsidRPr="00712B16">
        <w:rPr>
          <w:rFonts w:ascii="Times New Roman" w:hAnsi="Times New Roman" w:cs="Times New Roman"/>
          <w:sz w:val="24"/>
          <w:szCs w:val="24"/>
          <w:lang w:val="en-AU"/>
        </w:rPr>
        <w:t>targets</w:t>
      </w:r>
      <w:r w:rsidRPr="00712B16">
        <w:rPr>
          <w:rFonts w:ascii="Times New Roman" w:hAnsi="Times New Roman" w:cs="Times New Roman"/>
          <w:sz w:val="24"/>
          <w:szCs w:val="24"/>
          <w:lang w:val="en-AU"/>
        </w:rPr>
        <w:t xml:space="preserve"> because, unlike accrual-based</w:t>
      </w:r>
      <w:r w:rsidR="00E80AED" w:rsidRPr="00712B16">
        <w:rPr>
          <w:rFonts w:ascii="Times New Roman" w:hAnsi="Times New Roman" w:cs="Times New Roman"/>
          <w:sz w:val="24"/>
          <w:szCs w:val="24"/>
          <w:lang w:val="en-AU"/>
        </w:rPr>
        <w:t xml:space="preserve"> earnings</w:t>
      </w:r>
      <w:r w:rsidRPr="00712B16">
        <w:rPr>
          <w:rFonts w:ascii="Times New Roman" w:hAnsi="Times New Roman" w:cs="Times New Roman"/>
          <w:sz w:val="24"/>
          <w:szCs w:val="24"/>
          <w:lang w:val="en-AU"/>
        </w:rPr>
        <w:t xml:space="preserve"> man</w:t>
      </w:r>
      <w:r w:rsidR="00E80AED" w:rsidRPr="00712B16">
        <w:rPr>
          <w:rFonts w:ascii="Times New Roman" w:hAnsi="Times New Roman" w:cs="Times New Roman"/>
          <w:sz w:val="24"/>
          <w:szCs w:val="24"/>
          <w:lang w:val="en-AU"/>
        </w:rPr>
        <w:t>agement</w:t>
      </w:r>
      <w:r w:rsidRPr="00712B16">
        <w:rPr>
          <w:rFonts w:ascii="Times New Roman" w:hAnsi="Times New Roman" w:cs="Times New Roman"/>
          <w:sz w:val="24"/>
          <w:szCs w:val="24"/>
          <w:lang w:val="en-AU"/>
        </w:rPr>
        <w:t xml:space="preserve">, it operates through real business decisions such as reducing R&amp;D, delaying investments, or cutting discretionary spending. Focusing on REM, we uncover a subtle but economically significant channel through which national climate commitments may unintentionally incentivize short-term profit preservation at the expense of long-term sustainability. This unique perspective allows us to highlight the tension between global </w:t>
      </w:r>
      <w:r w:rsidR="005832CF" w:rsidRPr="00712B16">
        <w:rPr>
          <w:rFonts w:ascii="Times New Roman" w:hAnsi="Times New Roman" w:cs="Times New Roman"/>
          <w:sz w:val="24"/>
          <w:szCs w:val="24"/>
          <w:lang w:val="en-AU"/>
        </w:rPr>
        <w:t>net zero</w:t>
      </w:r>
      <w:r w:rsidRPr="00712B16">
        <w:rPr>
          <w:rFonts w:ascii="Times New Roman" w:hAnsi="Times New Roman" w:cs="Times New Roman"/>
          <w:sz w:val="24"/>
          <w:szCs w:val="24"/>
          <w:lang w:val="en-AU"/>
        </w:rPr>
        <w:t xml:space="preserve"> targets and firm-level financial reporting incentives, offering insights into micro-level externalities of climate macro policies.</w:t>
      </w:r>
    </w:p>
    <w:p w14:paraId="4688450C" w14:textId="64A30377" w:rsidR="00D17C2F" w:rsidRPr="00712B16" w:rsidRDefault="00D17C2F" w:rsidP="00D17C2F">
      <w:pPr>
        <w:spacing w:after="0" w:line="480" w:lineRule="auto"/>
        <w:ind w:firstLine="720"/>
        <w:jc w:val="both"/>
        <w:rPr>
          <w:rFonts w:ascii="Times New Roman" w:hAnsi="Times New Roman" w:cs="Times New Roman"/>
          <w:sz w:val="24"/>
          <w:szCs w:val="24"/>
          <w:lang w:val="en-AU"/>
        </w:rPr>
      </w:pPr>
      <w:r w:rsidRPr="00712B16">
        <w:rPr>
          <w:rFonts w:ascii="Times New Roman" w:hAnsi="Times New Roman" w:cs="Times New Roman"/>
          <w:sz w:val="24"/>
          <w:szCs w:val="24"/>
          <w:lang w:val="en-AU"/>
        </w:rPr>
        <w:t xml:space="preserve">Second, our study provides evidence of important differentiation between national-level and firm-level commitments in the context of </w:t>
      </w:r>
      <w:r w:rsidR="005832CF" w:rsidRPr="00712B16">
        <w:rPr>
          <w:rFonts w:ascii="Times New Roman" w:hAnsi="Times New Roman" w:cs="Times New Roman"/>
          <w:sz w:val="24"/>
          <w:szCs w:val="24"/>
          <w:lang w:val="en-AU"/>
        </w:rPr>
        <w:t>net zero</w:t>
      </w:r>
      <w:r w:rsidRPr="00712B16">
        <w:rPr>
          <w:rFonts w:ascii="Times New Roman" w:hAnsi="Times New Roman" w:cs="Times New Roman"/>
          <w:sz w:val="24"/>
          <w:szCs w:val="24"/>
          <w:lang w:val="en-AU"/>
        </w:rPr>
        <w:t xml:space="preserve"> targets. Existing work often focuses on firm voluntary initiatives (e.g., voluntary carbon disclosure, internal carbon pricing, or CSR commitments). Our paper highlights how country-level regulatory </w:t>
      </w:r>
      <w:r w:rsidR="00BF40D6" w:rsidRPr="00712B16">
        <w:rPr>
          <w:rFonts w:ascii="Times New Roman" w:hAnsi="Times New Roman" w:cs="Times New Roman"/>
          <w:sz w:val="24"/>
          <w:szCs w:val="24"/>
          <w:lang w:val="en-AU"/>
        </w:rPr>
        <w:t>pressure</w:t>
      </w:r>
      <w:r w:rsidRPr="00712B16">
        <w:rPr>
          <w:rFonts w:ascii="Times New Roman" w:hAnsi="Times New Roman" w:cs="Times New Roman"/>
          <w:sz w:val="24"/>
          <w:szCs w:val="24"/>
          <w:lang w:val="en-AU"/>
        </w:rPr>
        <w:t xml:space="preserve"> cascades down to firm reporting practices, even in the absence of immediate enforcement. This is a novel angle that bridges the macro-level policy literature with the micro-level accounting and </w:t>
      </w:r>
      <w:r w:rsidR="00A81FDB" w:rsidRPr="00712B16">
        <w:rPr>
          <w:rFonts w:ascii="Times New Roman" w:hAnsi="Times New Roman" w:cs="Times New Roman"/>
          <w:sz w:val="24"/>
          <w:szCs w:val="24"/>
          <w:lang w:val="en-AU"/>
        </w:rPr>
        <w:t xml:space="preserve">the </w:t>
      </w:r>
      <w:r w:rsidRPr="00712B16">
        <w:rPr>
          <w:rFonts w:ascii="Times New Roman" w:hAnsi="Times New Roman" w:cs="Times New Roman"/>
          <w:sz w:val="24"/>
          <w:szCs w:val="24"/>
          <w:lang w:val="en-AU"/>
        </w:rPr>
        <w:t xml:space="preserve">REM literature. In addition, we also </w:t>
      </w:r>
      <w:r w:rsidRPr="00712B16">
        <w:rPr>
          <w:rFonts w:ascii="Times New Roman" w:hAnsi="Times New Roman" w:cs="Times New Roman"/>
          <w:sz w:val="24"/>
          <w:szCs w:val="24"/>
          <w:lang w:val="en-AU"/>
        </w:rPr>
        <w:lastRenderedPageBreak/>
        <w:t xml:space="preserve">contribute methodologically by constructing </w:t>
      </w:r>
      <w:r w:rsidR="00AB6808" w:rsidRPr="00712B16">
        <w:rPr>
          <w:rFonts w:ascii="Times New Roman" w:hAnsi="Times New Roman" w:cs="Times New Roman"/>
          <w:iCs/>
          <w:sz w:val="24"/>
          <w:szCs w:val="24"/>
          <w:lang w:val="en-AU"/>
        </w:rPr>
        <w:t>the</w:t>
      </w:r>
      <w:r w:rsidRPr="00712B16">
        <w:rPr>
          <w:rFonts w:ascii="Times New Roman" w:hAnsi="Times New Roman" w:cs="Times New Roman"/>
          <w:iCs/>
          <w:sz w:val="24"/>
          <w:szCs w:val="24"/>
          <w:lang w:val="en-AU"/>
        </w:rPr>
        <w:t xml:space="preserve"> intensity</w:t>
      </w:r>
      <w:r w:rsidRPr="00712B16">
        <w:rPr>
          <w:rFonts w:ascii="Times New Roman" w:hAnsi="Times New Roman" w:cs="Times New Roman"/>
          <w:sz w:val="24"/>
          <w:szCs w:val="24"/>
          <w:lang w:val="en-AU"/>
        </w:rPr>
        <w:t xml:space="preserve"> variable that captures not only whether a country has </w:t>
      </w:r>
      <w:r w:rsidR="00510E73" w:rsidRPr="00712B16">
        <w:rPr>
          <w:rFonts w:ascii="Times New Roman" w:hAnsi="Times New Roman" w:cs="Times New Roman"/>
          <w:sz w:val="24"/>
          <w:szCs w:val="24"/>
          <w:lang w:val="en-AU"/>
        </w:rPr>
        <w:t>committed to</w:t>
      </w:r>
      <w:r w:rsidRPr="00712B16">
        <w:rPr>
          <w:rFonts w:ascii="Times New Roman" w:hAnsi="Times New Roman" w:cs="Times New Roman"/>
          <w:sz w:val="24"/>
          <w:szCs w:val="24"/>
          <w:lang w:val="en-AU"/>
        </w:rPr>
        <w:t xml:space="preserve"> a </w:t>
      </w:r>
      <w:r w:rsidR="00615111" w:rsidRPr="00712B16">
        <w:rPr>
          <w:rFonts w:ascii="Times New Roman" w:hAnsi="Times New Roman" w:cs="Times New Roman"/>
          <w:sz w:val="24"/>
          <w:szCs w:val="24"/>
          <w:lang w:val="en-AU"/>
        </w:rPr>
        <w:t>net zer</w:t>
      </w:r>
      <w:r w:rsidR="00AB6808" w:rsidRPr="00712B16">
        <w:rPr>
          <w:rFonts w:ascii="Times New Roman" w:hAnsi="Times New Roman" w:cs="Times New Roman"/>
          <w:sz w:val="24"/>
          <w:szCs w:val="24"/>
          <w:lang w:val="en-AU"/>
        </w:rPr>
        <w:t>o</w:t>
      </w:r>
      <w:r w:rsidR="00615111" w:rsidRPr="00712B16">
        <w:rPr>
          <w:rFonts w:ascii="Times New Roman" w:hAnsi="Times New Roman" w:cs="Times New Roman"/>
          <w:sz w:val="24"/>
          <w:szCs w:val="24"/>
          <w:lang w:val="en-AU"/>
        </w:rPr>
        <w:t xml:space="preserve"> </w:t>
      </w:r>
      <w:r w:rsidRPr="00712B16">
        <w:rPr>
          <w:rFonts w:ascii="Times New Roman" w:hAnsi="Times New Roman" w:cs="Times New Roman"/>
          <w:sz w:val="24"/>
          <w:szCs w:val="24"/>
          <w:lang w:val="en-AU"/>
        </w:rPr>
        <w:t xml:space="preserve">target but also the strength of its </w:t>
      </w:r>
      <w:r w:rsidR="00615111" w:rsidRPr="00712B16">
        <w:rPr>
          <w:rFonts w:ascii="Times New Roman" w:hAnsi="Times New Roman" w:cs="Times New Roman"/>
          <w:sz w:val="24"/>
          <w:szCs w:val="24"/>
          <w:lang w:val="en-AU"/>
        </w:rPr>
        <w:t>co</w:t>
      </w:r>
      <w:r w:rsidR="00BF40D6" w:rsidRPr="00712B16">
        <w:rPr>
          <w:rFonts w:ascii="Times New Roman" w:hAnsi="Times New Roman" w:cs="Times New Roman"/>
          <w:sz w:val="24"/>
          <w:szCs w:val="24"/>
          <w:lang w:val="en-AU"/>
        </w:rPr>
        <w:t>mmitment</w:t>
      </w:r>
      <w:r w:rsidRPr="00712B16">
        <w:rPr>
          <w:rFonts w:ascii="Times New Roman" w:hAnsi="Times New Roman" w:cs="Times New Roman"/>
          <w:sz w:val="24"/>
          <w:szCs w:val="24"/>
          <w:lang w:val="en-AU"/>
        </w:rPr>
        <w:t xml:space="preserve"> (law, policy, pledge, or proposal). This allows us to empirically differentiate between “symbolic” </w:t>
      </w:r>
      <w:r w:rsidR="00BF40D6" w:rsidRPr="00712B16">
        <w:rPr>
          <w:rFonts w:ascii="Times New Roman" w:hAnsi="Times New Roman" w:cs="Times New Roman"/>
          <w:sz w:val="24"/>
          <w:szCs w:val="24"/>
          <w:lang w:val="en-AU"/>
        </w:rPr>
        <w:t>commitment</w:t>
      </w:r>
      <w:r w:rsidRPr="00712B16">
        <w:rPr>
          <w:rFonts w:ascii="Times New Roman" w:hAnsi="Times New Roman" w:cs="Times New Roman"/>
          <w:sz w:val="24"/>
          <w:szCs w:val="24"/>
          <w:lang w:val="en-AU"/>
        </w:rPr>
        <w:t xml:space="preserve"> and “substantive” </w:t>
      </w:r>
      <w:r w:rsidR="00054CA8" w:rsidRPr="00712B16">
        <w:rPr>
          <w:rFonts w:ascii="Times New Roman" w:hAnsi="Times New Roman" w:cs="Times New Roman"/>
          <w:sz w:val="24"/>
          <w:szCs w:val="24"/>
          <w:lang w:val="en-AU"/>
        </w:rPr>
        <w:t>co</w:t>
      </w:r>
      <w:r w:rsidR="00BF40D6" w:rsidRPr="00712B16">
        <w:rPr>
          <w:rFonts w:ascii="Times New Roman" w:hAnsi="Times New Roman" w:cs="Times New Roman"/>
          <w:sz w:val="24"/>
          <w:szCs w:val="24"/>
          <w:lang w:val="en-AU"/>
        </w:rPr>
        <w:t>mmitment</w:t>
      </w:r>
      <w:r w:rsidRPr="00712B16">
        <w:rPr>
          <w:rFonts w:ascii="Times New Roman" w:hAnsi="Times New Roman" w:cs="Times New Roman"/>
          <w:sz w:val="24"/>
          <w:szCs w:val="24"/>
          <w:lang w:val="en-AU"/>
        </w:rPr>
        <w:t>, providing richer evidence than a binary treatment indicator often employed in the literature.</w:t>
      </w:r>
    </w:p>
    <w:p w14:paraId="74CDC6C8" w14:textId="7E588473" w:rsidR="00D17C2F" w:rsidRPr="00712B16" w:rsidRDefault="00D17C2F" w:rsidP="00D17C2F">
      <w:pPr>
        <w:spacing w:after="0" w:line="480" w:lineRule="auto"/>
        <w:ind w:firstLine="720"/>
        <w:jc w:val="both"/>
        <w:rPr>
          <w:rFonts w:ascii="Times New Roman" w:hAnsi="Times New Roman" w:cs="Times New Roman"/>
          <w:sz w:val="24"/>
          <w:szCs w:val="24"/>
        </w:rPr>
      </w:pPr>
      <w:r w:rsidRPr="00712B16">
        <w:rPr>
          <w:rFonts w:ascii="Times New Roman" w:hAnsi="Times New Roman" w:cs="Times New Roman"/>
          <w:sz w:val="24"/>
          <w:szCs w:val="24"/>
        </w:rPr>
        <w:t xml:space="preserve">Third, our study also contributes to the CSR literature by showing that firms with higher CSR performance are in a better position to deal with the financial challenges as </w:t>
      </w:r>
      <w:r w:rsidR="006E4770" w:rsidRPr="00712B16">
        <w:rPr>
          <w:rFonts w:ascii="Times New Roman" w:hAnsi="Times New Roman" w:cs="Times New Roman"/>
          <w:sz w:val="24"/>
          <w:szCs w:val="24"/>
        </w:rPr>
        <w:t xml:space="preserve">a result </w:t>
      </w:r>
      <w:r w:rsidRPr="00712B16">
        <w:rPr>
          <w:rFonts w:ascii="Times New Roman" w:hAnsi="Times New Roman" w:cs="Times New Roman"/>
          <w:sz w:val="24"/>
          <w:szCs w:val="24"/>
        </w:rPr>
        <w:t xml:space="preserve">of the regulatory shocks imposed by governments in meeting the </w:t>
      </w:r>
      <w:r w:rsidR="005832CF" w:rsidRPr="00712B16">
        <w:rPr>
          <w:rFonts w:ascii="Times New Roman" w:hAnsi="Times New Roman" w:cs="Times New Roman"/>
          <w:sz w:val="24"/>
          <w:szCs w:val="24"/>
        </w:rPr>
        <w:t>net zero</w:t>
      </w:r>
      <w:r w:rsidRPr="00712B16">
        <w:rPr>
          <w:rFonts w:ascii="Times New Roman" w:hAnsi="Times New Roman" w:cs="Times New Roman"/>
          <w:sz w:val="24"/>
          <w:szCs w:val="24"/>
        </w:rPr>
        <w:t xml:space="preserve"> target</w:t>
      </w:r>
      <w:r w:rsidR="00054CA8" w:rsidRPr="00712B16">
        <w:rPr>
          <w:rFonts w:ascii="Times New Roman" w:hAnsi="Times New Roman" w:cs="Times New Roman"/>
          <w:sz w:val="24"/>
          <w:szCs w:val="24"/>
        </w:rPr>
        <w:t>s</w:t>
      </w:r>
      <w:r w:rsidRPr="00712B16">
        <w:rPr>
          <w:rFonts w:ascii="Times New Roman" w:hAnsi="Times New Roman" w:cs="Times New Roman"/>
          <w:sz w:val="24"/>
          <w:szCs w:val="24"/>
        </w:rPr>
        <w:t xml:space="preserve">, leading to a reduced likelihood of REM activities. Our findings demonstrate to corporate stakeholders and activists that higher levels of CSR performance play an important role in mitigating the impact of a country’s </w:t>
      </w:r>
      <w:r w:rsidR="005832CF" w:rsidRPr="00712B16">
        <w:rPr>
          <w:rFonts w:ascii="Times New Roman" w:hAnsi="Times New Roman" w:cs="Times New Roman"/>
          <w:sz w:val="24"/>
          <w:szCs w:val="24"/>
        </w:rPr>
        <w:t>net zero</w:t>
      </w:r>
      <w:r w:rsidRPr="00712B16">
        <w:rPr>
          <w:rFonts w:ascii="Times New Roman" w:hAnsi="Times New Roman" w:cs="Times New Roman"/>
          <w:sz w:val="24"/>
          <w:szCs w:val="24"/>
        </w:rPr>
        <w:t xml:space="preserve"> target</w:t>
      </w:r>
      <w:r w:rsidR="00054CA8" w:rsidRPr="00712B16">
        <w:rPr>
          <w:rFonts w:ascii="Times New Roman" w:hAnsi="Times New Roman" w:cs="Times New Roman"/>
          <w:sz w:val="24"/>
          <w:szCs w:val="24"/>
        </w:rPr>
        <w:t xml:space="preserve"> co</w:t>
      </w:r>
      <w:r w:rsidR="00BF40D6" w:rsidRPr="00712B16">
        <w:rPr>
          <w:rFonts w:ascii="Times New Roman" w:hAnsi="Times New Roman" w:cs="Times New Roman"/>
          <w:sz w:val="24"/>
          <w:szCs w:val="24"/>
        </w:rPr>
        <w:t>mmitment</w:t>
      </w:r>
      <w:r w:rsidRPr="00712B16">
        <w:rPr>
          <w:rFonts w:ascii="Times New Roman" w:hAnsi="Times New Roman" w:cs="Times New Roman"/>
          <w:sz w:val="24"/>
          <w:szCs w:val="24"/>
        </w:rPr>
        <w:t xml:space="preserve"> on firms’ REM activities.</w:t>
      </w:r>
    </w:p>
    <w:p w14:paraId="154FD64D" w14:textId="24DE3CCB" w:rsidR="00D17C2F" w:rsidRPr="00712B16" w:rsidRDefault="00D17C2F" w:rsidP="00D17C2F">
      <w:pPr>
        <w:spacing w:after="0" w:line="480" w:lineRule="auto"/>
        <w:ind w:firstLine="720"/>
        <w:jc w:val="both"/>
        <w:rPr>
          <w:rFonts w:ascii="Times New Roman" w:hAnsi="Times New Roman" w:cs="Times New Roman"/>
          <w:sz w:val="24"/>
          <w:szCs w:val="24"/>
        </w:rPr>
      </w:pPr>
      <w:r w:rsidRPr="00712B16">
        <w:rPr>
          <w:rFonts w:ascii="Times New Roman" w:hAnsi="Times New Roman" w:cs="Times New Roman"/>
          <w:sz w:val="24"/>
          <w:szCs w:val="24"/>
        </w:rPr>
        <w:t>Finally, our findings are informative to firms’ insiders, investors</w:t>
      </w:r>
      <w:r w:rsidR="00E223E8" w:rsidRPr="00712B16">
        <w:rPr>
          <w:rFonts w:ascii="Times New Roman" w:hAnsi="Times New Roman" w:cs="Times New Roman"/>
          <w:sz w:val="24"/>
          <w:szCs w:val="24"/>
        </w:rPr>
        <w:t>,</w:t>
      </w:r>
      <w:r w:rsidRPr="00712B16">
        <w:rPr>
          <w:rFonts w:ascii="Times New Roman" w:hAnsi="Times New Roman" w:cs="Times New Roman"/>
          <w:sz w:val="24"/>
          <w:szCs w:val="24"/>
        </w:rPr>
        <w:t xml:space="preserve"> and regulators in relation to the potential risks that arise due to managers’ discretionary choice in using REM as a strategy to achieve both the </w:t>
      </w:r>
      <w:r w:rsidR="005832CF" w:rsidRPr="00712B16">
        <w:rPr>
          <w:rFonts w:ascii="Times New Roman" w:hAnsi="Times New Roman" w:cs="Times New Roman"/>
          <w:sz w:val="24"/>
          <w:szCs w:val="24"/>
        </w:rPr>
        <w:t>net zero</w:t>
      </w:r>
      <w:r w:rsidRPr="00712B16">
        <w:rPr>
          <w:rFonts w:ascii="Times New Roman" w:hAnsi="Times New Roman" w:cs="Times New Roman"/>
          <w:sz w:val="24"/>
          <w:szCs w:val="24"/>
        </w:rPr>
        <w:t xml:space="preserve"> target preparations and </w:t>
      </w:r>
      <w:r w:rsidR="00E223E8" w:rsidRPr="00712B16">
        <w:rPr>
          <w:rFonts w:ascii="Times New Roman" w:hAnsi="Times New Roman" w:cs="Times New Roman"/>
          <w:sz w:val="24"/>
          <w:szCs w:val="24"/>
        </w:rPr>
        <w:t xml:space="preserve">the </w:t>
      </w:r>
      <w:r w:rsidRPr="00712B16">
        <w:rPr>
          <w:rFonts w:ascii="Times New Roman" w:hAnsi="Times New Roman" w:cs="Times New Roman"/>
          <w:sz w:val="24"/>
          <w:szCs w:val="24"/>
        </w:rPr>
        <w:t xml:space="preserve">desired earnings outlook. More importantly, the findings provide insights to investors and analysts in helping them to assess the true value of firms. In particular, many countries are now racing to achieve a </w:t>
      </w:r>
      <w:r w:rsidR="005832CF" w:rsidRPr="00712B16">
        <w:rPr>
          <w:rFonts w:ascii="Times New Roman" w:hAnsi="Times New Roman" w:cs="Times New Roman"/>
          <w:sz w:val="24"/>
          <w:szCs w:val="24"/>
        </w:rPr>
        <w:t>net zero</w:t>
      </w:r>
      <w:r w:rsidRPr="00712B16">
        <w:rPr>
          <w:rFonts w:ascii="Times New Roman" w:hAnsi="Times New Roman" w:cs="Times New Roman"/>
          <w:sz w:val="24"/>
          <w:szCs w:val="24"/>
        </w:rPr>
        <w:t xml:space="preserve"> target, which may cause economic trade-offs between achieving the </w:t>
      </w:r>
      <w:r w:rsidR="005832CF" w:rsidRPr="00712B16">
        <w:rPr>
          <w:rFonts w:ascii="Times New Roman" w:hAnsi="Times New Roman" w:cs="Times New Roman"/>
          <w:sz w:val="24"/>
          <w:szCs w:val="24"/>
        </w:rPr>
        <w:t>net zero</w:t>
      </w:r>
      <w:r w:rsidRPr="00712B16">
        <w:rPr>
          <w:rFonts w:ascii="Times New Roman" w:hAnsi="Times New Roman" w:cs="Times New Roman"/>
          <w:sz w:val="24"/>
          <w:szCs w:val="24"/>
        </w:rPr>
        <w:t xml:space="preserve"> target and the financial implications of the regulatory changes imposed on corporate entities. </w:t>
      </w:r>
    </w:p>
    <w:p w14:paraId="1026E62D" w14:textId="398CCCCA" w:rsidR="008A2842" w:rsidRPr="00712B16" w:rsidRDefault="00362358" w:rsidP="00D17C2F">
      <w:pPr>
        <w:spacing w:after="0" w:line="480" w:lineRule="auto"/>
        <w:ind w:firstLine="720"/>
        <w:jc w:val="both"/>
        <w:rPr>
          <w:rFonts w:ascii="Times New Roman" w:hAnsi="Times New Roman" w:cs="Times New Roman"/>
          <w:sz w:val="24"/>
          <w:szCs w:val="24"/>
        </w:rPr>
      </w:pPr>
      <w:r w:rsidRPr="00712B16">
        <w:rPr>
          <w:rFonts w:ascii="Times New Roman" w:hAnsi="Times New Roman" w:cs="Times New Roman"/>
          <w:sz w:val="24"/>
          <w:szCs w:val="24"/>
        </w:rPr>
        <w:t>Prior</w:t>
      </w:r>
      <w:r w:rsidR="00D17C2F" w:rsidRPr="00712B16">
        <w:rPr>
          <w:rFonts w:ascii="Times New Roman" w:hAnsi="Times New Roman" w:cs="Times New Roman"/>
          <w:sz w:val="24"/>
          <w:szCs w:val="24"/>
        </w:rPr>
        <w:t xml:space="preserve"> studies</w:t>
      </w:r>
      <w:r w:rsidR="00435AB5" w:rsidRPr="00712B16">
        <w:rPr>
          <w:rFonts w:ascii="Times New Roman" w:hAnsi="Times New Roman" w:cs="Times New Roman"/>
          <w:sz w:val="24"/>
          <w:szCs w:val="24"/>
        </w:rPr>
        <w:t xml:space="preserve"> </w:t>
      </w:r>
      <w:r w:rsidR="00435AB5" w:rsidRPr="00712B16">
        <w:rPr>
          <w:rFonts w:ascii="Times New Roman" w:eastAsia="SimSun" w:hAnsi="Times New Roman" w:cs="Times New Roman"/>
          <w:sz w:val="24"/>
          <w:szCs w:val="24"/>
          <w:lang w:bidi="ar"/>
        </w:rPr>
        <w:t xml:space="preserve">(Roychowdhury, 2006; Dechow and Sloan, 1991; Baber </w:t>
      </w:r>
      <w:r w:rsidR="00435AB5" w:rsidRPr="00712B16">
        <w:rPr>
          <w:rFonts w:ascii="Times New Roman" w:eastAsia="SimSun" w:hAnsi="Times New Roman" w:cs="Times New Roman"/>
          <w:i/>
          <w:sz w:val="24"/>
          <w:szCs w:val="24"/>
          <w:lang w:bidi="ar"/>
        </w:rPr>
        <w:t>et al</w:t>
      </w:r>
      <w:r w:rsidR="00435AB5" w:rsidRPr="00712B16">
        <w:rPr>
          <w:rFonts w:ascii="Times New Roman" w:eastAsia="SimSun" w:hAnsi="Times New Roman" w:cs="Times New Roman"/>
          <w:sz w:val="24"/>
          <w:szCs w:val="24"/>
          <w:lang w:bidi="ar"/>
        </w:rPr>
        <w:t>.</w:t>
      </w:r>
      <w:r w:rsidR="00250132" w:rsidRPr="00712B16">
        <w:rPr>
          <w:rFonts w:ascii="Times New Roman" w:eastAsia="SimSun" w:hAnsi="Times New Roman" w:cs="Times New Roman"/>
          <w:sz w:val="24"/>
          <w:szCs w:val="24"/>
          <w:lang w:bidi="ar"/>
        </w:rPr>
        <w:t>,</w:t>
      </w:r>
      <w:r w:rsidR="00435AB5" w:rsidRPr="00712B16">
        <w:rPr>
          <w:rFonts w:ascii="Times New Roman" w:eastAsia="SimSun" w:hAnsi="Times New Roman" w:cs="Times New Roman"/>
          <w:sz w:val="24"/>
          <w:szCs w:val="24"/>
          <w:lang w:bidi="ar"/>
        </w:rPr>
        <w:t xml:space="preserve"> 1991; Bushee,</w:t>
      </w:r>
      <w:r w:rsidR="00250132" w:rsidRPr="00712B16">
        <w:rPr>
          <w:rFonts w:ascii="Times New Roman" w:eastAsia="SimSun" w:hAnsi="Times New Roman" w:cs="Times New Roman"/>
          <w:sz w:val="24"/>
          <w:szCs w:val="24"/>
          <w:lang w:bidi="ar"/>
        </w:rPr>
        <w:t xml:space="preserve"> </w:t>
      </w:r>
      <w:r w:rsidR="00435AB5" w:rsidRPr="00712B16">
        <w:rPr>
          <w:rFonts w:ascii="Times New Roman" w:eastAsia="SimSun" w:hAnsi="Times New Roman" w:cs="Times New Roman"/>
          <w:sz w:val="24"/>
          <w:szCs w:val="24"/>
          <w:lang w:bidi="ar"/>
        </w:rPr>
        <w:t>1998)</w:t>
      </w:r>
      <w:r w:rsidR="00435AB5" w:rsidRPr="00712B16">
        <w:rPr>
          <w:rFonts w:ascii="Times New Roman" w:hAnsi="Times New Roman" w:cs="Times New Roman"/>
          <w:sz w:val="24"/>
          <w:szCs w:val="24"/>
        </w:rPr>
        <w:t xml:space="preserve"> </w:t>
      </w:r>
      <w:r w:rsidR="0003141B" w:rsidRPr="00712B16">
        <w:rPr>
          <w:rFonts w:ascii="Times New Roman" w:hAnsi="Times New Roman" w:cs="Times New Roman"/>
          <w:sz w:val="24"/>
          <w:szCs w:val="24"/>
        </w:rPr>
        <w:t>have demonstrated how opportunistic managers could use their discretion to engage in REM in maximizing their utility</w:t>
      </w:r>
      <w:r w:rsidR="00054CA8" w:rsidRPr="00712B16">
        <w:rPr>
          <w:rFonts w:ascii="Times New Roman" w:hAnsi="Times New Roman" w:cs="Times New Roman"/>
          <w:sz w:val="24"/>
          <w:szCs w:val="24"/>
        </w:rPr>
        <w:t>.</w:t>
      </w:r>
      <w:r w:rsidR="00E555A3" w:rsidRPr="00712B16">
        <w:rPr>
          <w:rFonts w:ascii="Times New Roman" w:hAnsi="Times New Roman" w:cs="Times New Roman"/>
          <w:sz w:val="24"/>
          <w:szCs w:val="24"/>
        </w:rPr>
        <w:t xml:space="preserve"> </w:t>
      </w:r>
      <w:r w:rsidR="001807D3" w:rsidRPr="00712B16">
        <w:rPr>
          <w:rFonts w:ascii="Times New Roman" w:hAnsi="Times New Roman" w:cs="Times New Roman"/>
          <w:sz w:val="24"/>
          <w:szCs w:val="24"/>
        </w:rPr>
        <w:t xml:space="preserve">In </w:t>
      </w:r>
      <w:r w:rsidR="00B97D0C" w:rsidRPr="00712B16">
        <w:rPr>
          <w:rFonts w:ascii="Times New Roman" w:hAnsi="Times New Roman" w:cs="Times New Roman"/>
          <w:sz w:val="24"/>
          <w:szCs w:val="24"/>
        </w:rPr>
        <w:t>the context of our study</w:t>
      </w:r>
      <w:r w:rsidR="00D17C2F" w:rsidRPr="00712B16">
        <w:rPr>
          <w:rFonts w:ascii="Times New Roman" w:hAnsi="Times New Roman" w:cs="Times New Roman"/>
          <w:sz w:val="24"/>
          <w:szCs w:val="24"/>
        </w:rPr>
        <w:t xml:space="preserve">, REM activities could help firms achieve the transformation required to support the </w:t>
      </w:r>
      <w:r w:rsidR="005832CF" w:rsidRPr="00712B16">
        <w:rPr>
          <w:rFonts w:ascii="Times New Roman" w:hAnsi="Times New Roman" w:cs="Times New Roman"/>
          <w:sz w:val="24"/>
          <w:szCs w:val="24"/>
        </w:rPr>
        <w:t xml:space="preserve">net </w:t>
      </w:r>
      <w:r w:rsidR="005832CF" w:rsidRPr="00712B16">
        <w:rPr>
          <w:rFonts w:ascii="Times New Roman" w:hAnsi="Times New Roman" w:cs="Times New Roman"/>
          <w:sz w:val="24"/>
          <w:szCs w:val="24"/>
        </w:rPr>
        <w:lastRenderedPageBreak/>
        <w:t>zero</w:t>
      </w:r>
      <w:r w:rsidR="00D17C2F" w:rsidRPr="00712B16">
        <w:rPr>
          <w:rFonts w:ascii="Times New Roman" w:hAnsi="Times New Roman" w:cs="Times New Roman"/>
          <w:sz w:val="24"/>
          <w:szCs w:val="24"/>
        </w:rPr>
        <w:t xml:space="preserve"> target</w:t>
      </w:r>
      <w:r w:rsidR="00191B36" w:rsidRPr="00712B16">
        <w:rPr>
          <w:rFonts w:ascii="Times New Roman" w:hAnsi="Times New Roman" w:cs="Times New Roman"/>
          <w:sz w:val="24"/>
          <w:szCs w:val="24"/>
        </w:rPr>
        <w:t>s</w:t>
      </w:r>
      <w:r w:rsidR="00D17C2F" w:rsidRPr="00712B16">
        <w:rPr>
          <w:rFonts w:ascii="Times New Roman" w:hAnsi="Times New Roman" w:cs="Times New Roman"/>
          <w:sz w:val="24"/>
          <w:szCs w:val="24"/>
        </w:rPr>
        <w:t xml:space="preserve"> </w:t>
      </w:r>
      <w:r w:rsidR="00191B36" w:rsidRPr="00712B16">
        <w:rPr>
          <w:rFonts w:ascii="Times New Roman" w:hAnsi="Times New Roman" w:cs="Times New Roman"/>
          <w:sz w:val="24"/>
          <w:szCs w:val="24"/>
        </w:rPr>
        <w:t>in</w:t>
      </w:r>
      <w:r w:rsidR="00D17C2F" w:rsidRPr="00712B16">
        <w:rPr>
          <w:rFonts w:ascii="Times New Roman" w:hAnsi="Times New Roman" w:cs="Times New Roman"/>
          <w:sz w:val="24"/>
          <w:szCs w:val="24"/>
        </w:rPr>
        <w:t xml:space="preserve"> the countries where they are headquartered</w:t>
      </w:r>
      <w:r w:rsidR="00E223E8" w:rsidRPr="00712B16">
        <w:rPr>
          <w:rFonts w:ascii="Times New Roman" w:hAnsi="Times New Roman" w:cs="Times New Roman"/>
          <w:sz w:val="24"/>
          <w:szCs w:val="24"/>
        </w:rPr>
        <w:t>,</w:t>
      </w:r>
      <w:r w:rsidR="00D17C2F" w:rsidRPr="00712B16">
        <w:rPr>
          <w:rFonts w:ascii="Times New Roman" w:hAnsi="Times New Roman" w:cs="Times New Roman"/>
          <w:sz w:val="24"/>
          <w:szCs w:val="24"/>
        </w:rPr>
        <w:t xml:space="preserve"> while satisfying a desired earnings outlook. </w:t>
      </w:r>
      <w:r w:rsidR="001807D3" w:rsidRPr="00712B16">
        <w:rPr>
          <w:rFonts w:ascii="Times New Roman" w:hAnsi="Times New Roman" w:cs="Times New Roman"/>
          <w:sz w:val="24"/>
          <w:szCs w:val="24"/>
        </w:rPr>
        <w:t>However</w:t>
      </w:r>
      <w:r w:rsidR="00D17C2F" w:rsidRPr="00712B16">
        <w:rPr>
          <w:rFonts w:ascii="Times New Roman" w:hAnsi="Times New Roman" w:cs="Times New Roman"/>
          <w:sz w:val="24"/>
          <w:szCs w:val="24"/>
        </w:rPr>
        <w:t xml:space="preserve">, from the perspective of investors, higher levels of firms’ REM activities could be value-destructive in the long run. Hence, our findings inform stakeholders, particularly investors, so they can exercise caution to closely monitor and evaluate how those firms that are committed to the </w:t>
      </w:r>
      <w:r w:rsidR="005832CF" w:rsidRPr="00712B16">
        <w:rPr>
          <w:rFonts w:ascii="Times New Roman" w:hAnsi="Times New Roman" w:cs="Times New Roman"/>
          <w:sz w:val="24"/>
          <w:szCs w:val="24"/>
        </w:rPr>
        <w:t>net zero</w:t>
      </w:r>
      <w:r w:rsidR="00D17C2F" w:rsidRPr="00712B16">
        <w:rPr>
          <w:rFonts w:ascii="Times New Roman" w:hAnsi="Times New Roman" w:cs="Times New Roman"/>
          <w:sz w:val="24"/>
          <w:szCs w:val="24"/>
        </w:rPr>
        <w:t xml:space="preserve"> targets mitigate the negative impact of their REM activities.</w:t>
      </w:r>
    </w:p>
    <w:bookmarkEnd w:id="11"/>
    <w:p w14:paraId="12FE4BAE" w14:textId="78B643E7" w:rsidR="002953D9" w:rsidRPr="00712B16" w:rsidRDefault="00E051A3" w:rsidP="007706F6">
      <w:pPr>
        <w:spacing w:after="0" w:line="480" w:lineRule="auto"/>
        <w:ind w:firstLine="720"/>
        <w:jc w:val="both"/>
        <w:rPr>
          <w:rFonts w:ascii="Times New Roman" w:hAnsi="Times New Roman" w:cs="Times New Roman"/>
          <w:sz w:val="24"/>
          <w:szCs w:val="24"/>
        </w:rPr>
      </w:pPr>
      <w:r w:rsidRPr="00712B16">
        <w:rPr>
          <w:rFonts w:ascii="Times New Roman" w:hAnsi="Times New Roman" w:cs="Times New Roman"/>
          <w:sz w:val="24"/>
          <w:szCs w:val="24"/>
        </w:rPr>
        <w:t xml:space="preserve">The </w:t>
      </w:r>
      <w:r w:rsidR="00530554" w:rsidRPr="00712B16">
        <w:rPr>
          <w:rFonts w:ascii="Times New Roman" w:hAnsi="Times New Roman" w:cs="Times New Roman"/>
          <w:sz w:val="24"/>
          <w:szCs w:val="24"/>
        </w:rPr>
        <w:t xml:space="preserve">remainder </w:t>
      </w:r>
      <w:r w:rsidRPr="00712B16">
        <w:rPr>
          <w:rFonts w:ascii="Times New Roman" w:hAnsi="Times New Roman" w:cs="Times New Roman"/>
          <w:sz w:val="24"/>
          <w:szCs w:val="24"/>
        </w:rPr>
        <w:t xml:space="preserve">of the paper is structured as follows. Section 2 </w:t>
      </w:r>
      <w:r w:rsidR="0007461E" w:rsidRPr="00712B16">
        <w:rPr>
          <w:rFonts w:ascii="Times New Roman" w:hAnsi="Times New Roman" w:cs="Times New Roman"/>
          <w:sz w:val="24"/>
          <w:szCs w:val="24"/>
        </w:rPr>
        <w:t>discusses the literature related to the development of</w:t>
      </w:r>
      <w:r w:rsidR="007706F6" w:rsidRPr="00712B16">
        <w:rPr>
          <w:rFonts w:ascii="Times New Roman" w:hAnsi="Times New Roman" w:cs="Times New Roman"/>
          <w:sz w:val="24"/>
          <w:szCs w:val="24"/>
        </w:rPr>
        <w:t xml:space="preserve"> hypotheses. </w:t>
      </w:r>
      <w:r w:rsidRPr="00712B16">
        <w:rPr>
          <w:rFonts w:ascii="Times New Roman" w:hAnsi="Times New Roman" w:cs="Times New Roman"/>
          <w:sz w:val="24"/>
          <w:szCs w:val="24"/>
        </w:rPr>
        <w:t>Section 3 presents the research design and data</w:t>
      </w:r>
      <w:r w:rsidR="007706F6" w:rsidRPr="00712B16">
        <w:rPr>
          <w:rFonts w:ascii="Times New Roman" w:hAnsi="Times New Roman" w:cs="Times New Roman"/>
          <w:sz w:val="24"/>
          <w:szCs w:val="24"/>
        </w:rPr>
        <w:t xml:space="preserve"> in this study, including </w:t>
      </w:r>
      <w:r w:rsidR="00EE4E83" w:rsidRPr="00712B16">
        <w:rPr>
          <w:rFonts w:ascii="Times New Roman" w:hAnsi="Times New Roman" w:cs="Times New Roman"/>
          <w:sz w:val="24"/>
          <w:szCs w:val="24"/>
        </w:rPr>
        <w:t xml:space="preserve">the </w:t>
      </w:r>
      <w:r w:rsidR="007706F6" w:rsidRPr="00712B16">
        <w:rPr>
          <w:rFonts w:ascii="Times New Roman" w:hAnsi="Times New Roman" w:cs="Times New Roman"/>
          <w:sz w:val="24"/>
          <w:szCs w:val="24"/>
        </w:rPr>
        <w:t>sample selection process, all variables</w:t>
      </w:r>
      <w:r w:rsidR="00E223E8" w:rsidRPr="00712B16">
        <w:rPr>
          <w:rFonts w:ascii="Times New Roman" w:hAnsi="Times New Roman" w:cs="Times New Roman"/>
          <w:sz w:val="24"/>
          <w:szCs w:val="24"/>
        </w:rPr>
        <w:t>,</w:t>
      </w:r>
      <w:r w:rsidR="007706F6" w:rsidRPr="00712B16">
        <w:rPr>
          <w:rFonts w:ascii="Times New Roman" w:hAnsi="Times New Roman" w:cs="Times New Roman"/>
          <w:sz w:val="24"/>
          <w:szCs w:val="24"/>
        </w:rPr>
        <w:t xml:space="preserve"> and regression models</w:t>
      </w:r>
      <w:r w:rsidRPr="00712B16">
        <w:rPr>
          <w:rFonts w:ascii="Times New Roman" w:hAnsi="Times New Roman" w:cs="Times New Roman"/>
          <w:sz w:val="24"/>
          <w:szCs w:val="24"/>
        </w:rPr>
        <w:t xml:space="preserve">. The primary empirical results are presented in Section </w:t>
      </w:r>
      <w:r w:rsidR="007706F6" w:rsidRPr="00712B16">
        <w:rPr>
          <w:rFonts w:ascii="Times New Roman" w:hAnsi="Times New Roman" w:cs="Times New Roman"/>
          <w:sz w:val="24"/>
          <w:szCs w:val="24"/>
        </w:rPr>
        <w:t>4</w:t>
      </w:r>
      <w:r w:rsidRPr="00712B16">
        <w:rPr>
          <w:rFonts w:ascii="Times New Roman" w:hAnsi="Times New Roman" w:cs="Times New Roman"/>
          <w:sz w:val="24"/>
          <w:szCs w:val="24"/>
        </w:rPr>
        <w:t xml:space="preserve">, followed by robustness checks and additional analyses in Section </w:t>
      </w:r>
      <w:r w:rsidR="007706F6" w:rsidRPr="00712B16">
        <w:rPr>
          <w:rFonts w:ascii="Times New Roman" w:hAnsi="Times New Roman" w:cs="Times New Roman"/>
          <w:sz w:val="24"/>
          <w:szCs w:val="24"/>
        </w:rPr>
        <w:t>5</w:t>
      </w:r>
      <w:r w:rsidRPr="00712B16">
        <w:rPr>
          <w:rFonts w:ascii="Times New Roman" w:hAnsi="Times New Roman" w:cs="Times New Roman"/>
          <w:sz w:val="24"/>
          <w:szCs w:val="24"/>
        </w:rPr>
        <w:t xml:space="preserve">. Section </w:t>
      </w:r>
      <w:r w:rsidR="007706F6" w:rsidRPr="00712B16">
        <w:rPr>
          <w:rFonts w:ascii="Times New Roman" w:hAnsi="Times New Roman" w:cs="Times New Roman"/>
          <w:sz w:val="24"/>
          <w:szCs w:val="24"/>
        </w:rPr>
        <w:t>6</w:t>
      </w:r>
      <w:r w:rsidRPr="00712B16">
        <w:rPr>
          <w:rFonts w:ascii="Times New Roman" w:hAnsi="Times New Roman" w:cs="Times New Roman"/>
          <w:sz w:val="24"/>
          <w:szCs w:val="24"/>
        </w:rPr>
        <w:t xml:space="preserve"> concludes this study. </w:t>
      </w:r>
    </w:p>
    <w:p w14:paraId="489A88A7" w14:textId="77777777" w:rsidR="00574853" w:rsidRPr="00712B16" w:rsidRDefault="00574853" w:rsidP="007706F6">
      <w:pPr>
        <w:spacing w:after="0" w:line="480" w:lineRule="auto"/>
        <w:ind w:firstLine="720"/>
        <w:jc w:val="both"/>
        <w:rPr>
          <w:rFonts w:ascii="Times New Roman" w:hAnsi="Times New Roman" w:cs="Times New Roman"/>
          <w:sz w:val="24"/>
          <w:szCs w:val="24"/>
        </w:rPr>
      </w:pPr>
    </w:p>
    <w:bookmarkEnd w:id="10"/>
    <w:p w14:paraId="0E1E0694" w14:textId="5A0D335F" w:rsidR="009032E8" w:rsidRPr="00712B16" w:rsidRDefault="00183F61">
      <w:pPr>
        <w:pStyle w:val="Heading1"/>
        <w:spacing w:before="0" w:line="480" w:lineRule="auto"/>
        <w:jc w:val="both"/>
        <w:rPr>
          <w:rFonts w:ascii="Times New Roman" w:hAnsi="Times New Roman" w:cs="Times New Roman"/>
          <w:b/>
          <w:color w:val="auto"/>
          <w:sz w:val="24"/>
          <w:szCs w:val="24"/>
        </w:rPr>
      </w:pPr>
      <w:r w:rsidRPr="00712B16">
        <w:rPr>
          <w:rFonts w:ascii="Times New Roman" w:hAnsi="Times New Roman" w:cs="Times New Roman"/>
          <w:b/>
          <w:color w:val="auto"/>
          <w:sz w:val="24"/>
          <w:szCs w:val="24"/>
        </w:rPr>
        <w:t xml:space="preserve">2. Literature review and hypotheses development </w:t>
      </w:r>
      <w:bookmarkStart w:id="12" w:name="_Toc118278468"/>
      <w:bookmarkStart w:id="13" w:name="_Toc118295325"/>
      <w:bookmarkStart w:id="14" w:name="_Hlk114681008"/>
      <w:bookmarkEnd w:id="3"/>
      <w:bookmarkEnd w:id="4"/>
    </w:p>
    <w:bookmarkEnd w:id="12"/>
    <w:bookmarkEnd w:id="13"/>
    <w:bookmarkEnd w:id="14"/>
    <w:p w14:paraId="7EFB62BC" w14:textId="31F5F090" w:rsidR="00F74C33" w:rsidRPr="00712B16" w:rsidRDefault="00F74C33" w:rsidP="00F74C33">
      <w:pPr>
        <w:pStyle w:val="Heading2"/>
        <w:spacing w:before="0" w:line="480" w:lineRule="auto"/>
        <w:ind w:left="567" w:hanging="567"/>
        <w:rPr>
          <w:rFonts w:cs="Times New Roman"/>
          <w:b w:val="0"/>
          <w:i/>
        </w:rPr>
      </w:pPr>
      <w:r w:rsidRPr="00712B16">
        <w:rPr>
          <w:rFonts w:cs="Times New Roman"/>
          <w:b w:val="0"/>
          <w:i/>
          <w:szCs w:val="24"/>
        </w:rPr>
        <w:t>2.</w:t>
      </w:r>
      <w:r w:rsidR="00FC650D" w:rsidRPr="00712B16">
        <w:rPr>
          <w:rFonts w:cs="Times New Roman"/>
          <w:b w:val="0"/>
          <w:i/>
          <w:szCs w:val="24"/>
        </w:rPr>
        <w:t>1</w:t>
      </w:r>
      <w:r w:rsidRPr="00712B16">
        <w:rPr>
          <w:rFonts w:cs="Times New Roman"/>
          <w:b w:val="0"/>
          <w:i/>
          <w:szCs w:val="24"/>
        </w:rPr>
        <w:t xml:space="preserve"> </w:t>
      </w:r>
      <w:r w:rsidR="00895D0A" w:rsidRPr="00712B16">
        <w:rPr>
          <w:rFonts w:cs="Times New Roman"/>
          <w:b w:val="0"/>
          <w:i/>
          <w:szCs w:val="24"/>
        </w:rPr>
        <w:t>Financial implications</w:t>
      </w:r>
      <w:r w:rsidRPr="00712B16">
        <w:rPr>
          <w:rFonts w:cs="Times New Roman"/>
          <w:b w:val="0"/>
          <w:i/>
        </w:rPr>
        <w:t xml:space="preserve"> of </w:t>
      </w:r>
      <w:r w:rsidR="000D1E4D" w:rsidRPr="00712B16">
        <w:rPr>
          <w:rFonts w:cs="Times New Roman"/>
          <w:b w:val="0"/>
          <w:i/>
        </w:rPr>
        <w:t xml:space="preserve">the </w:t>
      </w:r>
      <w:r w:rsidR="005832CF" w:rsidRPr="00712B16">
        <w:rPr>
          <w:rFonts w:cs="Times New Roman"/>
          <w:b w:val="0"/>
          <w:i/>
        </w:rPr>
        <w:t>net zero</w:t>
      </w:r>
      <w:r w:rsidRPr="00712B16">
        <w:rPr>
          <w:rFonts w:cs="Times New Roman"/>
          <w:b w:val="0"/>
          <w:i/>
        </w:rPr>
        <w:t xml:space="preserve"> target </w:t>
      </w:r>
      <w:r w:rsidR="00897E37" w:rsidRPr="00712B16">
        <w:rPr>
          <w:rFonts w:cs="Times New Roman"/>
          <w:b w:val="0"/>
          <w:i/>
        </w:rPr>
        <w:t>commitment</w:t>
      </w:r>
      <w:r w:rsidRPr="00712B16">
        <w:rPr>
          <w:rFonts w:cs="Times New Roman"/>
          <w:b w:val="0"/>
          <w:i/>
        </w:rPr>
        <w:t xml:space="preserve"> </w:t>
      </w:r>
    </w:p>
    <w:p w14:paraId="072919CD" w14:textId="5EC3D273" w:rsidR="00B25C85" w:rsidRPr="00712B16" w:rsidRDefault="00B25C85" w:rsidP="00B25C85">
      <w:pPr>
        <w:spacing w:after="0" w:line="480" w:lineRule="auto"/>
        <w:jc w:val="both"/>
        <w:rPr>
          <w:rFonts w:ascii="Times New Roman" w:hAnsi="Times New Roman" w:cs="Times New Roman"/>
          <w:sz w:val="24"/>
          <w:szCs w:val="24"/>
        </w:rPr>
      </w:pPr>
      <w:r w:rsidRPr="00712B16">
        <w:rPr>
          <w:rFonts w:ascii="Times New Roman" w:hAnsi="Times New Roman" w:cs="Times New Roman"/>
          <w:sz w:val="24"/>
          <w:szCs w:val="24"/>
        </w:rPr>
        <w:t>In 2015, 19</w:t>
      </w:r>
      <w:r w:rsidR="006A71B6" w:rsidRPr="00712B16">
        <w:rPr>
          <w:rFonts w:ascii="Times New Roman" w:hAnsi="Times New Roman" w:cs="Times New Roman"/>
          <w:sz w:val="24"/>
          <w:szCs w:val="24"/>
        </w:rPr>
        <w:t>6</w:t>
      </w:r>
      <w:r w:rsidRPr="00712B16">
        <w:rPr>
          <w:rFonts w:ascii="Times New Roman" w:hAnsi="Times New Roman" w:cs="Times New Roman"/>
          <w:sz w:val="24"/>
          <w:szCs w:val="24"/>
        </w:rPr>
        <w:t xml:space="preserve"> sovereign nations signed the Paris Agreement (COP21) with the objective </w:t>
      </w:r>
      <w:r w:rsidR="006E4770" w:rsidRPr="00712B16">
        <w:rPr>
          <w:rFonts w:ascii="Times New Roman" w:hAnsi="Times New Roman" w:cs="Times New Roman"/>
          <w:sz w:val="24"/>
          <w:szCs w:val="24"/>
        </w:rPr>
        <w:t>of limiting</w:t>
      </w:r>
      <w:r w:rsidRPr="00712B16">
        <w:rPr>
          <w:rFonts w:ascii="Times New Roman" w:hAnsi="Times New Roman" w:cs="Times New Roman"/>
          <w:sz w:val="24"/>
          <w:szCs w:val="24"/>
        </w:rPr>
        <w:t xml:space="preserve"> the </w:t>
      </w:r>
      <w:r w:rsidR="00E223E8" w:rsidRPr="00712B16">
        <w:rPr>
          <w:rFonts w:ascii="Times New Roman" w:hAnsi="Times New Roman" w:cs="Times New Roman"/>
          <w:sz w:val="24"/>
          <w:szCs w:val="24"/>
        </w:rPr>
        <w:t xml:space="preserve">rise </w:t>
      </w:r>
      <w:r w:rsidRPr="00712B16">
        <w:rPr>
          <w:rFonts w:ascii="Times New Roman" w:hAnsi="Times New Roman" w:cs="Times New Roman"/>
          <w:sz w:val="24"/>
          <w:szCs w:val="24"/>
        </w:rPr>
        <w:t xml:space="preserve">of global temperature to 1.5°C. This is a </w:t>
      </w:r>
      <w:r w:rsidR="00BC5460" w:rsidRPr="00712B16">
        <w:rPr>
          <w:rFonts w:ascii="Times New Roman" w:hAnsi="Times New Roman" w:cs="Times New Roman"/>
          <w:sz w:val="24"/>
          <w:szCs w:val="24"/>
        </w:rPr>
        <w:t xml:space="preserve">substantial </w:t>
      </w:r>
      <w:r w:rsidRPr="00712B16">
        <w:rPr>
          <w:rFonts w:ascii="Times New Roman" w:hAnsi="Times New Roman" w:cs="Times New Roman"/>
          <w:sz w:val="24"/>
          <w:szCs w:val="24"/>
        </w:rPr>
        <w:t xml:space="preserve">challenge for countries to meet the Paris Agreement’s target since they need to reduce CO2 emissions by 45% by 2030 and achieve </w:t>
      </w:r>
      <w:r w:rsidR="00E3768B" w:rsidRPr="00712B16">
        <w:rPr>
          <w:rFonts w:ascii="Times New Roman" w:hAnsi="Times New Roman" w:cs="Times New Roman"/>
          <w:sz w:val="24"/>
          <w:szCs w:val="24"/>
        </w:rPr>
        <w:t xml:space="preserve">the </w:t>
      </w:r>
      <w:r w:rsidR="005832CF" w:rsidRPr="00712B16">
        <w:rPr>
          <w:rFonts w:ascii="Times New Roman" w:hAnsi="Times New Roman" w:cs="Times New Roman"/>
          <w:sz w:val="24"/>
          <w:szCs w:val="24"/>
        </w:rPr>
        <w:t>net zero</w:t>
      </w:r>
      <w:r w:rsidRPr="00712B16">
        <w:rPr>
          <w:rFonts w:ascii="Times New Roman" w:hAnsi="Times New Roman" w:cs="Times New Roman"/>
          <w:sz w:val="24"/>
          <w:szCs w:val="24"/>
        </w:rPr>
        <w:t xml:space="preserve"> </w:t>
      </w:r>
      <w:r w:rsidR="00E3768B" w:rsidRPr="00712B16">
        <w:rPr>
          <w:rFonts w:ascii="Times New Roman" w:hAnsi="Times New Roman" w:cs="Times New Roman"/>
          <w:sz w:val="24"/>
          <w:szCs w:val="24"/>
        </w:rPr>
        <w:t>target</w:t>
      </w:r>
      <w:r w:rsidRPr="00712B16">
        <w:rPr>
          <w:rFonts w:ascii="Times New Roman" w:hAnsi="Times New Roman" w:cs="Times New Roman"/>
          <w:sz w:val="24"/>
          <w:szCs w:val="24"/>
        </w:rPr>
        <w:t xml:space="preserve"> by 2050 (</w:t>
      </w:r>
      <w:r w:rsidR="00C23C50" w:rsidRPr="00712B16">
        <w:rPr>
          <w:rFonts w:ascii="Times New Roman" w:hAnsi="Times New Roman" w:cs="Times New Roman"/>
          <w:sz w:val="24"/>
          <w:szCs w:val="24"/>
        </w:rPr>
        <w:t>United Nations, 2022</w:t>
      </w:r>
      <w:r w:rsidRPr="00712B16">
        <w:rPr>
          <w:rFonts w:ascii="Times New Roman" w:hAnsi="Times New Roman" w:cs="Times New Roman"/>
          <w:sz w:val="24"/>
          <w:szCs w:val="24"/>
        </w:rPr>
        <w:t>). The Energy &amp; Climate Intelligence Unit (2022) reports that 126 global countries and regions</w:t>
      </w:r>
      <w:r w:rsidR="00A52CD5" w:rsidRPr="00712B16">
        <w:rPr>
          <w:rFonts w:ascii="Times New Roman" w:hAnsi="Times New Roman" w:cs="Times New Roman"/>
          <w:sz w:val="24"/>
          <w:szCs w:val="24"/>
        </w:rPr>
        <w:t>,</w:t>
      </w:r>
      <w:r w:rsidRPr="00712B16">
        <w:rPr>
          <w:rFonts w:ascii="Times New Roman" w:hAnsi="Times New Roman" w:cs="Times New Roman"/>
          <w:sz w:val="24"/>
          <w:szCs w:val="24"/>
        </w:rPr>
        <w:t xml:space="preserve"> excluding the US</w:t>
      </w:r>
      <w:r w:rsidR="00A52CD5" w:rsidRPr="00712B16">
        <w:rPr>
          <w:rFonts w:ascii="Times New Roman" w:hAnsi="Times New Roman" w:cs="Times New Roman"/>
          <w:sz w:val="24"/>
          <w:szCs w:val="24"/>
        </w:rPr>
        <w:t>,</w:t>
      </w:r>
      <w:r w:rsidRPr="00712B16">
        <w:rPr>
          <w:rFonts w:ascii="Times New Roman" w:hAnsi="Times New Roman" w:cs="Times New Roman"/>
          <w:sz w:val="24"/>
          <w:szCs w:val="24"/>
        </w:rPr>
        <w:t xml:space="preserve"> have committed to achieving </w:t>
      </w:r>
      <w:r w:rsidR="00E3768B" w:rsidRPr="00712B16">
        <w:rPr>
          <w:rFonts w:ascii="Times New Roman" w:hAnsi="Times New Roman" w:cs="Times New Roman"/>
          <w:sz w:val="24"/>
          <w:szCs w:val="24"/>
        </w:rPr>
        <w:t xml:space="preserve">the </w:t>
      </w:r>
      <w:r w:rsidR="005832CF" w:rsidRPr="00712B16">
        <w:rPr>
          <w:rFonts w:ascii="Times New Roman" w:hAnsi="Times New Roman" w:cs="Times New Roman"/>
          <w:sz w:val="24"/>
          <w:szCs w:val="24"/>
        </w:rPr>
        <w:t>net zero</w:t>
      </w:r>
      <w:r w:rsidRPr="00712B16">
        <w:rPr>
          <w:rFonts w:ascii="Times New Roman" w:hAnsi="Times New Roman" w:cs="Times New Roman"/>
          <w:sz w:val="24"/>
          <w:szCs w:val="24"/>
        </w:rPr>
        <w:t xml:space="preserve"> target</w:t>
      </w:r>
      <w:r w:rsidR="00A52CD5" w:rsidRPr="00712B16">
        <w:rPr>
          <w:rFonts w:ascii="Times New Roman" w:hAnsi="Times New Roman" w:cs="Times New Roman"/>
          <w:sz w:val="24"/>
          <w:szCs w:val="24"/>
        </w:rPr>
        <w:t xml:space="preserve"> with varying</w:t>
      </w:r>
      <w:r w:rsidRPr="00712B16">
        <w:rPr>
          <w:rFonts w:ascii="Times New Roman" w:hAnsi="Times New Roman" w:cs="Times New Roman"/>
          <w:sz w:val="24"/>
          <w:szCs w:val="24"/>
        </w:rPr>
        <w:t xml:space="preserve"> year</w:t>
      </w:r>
      <w:r w:rsidR="00AC03F4" w:rsidRPr="00712B16">
        <w:rPr>
          <w:rFonts w:ascii="Times New Roman" w:hAnsi="Times New Roman" w:cs="Times New Roman"/>
          <w:sz w:val="24"/>
          <w:szCs w:val="24"/>
        </w:rPr>
        <w:t>s</w:t>
      </w:r>
      <w:r w:rsidR="00897E37" w:rsidRPr="00712B16">
        <w:rPr>
          <w:rFonts w:ascii="Times New Roman" w:hAnsi="Times New Roman" w:cs="Times New Roman"/>
          <w:sz w:val="24"/>
          <w:szCs w:val="24"/>
        </w:rPr>
        <w:t xml:space="preserve"> and levels</w:t>
      </w:r>
      <w:r w:rsidRPr="00712B16">
        <w:rPr>
          <w:rFonts w:ascii="Times New Roman" w:hAnsi="Times New Roman" w:cs="Times New Roman"/>
          <w:sz w:val="24"/>
          <w:szCs w:val="24"/>
        </w:rPr>
        <w:t xml:space="preserve"> of commitment. The variations include </w:t>
      </w:r>
      <w:proofErr w:type="spellStart"/>
      <w:r w:rsidRPr="00712B16">
        <w:rPr>
          <w:rFonts w:ascii="Times New Roman" w:hAnsi="Times New Roman" w:cs="Times New Roman"/>
          <w:sz w:val="24"/>
          <w:szCs w:val="24"/>
        </w:rPr>
        <w:t>i</w:t>
      </w:r>
      <w:proofErr w:type="spellEnd"/>
      <w:r w:rsidRPr="00712B16">
        <w:rPr>
          <w:rFonts w:ascii="Times New Roman" w:hAnsi="Times New Roman" w:cs="Times New Roman"/>
          <w:sz w:val="24"/>
          <w:szCs w:val="24"/>
        </w:rPr>
        <w:t xml:space="preserve">) enshrined in law, ii) outlined in official policy documents, iii) declared or pledged, and iv) under discussion or proposed. To achieve a </w:t>
      </w:r>
      <w:r w:rsidR="005832CF" w:rsidRPr="00712B16">
        <w:rPr>
          <w:rFonts w:ascii="Times New Roman" w:hAnsi="Times New Roman" w:cs="Times New Roman"/>
          <w:sz w:val="24"/>
          <w:szCs w:val="24"/>
        </w:rPr>
        <w:t>net zero</w:t>
      </w:r>
      <w:r w:rsidRPr="00712B16">
        <w:rPr>
          <w:rFonts w:ascii="Times New Roman" w:hAnsi="Times New Roman" w:cs="Times New Roman"/>
          <w:sz w:val="24"/>
          <w:szCs w:val="24"/>
        </w:rPr>
        <w:t xml:space="preserve"> target, countries </w:t>
      </w:r>
      <w:r w:rsidR="00E05832" w:rsidRPr="00712B16">
        <w:rPr>
          <w:rFonts w:ascii="Times New Roman" w:hAnsi="Times New Roman" w:cs="Times New Roman"/>
          <w:sz w:val="24"/>
          <w:szCs w:val="24"/>
        </w:rPr>
        <w:t xml:space="preserve">are </w:t>
      </w:r>
      <w:r w:rsidRPr="00712B16">
        <w:rPr>
          <w:rFonts w:ascii="Times New Roman" w:hAnsi="Times New Roman" w:cs="Times New Roman"/>
          <w:sz w:val="24"/>
          <w:szCs w:val="24"/>
        </w:rPr>
        <w:t>require</w:t>
      </w:r>
      <w:r w:rsidR="00E05832" w:rsidRPr="00712B16">
        <w:rPr>
          <w:rFonts w:ascii="Times New Roman" w:hAnsi="Times New Roman" w:cs="Times New Roman"/>
          <w:sz w:val="24"/>
          <w:szCs w:val="24"/>
        </w:rPr>
        <w:t>d</w:t>
      </w:r>
      <w:r w:rsidRPr="00712B16">
        <w:rPr>
          <w:rFonts w:ascii="Times New Roman" w:hAnsi="Times New Roman" w:cs="Times New Roman"/>
          <w:sz w:val="24"/>
          <w:szCs w:val="24"/>
        </w:rPr>
        <w:t xml:space="preserve"> to transform their economy and industry</w:t>
      </w:r>
      <w:r w:rsidR="00E223E8" w:rsidRPr="00712B16">
        <w:rPr>
          <w:rFonts w:ascii="Times New Roman" w:hAnsi="Times New Roman" w:cs="Times New Roman"/>
          <w:sz w:val="24"/>
          <w:szCs w:val="24"/>
        </w:rPr>
        <w:t>,</w:t>
      </w:r>
      <w:r w:rsidRPr="00712B16">
        <w:rPr>
          <w:rFonts w:ascii="Times New Roman" w:hAnsi="Times New Roman" w:cs="Times New Roman"/>
          <w:sz w:val="24"/>
          <w:szCs w:val="24"/>
        </w:rPr>
        <w:t xml:space="preserve"> which involv</w:t>
      </w:r>
      <w:r w:rsidR="00E05832" w:rsidRPr="00712B16">
        <w:rPr>
          <w:rFonts w:ascii="Times New Roman" w:hAnsi="Times New Roman" w:cs="Times New Roman"/>
          <w:sz w:val="24"/>
          <w:szCs w:val="24"/>
        </w:rPr>
        <w:t>es</w:t>
      </w:r>
      <w:r w:rsidRPr="00712B16">
        <w:rPr>
          <w:rFonts w:ascii="Times New Roman" w:hAnsi="Times New Roman" w:cs="Times New Roman"/>
          <w:sz w:val="24"/>
          <w:szCs w:val="24"/>
        </w:rPr>
        <w:t xml:space="preserve"> collaboration from various sectors (</w:t>
      </w:r>
      <w:r w:rsidR="00817088" w:rsidRPr="00712B16">
        <w:rPr>
          <w:rFonts w:ascii="Times New Roman" w:hAnsi="Times New Roman" w:cs="Times New Roman"/>
          <w:sz w:val="24"/>
          <w:szCs w:val="24"/>
        </w:rPr>
        <w:t>PwC Global</w:t>
      </w:r>
      <w:r w:rsidR="0072544F" w:rsidRPr="00712B16">
        <w:rPr>
          <w:rFonts w:ascii="Times New Roman" w:hAnsi="Times New Roman" w:cs="Times New Roman"/>
          <w:sz w:val="24"/>
          <w:szCs w:val="24"/>
        </w:rPr>
        <w:t>,</w:t>
      </w:r>
      <w:r w:rsidRPr="00712B16">
        <w:rPr>
          <w:rFonts w:ascii="Times New Roman" w:hAnsi="Times New Roman" w:cs="Times New Roman"/>
          <w:sz w:val="24"/>
          <w:szCs w:val="24"/>
        </w:rPr>
        <w:t xml:space="preserve"> 2022). </w:t>
      </w:r>
    </w:p>
    <w:p w14:paraId="4ECF7E1A" w14:textId="46B1205B" w:rsidR="00B25C85" w:rsidRPr="00712B16" w:rsidRDefault="00B25C85" w:rsidP="00B25C85">
      <w:pPr>
        <w:spacing w:after="0" w:line="480" w:lineRule="auto"/>
        <w:ind w:firstLine="567"/>
        <w:jc w:val="both"/>
        <w:rPr>
          <w:rFonts w:ascii="Times New Roman" w:hAnsi="Times New Roman" w:cs="Times New Roman"/>
          <w:sz w:val="24"/>
          <w:szCs w:val="24"/>
        </w:rPr>
      </w:pPr>
      <w:r w:rsidRPr="00712B16">
        <w:rPr>
          <w:rFonts w:ascii="Times New Roman" w:hAnsi="Times New Roman" w:cs="Times New Roman"/>
          <w:sz w:val="24"/>
          <w:szCs w:val="24"/>
        </w:rPr>
        <w:lastRenderedPageBreak/>
        <w:t xml:space="preserve">The heightened policies in achieving the </w:t>
      </w:r>
      <w:r w:rsidR="005832CF" w:rsidRPr="00712B16">
        <w:rPr>
          <w:rFonts w:ascii="Times New Roman" w:hAnsi="Times New Roman" w:cs="Times New Roman"/>
          <w:sz w:val="24"/>
          <w:szCs w:val="24"/>
        </w:rPr>
        <w:t>net zero</w:t>
      </w:r>
      <w:r w:rsidRPr="00712B16">
        <w:rPr>
          <w:rFonts w:ascii="Times New Roman" w:hAnsi="Times New Roman" w:cs="Times New Roman"/>
          <w:sz w:val="24"/>
          <w:szCs w:val="24"/>
        </w:rPr>
        <w:t xml:space="preserve"> target</w:t>
      </w:r>
      <w:r w:rsidR="00986934" w:rsidRPr="00712B16">
        <w:rPr>
          <w:rFonts w:ascii="Times New Roman" w:hAnsi="Times New Roman" w:cs="Times New Roman"/>
          <w:sz w:val="24"/>
          <w:szCs w:val="24"/>
        </w:rPr>
        <w:t>s</w:t>
      </w:r>
      <w:r w:rsidRPr="00712B16">
        <w:rPr>
          <w:rFonts w:ascii="Times New Roman" w:hAnsi="Times New Roman" w:cs="Times New Roman"/>
          <w:sz w:val="24"/>
          <w:szCs w:val="24"/>
        </w:rPr>
        <w:t xml:space="preserve"> could </w:t>
      </w:r>
      <w:r w:rsidR="005460D2" w:rsidRPr="00712B16">
        <w:rPr>
          <w:rFonts w:ascii="Times New Roman" w:hAnsi="Times New Roman" w:cs="Times New Roman"/>
          <w:sz w:val="24"/>
          <w:szCs w:val="24"/>
        </w:rPr>
        <w:t xml:space="preserve">result in </w:t>
      </w:r>
      <w:r w:rsidRPr="00712B16">
        <w:rPr>
          <w:rFonts w:ascii="Times New Roman" w:hAnsi="Times New Roman" w:cs="Times New Roman"/>
          <w:sz w:val="24"/>
          <w:szCs w:val="24"/>
        </w:rPr>
        <w:t xml:space="preserve">firms with regulatory exposure </w:t>
      </w:r>
      <w:r w:rsidR="00042430" w:rsidRPr="00712B16">
        <w:rPr>
          <w:rFonts w:ascii="Times New Roman" w:hAnsi="Times New Roman" w:cs="Times New Roman"/>
          <w:sz w:val="24"/>
          <w:szCs w:val="24"/>
        </w:rPr>
        <w:t>facing</w:t>
      </w:r>
      <w:r w:rsidRPr="00712B16">
        <w:rPr>
          <w:rFonts w:ascii="Times New Roman" w:hAnsi="Times New Roman" w:cs="Times New Roman"/>
          <w:sz w:val="24"/>
          <w:szCs w:val="24"/>
        </w:rPr>
        <w:t xml:space="preserve"> downside risks</w:t>
      </w:r>
      <w:r w:rsidR="006E4770" w:rsidRPr="00712B16">
        <w:rPr>
          <w:rFonts w:ascii="Times New Roman" w:hAnsi="Times New Roman" w:cs="Times New Roman"/>
          <w:sz w:val="24"/>
          <w:szCs w:val="24"/>
        </w:rPr>
        <w:t>,</w:t>
      </w:r>
      <w:r w:rsidRPr="00712B16">
        <w:rPr>
          <w:rFonts w:ascii="Times New Roman" w:hAnsi="Times New Roman" w:cs="Times New Roman"/>
          <w:sz w:val="24"/>
          <w:szCs w:val="24"/>
        </w:rPr>
        <w:t xml:space="preserve"> such as additional capital expenditures and expenses</w:t>
      </w:r>
      <w:r w:rsidR="00F70DD4" w:rsidRPr="00712B16">
        <w:rPr>
          <w:rFonts w:ascii="Times New Roman" w:hAnsi="Times New Roman" w:cs="Times New Roman"/>
          <w:sz w:val="24"/>
          <w:szCs w:val="24"/>
        </w:rPr>
        <w:t>. However,</w:t>
      </w:r>
      <w:r w:rsidRPr="00712B16">
        <w:rPr>
          <w:rFonts w:ascii="Times New Roman" w:hAnsi="Times New Roman" w:cs="Times New Roman"/>
          <w:sz w:val="24"/>
          <w:szCs w:val="24"/>
        </w:rPr>
        <w:t xml:space="preserve"> firms with exposure</w:t>
      </w:r>
      <w:r w:rsidR="00F70DD4" w:rsidRPr="00712B16">
        <w:rPr>
          <w:rFonts w:ascii="Times New Roman" w:hAnsi="Times New Roman" w:cs="Times New Roman"/>
          <w:sz w:val="24"/>
          <w:szCs w:val="24"/>
        </w:rPr>
        <w:t xml:space="preserve"> </w:t>
      </w:r>
      <w:r w:rsidR="00B36D65" w:rsidRPr="00712B16">
        <w:rPr>
          <w:rFonts w:ascii="Times New Roman" w:hAnsi="Times New Roman" w:cs="Times New Roman"/>
          <w:sz w:val="24"/>
          <w:szCs w:val="24"/>
        </w:rPr>
        <w:t>opportunities</w:t>
      </w:r>
      <w:r w:rsidRPr="00712B16">
        <w:rPr>
          <w:rFonts w:ascii="Times New Roman" w:hAnsi="Times New Roman" w:cs="Times New Roman"/>
          <w:sz w:val="24"/>
          <w:szCs w:val="24"/>
        </w:rPr>
        <w:t xml:space="preserve"> may enjoy upside potential benefits from innovation activities (e.g., renewable energy and energy storage) (</w:t>
      </w:r>
      <w:r w:rsidR="00A22069" w:rsidRPr="00712B16">
        <w:rPr>
          <w:rFonts w:ascii="Times New Roman" w:hAnsi="Times New Roman" w:cs="Times New Roman"/>
          <w:noProof/>
          <w:sz w:val="24"/>
          <w:szCs w:val="24"/>
        </w:rPr>
        <w:t>Sautner</w:t>
      </w:r>
      <w:r w:rsidR="001F05F8" w:rsidRPr="00712B16">
        <w:rPr>
          <w:rFonts w:ascii="Times New Roman" w:hAnsi="Times New Roman" w:cs="Times New Roman"/>
          <w:noProof/>
          <w:sz w:val="24"/>
          <w:szCs w:val="24"/>
        </w:rPr>
        <w:t xml:space="preserve"> </w:t>
      </w:r>
      <w:r w:rsidR="001F05F8" w:rsidRPr="00712B16">
        <w:rPr>
          <w:rFonts w:ascii="Times New Roman" w:hAnsi="Times New Roman" w:cs="Times New Roman"/>
          <w:i/>
          <w:sz w:val="24"/>
          <w:szCs w:val="24"/>
        </w:rPr>
        <w:t>et al</w:t>
      </w:r>
      <w:r w:rsidR="001F05F8" w:rsidRPr="00712B16">
        <w:rPr>
          <w:rFonts w:ascii="Times New Roman" w:hAnsi="Times New Roman" w:cs="Times New Roman"/>
          <w:sz w:val="24"/>
          <w:szCs w:val="24"/>
        </w:rPr>
        <w:t>.</w:t>
      </w:r>
      <w:r w:rsidR="00A22069" w:rsidRPr="00712B16">
        <w:rPr>
          <w:rFonts w:ascii="Times New Roman" w:hAnsi="Times New Roman" w:cs="Times New Roman"/>
          <w:noProof/>
          <w:sz w:val="24"/>
          <w:szCs w:val="24"/>
        </w:rPr>
        <w:t>, 2023</w:t>
      </w:r>
      <w:r w:rsidRPr="00712B16">
        <w:rPr>
          <w:rFonts w:ascii="Times New Roman" w:hAnsi="Times New Roman" w:cs="Times New Roman"/>
          <w:sz w:val="24"/>
          <w:szCs w:val="24"/>
        </w:rPr>
        <w:t xml:space="preserve">). Stern and Valero (2021) indicate that achieving </w:t>
      </w:r>
      <w:r w:rsidR="00E3768B" w:rsidRPr="00712B16">
        <w:rPr>
          <w:rFonts w:ascii="Times New Roman" w:hAnsi="Times New Roman" w:cs="Times New Roman"/>
          <w:sz w:val="24"/>
          <w:szCs w:val="24"/>
        </w:rPr>
        <w:t xml:space="preserve">the </w:t>
      </w:r>
      <w:r w:rsidR="005832CF" w:rsidRPr="00712B16">
        <w:rPr>
          <w:rFonts w:ascii="Times New Roman" w:hAnsi="Times New Roman" w:cs="Times New Roman"/>
          <w:sz w:val="24"/>
          <w:szCs w:val="24"/>
        </w:rPr>
        <w:t>net zero</w:t>
      </w:r>
      <w:r w:rsidRPr="00712B16">
        <w:rPr>
          <w:rFonts w:ascii="Times New Roman" w:hAnsi="Times New Roman" w:cs="Times New Roman"/>
          <w:sz w:val="24"/>
          <w:szCs w:val="24"/>
        </w:rPr>
        <w:t xml:space="preserve"> transition requires significant investments </w:t>
      </w:r>
      <w:r w:rsidR="00B36D65" w:rsidRPr="00712B16">
        <w:rPr>
          <w:rFonts w:ascii="Times New Roman" w:hAnsi="Times New Roman" w:cs="Times New Roman"/>
          <w:sz w:val="24"/>
          <w:szCs w:val="24"/>
        </w:rPr>
        <w:t>in</w:t>
      </w:r>
      <w:r w:rsidRPr="00712B16">
        <w:rPr>
          <w:rFonts w:ascii="Times New Roman" w:hAnsi="Times New Roman" w:cs="Times New Roman"/>
          <w:sz w:val="24"/>
          <w:szCs w:val="24"/>
        </w:rPr>
        <w:t xml:space="preserve"> clean innovation, which </w:t>
      </w:r>
      <w:r w:rsidR="00B36D65" w:rsidRPr="00712B16">
        <w:rPr>
          <w:rFonts w:ascii="Times New Roman" w:hAnsi="Times New Roman" w:cs="Times New Roman"/>
          <w:sz w:val="24"/>
          <w:szCs w:val="24"/>
        </w:rPr>
        <w:t xml:space="preserve">is </w:t>
      </w:r>
      <w:r w:rsidRPr="00712B16">
        <w:rPr>
          <w:rFonts w:ascii="Times New Roman" w:hAnsi="Times New Roman" w:cs="Times New Roman"/>
          <w:sz w:val="24"/>
          <w:szCs w:val="24"/>
        </w:rPr>
        <w:t>accompanied by investments in complementary assets</w:t>
      </w:r>
      <w:r w:rsidR="00E223E8" w:rsidRPr="00712B16">
        <w:rPr>
          <w:rFonts w:ascii="Times New Roman" w:hAnsi="Times New Roman" w:cs="Times New Roman"/>
          <w:sz w:val="24"/>
          <w:szCs w:val="24"/>
        </w:rPr>
        <w:t>,</w:t>
      </w:r>
      <w:r w:rsidRPr="00712B16">
        <w:rPr>
          <w:rFonts w:ascii="Times New Roman" w:hAnsi="Times New Roman" w:cs="Times New Roman"/>
          <w:sz w:val="24"/>
          <w:szCs w:val="24"/>
        </w:rPr>
        <w:t xml:space="preserve"> including sustainable infrastructure, and human, natural</w:t>
      </w:r>
      <w:r w:rsidR="00E223E8" w:rsidRPr="00712B16">
        <w:rPr>
          <w:rFonts w:ascii="Times New Roman" w:hAnsi="Times New Roman" w:cs="Times New Roman"/>
          <w:sz w:val="24"/>
          <w:szCs w:val="24"/>
        </w:rPr>
        <w:t>,</w:t>
      </w:r>
      <w:r w:rsidRPr="00712B16">
        <w:rPr>
          <w:rFonts w:ascii="Times New Roman" w:hAnsi="Times New Roman" w:cs="Times New Roman"/>
          <w:sz w:val="24"/>
          <w:szCs w:val="24"/>
        </w:rPr>
        <w:t xml:space="preserve"> and social capital. According to an estimate from </w:t>
      </w:r>
      <w:r w:rsidR="00B36D65" w:rsidRPr="00712B16">
        <w:rPr>
          <w:rFonts w:ascii="Times New Roman" w:hAnsi="Times New Roman" w:cs="Times New Roman"/>
          <w:sz w:val="24"/>
          <w:szCs w:val="24"/>
        </w:rPr>
        <w:t xml:space="preserve">the </w:t>
      </w:r>
      <w:r w:rsidRPr="00712B16">
        <w:rPr>
          <w:rFonts w:ascii="Times New Roman" w:hAnsi="Times New Roman" w:cs="Times New Roman"/>
          <w:sz w:val="24"/>
          <w:szCs w:val="24"/>
        </w:rPr>
        <w:t xml:space="preserve">World Economic Forum (2021), approximately $50 trillion in incremental investments are needed in breakthrough technologies by 2050, such as solar technology, decarbonization, energy efficiency, and carbon capture solutions, among others. </w:t>
      </w:r>
    </w:p>
    <w:p w14:paraId="092580DE" w14:textId="7EBC41FD" w:rsidR="00B25C85" w:rsidRPr="00712B16" w:rsidRDefault="00B25C85" w:rsidP="00B25C85">
      <w:pPr>
        <w:spacing w:after="0" w:line="480" w:lineRule="auto"/>
        <w:ind w:firstLine="567"/>
        <w:jc w:val="both"/>
        <w:rPr>
          <w:rFonts w:ascii="Times New Roman" w:hAnsi="Times New Roman" w:cs="Times New Roman"/>
          <w:sz w:val="24"/>
          <w:szCs w:val="24"/>
        </w:rPr>
      </w:pPr>
      <w:r w:rsidRPr="00712B16">
        <w:rPr>
          <w:rFonts w:ascii="Times New Roman" w:hAnsi="Times New Roman" w:cs="Times New Roman"/>
          <w:sz w:val="24"/>
          <w:szCs w:val="24"/>
        </w:rPr>
        <w:t xml:space="preserve">From the perspective of regulatory shocks related to climate change, achieving the Paris goals requires a series of intensified policies. For example, carbon pricing in the form of an emissions trading system (ETS) or carbon tax </w:t>
      </w:r>
      <w:r w:rsidR="009E75C9" w:rsidRPr="00712B16">
        <w:rPr>
          <w:rFonts w:ascii="Times New Roman" w:hAnsi="Times New Roman" w:cs="Times New Roman"/>
          <w:sz w:val="24"/>
          <w:szCs w:val="24"/>
        </w:rPr>
        <w:t xml:space="preserve">has been </w:t>
      </w:r>
      <w:r w:rsidRPr="00712B16">
        <w:rPr>
          <w:rFonts w:ascii="Times New Roman" w:hAnsi="Times New Roman" w:cs="Times New Roman"/>
          <w:sz w:val="24"/>
          <w:szCs w:val="24"/>
        </w:rPr>
        <w:t xml:space="preserve">widely regarded as the most cost-effective and flexible method to achieve </w:t>
      </w:r>
      <w:r w:rsidR="00E3768B" w:rsidRPr="00712B16">
        <w:rPr>
          <w:rFonts w:ascii="Times New Roman" w:hAnsi="Times New Roman" w:cs="Times New Roman"/>
          <w:sz w:val="24"/>
          <w:szCs w:val="24"/>
        </w:rPr>
        <w:t xml:space="preserve">carbon </w:t>
      </w:r>
      <w:r w:rsidRPr="00712B16">
        <w:rPr>
          <w:rFonts w:ascii="Times New Roman" w:hAnsi="Times New Roman" w:cs="Times New Roman"/>
          <w:sz w:val="24"/>
          <w:szCs w:val="24"/>
        </w:rPr>
        <w:t>emission reduction in line with the objectives of the Paris Agreement (</w:t>
      </w:r>
      <w:r w:rsidR="00E10439" w:rsidRPr="00712B16">
        <w:rPr>
          <w:rFonts w:ascii="Times New Roman" w:hAnsi="Times New Roman" w:cs="Times New Roman"/>
          <w:sz w:val="24"/>
          <w:szCs w:val="24"/>
        </w:rPr>
        <w:t>The World Bank</w:t>
      </w:r>
      <w:r w:rsidR="00C24A2B" w:rsidRPr="00712B16">
        <w:rPr>
          <w:rFonts w:ascii="Times New Roman" w:hAnsi="Times New Roman" w:cs="Times New Roman"/>
          <w:sz w:val="24"/>
          <w:szCs w:val="24"/>
        </w:rPr>
        <w:t>,</w:t>
      </w:r>
      <w:r w:rsidR="005B6484" w:rsidRPr="00712B16">
        <w:rPr>
          <w:rFonts w:ascii="Times New Roman" w:hAnsi="Times New Roman" w:cs="Times New Roman"/>
          <w:sz w:val="24"/>
          <w:szCs w:val="24"/>
        </w:rPr>
        <w:t xml:space="preserve"> </w:t>
      </w:r>
      <w:r w:rsidR="00E10439" w:rsidRPr="00712B16">
        <w:rPr>
          <w:rFonts w:ascii="Times New Roman" w:hAnsi="Times New Roman" w:cs="Times New Roman"/>
          <w:sz w:val="24"/>
          <w:szCs w:val="24"/>
        </w:rPr>
        <w:t>2022;</w:t>
      </w:r>
      <w:r w:rsidR="005B6484" w:rsidRPr="00712B16">
        <w:rPr>
          <w:rFonts w:ascii="Times New Roman" w:hAnsi="Times New Roman" w:cs="Times New Roman"/>
          <w:sz w:val="24"/>
          <w:szCs w:val="24"/>
        </w:rPr>
        <w:t xml:space="preserve"> </w:t>
      </w:r>
      <w:r w:rsidR="00AC4173" w:rsidRPr="00712B16">
        <w:rPr>
          <w:rFonts w:ascii="Times New Roman" w:hAnsi="Times New Roman" w:cs="Times New Roman"/>
          <w:sz w:val="24"/>
          <w:szCs w:val="24"/>
        </w:rPr>
        <w:t>UNCC</w:t>
      </w:r>
      <w:r w:rsidR="00C23C50" w:rsidRPr="00712B16">
        <w:rPr>
          <w:rFonts w:ascii="Times New Roman" w:hAnsi="Times New Roman" w:cs="Times New Roman"/>
          <w:sz w:val="24"/>
          <w:szCs w:val="24"/>
        </w:rPr>
        <w:t>,</w:t>
      </w:r>
      <w:r w:rsidR="005B6484" w:rsidRPr="00712B16">
        <w:rPr>
          <w:rFonts w:ascii="Times New Roman" w:hAnsi="Times New Roman" w:cs="Times New Roman"/>
          <w:sz w:val="24"/>
          <w:szCs w:val="24"/>
        </w:rPr>
        <w:t xml:space="preserve"> </w:t>
      </w:r>
      <w:r w:rsidRPr="00712B16">
        <w:rPr>
          <w:rFonts w:ascii="Times New Roman" w:hAnsi="Times New Roman" w:cs="Times New Roman"/>
          <w:sz w:val="24"/>
          <w:szCs w:val="24"/>
        </w:rPr>
        <w:t xml:space="preserve">2022). </w:t>
      </w:r>
      <w:r w:rsidR="00176CC3" w:rsidRPr="00712B16">
        <w:rPr>
          <w:rFonts w:ascii="Times New Roman" w:hAnsi="Times New Roman" w:cs="Times New Roman"/>
          <w:sz w:val="24"/>
          <w:szCs w:val="24"/>
        </w:rPr>
        <w:t>Studies in the literature have shown</w:t>
      </w:r>
      <w:r w:rsidR="00926168" w:rsidRPr="00712B16">
        <w:rPr>
          <w:rFonts w:ascii="Times New Roman" w:hAnsi="Times New Roman" w:cs="Times New Roman"/>
          <w:sz w:val="24"/>
          <w:szCs w:val="24"/>
        </w:rPr>
        <w:t xml:space="preserve"> </w:t>
      </w:r>
      <w:r w:rsidRPr="00712B16">
        <w:rPr>
          <w:rFonts w:ascii="Times New Roman" w:hAnsi="Times New Roman" w:cs="Times New Roman"/>
          <w:sz w:val="24"/>
          <w:szCs w:val="24"/>
        </w:rPr>
        <w:t>that carbon trading increase</w:t>
      </w:r>
      <w:r w:rsidR="00F64EF6" w:rsidRPr="00712B16">
        <w:rPr>
          <w:rFonts w:ascii="Times New Roman" w:hAnsi="Times New Roman" w:cs="Times New Roman"/>
          <w:sz w:val="24"/>
          <w:szCs w:val="24"/>
        </w:rPr>
        <w:t>s</w:t>
      </w:r>
      <w:r w:rsidRPr="00712B16">
        <w:rPr>
          <w:rFonts w:ascii="Times New Roman" w:hAnsi="Times New Roman" w:cs="Times New Roman"/>
          <w:sz w:val="24"/>
          <w:szCs w:val="24"/>
        </w:rPr>
        <w:t xml:space="preserve"> firm costs. </w:t>
      </w:r>
      <w:r w:rsidR="000F00ED" w:rsidRPr="00712B16">
        <w:rPr>
          <w:rFonts w:ascii="Times New Roman" w:hAnsi="Times New Roman" w:cs="Times New Roman"/>
          <w:sz w:val="24"/>
          <w:szCs w:val="24"/>
        </w:rPr>
        <w:t xml:space="preserve">For example, </w:t>
      </w:r>
      <w:r w:rsidR="00C23C50" w:rsidRPr="00712B16">
        <w:rPr>
          <w:rFonts w:ascii="Times New Roman" w:hAnsi="Times New Roman" w:cs="Times New Roman"/>
          <w:noProof/>
          <w:sz w:val="24"/>
          <w:szCs w:val="24"/>
        </w:rPr>
        <w:t>Goulder</w:t>
      </w:r>
      <w:r w:rsidR="00426D9C" w:rsidRPr="00712B16">
        <w:rPr>
          <w:rFonts w:ascii="Times New Roman" w:hAnsi="Times New Roman" w:cs="Times New Roman"/>
          <w:noProof/>
          <w:sz w:val="24"/>
          <w:szCs w:val="24"/>
        </w:rPr>
        <w:t xml:space="preserve"> </w:t>
      </w:r>
      <w:r w:rsidR="00426D9C" w:rsidRPr="00712B16">
        <w:rPr>
          <w:rFonts w:ascii="Times New Roman" w:hAnsi="Times New Roman" w:cs="Times New Roman"/>
          <w:i/>
          <w:sz w:val="24"/>
          <w:szCs w:val="24"/>
        </w:rPr>
        <w:t>et al</w:t>
      </w:r>
      <w:r w:rsidR="00426D9C" w:rsidRPr="00712B16">
        <w:rPr>
          <w:rFonts w:ascii="Times New Roman" w:hAnsi="Times New Roman" w:cs="Times New Roman"/>
          <w:sz w:val="24"/>
          <w:szCs w:val="24"/>
        </w:rPr>
        <w:t>.</w:t>
      </w:r>
      <w:r w:rsidR="00426D9C" w:rsidRPr="00712B16">
        <w:rPr>
          <w:rFonts w:ascii="Times New Roman" w:hAnsi="Times New Roman" w:cs="Times New Roman"/>
          <w:noProof/>
          <w:sz w:val="24"/>
          <w:szCs w:val="24"/>
        </w:rPr>
        <w:t xml:space="preserve"> </w:t>
      </w:r>
      <w:r w:rsidR="00C23C50" w:rsidRPr="00712B16">
        <w:rPr>
          <w:rFonts w:ascii="Times New Roman" w:hAnsi="Times New Roman" w:cs="Times New Roman"/>
          <w:noProof/>
          <w:sz w:val="24"/>
          <w:szCs w:val="24"/>
        </w:rPr>
        <w:t xml:space="preserve">(2010) </w:t>
      </w:r>
      <w:r w:rsidRPr="00712B16">
        <w:rPr>
          <w:rFonts w:ascii="Times New Roman" w:hAnsi="Times New Roman" w:cs="Times New Roman"/>
          <w:sz w:val="24"/>
          <w:szCs w:val="24"/>
        </w:rPr>
        <w:t xml:space="preserve">document that a cap-and-trade system </w:t>
      </w:r>
      <w:r w:rsidR="00B36D65" w:rsidRPr="00712B16">
        <w:rPr>
          <w:rFonts w:ascii="Times New Roman" w:hAnsi="Times New Roman" w:cs="Times New Roman"/>
          <w:sz w:val="24"/>
          <w:szCs w:val="24"/>
        </w:rPr>
        <w:t>increases</w:t>
      </w:r>
      <w:r w:rsidRPr="00712B16">
        <w:rPr>
          <w:rFonts w:ascii="Times New Roman" w:hAnsi="Times New Roman" w:cs="Times New Roman"/>
          <w:sz w:val="24"/>
          <w:szCs w:val="24"/>
        </w:rPr>
        <w:t xml:space="preserve"> the marginal cost of production. </w:t>
      </w:r>
      <w:r w:rsidR="00C23C50" w:rsidRPr="00712B16">
        <w:rPr>
          <w:rFonts w:ascii="Times New Roman" w:hAnsi="Times New Roman" w:cs="Times New Roman"/>
          <w:sz w:val="24"/>
          <w:szCs w:val="24"/>
          <w:shd w:val="clear" w:color="auto" w:fill="FFFFFF"/>
          <w:lang w:val="en-GB"/>
        </w:rPr>
        <w:t>Cohen</w:t>
      </w:r>
      <w:r w:rsidR="00211B4F" w:rsidRPr="00712B16">
        <w:rPr>
          <w:rFonts w:ascii="Times New Roman" w:hAnsi="Times New Roman" w:cs="Times New Roman"/>
          <w:sz w:val="24"/>
          <w:szCs w:val="24"/>
          <w:shd w:val="clear" w:color="auto" w:fill="FFFFFF"/>
          <w:lang w:val="en-GB"/>
        </w:rPr>
        <w:t xml:space="preserve"> </w:t>
      </w:r>
      <w:r w:rsidR="00211B4F" w:rsidRPr="00712B16">
        <w:rPr>
          <w:rFonts w:ascii="Times New Roman" w:hAnsi="Times New Roman" w:cs="Times New Roman"/>
          <w:i/>
          <w:sz w:val="24"/>
          <w:szCs w:val="24"/>
        </w:rPr>
        <w:t>et al</w:t>
      </w:r>
      <w:r w:rsidR="00211B4F" w:rsidRPr="00712B16">
        <w:rPr>
          <w:rFonts w:ascii="Times New Roman" w:hAnsi="Times New Roman" w:cs="Times New Roman"/>
          <w:sz w:val="24"/>
          <w:szCs w:val="24"/>
        </w:rPr>
        <w:t>.</w:t>
      </w:r>
      <w:r w:rsidR="00211B4F" w:rsidRPr="00712B16">
        <w:rPr>
          <w:rFonts w:ascii="Times New Roman" w:hAnsi="Times New Roman" w:cs="Times New Roman"/>
          <w:sz w:val="24"/>
          <w:szCs w:val="24"/>
          <w:shd w:val="clear" w:color="auto" w:fill="FFFFFF"/>
          <w:lang w:val="en-GB"/>
        </w:rPr>
        <w:t xml:space="preserve"> </w:t>
      </w:r>
      <w:r w:rsidR="00C23C50" w:rsidRPr="00712B16">
        <w:rPr>
          <w:rFonts w:ascii="Times New Roman" w:hAnsi="Times New Roman" w:cs="Times New Roman"/>
          <w:sz w:val="24"/>
          <w:szCs w:val="24"/>
          <w:shd w:val="clear" w:color="auto" w:fill="FFFFFF"/>
          <w:lang w:val="en-GB"/>
        </w:rPr>
        <w:t xml:space="preserve">(2020) </w:t>
      </w:r>
      <w:r w:rsidRPr="00712B16">
        <w:rPr>
          <w:rFonts w:ascii="Times New Roman" w:hAnsi="Times New Roman" w:cs="Times New Roman"/>
          <w:sz w:val="24"/>
          <w:szCs w:val="24"/>
        </w:rPr>
        <w:t xml:space="preserve">find that firms with high carbon </w:t>
      </w:r>
      <w:r w:rsidR="00E223E8" w:rsidRPr="00712B16">
        <w:rPr>
          <w:rFonts w:ascii="Times New Roman" w:hAnsi="Times New Roman" w:cs="Times New Roman"/>
          <w:sz w:val="24"/>
          <w:szCs w:val="24"/>
        </w:rPr>
        <w:t xml:space="preserve">footprints </w:t>
      </w:r>
      <w:r w:rsidRPr="00712B16">
        <w:rPr>
          <w:rFonts w:ascii="Times New Roman" w:hAnsi="Times New Roman" w:cs="Times New Roman"/>
          <w:sz w:val="24"/>
          <w:szCs w:val="24"/>
        </w:rPr>
        <w:t xml:space="preserve">and higher regulatory risks create more and better green technologies than others. Shell </w:t>
      </w:r>
      <w:r w:rsidR="00B76921" w:rsidRPr="00712B16">
        <w:rPr>
          <w:rFonts w:ascii="Times New Roman" w:hAnsi="Times New Roman" w:cs="Times New Roman"/>
          <w:sz w:val="24"/>
          <w:szCs w:val="24"/>
        </w:rPr>
        <w:t>plc</w:t>
      </w:r>
      <w:r w:rsidRPr="00712B16">
        <w:rPr>
          <w:rFonts w:ascii="Times New Roman" w:hAnsi="Times New Roman" w:cs="Times New Roman"/>
          <w:sz w:val="24"/>
          <w:szCs w:val="24"/>
        </w:rPr>
        <w:t xml:space="preserve"> (2022) </w:t>
      </w:r>
      <w:r w:rsidR="00ED08B9" w:rsidRPr="00712B16">
        <w:rPr>
          <w:rFonts w:ascii="Times New Roman" w:hAnsi="Times New Roman" w:cs="Times New Roman"/>
          <w:sz w:val="24"/>
          <w:szCs w:val="24"/>
        </w:rPr>
        <w:t>states</w:t>
      </w:r>
      <w:r w:rsidRPr="00712B16">
        <w:rPr>
          <w:rFonts w:ascii="Times New Roman" w:hAnsi="Times New Roman" w:cs="Times New Roman"/>
          <w:sz w:val="24"/>
          <w:szCs w:val="24"/>
        </w:rPr>
        <w:t xml:space="preserve"> that </w:t>
      </w:r>
      <w:r w:rsidR="00ED08B9" w:rsidRPr="00712B16">
        <w:rPr>
          <w:rFonts w:ascii="Times New Roman" w:hAnsi="Times New Roman" w:cs="Times New Roman"/>
          <w:sz w:val="24"/>
          <w:szCs w:val="24"/>
        </w:rPr>
        <w:t>“</w:t>
      </w:r>
      <w:r w:rsidRPr="00712B16">
        <w:rPr>
          <w:rFonts w:ascii="Times New Roman" w:hAnsi="Times New Roman" w:cs="Times New Roman"/>
          <w:i/>
          <w:sz w:val="24"/>
          <w:szCs w:val="24"/>
        </w:rPr>
        <w:t xml:space="preserve">developing </w:t>
      </w:r>
      <w:r w:rsidR="00ED08B9" w:rsidRPr="00712B16">
        <w:rPr>
          <w:rFonts w:ascii="Times New Roman" w:hAnsi="Times New Roman" w:cs="Times New Roman"/>
          <w:i/>
          <w:sz w:val="24"/>
          <w:szCs w:val="24"/>
        </w:rPr>
        <w:t>our</w:t>
      </w:r>
      <w:r w:rsidRPr="00712B16">
        <w:rPr>
          <w:rFonts w:ascii="Times New Roman" w:hAnsi="Times New Roman" w:cs="Times New Roman"/>
          <w:i/>
          <w:sz w:val="24"/>
          <w:szCs w:val="24"/>
        </w:rPr>
        <w:t xml:space="preserve"> low-carbon products and services is subject to challenges which</w:t>
      </w:r>
      <w:r w:rsidR="00D7461E" w:rsidRPr="00712B16">
        <w:rPr>
          <w:rFonts w:ascii="Times New Roman" w:hAnsi="Times New Roman" w:cs="Times New Roman"/>
          <w:i/>
          <w:sz w:val="24"/>
          <w:szCs w:val="24"/>
        </w:rPr>
        <w:t xml:space="preserve"> could have a material adverse effect on</w:t>
      </w:r>
      <w:r w:rsidRPr="00712B16">
        <w:rPr>
          <w:rFonts w:ascii="Times New Roman" w:hAnsi="Times New Roman" w:cs="Times New Roman"/>
          <w:i/>
          <w:sz w:val="24"/>
          <w:szCs w:val="24"/>
        </w:rPr>
        <w:t xml:space="preserve"> </w:t>
      </w:r>
      <w:r w:rsidR="00D7461E" w:rsidRPr="00712B16">
        <w:rPr>
          <w:rFonts w:ascii="Times New Roman" w:hAnsi="Times New Roman" w:cs="Times New Roman"/>
          <w:i/>
          <w:sz w:val="24"/>
          <w:szCs w:val="24"/>
        </w:rPr>
        <w:t>our</w:t>
      </w:r>
      <w:r w:rsidRPr="00712B16">
        <w:rPr>
          <w:rFonts w:ascii="Times New Roman" w:hAnsi="Times New Roman" w:cs="Times New Roman"/>
          <w:i/>
          <w:sz w:val="24"/>
          <w:szCs w:val="24"/>
        </w:rPr>
        <w:t xml:space="preserve"> earnings, cash flows and financial condition</w:t>
      </w:r>
      <w:r w:rsidR="00D7461E" w:rsidRPr="00712B16">
        <w:rPr>
          <w:rFonts w:ascii="Times New Roman" w:hAnsi="Times New Roman" w:cs="Times New Roman"/>
          <w:sz w:val="24"/>
          <w:szCs w:val="24"/>
        </w:rPr>
        <w:t>” (p. 17)</w:t>
      </w:r>
      <w:r w:rsidRPr="00712B16">
        <w:rPr>
          <w:rFonts w:ascii="Times New Roman" w:hAnsi="Times New Roman" w:cs="Times New Roman"/>
          <w:sz w:val="24"/>
          <w:szCs w:val="24"/>
        </w:rPr>
        <w:t xml:space="preserve">. </w:t>
      </w:r>
      <w:r w:rsidR="009925E5" w:rsidRPr="00712B16">
        <w:rPr>
          <w:rFonts w:ascii="Times New Roman" w:hAnsi="Times New Roman" w:cs="Times New Roman"/>
          <w:sz w:val="24"/>
          <w:szCs w:val="24"/>
        </w:rPr>
        <w:t xml:space="preserve">Another study by </w:t>
      </w:r>
      <w:r w:rsidR="00C23C50" w:rsidRPr="00712B16">
        <w:rPr>
          <w:rFonts w:ascii="Times New Roman" w:hAnsi="Times New Roman" w:cs="Times New Roman"/>
          <w:noProof/>
          <w:sz w:val="24"/>
          <w:szCs w:val="24"/>
        </w:rPr>
        <w:t>Long</w:t>
      </w:r>
      <w:r w:rsidR="00600906" w:rsidRPr="00712B16">
        <w:rPr>
          <w:rFonts w:ascii="Times New Roman" w:hAnsi="Times New Roman" w:cs="Times New Roman"/>
          <w:noProof/>
          <w:sz w:val="24"/>
          <w:szCs w:val="24"/>
        </w:rPr>
        <w:t xml:space="preserve"> </w:t>
      </w:r>
      <w:r w:rsidR="00600906" w:rsidRPr="00712B16">
        <w:rPr>
          <w:rFonts w:ascii="Times New Roman" w:hAnsi="Times New Roman" w:cs="Times New Roman"/>
          <w:i/>
          <w:sz w:val="24"/>
          <w:szCs w:val="24"/>
        </w:rPr>
        <w:t>et al</w:t>
      </w:r>
      <w:r w:rsidR="00600906" w:rsidRPr="00712B16">
        <w:rPr>
          <w:rFonts w:ascii="Times New Roman" w:hAnsi="Times New Roman" w:cs="Times New Roman"/>
          <w:sz w:val="24"/>
          <w:szCs w:val="24"/>
        </w:rPr>
        <w:t>.</w:t>
      </w:r>
      <w:r w:rsidR="00600906" w:rsidRPr="00712B16">
        <w:rPr>
          <w:rFonts w:ascii="Times New Roman" w:hAnsi="Times New Roman" w:cs="Times New Roman"/>
          <w:noProof/>
          <w:sz w:val="24"/>
          <w:szCs w:val="24"/>
        </w:rPr>
        <w:t xml:space="preserve"> </w:t>
      </w:r>
      <w:r w:rsidR="00C23C50" w:rsidRPr="00712B16">
        <w:rPr>
          <w:rFonts w:ascii="Times New Roman" w:hAnsi="Times New Roman" w:cs="Times New Roman"/>
          <w:noProof/>
          <w:sz w:val="24"/>
          <w:szCs w:val="24"/>
        </w:rPr>
        <w:t xml:space="preserve">(2023) </w:t>
      </w:r>
      <w:r w:rsidR="009925E5" w:rsidRPr="00712B16">
        <w:rPr>
          <w:rFonts w:ascii="Times New Roman" w:hAnsi="Times New Roman" w:cs="Times New Roman"/>
          <w:sz w:val="24"/>
          <w:szCs w:val="24"/>
        </w:rPr>
        <w:t xml:space="preserve">reveals </w:t>
      </w:r>
      <w:r w:rsidRPr="00712B16">
        <w:rPr>
          <w:rFonts w:ascii="Times New Roman" w:hAnsi="Times New Roman" w:cs="Times New Roman"/>
          <w:sz w:val="24"/>
          <w:szCs w:val="24"/>
        </w:rPr>
        <w:t xml:space="preserve">that the implementation of ETS in China increases compliance costs and carbon risks, thereby motivating firms to engage in earnings management. </w:t>
      </w:r>
    </w:p>
    <w:p w14:paraId="2085B3AB" w14:textId="77777777" w:rsidR="00B25C85" w:rsidRPr="00712B16" w:rsidRDefault="00B25C85" w:rsidP="00B25C85">
      <w:pPr>
        <w:spacing w:after="0" w:line="480" w:lineRule="auto"/>
        <w:ind w:firstLine="567"/>
        <w:jc w:val="both"/>
        <w:rPr>
          <w:rFonts w:ascii="Times New Roman" w:hAnsi="Times New Roman" w:cs="Times New Roman"/>
          <w:sz w:val="24"/>
          <w:szCs w:val="24"/>
        </w:rPr>
      </w:pPr>
    </w:p>
    <w:p w14:paraId="4481FE6F" w14:textId="1CDB2AE2" w:rsidR="00686758" w:rsidRPr="00712B16" w:rsidRDefault="00686758" w:rsidP="00C731F7">
      <w:pPr>
        <w:pStyle w:val="Heading2"/>
        <w:spacing w:before="0" w:line="480" w:lineRule="auto"/>
        <w:jc w:val="both"/>
        <w:rPr>
          <w:rFonts w:cs="Times New Roman"/>
          <w:b w:val="0"/>
          <w:i/>
          <w:szCs w:val="24"/>
        </w:rPr>
      </w:pPr>
      <w:r w:rsidRPr="00712B16">
        <w:rPr>
          <w:rFonts w:cs="Times New Roman"/>
          <w:b w:val="0"/>
          <w:i/>
          <w:szCs w:val="24"/>
        </w:rPr>
        <w:t>2.</w:t>
      </w:r>
      <w:r w:rsidR="00FC650D" w:rsidRPr="00712B16">
        <w:rPr>
          <w:rFonts w:cs="Times New Roman"/>
          <w:b w:val="0"/>
          <w:i/>
          <w:szCs w:val="24"/>
        </w:rPr>
        <w:t>2</w:t>
      </w:r>
      <w:r w:rsidRPr="00712B16">
        <w:rPr>
          <w:rFonts w:cs="Times New Roman"/>
          <w:b w:val="0"/>
          <w:i/>
          <w:szCs w:val="24"/>
        </w:rPr>
        <w:t xml:space="preserve"> </w:t>
      </w:r>
      <w:r w:rsidR="00145BE6" w:rsidRPr="00712B16">
        <w:rPr>
          <w:rFonts w:cs="Times New Roman"/>
          <w:b w:val="0"/>
          <w:i/>
          <w:szCs w:val="24"/>
        </w:rPr>
        <w:t xml:space="preserve">Hypotheses development </w:t>
      </w:r>
    </w:p>
    <w:p w14:paraId="0D9C8885" w14:textId="67DE3B0B" w:rsidR="008958B8" w:rsidRPr="00712B16" w:rsidRDefault="00145BE6" w:rsidP="00023E05">
      <w:pPr>
        <w:pStyle w:val="Heading3"/>
        <w:spacing w:before="0" w:line="480" w:lineRule="auto"/>
        <w:ind w:left="567" w:hanging="567"/>
        <w:jc w:val="both"/>
        <w:rPr>
          <w:color w:val="auto"/>
        </w:rPr>
      </w:pPr>
      <w:bookmarkStart w:id="15" w:name="_Hlk119335226"/>
      <w:r w:rsidRPr="00712B16">
        <w:rPr>
          <w:rFonts w:ascii="Times New Roman" w:hAnsi="Times New Roman" w:cs="Times New Roman"/>
          <w:i/>
          <w:color w:val="auto"/>
        </w:rPr>
        <w:t>2.</w:t>
      </w:r>
      <w:r w:rsidR="00FC650D" w:rsidRPr="00712B16">
        <w:rPr>
          <w:rFonts w:ascii="Times New Roman" w:hAnsi="Times New Roman" w:cs="Times New Roman"/>
          <w:i/>
          <w:color w:val="auto"/>
        </w:rPr>
        <w:t>2</w:t>
      </w:r>
      <w:r w:rsidRPr="00712B16">
        <w:rPr>
          <w:rFonts w:ascii="Times New Roman" w:hAnsi="Times New Roman" w:cs="Times New Roman"/>
          <w:i/>
          <w:color w:val="auto"/>
        </w:rPr>
        <w:t xml:space="preserve">.1 </w:t>
      </w:r>
      <w:r w:rsidR="005832CF" w:rsidRPr="00712B16">
        <w:rPr>
          <w:rFonts w:ascii="Times New Roman" w:hAnsi="Times New Roman" w:cs="Times New Roman"/>
          <w:i/>
          <w:color w:val="auto"/>
        </w:rPr>
        <w:t>Net zero</w:t>
      </w:r>
      <w:r w:rsidRPr="00712B16">
        <w:rPr>
          <w:rFonts w:ascii="Times New Roman" w:hAnsi="Times New Roman" w:cs="Times New Roman"/>
          <w:i/>
          <w:color w:val="auto"/>
        </w:rPr>
        <w:t xml:space="preserve"> target</w:t>
      </w:r>
      <w:r w:rsidR="00986934" w:rsidRPr="00712B16">
        <w:rPr>
          <w:rFonts w:ascii="Times New Roman" w:hAnsi="Times New Roman" w:cs="Times New Roman"/>
          <w:i/>
          <w:color w:val="auto"/>
        </w:rPr>
        <w:t>s</w:t>
      </w:r>
      <w:r w:rsidRPr="00712B16">
        <w:rPr>
          <w:rFonts w:ascii="Times New Roman" w:hAnsi="Times New Roman" w:cs="Times New Roman"/>
          <w:i/>
          <w:color w:val="auto"/>
        </w:rPr>
        <w:t xml:space="preserve"> and REM </w:t>
      </w:r>
      <w:bookmarkEnd w:id="15"/>
    </w:p>
    <w:p w14:paraId="5E18C303" w14:textId="69992DCF" w:rsidR="00FD6EF6" w:rsidRPr="00712B16" w:rsidRDefault="00D4601C" w:rsidP="003E4DE0">
      <w:pPr>
        <w:spacing w:after="0" w:line="480" w:lineRule="auto"/>
        <w:jc w:val="both"/>
        <w:rPr>
          <w:rFonts w:ascii="Times New Roman" w:eastAsia="SimSun" w:hAnsi="Times New Roman" w:cs="Times New Roman"/>
          <w:sz w:val="24"/>
          <w:szCs w:val="24"/>
          <w:lang w:val="en-AU" w:bidi="ar"/>
        </w:rPr>
      </w:pPr>
      <w:r w:rsidRPr="00712B16">
        <w:rPr>
          <w:rFonts w:ascii="Times New Roman" w:eastAsia="SimSun" w:hAnsi="Times New Roman" w:cs="Times New Roman"/>
          <w:sz w:val="24"/>
          <w:szCs w:val="24"/>
          <w:lang w:val="en-AU" w:bidi="ar"/>
        </w:rPr>
        <w:t xml:space="preserve">While prior work on REM has largely examined financial reporting incentives in response to capital market pressures or regulatory oversight (Gunny, 2010; Roychowdhury, 2006; Zang, 2012), and sustainability research has focused on how CSR, ESG regulation, or environmental policies influence disclosure quality, transparency, and investment behavior (Christensen </w:t>
      </w:r>
      <w:r w:rsidRPr="00712B16">
        <w:rPr>
          <w:rFonts w:ascii="Times New Roman" w:eastAsia="SimSun" w:hAnsi="Times New Roman" w:cs="Times New Roman"/>
          <w:bCs/>
          <w:i/>
          <w:sz w:val="24"/>
          <w:szCs w:val="24"/>
          <w:lang w:bidi="ar"/>
        </w:rPr>
        <w:t>et al</w:t>
      </w:r>
      <w:r w:rsidRPr="00712B16">
        <w:rPr>
          <w:rFonts w:ascii="Times New Roman" w:eastAsia="SimSun" w:hAnsi="Times New Roman" w:cs="Times New Roman"/>
          <w:bCs/>
          <w:iCs/>
          <w:sz w:val="24"/>
          <w:szCs w:val="24"/>
          <w:lang w:bidi="ar"/>
        </w:rPr>
        <w:t>.</w:t>
      </w:r>
      <w:r w:rsidRPr="00712B16">
        <w:rPr>
          <w:rFonts w:ascii="Times New Roman" w:eastAsia="SimSun" w:hAnsi="Times New Roman" w:cs="Times New Roman"/>
          <w:sz w:val="24"/>
          <w:szCs w:val="24"/>
          <w:lang w:val="en-AU" w:bidi="ar"/>
        </w:rPr>
        <w:t xml:space="preserve">, 2021; Grewal </w:t>
      </w:r>
      <w:r w:rsidRPr="00712B16">
        <w:rPr>
          <w:rFonts w:ascii="Times New Roman" w:eastAsia="SimSun" w:hAnsi="Times New Roman" w:cs="Times New Roman"/>
          <w:bCs/>
          <w:i/>
          <w:sz w:val="24"/>
          <w:szCs w:val="24"/>
          <w:lang w:bidi="ar"/>
        </w:rPr>
        <w:t>et al</w:t>
      </w:r>
      <w:r w:rsidRPr="00712B16">
        <w:rPr>
          <w:rFonts w:ascii="Times New Roman" w:eastAsia="SimSun" w:hAnsi="Times New Roman" w:cs="Times New Roman"/>
          <w:bCs/>
          <w:iCs/>
          <w:sz w:val="24"/>
          <w:szCs w:val="24"/>
          <w:lang w:bidi="ar"/>
        </w:rPr>
        <w:t>.</w:t>
      </w:r>
      <w:r w:rsidRPr="00712B16">
        <w:rPr>
          <w:rFonts w:ascii="Times New Roman" w:eastAsia="SimSun" w:hAnsi="Times New Roman" w:cs="Times New Roman"/>
          <w:sz w:val="24"/>
          <w:szCs w:val="24"/>
          <w:lang w:val="en-AU" w:bidi="ar"/>
        </w:rPr>
        <w:t>, 2019), our study is the first to connect national net zero climate targets with firms’ REM decisions</w:t>
      </w:r>
      <w:r w:rsidR="00E37098" w:rsidRPr="00712B16">
        <w:rPr>
          <w:rFonts w:ascii="Times New Roman" w:eastAsia="SimSun" w:hAnsi="Times New Roman" w:cs="Times New Roman"/>
          <w:sz w:val="24"/>
          <w:szCs w:val="24"/>
          <w:lang w:val="en-AU" w:bidi="ar"/>
        </w:rPr>
        <w:t>.</w:t>
      </w:r>
      <w:r w:rsidR="00E37098" w:rsidRPr="00712B16">
        <w:rPr>
          <w:rStyle w:val="FootnoteReference"/>
          <w:rFonts w:ascii="Times New Roman" w:eastAsia="SimSun" w:hAnsi="Times New Roman" w:cs="Times New Roman"/>
          <w:sz w:val="24"/>
          <w:szCs w:val="24"/>
          <w:lang w:val="en-AU" w:bidi="ar"/>
        </w:rPr>
        <w:footnoteReference w:id="4"/>
      </w:r>
      <w:r w:rsidR="00B51CA0" w:rsidRPr="00712B16">
        <w:rPr>
          <w:rFonts w:ascii="Times New Roman" w:eastAsia="SimSun" w:hAnsi="Times New Roman" w:cs="Times New Roman"/>
          <w:sz w:val="24"/>
          <w:szCs w:val="24"/>
          <w:lang w:val="en-AU" w:bidi="ar"/>
        </w:rPr>
        <w:t xml:space="preserve"> </w:t>
      </w:r>
      <w:r w:rsidR="00FD6EF6" w:rsidRPr="00712B16">
        <w:rPr>
          <w:rFonts w:ascii="Times New Roman" w:eastAsia="SimSun" w:hAnsi="Times New Roman" w:cs="Times New Roman"/>
          <w:sz w:val="24"/>
          <w:szCs w:val="24"/>
          <w:lang w:bidi="ar"/>
        </w:rPr>
        <w:t>In transitioning to the net</w:t>
      </w:r>
      <w:r w:rsidR="00F350BC" w:rsidRPr="00712B16">
        <w:rPr>
          <w:rFonts w:ascii="Times New Roman" w:eastAsia="SimSun" w:hAnsi="Times New Roman" w:cs="Times New Roman"/>
          <w:sz w:val="24"/>
          <w:szCs w:val="24"/>
          <w:lang w:bidi="ar"/>
        </w:rPr>
        <w:t xml:space="preserve"> </w:t>
      </w:r>
      <w:r w:rsidR="00FD6EF6" w:rsidRPr="00712B16">
        <w:rPr>
          <w:rFonts w:ascii="Times New Roman" w:eastAsia="SimSun" w:hAnsi="Times New Roman" w:cs="Times New Roman"/>
          <w:sz w:val="24"/>
          <w:szCs w:val="24"/>
          <w:lang w:bidi="ar"/>
        </w:rPr>
        <w:t>zero targets, we conjecture that firms</w:t>
      </w:r>
      <w:r w:rsidR="00FD6EF6" w:rsidRPr="00712B16">
        <w:rPr>
          <w:rFonts w:ascii="Times New Roman" w:eastAsia="SimSun" w:hAnsi="Times New Roman" w:cs="Times New Roman"/>
          <w:i/>
          <w:sz w:val="24"/>
          <w:szCs w:val="24"/>
          <w:lang w:bidi="ar"/>
        </w:rPr>
        <w:t xml:space="preserve"> </w:t>
      </w:r>
      <w:r w:rsidR="00FD6EF6" w:rsidRPr="00712B16">
        <w:rPr>
          <w:rFonts w:ascii="Times New Roman" w:eastAsia="SimSun" w:hAnsi="Times New Roman" w:cs="Times New Roman"/>
          <w:iCs/>
          <w:sz w:val="24"/>
          <w:szCs w:val="24"/>
          <w:lang w:bidi="ar"/>
        </w:rPr>
        <w:t xml:space="preserve">headquartered in countries that have </w:t>
      </w:r>
      <w:r w:rsidR="00B20831" w:rsidRPr="00712B16">
        <w:rPr>
          <w:rFonts w:ascii="Times New Roman" w:eastAsia="SimSun" w:hAnsi="Times New Roman" w:cs="Times New Roman"/>
          <w:iCs/>
          <w:sz w:val="24"/>
          <w:szCs w:val="24"/>
          <w:lang w:bidi="ar"/>
        </w:rPr>
        <w:t>committed to</w:t>
      </w:r>
      <w:r w:rsidR="00FD6EF6" w:rsidRPr="00712B16">
        <w:rPr>
          <w:rFonts w:ascii="Times New Roman" w:eastAsia="SimSun" w:hAnsi="Times New Roman" w:cs="Times New Roman"/>
          <w:iCs/>
          <w:sz w:val="24"/>
          <w:szCs w:val="24"/>
          <w:lang w:bidi="ar"/>
        </w:rPr>
        <w:t xml:space="preserve"> a net</w:t>
      </w:r>
      <w:r w:rsidR="001B1526" w:rsidRPr="00712B16">
        <w:rPr>
          <w:rFonts w:ascii="Times New Roman" w:eastAsia="SimSun" w:hAnsi="Times New Roman" w:cs="Times New Roman"/>
          <w:iCs/>
          <w:sz w:val="24"/>
          <w:szCs w:val="24"/>
          <w:lang w:bidi="ar"/>
        </w:rPr>
        <w:t xml:space="preserve"> </w:t>
      </w:r>
      <w:r w:rsidR="00FD6EF6" w:rsidRPr="00712B16">
        <w:rPr>
          <w:rFonts w:ascii="Times New Roman" w:eastAsia="SimSun" w:hAnsi="Times New Roman" w:cs="Times New Roman"/>
          <w:iCs/>
          <w:sz w:val="24"/>
          <w:szCs w:val="24"/>
          <w:lang w:bidi="ar"/>
        </w:rPr>
        <w:t>zero target</w:t>
      </w:r>
      <w:r w:rsidR="00FD6EF6" w:rsidRPr="00712B16">
        <w:rPr>
          <w:rFonts w:ascii="Times New Roman" w:eastAsia="SimSun" w:hAnsi="Times New Roman" w:cs="Times New Roman"/>
          <w:bCs/>
          <w:iCs/>
          <w:sz w:val="24"/>
          <w:szCs w:val="24"/>
          <w:lang w:bidi="ar"/>
        </w:rPr>
        <w:t xml:space="preserve"> are more likely to invest in new technologies and infrastructure systems in the coming years that could help firms to reduce the carbon emissions.</w:t>
      </w:r>
    </w:p>
    <w:p w14:paraId="6E1C45D3" w14:textId="5E01DEEE" w:rsidR="008B0CA8" w:rsidRPr="00712B16" w:rsidRDefault="00C22F9F" w:rsidP="00D63CC0">
      <w:pPr>
        <w:spacing w:after="0" w:line="480" w:lineRule="auto"/>
        <w:ind w:firstLine="720"/>
        <w:jc w:val="both"/>
        <w:rPr>
          <w:rFonts w:ascii="Times New Roman" w:eastAsia="SimSun" w:hAnsi="Times New Roman" w:cs="Times New Roman"/>
          <w:sz w:val="24"/>
          <w:szCs w:val="24"/>
          <w:lang w:bidi="ar"/>
        </w:rPr>
      </w:pPr>
      <w:r w:rsidRPr="00712B16">
        <w:rPr>
          <w:rFonts w:ascii="Times New Roman" w:eastAsia="SimSun" w:hAnsi="Times New Roman" w:cs="Times New Roman"/>
          <w:sz w:val="24"/>
          <w:szCs w:val="24"/>
          <w:lang w:bidi="ar"/>
        </w:rPr>
        <w:t>F</w:t>
      </w:r>
      <w:r w:rsidR="008B0CA8" w:rsidRPr="00712B16">
        <w:rPr>
          <w:rFonts w:ascii="Times New Roman" w:eastAsia="SimSun" w:hAnsi="Times New Roman" w:cs="Times New Roman"/>
          <w:sz w:val="24"/>
          <w:szCs w:val="24"/>
          <w:lang w:bidi="ar"/>
        </w:rPr>
        <w:t>irms</w:t>
      </w:r>
      <w:r w:rsidRPr="00712B16">
        <w:rPr>
          <w:rFonts w:ascii="Times New Roman" w:eastAsia="SimSun" w:hAnsi="Times New Roman" w:cs="Times New Roman"/>
          <w:sz w:val="24"/>
          <w:szCs w:val="24"/>
          <w:lang w:bidi="ar"/>
        </w:rPr>
        <w:t xml:space="preserve"> are more likely to</w:t>
      </w:r>
      <w:r w:rsidR="008B0CA8" w:rsidRPr="00712B16">
        <w:rPr>
          <w:rFonts w:ascii="Times New Roman" w:eastAsia="SimSun" w:hAnsi="Times New Roman" w:cs="Times New Roman"/>
          <w:bCs/>
          <w:iCs/>
          <w:sz w:val="24"/>
          <w:szCs w:val="24"/>
          <w:lang w:bidi="ar"/>
        </w:rPr>
        <w:t xml:space="preserve"> face increasing legitimacy and institutional threats and pressures if they are perceived as lagging in climate preparedness</w:t>
      </w:r>
      <w:r w:rsidRPr="00712B16">
        <w:rPr>
          <w:rFonts w:ascii="Times New Roman" w:eastAsia="SimSun" w:hAnsi="Times New Roman" w:cs="Times New Roman"/>
          <w:bCs/>
          <w:iCs/>
          <w:sz w:val="24"/>
          <w:szCs w:val="24"/>
          <w:lang w:bidi="ar"/>
        </w:rPr>
        <w:t xml:space="preserve"> </w:t>
      </w:r>
      <w:r w:rsidRPr="00712B16">
        <w:rPr>
          <w:rFonts w:ascii="Times New Roman" w:eastAsia="SimSun" w:hAnsi="Times New Roman" w:cs="Times New Roman"/>
          <w:sz w:val="24"/>
          <w:szCs w:val="24"/>
          <w:lang w:bidi="ar"/>
        </w:rPr>
        <w:t xml:space="preserve">(see, for example, </w:t>
      </w:r>
      <w:r w:rsidRPr="00712B16">
        <w:rPr>
          <w:rFonts w:ascii="Times New Roman" w:eastAsia="SimSun" w:hAnsi="Times New Roman" w:cs="Times New Roman"/>
          <w:sz w:val="24"/>
          <w:szCs w:val="24"/>
          <w:lang w:val="en-AU" w:bidi="ar"/>
        </w:rPr>
        <w:t xml:space="preserve">Cho &amp; Patten, 2007; DiMaggio &amp; Powell, 1983; </w:t>
      </w:r>
      <w:r w:rsidRPr="00712B16">
        <w:rPr>
          <w:rFonts w:ascii="Times New Roman" w:eastAsia="SimSun" w:hAnsi="Times New Roman" w:cs="Times New Roman"/>
          <w:bCs/>
          <w:iCs/>
          <w:sz w:val="24"/>
          <w:szCs w:val="24"/>
          <w:lang w:bidi="ar"/>
        </w:rPr>
        <w:t>Suchman, 1995; Patten, 2002)</w:t>
      </w:r>
      <w:r w:rsidR="008B0CA8" w:rsidRPr="00712B16">
        <w:rPr>
          <w:rFonts w:ascii="Times New Roman" w:eastAsia="SimSun" w:hAnsi="Times New Roman" w:cs="Times New Roman"/>
          <w:bCs/>
          <w:iCs/>
          <w:sz w:val="24"/>
          <w:szCs w:val="24"/>
          <w:lang w:bidi="ar"/>
        </w:rPr>
        <w:t xml:space="preserve">. </w:t>
      </w:r>
      <w:r w:rsidRPr="00712B16">
        <w:rPr>
          <w:rFonts w:ascii="Times New Roman" w:eastAsia="SimSun" w:hAnsi="Times New Roman" w:cs="Times New Roman"/>
          <w:bCs/>
          <w:iCs/>
          <w:sz w:val="24"/>
          <w:szCs w:val="24"/>
          <w:lang w:bidi="ar"/>
        </w:rPr>
        <w:t>These</w:t>
      </w:r>
      <w:r w:rsidR="00E42890" w:rsidRPr="00712B16">
        <w:rPr>
          <w:rFonts w:ascii="Times New Roman" w:eastAsia="SimSun" w:hAnsi="Times New Roman" w:cs="Times New Roman"/>
          <w:bCs/>
          <w:iCs/>
          <w:sz w:val="24"/>
          <w:szCs w:val="24"/>
          <w:lang w:bidi="ar"/>
        </w:rPr>
        <w:t xml:space="preserve"> threats and</w:t>
      </w:r>
      <w:r w:rsidRPr="00712B16">
        <w:rPr>
          <w:rFonts w:ascii="Times New Roman" w:eastAsia="SimSun" w:hAnsi="Times New Roman" w:cs="Times New Roman"/>
          <w:bCs/>
          <w:iCs/>
          <w:sz w:val="24"/>
          <w:szCs w:val="24"/>
          <w:lang w:bidi="ar"/>
        </w:rPr>
        <w:t xml:space="preserve"> pressures could</w:t>
      </w:r>
      <w:r w:rsidR="00E42890" w:rsidRPr="00712B16">
        <w:rPr>
          <w:rFonts w:ascii="Times New Roman" w:eastAsia="SimSun" w:hAnsi="Times New Roman" w:cs="Times New Roman"/>
          <w:bCs/>
          <w:iCs/>
          <w:sz w:val="24"/>
          <w:szCs w:val="24"/>
          <w:lang w:bidi="ar"/>
        </w:rPr>
        <w:t xml:space="preserve"> </w:t>
      </w:r>
      <w:r w:rsidRPr="00712B16">
        <w:rPr>
          <w:rFonts w:ascii="Times New Roman" w:eastAsia="SimSun" w:hAnsi="Times New Roman" w:cs="Times New Roman"/>
          <w:bCs/>
          <w:iCs/>
          <w:sz w:val="24"/>
          <w:szCs w:val="24"/>
          <w:lang w:bidi="ar"/>
        </w:rPr>
        <w:t>lead firms to commit to the net zero targets.</w:t>
      </w:r>
      <w:r w:rsidR="00E42890" w:rsidRPr="00712B16">
        <w:rPr>
          <w:rFonts w:ascii="Times New Roman" w:eastAsia="SimSun" w:hAnsi="Times New Roman" w:cs="Times New Roman"/>
          <w:bCs/>
          <w:iCs/>
          <w:sz w:val="24"/>
          <w:szCs w:val="24"/>
          <w:lang w:bidi="ar"/>
        </w:rPr>
        <w:t xml:space="preserve"> The transition to the net zero targets</w:t>
      </w:r>
      <w:r w:rsidR="0082043D" w:rsidRPr="00712B16">
        <w:rPr>
          <w:rFonts w:ascii="Times New Roman" w:eastAsia="SimSun" w:hAnsi="Times New Roman" w:cs="Times New Roman"/>
          <w:bCs/>
          <w:iCs/>
          <w:sz w:val="24"/>
          <w:szCs w:val="24"/>
          <w:lang w:bidi="ar"/>
        </w:rPr>
        <w:t xml:space="preserve"> </w:t>
      </w:r>
      <w:r w:rsidR="0080592F" w:rsidRPr="00712B16">
        <w:rPr>
          <w:rFonts w:ascii="Times New Roman" w:eastAsia="SimSun" w:hAnsi="Times New Roman" w:cs="Times New Roman"/>
          <w:bCs/>
          <w:iCs/>
          <w:sz w:val="24"/>
          <w:szCs w:val="24"/>
          <w:lang w:bidi="ar"/>
        </w:rPr>
        <w:t>may</w:t>
      </w:r>
      <w:r w:rsidR="0082043D" w:rsidRPr="00712B16">
        <w:rPr>
          <w:rFonts w:ascii="Times New Roman" w:eastAsia="SimSun" w:hAnsi="Times New Roman" w:cs="Times New Roman"/>
          <w:bCs/>
          <w:iCs/>
          <w:sz w:val="24"/>
          <w:szCs w:val="24"/>
          <w:lang w:bidi="ar"/>
        </w:rPr>
        <w:t xml:space="preserve"> induce managers</w:t>
      </w:r>
      <w:r w:rsidR="008B0CA8" w:rsidRPr="00712B16">
        <w:rPr>
          <w:rFonts w:ascii="Times New Roman" w:eastAsia="SimSun" w:hAnsi="Times New Roman" w:cs="Times New Roman"/>
          <w:bCs/>
          <w:iCs/>
          <w:sz w:val="24"/>
          <w:szCs w:val="24"/>
          <w:lang w:bidi="ar"/>
        </w:rPr>
        <w:t xml:space="preserve"> to</w:t>
      </w:r>
      <w:r w:rsidRPr="00712B16">
        <w:rPr>
          <w:rFonts w:ascii="Times New Roman" w:eastAsia="SimSun" w:hAnsi="Times New Roman" w:cs="Times New Roman"/>
          <w:bCs/>
          <w:iCs/>
          <w:sz w:val="24"/>
          <w:szCs w:val="24"/>
          <w:lang w:bidi="ar"/>
        </w:rPr>
        <w:t xml:space="preserve"> act opportunistically</w:t>
      </w:r>
      <w:r w:rsidR="00E42890" w:rsidRPr="00712B16">
        <w:rPr>
          <w:rFonts w:ascii="Times New Roman" w:eastAsia="SimSun" w:hAnsi="Times New Roman" w:cs="Times New Roman"/>
          <w:bCs/>
          <w:iCs/>
          <w:sz w:val="24"/>
          <w:szCs w:val="24"/>
          <w:lang w:bidi="ar"/>
        </w:rPr>
        <w:t xml:space="preserve"> to manage earnings using REM</w:t>
      </w:r>
      <w:r w:rsidRPr="00712B16">
        <w:rPr>
          <w:rFonts w:ascii="Times New Roman" w:eastAsia="SimSun" w:hAnsi="Times New Roman" w:cs="Times New Roman"/>
          <w:bCs/>
          <w:iCs/>
          <w:sz w:val="24"/>
          <w:szCs w:val="24"/>
          <w:lang w:bidi="ar"/>
        </w:rPr>
        <w:t xml:space="preserve"> by</w:t>
      </w:r>
      <w:r w:rsidR="008B0CA8" w:rsidRPr="00712B16">
        <w:rPr>
          <w:rFonts w:ascii="Times New Roman" w:eastAsia="SimSun" w:hAnsi="Times New Roman" w:cs="Times New Roman"/>
          <w:bCs/>
          <w:iCs/>
          <w:sz w:val="24"/>
          <w:szCs w:val="24"/>
          <w:lang w:bidi="ar"/>
        </w:rPr>
        <w:t xml:space="preserve"> reduc</w:t>
      </w:r>
      <w:r w:rsidRPr="00712B16">
        <w:rPr>
          <w:rFonts w:ascii="Times New Roman" w:eastAsia="SimSun" w:hAnsi="Times New Roman" w:cs="Times New Roman"/>
          <w:bCs/>
          <w:iCs/>
          <w:sz w:val="24"/>
          <w:szCs w:val="24"/>
          <w:lang w:bidi="ar"/>
        </w:rPr>
        <w:t>ing</w:t>
      </w:r>
      <w:r w:rsidR="008B0CA8" w:rsidRPr="00712B16">
        <w:rPr>
          <w:rFonts w:ascii="Times New Roman" w:eastAsia="SimSun" w:hAnsi="Times New Roman" w:cs="Times New Roman"/>
          <w:bCs/>
          <w:iCs/>
          <w:sz w:val="24"/>
          <w:szCs w:val="24"/>
          <w:lang w:bidi="ar"/>
        </w:rPr>
        <w:t xml:space="preserve"> current capital expenditures and R&amp;D that are less likely to have a direct effect on reducing carbon emissions </w:t>
      </w:r>
      <w:r w:rsidR="00E42890" w:rsidRPr="00712B16">
        <w:rPr>
          <w:rFonts w:ascii="Times New Roman" w:eastAsia="SimSun" w:hAnsi="Times New Roman" w:cs="Times New Roman"/>
          <w:bCs/>
          <w:iCs/>
          <w:sz w:val="24"/>
          <w:szCs w:val="24"/>
          <w:lang w:bidi="ar"/>
        </w:rPr>
        <w:t>in</w:t>
      </w:r>
      <w:r w:rsidR="008B0CA8" w:rsidRPr="00712B16">
        <w:rPr>
          <w:rFonts w:ascii="Times New Roman" w:eastAsia="SimSun" w:hAnsi="Times New Roman" w:cs="Times New Roman"/>
          <w:bCs/>
          <w:iCs/>
          <w:sz w:val="24"/>
          <w:szCs w:val="24"/>
          <w:lang w:bidi="ar"/>
        </w:rPr>
        <w:t xml:space="preserve"> achieving</w:t>
      </w:r>
      <w:r w:rsidR="00E42890" w:rsidRPr="00712B16">
        <w:rPr>
          <w:rFonts w:ascii="Times New Roman" w:eastAsia="SimSun" w:hAnsi="Times New Roman" w:cs="Times New Roman"/>
          <w:bCs/>
          <w:iCs/>
          <w:sz w:val="24"/>
          <w:szCs w:val="24"/>
          <w:lang w:bidi="ar"/>
        </w:rPr>
        <w:t xml:space="preserve"> the</w:t>
      </w:r>
      <w:r w:rsidR="008B0CA8" w:rsidRPr="00712B16">
        <w:rPr>
          <w:rFonts w:ascii="Times New Roman" w:eastAsia="SimSun" w:hAnsi="Times New Roman" w:cs="Times New Roman"/>
          <w:bCs/>
          <w:iCs/>
          <w:sz w:val="24"/>
          <w:szCs w:val="24"/>
          <w:lang w:bidi="ar"/>
        </w:rPr>
        <w:t xml:space="preserve"> net zero targets</w:t>
      </w:r>
      <w:r w:rsidR="00592244" w:rsidRPr="00712B16">
        <w:rPr>
          <w:rFonts w:ascii="Times New Roman" w:eastAsia="SimSun" w:hAnsi="Times New Roman" w:cs="Times New Roman"/>
          <w:bCs/>
          <w:iCs/>
          <w:sz w:val="24"/>
          <w:szCs w:val="24"/>
          <w:lang w:bidi="ar"/>
        </w:rPr>
        <w:t xml:space="preserve">, with </w:t>
      </w:r>
      <w:r w:rsidR="00592244" w:rsidRPr="00712B16">
        <w:rPr>
          <w:rFonts w:ascii="Times New Roman" w:eastAsia="SimSun" w:hAnsi="Times New Roman" w:cs="Times New Roman"/>
          <w:bCs/>
          <w:iCs/>
          <w:sz w:val="24"/>
          <w:szCs w:val="24"/>
          <w:lang w:bidi="ar"/>
        </w:rPr>
        <w:lastRenderedPageBreak/>
        <w:t>the expectation that future investments under a net zero framework will be costlier for firms</w:t>
      </w:r>
      <w:r w:rsidR="008B0CA8" w:rsidRPr="00712B16">
        <w:rPr>
          <w:rFonts w:ascii="Times New Roman" w:eastAsia="SimSun" w:hAnsi="Times New Roman" w:cs="Times New Roman"/>
          <w:bCs/>
          <w:iCs/>
          <w:sz w:val="24"/>
          <w:szCs w:val="24"/>
          <w:lang w:bidi="ar"/>
        </w:rPr>
        <w:t>.</w:t>
      </w:r>
      <w:r w:rsidR="008B0CA8" w:rsidRPr="00712B16">
        <w:rPr>
          <w:rFonts w:ascii="Times New Roman" w:eastAsia="SimSun" w:hAnsi="Times New Roman" w:cs="Times New Roman"/>
          <w:bCs/>
          <w:iCs/>
          <w:sz w:val="24"/>
          <w:szCs w:val="24"/>
          <w:vertAlign w:val="superscript"/>
          <w:lang w:bidi="ar"/>
        </w:rPr>
        <w:footnoteReference w:id="5"/>
      </w:r>
      <w:r w:rsidR="008B0CA8" w:rsidRPr="00712B16">
        <w:rPr>
          <w:rFonts w:ascii="Times New Roman" w:eastAsia="SimSun" w:hAnsi="Times New Roman" w:cs="Times New Roman"/>
          <w:bCs/>
          <w:iCs/>
          <w:sz w:val="24"/>
          <w:szCs w:val="24"/>
          <w:lang w:bidi="ar"/>
        </w:rPr>
        <w:t xml:space="preserve"> As a result, this REM strategy could enable firms to increase their current earnings and cash availability. The cash availability due to cash savings as a result of REM could be used to finance investments in new technologies and infrastructure systems in the coming years that allow firms to reduce their carbon emissions in the future. In this case, REM could be used by managers to prepare firms</w:t>
      </w:r>
      <w:r w:rsidR="003D59EF" w:rsidRPr="00712B16">
        <w:rPr>
          <w:rFonts w:ascii="Times New Roman" w:eastAsia="SimSun" w:hAnsi="Times New Roman" w:cs="Times New Roman"/>
          <w:bCs/>
          <w:iCs/>
          <w:sz w:val="24"/>
          <w:szCs w:val="24"/>
          <w:lang w:bidi="ar"/>
        </w:rPr>
        <w:t xml:space="preserve"> for moving</w:t>
      </w:r>
      <w:r w:rsidR="008B0CA8" w:rsidRPr="00712B16">
        <w:rPr>
          <w:rFonts w:ascii="Times New Roman" w:eastAsia="SimSun" w:hAnsi="Times New Roman" w:cs="Times New Roman"/>
          <w:bCs/>
          <w:iCs/>
          <w:sz w:val="24"/>
          <w:szCs w:val="24"/>
          <w:lang w:bidi="ar"/>
        </w:rPr>
        <w:t xml:space="preserve"> toward the net zero targets while helping managers to record higher current earnings.</w:t>
      </w:r>
      <w:r w:rsidR="008B0CA8" w:rsidRPr="00712B16">
        <w:rPr>
          <w:rFonts w:ascii="Times New Roman" w:eastAsia="SimSun" w:hAnsi="Times New Roman" w:cs="Times New Roman"/>
          <w:bCs/>
          <w:iCs/>
          <w:sz w:val="24"/>
          <w:szCs w:val="24"/>
          <w:vertAlign w:val="superscript"/>
          <w:lang w:bidi="ar"/>
        </w:rPr>
        <w:footnoteReference w:id="6"/>
      </w:r>
      <w:r w:rsidR="008B0CA8" w:rsidRPr="00712B16">
        <w:rPr>
          <w:rFonts w:ascii="Times New Roman" w:eastAsia="SimSun" w:hAnsi="Times New Roman" w:cs="Times New Roman"/>
          <w:sz w:val="24"/>
          <w:szCs w:val="24"/>
          <w:lang w:bidi="ar"/>
        </w:rPr>
        <w:t xml:space="preserve"> </w:t>
      </w:r>
    </w:p>
    <w:p w14:paraId="27A5C5AD" w14:textId="08A72736" w:rsidR="00686758" w:rsidRPr="00712B16" w:rsidRDefault="00751C58" w:rsidP="009C4F66">
      <w:pPr>
        <w:spacing w:after="0" w:line="480" w:lineRule="auto"/>
        <w:ind w:firstLine="720"/>
        <w:jc w:val="both"/>
        <w:rPr>
          <w:rFonts w:ascii="Times New Roman" w:eastAsia="SimSun" w:hAnsi="Times New Roman" w:cs="Times New Roman"/>
          <w:sz w:val="24"/>
          <w:szCs w:val="24"/>
          <w:lang w:bidi="ar"/>
        </w:rPr>
      </w:pPr>
      <w:r w:rsidRPr="00712B16">
        <w:rPr>
          <w:rFonts w:ascii="Times New Roman" w:eastAsia="SimSun" w:hAnsi="Times New Roman" w:cs="Times New Roman"/>
          <w:sz w:val="24"/>
          <w:szCs w:val="24"/>
          <w:lang w:bidi="ar"/>
        </w:rPr>
        <w:t>Collectively, b</w:t>
      </w:r>
      <w:r w:rsidR="0024387A" w:rsidRPr="00712B16">
        <w:rPr>
          <w:rFonts w:ascii="Times New Roman" w:eastAsia="SimSun" w:hAnsi="Times New Roman" w:cs="Times New Roman"/>
          <w:sz w:val="24"/>
          <w:szCs w:val="24"/>
          <w:lang w:bidi="ar"/>
        </w:rPr>
        <w:t xml:space="preserve">ased on the above discussions, </w:t>
      </w:r>
      <w:r w:rsidR="00570138" w:rsidRPr="00712B16">
        <w:rPr>
          <w:rFonts w:ascii="Times New Roman" w:eastAsia="SimSun" w:hAnsi="Times New Roman" w:cs="Times New Roman"/>
          <w:sz w:val="24"/>
          <w:szCs w:val="24"/>
          <w:lang w:bidi="ar"/>
        </w:rPr>
        <w:t>we</w:t>
      </w:r>
      <w:r w:rsidR="0024387A" w:rsidRPr="00712B16">
        <w:rPr>
          <w:rFonts w:ascii="Times New Roman" w:eastAsia="SimSun" w:hAnsi="Times New Roman" w:cs="Times New Roman"/>
          <w:sz w:val="24"/>
          <w:szCs w:val="24"/>
          <w:lang w:bidi="ar"/>
        </w:rPr>
        <w:t xml:space="preserve"> </w:t>
      </w:r>
      <w:r w:rsidR="007178B3" w:rsidRPr="00712B16">
        <w:rPr>
          <w:rFonts w:ascii="Times New Roman" w:eastAsia="SimSun" w:hAnsi="Times New Roman" w:cs="Times New Roman"/>
          <w:sz w:val="24"/>
          <w:szCs w:val="24"/>
          <w:lang w:bidi="ar"/>
        </w:rPr>
        <w:t>predict</w:t>
      </w:r>
      <w:r w:rsidR="0024387A" w:rsidRPr="00712B16">
        <w:rPr>
          <w:rFonts w:ascii="Times New Roman" w:eastAsia="SimSun" w:hAnsi="Times New Roman" w:cs="Times New Roman"/>
          <w:sz w:val="24"/>
          <w:szCs w:val="24"/>
          <w:lang w:bidi="ar"/>
        </w:rPr>
        <w:t xml:space="preserve"> that firms are more likely to manage earnings through REM</w:t>
      </w:r>
      <w:r w:rsidR="000B5850" w:rsidRPr="00712B16">
        <w:rPr>
          <w:rFonts w:ascii="Times New Roman" w:eastAsia="SimSun" w:hAnsi="Times New Roman" w:cs="Times New Roman"/>
          <w:sz w:val="24"/>
          <w:szCs w:val="24"/>
          <w:lang w:bidi="ar"/>
        </w:rPr>
        <w:t xml:space="preserve"> in transitioning to </w:t>
      </w:r>
      <w:r w:rsidR="005832CF" w:rsidRPr="00712B16">
        <w:rPr>
          <w:rFonts w:ascii="Times New Roman" w:eastAsia="SimSun" w:hAnsi="Times New Roman" w:cs="Times New Roman"/>
          <w:sz w:val="24"/>
          <w:szCs w:val="24"/>
          <w:lang w:bidi="ar"/>
        </w:rPr>
        <w:t>net zero</w:t>
      </w:r>
      <w:r w:rsidR="000B5850" w:rsidRPr="00712B16">
        <w:rPr>
          <w:rFonts w:ascii="Times New Roman" w:eastAsia="SimSun" w:hAnsi="Times New Roman" w:cs="Times New Roman"/>
          <w:sz w:val="24"/>
          <w:szCs w:val="24"/>
          <w:lang w:bidi="ar"/>
        </w:rPr>
        <w:t xml:space="preserve"> target</w:t>
      </w:r>
      <w:r w:rsidR="00FF5D5F" w:rsidRPr="00712B16">
        <w:rPr>
          <w:rFonts w:ascii="Times New Roman" w:eastAsia="SimSun" w:hAnsi="Times New Roman" w:cs="Times New Roman"/>
          <w:sz w:val="24"/>
          <w:szCs w:val="24"/>
          <w:lang w:bidi="ar"/>
        </w:rPr>
        <w:t>s</w:t>
      </w:r>
      <w:r w:rsidR="0024387A" w:rsidRPr="00712B16">
        <w:rPr>
          <w:rFonts w:ascii="Times New Roman" w:eastAsia="SimSun" w:hAnsi="Times New Roman" w:cs="Times New Roman"/>
          <w:sz w:val="24"/>
          <w:szCs w:val="24"/>
          <w:lang w:bidi="ar"/>
        </w:rPr>
        <w:t xml:space="preserve">. </w:t>
      </w:r>
      <w:r w:rsidR="000B5850" w:rsidRPr="00712B16">
        <w:rPr>
          <w:rFonts w:ascii="Times New Roman" w:eastAsia="SimSun" w:hAnsi="Times New Roman" w:cs="Times New Roman"/>
          <w:sz w:val="24"/>
          <w:szCs w:val="24"/>
          <w:lang w:bidi="ar"/>
        </w:rPr>
        <w:t>Hence</w:t>
      </w:r>
      <w:r w:rsidR="0024387A" w:rsidRPr="00712B16">
        <w:rPr>
          <w:rFonts w:ascii="Times New Roman" w:eastAsia="SimSun" w:hAnsi="Times New Roman" w:cs="Times New Roman"/>
          <w:sz w:val="24"/>
          <w:szCs w:val="24"/>
          <w:lang w:bidi="ar"/>
        </w:rPr>
        <w:t>, this study develops the following testable hypothesis:</w:t>
      </w:r>
    </w:p>
    <w:p w14:paraId="14794030" w14:textId="08D23372" w:rsidR="00FA32D1" w:rsidRPr="00712B16" w:rsidRDefault="00686758" w:rsidP="00FA32D1">
      <w:pPr>
        <w:spacing w:after="0" w:line="480" w:lineRule="auto"/>
        <w:ind w:left="567" w:hanging="567"/>
        <w:jc w:val="both"/>
        <w:rPr>
          <w:rFonts w:ascii="Times New Roman" w:hAnsi="Times New Roman" w:cs="Times New Roman"/>
          <w:i/>
          <w:sz w:val="24"/>
          <w:szCs w:val="24"/>
        </w:rPr>
      </w:pPr>
      <w:r w:rsidRPr="00712B16">
        <w:rPr>
          <w:rFonts w:ascii="Times New Roman" w:hAnsi="Times New Roman" w:cs="Times New Roman"/>
          <w:i/>
          <w:sz w:val="24"/>
          <w:szCs w:val="24"/>
        </w:rPr>
        <w:t>H1:</w:t>
      </w:r>
      <w:r w:rsidRPr="00712B16">
        <w:rPr>
          <w:rFonts w:ascii="Times New Roman" w:hAnsi="Times New Roman" w:cs="Times New Roman"/>
          <w:i/>
          <w:sz w:val="24"/>
          <w:szCs w:val="24"/>
        </w:rPr>
        <w:tab/>
      </w:r>
      <w:r w:rsidR="00FA32D1" w:rsidRPr="00712B16">
        <w:rPr>
          <w:rFonts w:ascii="Times New Roman" w:hAnsi="Times New Roman" w:cs="Times New Roman"/>
          <w:i/>
          <w:sz w:val="24"/>
          <w:szCs w:val="24"/>
        </w:rPr>
        <w:t>Firms headquartered in</w:t>
      </w:r>
      <w:r w:rsidR="000413F6" w:rsidRPr="00712B16">
        <w:rPr>
          <w:rFonts w:asciiTheme="majorBidi" w:hAnsiTheme="majorBidi" w:cstheme="majorBidi"/>
          <w:b/>
          <w:iCs/>
          <w:lang w:val="en-GB"/>
        </w:rPr>
        <w:t xml:space="preserve"> </w:t>
      </w:r>
      <w:r w:rsidR="00FA32D1" w:rsidRPr="00712B16">
        <w:rPr>
          <w:rFonts w:ascii="Times New Roman" w:hAnsi="Times New Roman" w:cs="Times New Roman"/>
          <w:i/>
          <w:sz w:val="24"/>
          <w:szCs w:val="24"/>
        </w:rPr>
        <w:t xml:space="preserve">countries </w:t>
      </w:r>
      <w:r w:rsidR="00510E73" w:rsidRPr="00712B16">
        <w:rPr>
          <w:rFonts w:ascii="Times New Roman" w:hAnsi="Times New Roman" w:cs="Times New Roman"/>
          <w:i/>
          <w:sz w:val="24"/>
          <w:szCs w:val="24"/>
        </w:rPr>
        <w:t>committed to</w:t>
      </w:r>
      <w:r w:rsidR="00FA32D1" w:rsidRPr="00712B16">
        <w:rPr>
          <w:rFonts w:ascii="Times New Roman" w:hAnsi="Times New Roman" w:cs="Times New Roman"/>
          <w:i/>
          <w:sz w:val="24"/>
          <w:szCs w:val="24"/>
        </w:rPr>
        <w:t xml:space="preserve"> </w:t>
      </w:r>
      <w:r w:rsidR="004F7CC2" w:rsidRPr="00712B16">
        <w:rPr>
          <w:rFonts w:ascii="Times New Roman" w:hAnsi="Times New Roman" w:cs="Times New Roman"/>
          <w:i/>
          <w:sz w:val="24"/>
          <w:szCs w:val="24"/>
        </w:rPr>
        <w:t>a</w:t>
      </w:r>
      <w:r w:rsidR="00FF5D5F" w:rsidRPr="00712B16">
        <w:rPr>
          <w:rFonts w:ascii="Times New Roman" w:hAnsi="Times New Roman" w:cs="Times New Roman"/>
          <w:i/>
          <w:sz w:val="24"/>
          <w:szCs w:val="24"/>
        </w:rPr>
        <w:t xml:space="preserve"> </w:t>
      </w:r>
      <w:r w:rsidR="005832CF" w:rsidRPr="00712B16">
        <w:rPr>
          <w:rFonts w:ascii="Times New Roman" w:hAnsi="Times New Roman" w:cs="Times New Roman"/>
          <w:i/>
          <w:sz w:val="24"/>
          <w:szCs w:val="24"/>
        </w:rPr>
        <w:t>net zero</w:t>
      </w:r>
      <w:r w:rsidR="00FA32D1" w:rsidRPr="00712B16">
        <w:rPr>
          <w:rFonts w:ascii="Times New Roman" w:hAnsi="Times New Roman" w:cs="Times New Roman"/>
          <w:i/>
          <w:sz w:val="24"/>
          <w:szCs w:val="24"/>
        </w:rPr>
        <w:t xml:space="preserve"> target are more likely to engage in </w:t>
      </w:r>
      <w:r w:rsidR="000427F5" w:rsidRPr="00712B16">
        <w:rPr>
          <w:rFonts w:ascii="Times New Roman" w:hAnsi="Times New Roman" w:cs="Times New Roman"/>
          <w:i/>
          <w:sz w:val="24"/>
          <w:szCs w:val="24"/>
        </w:rPr>
        <w:t>REM</w:t>
      </w:r>
      <w:r w:rsidR="00FA32D1" w:rsidRPr="00712B16">
        <w:rPr>
          <w:rFonts w:ascii="Times New Roman" w:hAnsi="Times New Roman" w:cs="Times New Roman"/>
          <w:i/>
          <w:sz w:val="24"/>
          <w:szCs w:val="24"/>
        </w:rPr>
        <w:t>.</w:t>
      </w:r>
    </w:p>
    <w:p w14:paraId="722F201C" w14:textId="0A1412FF" w:rsidR="00145BE6" w:rsidRPr="00712B16" w:rsidRDefault="00145BE6" w:rsidP="00145BE6">
      <w:pPr>
        <w:pStyle w:val="Heading3"/>
        <w:spacing w:before="0" w:line="480" w:lineRule="auto"/>
        <w:ind w:left="567" w:hanging="567"/>
        <w:rPr>
          <w:color w:val="auto"/>
        </w:rPr>
      </w:pPr>
      <w:bookmarkStart w:id="16" w:name="_Hlk119335251"/>
      <w:r w:rsidRPr="00712B16">
        <w:rPr>
          <w:rFonts w:ascii="Times New Roman" w:hAnsi="Times New Roman" w:cs="Times New Roman"/>
          <w:i/>
          <w:color w:val="auto"/>
        </w:rPr>
        <w:t>2.</w:t>
      </w:r>
      <w:r w:rsidR="00FC650D" w:rsidRPr="00712B16">
        <w:rPr>
          <w:rFonts w:ascii="Times New Roman" w:hAnsi="Times New Roman" w:cs="Times New Roman"/>
          <w:i/>
          <w:color w:val="auto"/>
        </w:rPr>
        <w:t>2</w:t>
      </w:r>
      <w:r w:rsidRPr="00712B16">
        <w:rPr>
          <w:rFonts w:ascii="Times New Roman" w:hAnsi="Times New Roman" w:cs="Times New Roman"/>
          <w:i/>
          <w:color w:val="auto"/>
        </w:rPr>
        <w:t>.2 The role of CSR performance</w:t>
      </w:r>
    </w:p>
    <w:bookmarkEnd w:id="16"/>
    <w:p w14:paraId="790E8D4D" w14:textId="72F740AC" w:rsidR="00FA32D1" w:rsidRPr="00712B16" w:rsidRDefault="00AC147D" w:rsidP="00FA32D1">
      <w:pPr>
        <w:spacing w:after="0" w:line="480" w:lineRule="auto"/>
        <w:jc w:val="both"/>
        <w:rPr>
          <w:rFonts w:ascii="Times New Roman" w:hAnsi="Times New Roman" w:cs="Times New Roman"/>
          <w:sz w:val="24"/>
          <w:szCs w:val="24"/>
        </w:rPr>
      </w:pPr>
      <w:r w:rsidRPr="00712B16">
        <w:rPr>
          <w:rFonts w:ascii="Times New Roman" w:hAnsi="Times New Roman" w:cs="Times New Roman"/>
          <w:sz w:val="24"/>
          <w:szCs w:val="24"/>
        </w:rPr>
        <w:t xml:space="preserve">Carroll (1979) conceptualizes corporate social performance as encompassing economic, ethical, legal, and discretionary aspects of business performance, forming the four basic expectations of CSR. </w:t>
      </w:r>
      <w:r w:rsidR="00CF3F60" w:rsidRPr="00712B16">
        <w:rPr>
          <w:rFonts w:ascii="Times New Roman" w:hAnsi="Times New Roman" w:cs="Times New Roman"/>
          <w:sz w:val="24"/>
          <w:szCs w:val="24"/>
          <w:lang w:val="en-GB"/>
        </w:rPr>
        <w:t>Connelly</w:t>
      </w:r>
      <w:r w:rsidR="00E223BC" w:rsidRPr="00712B16">
        <w:rPr>
          <w:rFonts w:ascii="Times New Roman" w:hAnsi="Times New Roman" w:cs="Times New Roman"/>
          <w:sz w:val="24"/>
          <w:szCs w:val="24"/>
          <w:lang w:val="en-GB"/>
        </w:rPr>
        <w:t xml:space="preserve"> </w:t>
      </w:r>
      <w:r w:rsidR="00E223BC" w:rsidRPr="00712B16">
        <w:rPr>
          <w:rFonts w:ascii="Times New Roman" w:hAnsi="Times New Roman" w:cs="Times New Roman"/>
          <w:i/>
          <w:sz w:val="24"/>
          <w:szCs w:val="24"/>
        </w:rPr>
        <w:t>et al</w:t>
      </w:r>
      <w:r w:rsidR="00E223BC" w:rsidRPr="00712B16">
        <w:rPr>
          <w:rFonts w:ascii="Times New Roman" w:hAnsi="Times New Roman" w:cs="Times New Roman"/>
          <w:sz w:val="24"/>
          <w:szCs w:val="24"/>
        </w:rPr>
        <w:t>.</w:t>
      </w:r>
      <w:r w:rsidR="00E223BC" w:rsidRPr="00712B16">
        <w:rPr>
          <w:rFonts w:ascii="Times New Roman" w:hAnsi="Times New Roman" w:cs="Times New Roman"/>
          <w:sz w:val="24"/>
          <w:szCs w:val="24"/>
          <w:lang w:val="en-GB"/>
        </w:rPr>
        <w:t xml:space="preserve"> </w:t>
      </w:r>
      <w:r w:rsidR="00CF3F60" w:rsidRPr="00712B16">
        <w:rPr>
          <w:rFonts w:ascii="Times New Roman" w:hAnsi="Times New Roman" w:cs="Times New Roman"/>
          <w:sz w:val="24"/>
          <w:szCs w:val="24"/>
          <w:lang w:val="en-GB"/>
        </w:rPr>
        <w:t xml:space="preserve">(2011) </w:t>
      </w:r>
      <w:r w:rsidR="00443F26" w:rsidRPr="00712B16">
        <w:rPr>
          <w:rFonts w:ascii="Times New Roman" w:hAnsi="Times New Roman" w:cs="Times New Roman"/>
          <w:sz w:val="24"/>
          <w:szCs w:val="24"/>
        </w:rPr>
        <w:t xml:space="preserve">argue that managers can adopt sustainable </w:t>
      </w:r>
      <w:r w:rsidR="00443F26" w:rsidRPr="00712B16">
        <w:rPr>
          <w:rFonts w:ascii="Times New Roman" w:hAnsi="Times New Roman" w:cs="Times New Roman"/>
          <w:sz w:val="24"/>
          <w:szCs w:val="24"/>
        </w:rPr>
        <w:lastRenderedPageBreak/>
        <w:t xml:space="preserve">practices to signal corporate trustworthiness and prospects to stakeholders. Margolis </w:t>
      </w:r>
      <w:r w:rsidR="008B5AA4" w:rsidRPr="00712B16">
        <w:rPr>
          <w:rFonts w:ascii="Times New Roman" w:hAnsi="Times New Roman" w:cs="Times New Roman"/>
          <w:i/>
          <w:sz w:val="24"/>
          <w:szCs w:val="24"/>
        </w:rPr>
        <w:t>et al</w:t>
      </w:r>
      <w:r w:rsidR="008B5AA4" w:rsidRPr="00712B16">
        <w:rPr>
          <w:rFonts w:ascii="Times New Roman" w:hAnsi="Times New Roman" w:cs="Times New Roman"/>
          <w:sz w:val="24"/>
          <w:szCs w:val="24"/>
        </w:rPr>
        <w:t>.</w:t>
      </w:r>
      <w:r w:rsidR="00443F26" w:rsidRPr="00712B16">
        <w:rPr>
          <w:rFonts w:ascii="Times New Roman" w:hAnsi="Times New Roman" w:cs="Times New Roman"/>
          <w:sz w:val="24"/>
          <w:szCs w:val="24"/>
        </w:rPr>
        <w:t xml:space="preserve"> (2003) propose that firms considering the interests of all stakeholders are likely to engage in non-profit maximizing CSR activities (Mackey </w:t>
      </w:r>
      <w:r w:rsidR="00443F26" w:rsidRPr="00712B16">
        <w:rPr>
          <w:rFonts w:ascii="Times New Roman" w:hAnsi="Times New Roman" w:cs="Times New Roman"/>
          <w:i/>
          <w:sz w:val="24"/>
          <w:szCs w:val="24"/>
        </w:rPr>
        <w:t>et al</w:t>
      </w:r>
      <w:r w:rsidR="00443F26" w:rsidRPr="00712B16">
        <w:rPr>
          <w:rFonts w:ascii="Times New Roman" w:hAnsi="Times New Roman" w:cs="Times New Roman"/>
          <w:sz w:val="24"/>
          <w:szCs w:val="24"/>
        </w:rPr>
        <w:t>.</w:t>
      </w:r>
      <w:r w:rsidR="00542297" w:rsidRPr="00712B16">
        <w:rPr>
          <w:rFonts w:ascii="Times New Roman" w:hAnsi="Times New Roman" w:cs="Times New Roman"/>
          <w:sz w:val="24"/>
          <w:szCs w:val="24"/>
        </w:rPr>
        <w:t>,</w:t>
      </w:r>
      <w:r w:rsidR="00443F26" w:rsidRPr="00712B16">
        <w:rPr>
          <w:rFonts w:ascii="Times New Roman" w:hAnsi="Times New Roman" w:cs="Times New Roman"/>
          <w:sz w:val="24"/>
          <w:szCs w:val="24"/>
        </w:rPr>
        <w:t xml:space="preserve"> 2007). </w:t>
      </w:r>
      <w:r w:rsidRPr="00712B16">
        <w:rPr>
          <w:rFonts w:ascii="Times New Roman" w:hAnsi="Times New Roman" w:cs="Times New Roman"/>
          <w:sz w:val="24"/>
          <w:szCs w:val="24"/>
        </w:rPr>
        <w:t>Consistent with Carroll’s (1979) model, firms</w:t>
      </w:r>
      <w:r w:rsidR="003D59EF" w:rsidRPr="00712B16">
        <w:rPr>
          <w:rFonts w:ascii="Times New Roman" w:hAnsi="Times New Roman" w:cs="Times New Roman"/>
          <w:sz w:val="24"/>
          <w:szCs w:val="24"/>
        </w:rPr>
        <w:t xml:space="preserve"> that move</w:t>
      </w:r>
      <w:r w:rsidRPr="00712B16">
        <w:rPr>
          <w:rFonts w:ascii="Times New Roman" w:hAnsi="Times New Roman" w:cs="Times New Roman"/>
          <w:sz w:val="24"/>
          <w:szCs w:val="24"/>
        </w:rPr>
        <w:t xml:space="preserve"> CSR tend to reduce or avoid earnings management through discretionary accruals and real activities manipulations (Hong </w:t>
      </w:r>
      <w:r w:rsidR="008B5AA4" w:rsidRPr="00712B16">
        <w:rPr>
          <w:rFonts w:ascii="Times New Roman" w:hAnsi="Times New Roman" w:cs="Times New Roman"/>
          <w:i/>
          <w:sz w:val="24"/>
          <w:szCs w:val="24"/>
        </w:rPr>
        <w:t>et al</w:t>
      </w:r>
      <w:r w:rsidR="008B5AA4" w:rsidRPr="00712B16">
        <w:rPr>
          <w:rFonts w:ascii="Times New Roman" w:hAnsi="Times New Roman" w:cs="Times New Roman"/>
          <w:sz w:val="24"/>
          <w:szCs w:val="24"/>
        </w:rPr>
        <w:t>.,</w:t>
      </w:r>
      <w:r w:rsidRPr="00712B16">
        <w:rPr>
          <w:rFonts w:ascii="Times New Roman" w:hAnsi="Times New Roman" w:cs="Times New Roman"/>
          <w:sz w:val="24"/>
          <w:szCs w:val="24"/>
        </w:rPr>
        <w:t xml:space="preserve"> 2011; Kim </w:t>
      </w:r>
      <w:r w:rsidRPr="00712B16">
        <w:rPr>
          <w:rFonts w:ascii="Times New Roman" w:hAnsi="Times New Roman" w:cs="Times New Roman"/>
          <w:i/>
          <w:sz w:val="24"/>
          <w:szCs w:val="24"/>
        </w:rPr>
        <w:t>et al</w:t>
      </w:r>
      <w:r w:rsidRPr="00712B16">
        <w:rPr>
          <w:rFonts w:ascii="Times New Roman" w:hAnsi="Times New Roman" w:cs="Times New Roman"/>
          <w:sz w:val="24"/>
          <w:szCs w:val="24"/>
        </w:rPr>
        <w:t>.</w:t>
      </w:r>
      <w:r w:rsidR="008B5AA4" w:rsidRPr="00712B16">
        <w:rPr>
          <w:rFonts w:ascii="Times New Roman" w:hAnsi="Times New Roman" w:cs="Times New Roman"/>
          <w:sz w:val="24"/>
          <w:szCs w:val="24"/>
        </w:rPr>
        <w:t>,</w:t>
      </w:r>
      <w:r w:rsidRPr="00712B16">
        <w:rPr>
          <w:rFonts w:ascii="Times New Roman" w:hAnsi="Times New Roman" w:cs="Times New Roman"/>
          <w:sz w:val="24"/>
          <w:szCs w:val="24"/>
        </w:rPr>
        <w:t xml:space="preserve"> 2012). Scholtens </w:t>
      </w:r>
      <w:r w:rsidR="008B5AA4" w:rsidRPr="00712B16">
        <w:rPr>
          <w:rFonts w:ascii="Times New Roman" w:hAnsi="Times New Roman" w:cs="Times New Roman"/>
          <w:i/>
          <w:sz w:val="24"/>
          <w:szCs w:val="24"/>
        </w:rPr>
        <w:t>et al</w:t>
      </w:r>
      <w:r w:rsidR="008B5AA4" w:rsidRPr="00712B16">
        <w:rPr>
          <w:rFonts w:ascii="Times New Roman" w:hAnsi="Times New Roman" w:cs="Times New Roman"/>
          <w:sz w:val="24"/>
          <w:szCs w:val="24"/>
        </w:rPr>
        <w:t>.</w:t>
      </w:r>
      <w:r w:rsidRPr="00712B16">
        <w:rPr>
          <w:rFonts w:ascii="Times New Roman" w:hAnsi="Times New Roman" w:cs="Times New Roman"/>
          <w:sz w:val="24"/>
          <w:szCs w:val="24"/>
        </w:rPr>
        <w:t xml:space="preserve"> (2013) find a negative relationship between CSR and earnings management, measured by earnings smoothing and earnings aggressiveness, in an Asian context. These findings suggest that CSR-oriented firms meet ethical expectations and avoid opportunistic </w:t>
      </w:r>
      <w:r w:rsidR="00B36D65" w:rsidRPr="00712B16">
        <w:rPr>
          <w:rFonts w:ascii="Times New Roman" w:hAnsi="Times New Roman" w:cs="Times New Roman"/>
          <w:sz w:val="24"/>
          <w:szCs w:val="24"/>
        </w:rPr>
        <w:t>behavior</w:t>
      </w:r>
      <w:r w:rsidRPr="00712B16">
        <w:rPr>
          <w:rFonts w:ascii="Times New Roman" w:hAnsi="Times New Roman" w:cs="Times New Roman"/>
          <w:sz w:val="24"/>
          <w:szCs w:val="24"/>
        </w:rPr>
        <w:t xml:space="preserve"> by providing more transparent information and high-quality reporting</w:t>
      </w:r>
      <w:r w:rsidR="00535641" w:rsidRPr="00712B16">
        <w:rPr>
          <w:rFonts w:ascii="Times New Roman" w:hAnsi="Times New Roman" w:cs="Times New Roman"/>
          <w:sz w:val="24"/>
          <w:szCs w:val="24"/>
        </w:rPr>
        <w:t>.</w:t>
      </w:r>
      <w:r w:rsidR="00DC6455" w:rsidRPr="00712B16">
        <w:rPr>
          <w:rFonts w:ascii="Times New Roman" w:hAnsi="Times New Roman" w:cs="Times New Roman"/>
          <w:sz w:val="24"/>
          <w:szCs w:val="24"/>
        </w:rPr>
        <w:t xml:space="preserve"> </w:t>
      </w:r>
    </w:p>
    <w:p w14:paraId="6E285FCD" w14:textId="647A1012" w:rsidR="00FA32D1" w:rsidRPr="00712B16" w:rsidRDefault="00FA32D1" w:rsidP="006B27B1">
      <w:pPr>
        <w:spacing w:after="0" w:line="480" w:lineRule="auto"/>
        <w:ind w:firstLine="567"/>
        <w:jc w:val="both"/>
        <w:rPr>
          <w:rFonts w:ascii="Times New Roman" w:hAnsi="Times New Roman" w:cs="Times New Roman"/>
          <w:sz w:val="24"/>
          <w:szCs w:val="24"/>
        </w:rPr>
      </w:pPr>
      <w:r w:rsidRPr="00712B16">
        <w:rPr>
          <w:rFonts w:ascii="Times New Roman" w:hAnsi="Times New Roman" w:cs="Times New Roman"/>
          <w:sz w:val="24"/>
          <w:szCs w:val="24"/>
        </w:rPr>
        <w:t xml:space="preserve">However, some studies </w:t>
      </w:r>
      <w:r w:rsidR="00261F17" w:rsidRPr="00712B16">
        <w:rPr>
          <w:rFonts w:ascii="Times New Roman" w:hAnsi="Times New Roman" w:cs="Times New Roman"/>
          <w:sz w:val="24"/>
          <w:szCs w:val="24"/>
        </w:rPr>
        <w:t xml:space="preserve">have documented </w:t>
      </w:r>
      <w:r w:rsidRPr="00712B16">
        <w:rPr>
          <w:rFonts w:ascii="Times New Roman" w:hAnsi="Times New Roman" w:cs="Times New Roman"/>
          <w:sz w:val="24"/>
          <w:szCs w:val="24"/>
        </w:rPr>
        <w:t xml:space="preserve">a positive association between CSR and REM activities. For example, Kuo </w:t>
      </w:r>
      <w:r w:rsidRPr="00712B16">
        <w:rPr>
          <w:rFonts w:ascii="Times New Roman" w:hAnsi="Times New Roman" w:cs="Times New Roman"/>
          <w:i/>
          <w:sz w:val="24"/>
          <w:szCs w:val="24"/>
        </w:rPr>
        <w:t>et al</w:t>
      </w:r>
      <w:r w:rsidRPr="00712B16">
        <w:rPr>
          <w:rFonts w:ascii="Times New Roman" w:hAnsi="Times New Roman" w:cs="Times New Roman"/>
          <w:sz w:val="24"/>
          <w:szCs w:val="24"/>
        </w:rPr>
        <w:t xml:space="preserve">. (2021) suggest that CSR practices are positively associated with REM in firms where CEOs have higher shareholdings. </w:t>
      </w:r>
      <w:r w:rsidR="00573609" w:rsidRPr="00712B16">
        <w:rPr>
          <w:rFonts w:ascii="Times New Roman" w:hAnsi="Times New Roman" w:cs="Times New Roman"/>
          <w:sz w:val="24"/>
          <w:szCs w:val="24"/>
        </w:rPr>
        <w:t xml:space="preserve">A possible explanation </w:t>
      </w:r>
      <w:r w:rsidR="00B36D65" w:rsidRPr="00712B16">
        <w:rPr>
          <w:rFonts w:ascii="Times New Roman" w:hAnsi="Times New Roman" w:cs="Times New Roman"/>
          <w:sz w:val="24"/>
          <w:szCs w:val="24"/>
        </w:rPr>
        <w:t>for</w:t>
      </w:r>
      <w:r w:rsidR="00573609" w:rsidRPr="00712B16">
        <w:rPr>
          <w:rFonts w:ascii="Times New Roman" w:hAnsi="Times New Roman" w:cs="Times New Roman"/>
          <w:sz w:val="24"/>
          <w:szCs w:val="24"/>
        </w:rPr>
        <w:t xml:space="preserve"> this finding is that</w:t>
      </w:r>
      <w:r w:rsidRPr="00712B16">
        <w:rPr>
          <w:rFonts w:ascii="Times New Roman" w:hAnsi="Times New Roman" w:cs="Times New Roman"/>
          <w:sz w:val="24"/>
          <w:szCs w:val="24"/>
        </w:rPr>
        <w:t xml:space="preserve"> higher shareholdings lead to stronger CEO alignment with the firm, incentivizing CEOs to engage in REM activities to enhance CSR performance and improve the </w:t>
      </w:r>
      <w:r w:rsidR="00B36D65" w:rsidRPr="00712B16">
        <w:rPr>
          <w:rFonts w:ascii="Times New Roman" w:hAnsi="Times New Roman" w:cs="Times New Roman"/>
          <w:sz w:val="24"/>
          <w:szCs w:val="24"/>
        </w:rPr>
        <w:t>firm’s</w:t>
      </w:r>
      <w:r w:rsidRPr="00712B16">
        <w:rPr>
          <w:rFonts w:ascii="Times New Roman" w:hAnsi="Times New Roman" w:cs="Times New Roman"/>
          <w:sz w:val="24"/>
          <w:szCs w:val="24"/>
        </w:rPr>
        <w:t xml:space="preserve"> reputation. Kim </w:t>
      </w:r>
      <w:r w:rsidRPr="00712B16">
        <w:rPr>
          <w:rFonts w:ascii="Times New Roman" w:hAnsi="Times New Roman" w:cs="Times New Roman"/>
          <w:i/>
          <w:sz w:val="24"/>
          <w:szCs w:val="24"/>
        </w:rPr>
        <w:t>et al</w:t>
      </w:r>
      <w:r w:rsidRPr="00712B16">
        <w:rPr>
          <w:rFonts w:ascii="Times New Roman" w:hAnsi="Times New Roman" w:cs="Times New Roman"/>
          <w:sz w:val="24"/>
          <w:szCs w:val="24"/>
        </w:rPr>
        <w:t>. (2019) find that socially responsible firms with state control and in regions with higher institutional development engage more in REM activities due to increased legitimacy risk.</w:t>
      </w:r>
    </w:p>
    <w:p w14:paraId="14065DDB" w14:textId="4533C004" w:rsidR="008D4D53" w:rsidRPr="00712B16" w:rsidRDefault="00FA32D1" w:rsidP="006E065F">
      <w:pPr>
        <w:spacing w:after="0" w:line="480" w:lineRule="auto"/>
        <w:ind w:firstLine="567"/>
        <w:jc w:val="both"/>
        <w:rPr>
          <w:rFonts w:ascii="Times New Roman" w:hAnsi="Times New Roman" w:cs="Times New Roman"/>
          <w:sz w:val="24"/>
          <w:szCs w:val="24"/>
        </w:rPr>
      </w:pPr>
      <w:r w:rsidRPr="00712B16">
        <w:rPr>
          <w:rFonts w:ascii="Times New Roman" w:hAnsi="Times New Roman" w:cs="Times New Roman"/>
          <w:sz w:val="24"/>
          <w:szCs w:val="24"/>
        </w:rPr>
        <w:t>Given the significant funds required for operational transformations</w:t>
      </w:r>
      <w:r w:rsidR="003D59EF" w:rsidRPr="00712B16">
        <w:rPr>
          <w:rFonts w:ascii="Times New Roman" w:hAnsi="Times New Roman" w:cs="Times New Roman"/>
          <w:sz w:val="24"/>
          <w:szCs w:val="24"/>
        </w:rPr>
        <w:t xml:space="preserve"> for moving toward</w:t>
      </w:r>
      <w:r w:rsidRPr="00712B16">
        <w:rPr>
          <w:rFonts w:ascii="Times New Roman" w:hAnsi="Times New Roman" w:cs="Times New Roman"/>
          <w:sz w:val="24"/>
          <w:szCs w:val="24"/>
        </w:rPr>
        <w:t xml:space="preserve"> </w:t>
      </w:r>
      <w:r w:rsidR="00A51950" w:rsidRPr="00712B16">
        <w:rPr>
          <w:rFonts w:ascii="Times New Roman" w:hAnsi="Times New Roman" w:cs="Times New Roman"/>
          <w:sz w:val="24"/>
          <w:szCs w:val="24"/>
        </w:rPr>
        <w:t xml:space="preserve">the </w:t>
      </w:r>
      <w:r w:rsidR="005832CF" w:rsidRPr="00712B16">
        <w:rPr>
          <w:rFonts w:ascii="Times New Roman" w:hAnsi="Times New Roman" w:cs="Times New Roman"/>
          <w:sz w:val="24"/>
          <w:szCs w:val="24"/>
        </w:rPr>
        <w:t>net zero</w:t>
      </w:r>
      <w:r w:rsidRPr="00712B16">
        <w:rPr>
          <w:rFonts w:ascii="Times New Roman" w:hAnsi="Times New Roman" w:cs="Times New Roman"/>
          <w:sz w:val="24"/>
          <w:szCs w:val="24"/>
        </w:rPr>
        <w:t xml:space="preserve"> </w:t>
      </w:r>
      <w:r w:rsidR="00A51950" w:rsidRPr="00712B16">
        <w:rPr>
          <w:rFonts w:ascii="Times New Roman" w:hAnsi="Times New Roman" w:cs="Times New Roman"/>
          <w:sz w:val="24"/>
          <w:szCs w:val="24"/>
        </w:rPr>
        <w:t>targets</w:t>
      </w:r>
      <w:r w:rsidRPr="00712B16">
        <w:rPr>
          <w:rFonts w:ascii="Times New Roman" w:hAnsi="Times New Roman" w:cs="Times New Roman"/>
          <w:sz w:val="24"/>
          <w:szCs w:val="24"/>
        </w:rPr>
        <w:t xml:space="preserve">, firms are motivated to manage real activities that directly impact cash flows to increase earnings, such as accelerating sales revenue and delaying R&amp;D and capital </w:t>
      </w:r>
      <w:r w:rsidR="00CB6835" w:rsidRPr="00712B16">
        <w:rPr>
          <w:rFonts w:ascii="Times New Roman" w:hAnsi="Times New Roman" w:cs="Times New Roman"/>
          <w:sz w:val="24"/>
          <w:szCs w:val="24"/>
        </w:rPr>
        <w:t xml:space="preserve">outlays </w:t>
      </w:r>
      <w:r w:rsidRPr="00712B16">
        <w:rPr>
          <w:rFonts w:ascii="Times New Roman" w:hAnsi="Times New Roman" w:cs="Times New Roman"/>
          <w:sz w:val="24"/>
          <w:szCs w:val="24"/>
        </w:rPr>
        <w:t xml:space="preserve">to </w:t>
      </w:r>
      <w:r w:rsidR="00CB6835" w:rsidRPr="00712B16">
        <w:rPr>
          <w:rFonts w:ascii="Times New Roman" w:hAnsi="Times New Roman" w:cs="Times New Roman"/>
          <w:sz w:val="24"/>
          <w:szCs w:val="24"/>
        </w:rPr>
        <w:t>reduce</w:t>
      </w:r>
      <w:r w:rsidRPr="00712B16">
        <w:rPr>
          <w:rFonts w:ascii="Times New Roman" w:hAnsi="Times New Roman" w:cs="Times New Roman"/>
          <w:sz w:val="24"/>
          <w:szCs w:val="24"/>
        </w:rPr>
        <w:t xml:space="preserve"> expenses. </w:t>
      </w:r>
      <w:r w:rsidR="005E5F01" w:rsidRPr="00712B16">
        <w:rPr>
          <w:rFonts w:ascii="Times New Roman" w:hAnsi="Times New Roman" w:cs="Times New Roman"/>
          <w:sz w:val="24"/>
          <w:szCs w:val="24"/>
        </w:rPr>
        <w:t>In addition</w:t>
      </w:r>
      <w:r w:rsidRPr="00712B16">
        <w:rPr>
          <w:rFonts w:ascii="Times New Roman" w:hAnsi="Times New Roman" w:cs="Times New Roman"/>
          <w:sz w:val="24"/>
          <w:szCs w:val="24"/>
        </w:rPr>
        <w:t xml:space="preserve">, managers may need </w:t>
      </w:r>
      <w:r w:rsidR="00A65208" w:rsidRPr="00712B16">
        <w:rPr>
          <w:rFonts w:ascii="Times New Roman" w:hAnsi="Times New Roman" w:cs="Times New Roman"/>
          <w:sz w:val="24"/>
          <w:szCs w:val="24"/>
        </w:rPr>
        <w:t xml:space="preserve">significant </w:t>
      </w:r>
      <w:r w:rsidRPr="00712B16">
        <w:rPr>
          <w:rFonts w:ascii="Times New Roman" w:hAnsi="Times New Roman" w:cs="Times New Roman"/>
          <w:sz w:val="24"/>
          <w:szCs w:val="24"/>
        </w:rPr>
        <w:t xml:space="preserve">funds to enhance the </w:t>
      </w:r>
      <w:r w:rsidR="00B36D65" w:rsidRPr="00712B16">
        <w:rPr>
          <w:rFonts w:ascii="Times New Roman" w:hAnsi="Times New Roman" w:cs="Times New Roman"/>
          <w:sz w:val="24"/>
          <w:szCs w:val="24"/>
        </w:rPr>
        <w:t>firm’s</w:t>
      </w:r>
      <w:r w:rsidRPr="00712B16">
        <w:rPr>
          <w:rFonts w:ascii="Times New Roman" w:hAnsi="Times New Roman" w:cs="Times New Roman"/>
          <w:sz w:val="24"/>
          <w:szCs w:val="24"/>
        </w:rPr>
        <w:t xml:space="preserve"> CSR performance, thereby inducing them to engage in more REM to report better earnings and cash flow (Boukattaya </w:t>
      </w:r>
      <w:r w:rsidR="008B5AA4" w:rsidRPr="00712B16">
        <w:rPr>
          <w:rFonts w:ascii="Times New Roman" w:hAnsi="Times New Roman" w:cs="Times New Roman"/>
          <w:i/>
          <w:sz w:val="24"/>
          <w:szCs w:val="24"/>
        </w:rPr>
        <w:t>et al</w:t>
      </w:r>
      <w:r w:rsidR="008B5AA4" w:rsidRPr="00712B16">
        <w:rPr>
          <w:rFonts w:ascii="Times New Roman" w:hAnsi="Times New Roman" w:cs="Times New Roman"/>
          <w:sz w:val="24"/>
          <w:szCs w:val="24"/>
        </w:rPr>
        <w:t>.,</w:t>
      </w:r>
      <w:r w:rsidRPr="00712B16">
        <w:rPr>
          <w:rFonts w:ascii="Times New Roman" w:hAnsi="Times New Roman" w:cs="Times New Roman"/>
          <w:sz w:val="24"/>
          <w:szCs w:val="24"/>
        </w:rPr>
        <w:t xml:space="preserve"> 2022; Kim </w:t>
      </w:r>
      <w:r w:rsidRPr="00712B16">
        <w:rPr>
          <w:rFonts w:ascii="Times New Roman" w:hAnsi="Times New Roman" w:cs="Times New Roman"/>
          <w:i/>
          <w:sz w:val="24"/>
          <w:szCs w:val="24"/>
        </w:rPr>
        <w:t>et al</w:t>
      </w:r>
      <w:r w:rsidRPr="00712B16">
        <w:rPr>
          <w:rFonts w:ascii="Times New Roman" w:hAnsi="Times New Roman" w:cs="Times New Roman"/>
          <w:sz w:val="24"/>
          <w:szCs w:val="24"/>
        </w:rPr>
        <w:t>.</w:t>
      </w:r>
      <w:r w:rsidR="008B5AA4" w:rsidRPr="00712B16">
        <w:rPr>
          <w:rFonts w:ascii="Times New Roman" w:hAnsi="Times New Roman" w:cs="Times New Roman"/>
          <w:sz w:val="24"/>
          <w:szCs w:val="24"/>
        </w:rPr>
        <w:t>,</w:t>
      </w:r>
      <w:r w:rsidRPr="00712B16">
        <w:rPr>
          <w:rFonts w:ascii="Times New Roman" w:hAnsi="Times New Roman" w:cs="Times New Roman"/>
          <w:sz w:val="24"/>
          <w:szCs w:val="24"/>
        </w:rPr>
        <w:t xml:space="preserve"> 2019; Kuo </w:t>
      </w:r>
      <w:r w:rsidRPr="00712B16">
        <w:rPr>
          <w:rFonts w:ascii="Times New Roman" w:hAnsi="Times New Roman" w:cs="Times New Roman"/>
          <w:i/>
          <w:sz w:val="24"/>
          <w:szCs w:val="24"/>
        </w:rPr>
        <w:t>et al</w:t>
      </w:r>
      <w:r w:rsidRPr="00712B16">
        <w:rPr>
          <w:rFonts w:ascii="Times New Roman" w:hAnsi="Times New Roman" w:cs="Times New Roman"/>
          <w:sz w:val="24"/>
          <w:szCs w:val="24"/>
        </w:rPr>
        <w:t>.</w:t>
      </w:r>
      <w:r w:rsidR="0022113D" w:rsidRPr="00712B16">
        <w:rPr>
          <w:rFonts w:ascii="Times New Roman" w:hAnsi="Times New Roman" w:cs="Times New Roman"/>
          <w:sz w:val="24"/>
          <w:szCs w:val="24"/>
        </w:rPr>
        <w:t>,</w:t>
      </w:r>
      <w:r w:rsidRPr="00712B16">
        <w:rPr>
          <w:rFonts w:ascii="Times New Roman" w:hAnsi="Times New Roman" w:cs="Times New Roman"/>
          <w:sz w:val="24"/>
          <w:szCs w:val="24"/>
        </w:rPr>
        <w:t xml:space="preserve"> 2021). Consequently, it is plausible that firms with higher </w:t>
      </w:r>
      <w:r w:rsidRPr="00712B16">
        <w:rPr>
          <w:rFonts w:ascii="Times New Roman" w:hAnsi="Times New Roman" w:cs="Times New Roman"/>
          <w:sz w:val="24"/>
          <w:szCs w:val="24"/>
        </w:rPr>
        <w:lastRenderedPageBreak/>
        <w:t xml:space="preserve">CSR performance are likely to engage in more REM </w:t>
      </w:r>
      <w:r w:rsidR="003D59EF" w:rsidRPr="00712B16">
        <w:rPr>
          <w:rFonts w:ascii="Times New Roman" w:hAnsi="Times New Roman" w:cs="Times New Roman"/>
          <w:sz w:val="24"/>
          <w:szCs w:val="24"/>
        </w:rPr>
        <w:t xml:space="preserve">for moving </w:t>
      </w:r>
      <w:r w:rsidR="00117DDC" w:rsidRPr="00712B16">
        <w:rPr>
          <w:rFonts w:ascii="Times New Roman" w:hAnsi="Times New Roman" w:cs="Times New Roman"/>
          <w:sz w:val="24"/>
          <w:szCs w:val="24"/>
        </w:rPr>
        <w:t>toward</w:t>
      </w:r>
      <w:r w:rsidR="003D59EF" w:rsidRPr="00712B16">
        <w:rPr>
          <w:rFonts w:ascii="Times New Roman" w:hAnsi="Times New Roman" w:cs="Times New Roman"/>
          <w:sz w:val="24"/>
          <w:szCs w:val="24"/>
        </w:rPr>
        <w:t xml:space="preserve"> to</w:t>
      </w:r>
      <w:r w:rsidRPr="00712B16">
        <w:rPr>
          <w:rFonts w:ascii="Times New Roman" w:hAnsi="Times New Roman" w:cs="Times New Roman"/>
          <w:sz w:val="24"/>
          <w:szCs w:val="24"/>
        </w:rPr>
        <w:t xml:space="preserve"> </w:t>
      </w:r>
      <w:r w:rsidR="00A51950" w:rsidRPr="00712B16">
        <w:rPr>
          <w:rFonts w:ascii="Times New Roman" w:hAnsi="Times New Roman" w:cs="Times New Roman"/>
          <w:sz w:val="24"/>
          <w:szCs w:val="24"/>
        </w:rPr>
        <w:t xml:space="preserve">the </w:t>
      </w:r>
      <w:r w:rsidR="005832CF" w:rsidRPr="00712B16">
        <w:rPr>
          <w:rFonts w:ascii="Times New Roman" w:hAnsi="Times New Roman" w:cs="Times New Roman"/>
          <w:sz w:val="24"/>
          <w:szCs w:val="24"/>
        </w:rPr>
        <w:t>net zero</w:t>
      </w:r>
      <w:r w:rsidRPr="00712B16">
        <w:rPr>
          <w:rFonts w:ascii="Times New Roman" w:hAnsi="Times New Roman" w:cs="Times New Roman"/>
          <w:sz w:val="24"/>
          <w:szCs w:val="24"/>
        </w:rPr>
        <w:t xml:space="preserve"> transformation. </w:t>
      </w:r>
    </w:p>
    <w:p w14:paraId="4394C1CA" w14:textId="6D5A3444" w:rsidR="00E87FA8" w:rsidRPr="00712B16" w:rsidRDefault="00A65208" w:rsidP="00763410">
      <w:pPr>
        <w:spacing w:after="0" w:line="480" w:lineRule="auto"/>
        <w:ind w:firstLine="567"/>
        <w:jc w:val="both"/>
        <w:rPr>
          <w:rFonts w:ascii="Times New Roman" w:hAnsi="Times New Roman" w:cs="Times New Roman"/>
          <w:sz w:val="24"/>
          <w:szCs w:val="24"/>
        </w:rPr>
      </w:pPr>
      <w:r w:rsidRPr="00712B16">
        <w:rPr>
          <w:rFonts w:ascii="Times New Roman" w:hAnsi="Times New Roman" w:cs="Times New Roman"/>
          <w:sz w:val="24"/>
          <w:szCs w:val="24"/>
        </w:rPr>
        <w:t>The</w:t>
      </w:r>
      <w:r w:rsidR="008D4D53" w:rsidRPr="00712B16">
        <w:rPr>
          <w:rFonts w:ascii="Times New Roman" w:hAnsi="Times New Roman" w:cs="Times New Roman"/>
          <w:sz w:val="24"/>
          <w:szCs w:val="24"/>
        </w:rPr>
        <w:t xml:space="preserve"> discussion above </w:t>
      </w:r>
      <w:r w:rsidR="00FA32D1" w:rsidRPr="00712B16">
        <w:rPr>
          <w:rFonts w:ascii="Times New Roman" w:hAnsi="Times New Roman" w:cs="Times New Roman"/>
          <w:sz w:val="24"/>
          <w:szCs w:val="24"/>
        </w:rPr>
        <w:t xml:space="preserve">suggests that higher CSR could either accelerate or mitigate the positive relationship between the </w:t>
      </w:r>
      <w:r w:rsidR="00897E37" w:rsidRPr="00712B16">
        <w:rPr>
          <w:rFonts w:ascii="Times New Roman" w:hAnsi="Times New Roman" w:cs="Times New Roman"/>
          <w:sz w:val="24"/>
          <w:szCs w:val="24"/>
        </w:rPr>
        <w:t>commitment to the</w:t>
      </w:r>
      <w:r w:rsidR="00FA32D1" w:rsidRPr="00712B16">
        <w:rPr>
          <w:rFonts w:ascii="Times New Roman" w:hAnsi="Times New Roman" w:cs="Times New Roman"/>
          <w:sz w:val="24"/>
          <w:szCs w:val="24"/>
        </w:rPr>
        <w:t xml:space="preserve"> </w:t>
      </w:r>
      <w:r w:rsidR="005832CF" w:rsidRPr="00712B16">
        <w:rPr>
          <w:rFonts w:ascii="Times New Roman" w:hAnsi="Times New Roman" w:cs="Times New Roman"/>
          <w:sz w:val="24"/>
          <w:szCs w:val="24"/>
        </w:rPr>
        <w:t>net zero</w:t>
      </w:r>
      <w:r w:rsidR="00FA32D1" w:rsidRPr="00712B16">
        <w:rPr>
          <w:rFonts w:ascii="Times New Roman" w:hAnsi="Times New Roman" w:cs="Times New Roman"/>
          <w:sz w:val="24"/>
          <w:szCs w:val="24"/>
        </w:rPr>
        <w:t xml:space="preserve"> target</w:t>
      </w:r>
      <w:r w:rsidR="008E09AF" w:rsidRPr="00712B16">
        <w:rPr>
          <w:rFonts w:ascii="Times New Roman" w:hAnsi="Times New Roman" w:cs="Times New Roman"/>
          <w:sz w:val="24"/>
          <w:szCs w:val="24"/>
        </w:rPr>
        <w:t>s</w:t>
      </w:r>
      <w:r w:rsidR="00FA32D1" w:rsidRPr="00712B16">
        <w:rPr>
          <w:rFonts w:ascii="Times New Roman" w:hAnsi="Times New Roman" w:cs="Times New Roman"/>
          <w:sz w:val="24"/>
          <w:szCs w:val="24"/>
        </w:rPr>
        <w:t xml:space="preserve"> and REM. </w:t>
      </w:r>
      <w:r w:rsidR="00183EC3" w:rsidRPr="00712B16">
        <w:rPr>
          <w:rFonts w:ascii="Times New Roman" w:hAnsi="Times New Roman" w:cs="Times New Roman"/>
          <w:sz w:val="24"/>
          <w:szCs w:val="24"/>
        </w:rPr>
        <w:t>Given</w:t>
      </w:r>
      <w:r w:rsidR="00FA32D1" w:rsidRPr="00712B16">
        <w:rPr>
          <w:rFonts w:ascii="Times New Roman" w:hAnsi="Times New Roman" w:cs="Times New Roman"/>
          <w:sz w:val="24"/>
          <w:szCs w:val="24"/>
        </w:rPr>
        <w:t xml:space="preserve"> the inconclusive findings on the association between CSR performance and REM, we conjecture that CSR performance has no significant effect on the association between firms’ REM and </w:t>
      </w:r>
      <w:r w:rsidR="005832CF" w:rsidRPr="00712B16">
        <w:rPr>
          <w:rFonts w:ascii="Times New Roman" w:hAnsi="Times New Roman" w:cs="Times New Roman"/>
          <w:sz w:val="24"/>
          <w:szCs w:val="24"/>
        </w:rPr>
        <w:t>net zero</w:t>
      </w:r>
      <w:r w:rsidR="00FA32D1" w:rsidRPr="00712B16">
        <w:rPr>
          <w:rFonts w:ascii="Times New Roman" w:hAnsi="Times New Roman" w:cs="Times New Roman"/>
          <w:sz w:val="24"/>
          <w:szCs w:val="24"/>
        </w:rPr>
        <w:t xml:space="preserve"> target</w:t>
      </w:r>
      <w:r w:rsidR="00A51950" w:rsidRPr="00712B16">
        <w:rPr>
          <w:rFonts w:ascii="Times New Roman" w:hAnsi="Times New Roman" w:cs="Times New Roman"/>
          <w:sz w:val="24"/>
          <w:szCs w:val="24"/>
        </w:rPr>
        <w:t>s</w:t>
      </w:r>
      <w:r w:rsidR="00FA32D1" w:rsidRPr="00712B16">
        <w:rPr>
          <w:rFonts w:ascii="Times New Roman" w:hAnsi="Times New Roman" w:cs="Times New Roman"/>
          <w:sz w:val="24"/>
          <w:szCs w:val="24"/>
        </w:rPr>
        <w:t>.</w:t>
      </w:r>
      <w:r w:rsidR="00763410" w:rsidRPr="00712B16">
        <w:rPr>
          <w:rFonts w:ascii="Times New Roman" w:hAnsi="Times New Roman" w:cs="Times New Roman"/>
          <w:sz w:val="24"/>
          <w:szCs w:val="24"/>
        </w:rPr>
        <w:t xml:space="preserve"> </w:t>
      </w:r>
      <w:r w:rsidR="00183EC3" w:rsidRPr="00712B16">
        <w:rPr>
          <w:rFonts w:ascii="Times New Roman" w:hAnsi="Times New Roman" w:cs="Times New Roman"/>
          <w:sz w:val="24"/>
          <w:szCs w:val="24"/>
        </w:rPr>
        <w:t>As such</w:t>
      </w:r>
      <w:r w:rsidR="00FA32D1" w:rsidRPr="00712B16">
        <w:rPr>
          <w:rFonts w:ascii="Times New Roman" w:hAnsi="Times New Roman" w:cs="Times New Roman"/>
          <w:sz w:val="24"/>
          <w:szCs w:val="24"/>
        </w:rPr>
        <w:t xml:space="preserve">, </w:t>
      </w:r>
      <w:r w:rsidR="00E36819" w:rsidRPr="00712B16">
        <w:rPr>
          <w:rFonts w:ascii="Times New Roman" w:hAnsi="Times New Roman" w:cs="Times New Roman"/>
          <w:sz w:val="24"/>
          <w:szCs w:val="24"/>
        </w:rPr>
        <w:t>we</w:t>
      </w:r>
      <w:r w:rsidR="00FA32D1" w:rsidRPr="00712B16">
        <w:rPr>
          <w:rFonts w:ascii="Times New Roman" w:hAnsi="Times New Roman" w:cs="Times New Roman"/>
          <w:sz w:val="24"/>
          <w:szCs w:val="24"/>
        </w:rPr>
        <w:t xml:space="preserve"> formulate the following non-directional hypothesis 2:</w:t>
      </w:r>
    </w:p>
    <w:p w14:paraId="307AE816" w14:textId="68DC928A" w:rsidR="009032E8" w:rsidRPr="00712B16" w:rsidRDefault="00E051A3" w:rsidP="00AE6BED">
      <w:pPr>
        <w:spacing w:after="0" w:line="480" w:lineRule="auto"/>
        <w:jc w:val="both"/>
        <w:rPr>
          <w:rFonts w:ascii="Times New Roman" w:hAnsi="Times New Roman" w:cs="Times New Roman"/>
          <w:i/>
          <w:sz w:val="24"/>
          <w:szCs w:val="24"/>
        </w:rPr>
      </w:pPr>
      <w:r w:rsidRPr="00712B16">
        <w:rPr>
          <w:rFonts w:ascii="Times New Roman" w:hAnsi="Times New Roman" w:cs="Times New Roman"/>
          <w:i/>
          <w:sz w:val="24"/>
          <w:szCs w:val="24"/>
        </w:rPr>
        <w:t>H</w:t>
      </w:r>
      <w:r w:rsidR="00686758" w:rsidRPr="00712B16">
        <w:rPr>
          <w:rFonts w:ascii="Times New Roman" w:hAnsi="Times New Roman" w:cs="Times New Roman"/>
          <w:i/>
          <w:sz w:val="24"/>
          <w:szCs w:val="24"/>
        </w:rPr>
        <w:t>2</w:t>
      </w:r>
      <w:r w:rsidRPr="00712B16">
        <w:rPr>
          <w:rFonts w:ascii="Times New Roman" w:hAnsi="Times New Roman" w:cs="Times New Roman"/>
          <w:i/>
          <w:sz w:val="24"/>
          <w:szCs w:val="24"/>
        </w:rPr>
        <w:t xml:space="preserve">: </w:t>
      </w:r>
      <w:bookmarkStart w:id="17" w:name="_Hlk112501297"/>
      <w:r w:rsidR="00FA32D1" w:rsidRPr="00712B16">
        <w:rPr>
          <w:rFonts w:ascii="Times New Roman" w:hAnsi="Times New Roman" w:cs="Times New Roman"/>
          <w:i/>
          <w:sz w:val="24"/>
          <w:szCs w:val="24"/>
        </w:rPr>
        <w:t>The performance of CSR does not influence the relationship between firms</w:t>
      </w:r>
      <w:r w:rsidR="00864CD8" w:rsidRPr="00712B16">
        <w:rPr>
          <w:rFonts w:ascii="Times New Roman" w:hAnsi="Times New Roman" w:cs="Times New Roman"/>
          <w:i/>
          <w:sz w:val="24"/>
          <w:szCs w:val="24"/>
        </w:rPr>
        <w:t>’</w:t>
      </w:r>
      <w:r w:rsidR="000427F5" w:rsidRPr="00712B16">
        <w:rPr>
          <w:rFonts w:ascii="Times New Roman" w:hAnsi="Times New Roman" w:cs="Times New Roman"/>
          <w:i/>
          <w:sz w:val="24"/>
          <w:szCs w:val="24"/>
        </w:rPr>
        <w:t xml:space="preserve"> </w:t>
      </w:r>
      <w:r w:rsidR="00FA32D1" w:rsidRPr="00712B16">
        <w:rPr>
          <w:rFonts w:ascii="Times New Roman" w:hAnsi="Times New Roman" w:cs="Times New Roman"/>
          <w:i/>
          <w:sz w:val="24"/>
          <w:szCs w:val="24"/>
        </w:rPr>
        <w:t xml:space="preserve">REM and </w:t>
      </w:r>
      <w:r w:rsidR="005832CF" w:rsidRPr="00712B16">
        <w:rPr>
          <w:rFonts w:ascii="Times New Roman" w:hAnsi="Times New Roman" w:cs="Times New Roman"/>
          <w:i/>
          <w:sz w:val="24"/>
          <w:szCs w:val="24"/>
        </w:rPr>
        <w:t>net zero</w:t>
      </w:r>
      <w:r w:rsidR="00FA32D1" w:rsidRPr="00712B16">
        <w:rPr>
          <w:rFonts w:ascii="Times New Roman" w:hAnsi="Times New Roman" w:cs="Times New Roman"/>
          <w:i/>
          <w:sz w:val="24"/>
          <w:szCs w:val="24"/>
        </w:rPr>
        <w:t xml:space="preserve"> target</w:t>
      </w:r>
      <w:r w:rsidR="00941F99" w:rsidRPr="00712B16">
        <w:rPr>
          <w:rFonts w:ascii="Times New Roman" w:hAnsi="Times New Roman" w:cs="Times New Roman"/>
          <w:i/>
          <w:sz w:val="24"/>
          <w:szCs w:val="24"/>
        </w:rPr>
        <w:t xml:space="preserve"> commitment</w:t>
      </w:r>
      <w:r w:rsidR="00FA32D1" w:rsidRPr="00712B16">
        <w:rPr>
          <w:rFonts w:ascii="Times New Roman" w:hAnsi="Times New Roman" w:cs="Times New Roman"/>
          <w:i/>
          <w:sz w:val="24"/>
          <w:szCs w:val="24"/>
        </w:rPr>
        <w:t>.</w:t>
      </w:r>
      <w:bookmarkEnd w:id="17"/>
    </w:p>
    <w:p w14:paraId="013E6219" w14:textId="77777777" w:rsidR="00FA4C7D" w:rsidRPr="00712B16" w:rsidRDefault="00FA4C7D" w:rsidP="00AE6BED">
      <w:pPr>
        <w:spacing w:after="0" w:line="480" w:lineRule="auto"/>
        <w:jc w:val="both"/>
        <w:rPr>
          <w:rFonts w:ascii="Times New Roman" w:hAnsi="Times New Roman" w:cs="Times New Roman"/>
          <w:i/>
          <w:sz w:val="24"/>
          <w:szCs w:val="24"/>
        </w:rPr>
      </w:pPr>
    </w:p>
    <w:p w14:paraId="3BE5CF54" w14:textId="6314C00E" w:rsidR="009032E8" w:rsidRPr="00712B16" w:rsidRDefault="00183F61">
      <w:pPr>
        <w:pStyle w:val="Heading1"/>
        <w:spacing w:before="0" w:line="480" w:lineRule="auto"/>
        <w:rPr>
          <w:rFonts w:ascii="Times New Roman" w:hAnsi="Times New Roman" w:cs="Times New Roman"/>
          <w:b/>
          <w:bCs/>
          <w:color w:val="auto"/>
          <w:sz w:val="24"/>
          <w:szCs w:val="24"/>
        </w:rPr>
      </w:pPr>
      <w:bookmarkStart w:id="18" w:name="_Toc118466032"/>
      <w:r w:rsidRPr="00712B16">
        <w:rPr>
          <w:rFonts w:ascii="Times New Roman" w:hAnsi="Times New Roman" w:cs="Times New Roman"/>
          <w:b/>
          <w:bCs/>
          <w:color w:val="auto"/>
          <w:sz w:val="24"/>
          <w:szCs w:val="24"/>
        </w:rPr>
        <w:t xml:space="preserve">3. </w:t>
      </w:r>
      <w:bookmarkStart w:id="19" w:name="_Hlk118977803"/>
      <w:bookmarkEnd w:id="18"/>
      <w:r w:rsidRPr="00712B16">
        <w:rPr>
          <w:rFonts w:ascii="Times New Roman" w:hAnsi="Times New Roman" w:cs="Times New Roman"/>
          <w:b/>
          <w:bCs/>
          <w:color w:val="auto"/>
          <w:sz w:val="24"/>
          <w:szCs w:val="24"/>
        </w:rPr>
        <w:t xml:space="preserve">Research design </w:t>
      </w:r>
      <w:bookmarkEnd w:id="19"/>
    </w:p>
    <w:p w14:paraId="7A4F8C93" w14:textId="026FB760" w:rsidR="009032E8" w:rsidRPr="00712B16" w:rsidRDefault="00183F61">
      <w:pPr>
        <w:pStyle w:val="Heading2"/>
        <w:spacing w:line="480" w:lineRule="auto"/>
        <w:jc w:val="both"/>
        <w:rPr>
          <w:rFonts w:cs="Times New Roman"/>
          <w:b w:val="0"/>
          <w:bCs/>
          <w:i/>
          <w:szCs w:val="24"/>
        </w:rPr>
      </w:pPr>
      <w:bookmarkStart w:id="20" w:name="_Toc118466033"/>
      <w:bookmarkStart w:id="21" w:name="_Hlk118977853"/>
      <w:r w:rsidRPr="00712B16">
        <w:rPr>
          <w:rFonts w:cs="Times New Roman"/>
          <w:b w:val="0"/>
          <w:bCs/>
          <w:i/>
          <w:szCs w:val="24"/>
        </w:rPr>
        <w:t>3.1 Data and research methodology</w:t>
      </w:r>
      <w:bookmarkEnd w:id="20"/>
    </w:p>
    <w:p w14:paraId="58D0D30B" w14:textId="6CFCFB57" w:rsidR="009032E8" w:rsidRPr="00712B16" w:rsidRDefault="00183F61">
      <w:pPr>
        <w:pStyle w:val="Heading3"/>
        <w:spacing w:before="0" w:line="480" w:lineRule="auto"/>
        <w:jc w:val="both"/>
        <w:rPr>
          <w:rFonts w:ascii="Times New Roman" w:hAnsi="Times New Roman" w:cs="Times New Roman"/>
          <w:i/>
          <w:iCs/>
          <w:color w:val="auto"/>
        </w:rPr>
      </w:pPr>
      <w:bookmarkStart w:id="22" w:name="_Toc118466034"/>
      <w:r w:rsidRPr="00712B16">
        <w:rPr>
          <w:rFonts w:ascii="Times New Roman" w:hAnsi="Times New Roman" w:cs="Times New Roman"/>
          <w:i/>
          <w:iCs/>
          <w:color w:val="auto"/>
        </w:rPr>
        <w:t>3.1.1 Sample selection and description</w:t>
      </w:r>
      <w:bookmarkEnd w:id="22"/>
    </w:p>
    <w:bookmarkEnd w:id="21"/>
    <w:p w14:paraId="367F494C" w14:textId="0C9094C2" w:rsidR="00C820A2" w:rsidRPr="00712B16" w:rsidRDefault="009B474E" w:rsidP="00B36EBF">
      <w:pPr>
        <w:spacing w:after="0" w:line="480" w:lineRule="auto"/>
        <w:jc w:val="both"/>
        <w:rPr>
          <w:rFonts w:ascii="Times New Roman" w:hAnsi="Times New Roman" w:cs="Times New Roman"/>
          <w:sz w:val="24"/>
          <w:szCs w:val="24"/>
        </w:rPr>
      </w:pPr>
      <w:r w:rsidRPr="00712B16">
        <w:rPr>
          <w:rFonts w:ascii="Times New Roman" w:hAnsi="Times New Roman" w:cs="Times New Roman"/>
          <w:sz w:val="24"/>
          <w:szCs w:val="24"/>
        </w:rPr>
        <w:t xml:space="preserve">Panel A of Table 1 presents the sample selection process by country, which begins with an initial sample of 195 countries sourced from </w:t>
      </w:r>
      <w:proofErr w:type="spellStart"/>
      <w:r w:rsidRPr="00712B16">
        <w:rPr>
          <w:rFonts w:ascii="Times New Roman" w:hAnsi="Times New Roman" w:cs="Times New Roman"/>
          <w:sz w:val="24"/>
          <w:szCs w:val="24"/>
        </w:rPr>
        <w:t>Nationsline</w:t>
      </w:r>
      <w:proofErr w:type="spellEnd"/>
      <w:r w:rsidRPr="00712B16">
        <w:rPr>
          <w:rFonts w:ascii="Times New Roman" w:hAnsi="Times New Roman" w:cs="Times New Roman"/>
          <w:sz w:val="24"/>
          <w:szCs w:val="24"/>
        </w:rPr>
        <w:t xml:space="preserve">. Subsequently, </w:t>
      </w:r>
      <w:r w:rsidR="00287621" w:rsidRPr="00712B16">
        <w:rPr>
          <w:rFonts w:ascii="Times New Roman" w:hAnsi="Times New Roman" w:cs="Times New Roman"/>
          <w:sz w:val="24"/>
          <w:szCs w:val="24"/>
        </w:rPr>
        <w:t xml:space="preserve">we remove </w:t>
      </w:r>
      <w:r w:rsidRPr="00712B16">
        <w:rPr>
          <w:rFonts w:ascii="Times New Roman" w:hAnsi="Times New Roman" w:cs="Times New Roman"/>
          <w:sz w:val="24"/>
          <w:szCs w:val="24"/>
        </w:rPr>
        <w:t xml:space="preserve">observations related to </w:t>
      </w:r>
      <w:proofErr w:type="spellStart"/>
      <w:r w:rsidRPr="00712B16">
        <w:rPr>
          <w:rFonts w:ascii="Times New Roman" w:hAnsi="Times New Roman" w:cs="Times New Roman"/>
          <w:sz w:val="24"/>
          <w:szCs w:val="24"/>
        </w:rPr>
        <w:t>i</w:t>
      </w:r>
      <w:proofErr w:type="spellEnd"/>
      <w:r w:rsidRPr="00712B16">
        <w:rPr>
          <w:rFonts w:ascii="Times New Roman" w:hAnsi="Times New Roman" w:cs="Times New Roman"/>
          <w:sz w:val="24"/>
          <w:szCs w:val="24"/>
        </w:rPr>
        <w:t xml:space="preserve">) 33 countries with missing data in the </w:t>
      </w:r>
      <w:proofErr w:type="spellStart"/>
      <w:r w:rsidRPr="00712B16">
        <w:rPr>
          <w:rFonts w:ascii="Times New Roman" w:hAnsi="Times New Roman" w:cs="Times New Roman"/>
          <w:sz w:val="24"/>
          <w:szCs w:val="24"/>
        </w:rPr>
        <w:t>WorldScope</w:t>
      </w:r>
      <w:proofErr w:type="spellEnd"/>
      <w:r w:rsidRPr="00712B16">
        <w:rPr>
          <w:rFonts w:ascii="Times New Roman" w:hAnsi="Times New Roman" w:cs="Times New Roman"/>
          <w:sz w:val="24"/>
          <w:szCs w:val="24"/>
        </w:rPr>
        <w:t xml:space="preserve"> and </w:t>
      </w:r>
      <w:proofErr w:type="spellStart"/>
      <w:r w:rsidRPr="00712B16">
        <w:rPr>
          <w:rFonts w:ascii="Times New Roman" w:hAnsi="Times New Roman" w:cs="Times New Roman"/>
          <w:sz w:val="24"/>
          <w:szCs w:val="24"/>
        </w:rPr>
        <w:t>Compustat</w:t>
      </w:r>
      <w:proofErr w:type="spellEnd"/>
      <w:r w:rsidRPr="00712B16">
        <w:rPr>
          <w:rFonts w:ascii="Times New Roman" w:hAnsi="Times New Roman" w:cs="Times New Roman"/>
          <w:sz w:val="24"/>
          <w:szCs w:val="24"/>
        </w:rPr>
        <w:t xml:space="preserve"> Global database, and ii) 35 countries without information on </w:t>
      </w:r>
      <w:r w:rsidR="005832CF" w:rsidRPr="00712B16">
        <w:rPr>
          <w:rFonts w:ascii="Times New Roman" w:hAnsi="Times New Roman" w:cs="Times New Roman"/>
          <w:sz w:val="24"/>
          <w:szCs w:val="24"/>
        </w:rPr>
        <w:t>net zero</w:t>
      </w:r>
      <w:r w:rsidRPr="00712B16">
        <w:rPr>
          <w:rFonts w:ascii="Times New Roman" w:hAnsi="Times New Roman" w:cs="Times New Roman"/>
          <w:sz w:val="24"/>
          <w:szCs w:val="24"/>
        </w:rPr>
        <w:t xml:space="preserve"> target </w:t>
      </w:r>
      <w:r w:rsidR="00897E37" w:rsidRPr="00712B16">
        <w:rPr>
          <w:rFonts w:ascii="Times New Roman" w:hAnsi="Times New Roman" w:cs="Times New Roman"/>
          <w:sz w:val="24"/>
          <w:szCs w:val="24"/>
        </w:rPr>
        <w:t>commitment</w:t>
      </w:r>
      <w:r w:rsidRPr="00712B16">
        <w:rPr>
          <w:rFonts w:ascii="Times New Roman" w:hAnsi="Times New Roman" w:cs="Times New Roman"/>
          <w:sz w:val="24"/>
          <w:szCs w:val="24"/>
        </w:rPr>
        <w:t xml:space="preserve">. Additionally, </w:t>
      </w:r>
      <w:r w:rsidR="00ED6D26" w:rsidRPr="00712B16">
        <w:rPr>
          <w:rFonts w:ascii="Times New Roman" w:hAnsi="Times New Roman" w:cs="Times New Roman"/>
          <w:sz w:val="24"/>
          <w:szCs w:val="24"/>
        </w:rPr>
        <w:t xml:space="preserve">we exclude </w:t>
      </w:r>
      <w:r w:rsidRPr="00712B16">
        <w:rPr>
          <w:rFonts w:ascii="Times New Roman" w:hAnsi="Times New Roman" w:cs="Times New Roman"/>
          <w:sz w:val="24"/>
          <w:szCs w:val="24"/>
        </w:rPr>
        <w:t xml:space="preserve">the US from the </w:t>
      </w:r>
      <w:r w:rsidR="00E36819" w:rsidRPr="00712B16">
        <w:rPr>
          <w:rFonts w:ascii="Times New Roman" w:hAnsi="Times New Roman" w:cs="Times New Roman"/>
          <w:sz w:val="24"/>
          <w:szCs w:val="24"/>
        </w:rPr>
        <w:t xml:space="preserve">main </w:t>
      </w:r>
      <w:r w:rsidRPr="00712B16">
        <w:rPr>
          <w:rFonts w:ascii="Times New Roman" w:hAnsi="Times New Roman" w:cs="Times New Roman"/>
          <w:sz w:val="24"/>
          <w:szCs w:val="24"/>
        </w:rPr>
        <w:t xml:space="preserve">sample </w:t>
      </w:r>
      <w:r w:rsidR="00BF7269" w:rsidRPr="00712B16">
        <w:rPr>
          <w:rFonts w:ascii="Times New Roman" w:hAnsi="Times New Roman" w:cs="Times New Roman"/>
          <w:sz w:val="24"/>
          <w:szCs w:val="24"/>
        </w:rPr>
        <w:t xml:space="preserve">in our </w:t>
      </w:r>
      <w:r w:rsidR="00E36819" w:rsidRPr="00712B16">
        <w:rPr>
          <w:rFonts w:ascii="Times New Roman" w:hAnsi="Times New Roman" w:cs="Times New Roman"/>
          <w:sz w:val="24"/>
          <w:szCs w:val="24"/>
        </w:rPr>
        <w:t xml:space="preserve">analysis </w:t>
      </w:r>
      <w:r w:rsidRPr="00712B16">
        <w:rPr>
          <w:rFonts w:ascii="Times New Roman" w:hAnsi="Times New Roman" w:cs="Times New Roman"/>
          <w:sz w:val="24"/>
          <w:szCs w:val="24"/>
        </w:rPr>
        <w:t>to avoid potential dominance of results</w:t>
      </w:r>
      <w:r w:rsidR="006E4770" w:rsidRPr="00712B16">
        <w:rPr>
          <w:rFonts w:ascii="Times New Roman" w:hAnsi="Times New Roman" w:cs="Times New Roman"/>
          <w:sz w:val="24"/>
          <w:szCs w:val="24"/>
        </w:rPr>
        <w:t>,</w:t>
      </w:r>
      <w:r w:rsidRPr="00712B16">
        <w:rPr>
          <w:rFonts w:ascii="Times New Roman" w:hAnsi="Times New Roman" w:cs="Times New Roman"/>
          <w:sz w:val="24"/>
          <w:szCs w:val="24"/>
        </w:rPr>
        <w:t xml:space="preserve"> </w:t>
      </w:r>
      <w:r w:rsidR="009E266C" w:rsidRPr="00712B16">
        <w:rPr>
          <w:rFonts w:ascii="Times New Roman" w:hAnsi="Times New Roman" w:cs="Times New Roman"/>
          <w:sz w:val="24"/>
          <w:szCs w:val="24"/>
        </w:rPr>
        <w:t>given</w:t>
      </w:r>
      <w:r w:rsidRPr="00712B16">
        <w:rPr>
          <w:rFonts w:ascii="Times New Roman" w:hAnsi="Times New Roman" w:cs="Times New Roman"/>
          <w:sz w:val="24"/>
          <w:szCs w:val="24"/>
        </w:rPr>
        <w:t xml:space="preserve"> its significant market size </w:t>
      </w:r>
      <w:r w:rsidR="00E36819" w:rsidRPr="00712B16">
        <w:rPr>
          <w:rFonts w:ascii="Times New Roman" w:hAnsi="Times New Roman" w:cs="Times New Roman"/>
          <w:sz w:val="24"/>
          <w:szCs w:val="24"/>
        </w:rPr>
        <w:t xml:space="preserve">and number of observations </w:t>
      </w:r>
      <w:r w:rsidRPr="00712B16">
        <w:rPr>
          <w:rFonts w:ascii="Times New Roman" w:hAnsi="Times New Roman" w:cs="Times New Roman"/>
          <w:sz w:val="24"/>
          <w:szCs w:val="24"/>
        </w:rPr>
        <w:t>in the global study. As a result, the selection process yields a final sample of 126 countries. After excluding all missing observations related to the measures of dependent and control variables, the main sample comprises 71 unique countries.</w:t>
      </w:r>
    </w:p>
    <w:p w14:paraId="2347481A" w14:textId="467BFFB1" w:rsidR="00540A38" w:rsidRPr="00712B16" w:rsidRDefault="00C820A2" w:rsidP="00C820A2">
      <w:pPr>
        <w:spacing w:after="0" w:line="480" w:lineRule="auto"/>
        <w:jc w:val="center"/>
        <w:rPr>
          <w:rFonts w:ascii="Times New Roman" w:hAnsi="Times New Roman" w:cs="Times New Roman"/>
          <w:sz w:val="24"/>
          <w:szCs w:val="24"/>
        </w:rPr>
      </w:pPr>
      <w:r w:rsidRPr="00712B16">
        <w:rPr>
          <w:rFonts w:ascii="Times New Roman" w:hAnsi="Times New Roman" w:cs="Times New Roman"/>
          <w:sz w:val="24"/>
          <w:szCs w:val="24"/>
        </w:rPr>
        <w:t>[Insert Table 1 about here]</w:t>
      </w:r>
    </w:p>
    <w:p w14:paraId="6EC2067A" w14:textId="3EECF721" w:rsidR="009032E8" w:rsidRPr="00712B16" w:rsidRDefault="009B474E" w:rsidP="00EF7BD2">
      <w:pPr>
        <w:spacing w:after="0" w:line="480" w:lineRule="auto"/>
        <w:ind w:firstLine="567"/>
        <w:jc w:val="both"/>
        <w:rPr>
          <w:rFonts w:ascii="Times New Roman" w:hAnsi="Times New Roman" w:cs="Times New Roman"/>
          <w:sz w:val="24"/>
          <w:szCs w:val="24"/>
        </w:rPr>
      </w:pPr>
      <w:r w:rsidRPr="00712B16">
        <w:rPr>
          <w:rFonts w:ascii="Times New Roman" w:hAnsi="Times New Roman" w:cs="Times New Roman"/>
          <w:sz w:val="24"/>
          <w:szCs w:val="24"/>
        </w:rPr>
        <w:lastRenderedPageBreak/>
        <w:t>Panel B of Table 1 details</w:t>
      </w:r>
      <w:r w:rsidR="00D06990" w:rsidRPr="00712B16">
        <w:rPr>
          <w:rFonts w:ascii="Times New Roman" w:hAnsi="Times New Roman" w:cs="Times New Roman"/>
          <w:sz w:val="24"/>
          <w:szCs w:val="24"/>
        </w:rPr>
        <w:t xml:space="preserve"> </w:t>
      </w:r>
      <w:r w:rsidRPr="00712B16">
        <w:rPr>
          <w:rFonts w:ascii="Times New Roman" w:hAnsi="Times New Roman" w:cs="Times New Roman"/>
          <w:sz w:val="24"/>
          <w:szCs w:val="24"/>
        </w:rPr>
        <w:t xml:space="preserve">the firm-level sample selection process for the REM model and the related control variables. The initial sample consists of all publicly listed firms with available financial data in the </w:t>
      </w:r>
      <w:proofErr w:type="spellStart"/>
      <w:r w:rsidRPr="00712B16">
        <w:rPr>
          <w:rFonts w:ascii="Times New Roman" w:hAnsi="Times New Roman" w:cs="Times New Roman"/>
          <w:sz w:val="24"/>
          <w:szCs w:val="24"/>
        </w:rPr>
        <w:t>WorldScope</w:t>
      </w:r>
      <w:proofErr w:type="spellEnd"/>
      <w:r w:rsidRPr="00712B16">
        <w:rPr>
          <w:rFonts w:ascii="Times New Roman" w:hAnsi="Times New Roman" w:cs="Times New Roman"/>
          <w:sz w:val="24"/>
          <w:szCs w:val="24"/>
        </w:rPr>
        <w:t xml:space="preserve"> and </w:t>
      </w:r>
      <w:proofErr w:type="spellStart"/>
      <w:r w:rsidRPr="00712B16">
        <w:rPr>
          <w:rFonts w:ascii="Times New Roman" w:hAnsi="Times New Roman" w:cs="Times New Roman"/>
          <w:sz w:val="24"/>
          <w:szCs w:val="24"/>
        </w:rPr>
        <w:t>Compustat</w:t>
      </w:r>
      <w:proofErr w:type="spellEnd"/>
      <w:r w:rsidRPr="00712B16">
        <w:rPr>
          <w:rFonts w:ascii="Times New Roman" w:hAnsi="Times New Roman" w:cs="Times New Roman"/>
          <w:sz w:val="24"/>
          <w:szCs w:val="24"/>
        </w:rPr>
        <w:t xml:space="preserve"> Global Database </w:t>
      </w:r>
      <w:r w:rsidR="00D06990" w:rsidRPr="00712B16">
        <w:rPr>
          <w:rFonts w:ascii="Times New Roman" w:hAnsi="Times New Roman" w:cs="Times New Roman"/>
          <w:sz w:val="24"/>
          <w:szCs w:val="24"/>
        </w:rPr>
        <w:t>from</w:t>
      </w:r>
      <w:r w:rsidRPr="00712B16">
        <w:rPr>
          <w:rFonts w:ascii="Times New Roman" w:hAnsi="Times New Roman" w:cs="Times New Roman"/>
          <w:sz w:val="24"/>
          <w:szCs w:val="24"/>
        </w:rPr>
        <w:t xml:space="preserve"> 2011 to 2021. Starting the study </w:t>
      </w:r>
      <w:r w:rsidR="00B36D65" w:rsidRPr="00712B16">
        <w:rPr>
          <w:rFonts w:ascii="Times New Roman" w:hAnsi="Times New Roman" w:cs="Times New Roman"/>
          <w:sz w:val="24"/>
          <w:szCs w:val="24"/>
        </w:rPr>
        <w:t>in</w:t>
      </w:r>
      <w:r w:rsidRPr="00712B16">
        <w:rPr>
          <w:rFonts w:ascii="Times New Roman" w:hAnsi="Times New Roman" w:cs="Times New Roman"/>
          <w:sz w:val="24"/>
          <w:szCs w:val="24"/>
        </w:rPr>
        <w:t xml:space="preserve"> 2011 allows for the exclusion of the impact of the global financial crisis. The initial sample comprises 650,748 firm-year observations. Among these, 368,575 observations are excluded due to missing data for the REM model and control variables. Additionally, </w:t>
      </w:r>
      <w:r w:rsidR="00C91DFF" w:rsidRPr="00712B16">
        <w:rPr>
          <w:rFonts w:ascii="Times New Roman" w:hAnsi="Times New Roman" w:cs="Times New Roman"/>
          <w:sz w:val="24"/>
          <w:szCs w:val="24"/>
        </w:rPr>
        <w:t xml:space="preserve">we exclude </w:t>
      </w:r>
      <w:r w:rsidRPr="00712B16">
        <w:rPr>
          <w:rFonts w:ascii="Times New Roman" w:hAnsi="Times New Roman" w:cs="Times New Roman"/>
          <w:sz w:val="24"/>
          <w:szCs w:val="24"/>
        </w:rPr>
        <w:t>32,462 observations related to firms in the financial sector. Consequently, the selection process results in a final sample of 249,711 firm-year observations for the test of hypothesis 1 and 28,685 firm-year observations for the test of hypothesis 2, which examines the effect of CSR performance</w:t>
      </w:r>
      <w:r w:rsidR="00E051A3" w:rsidRPr="00712B16">
        <w:rPr>
          <w:rFonts w:ascii="Times New Roman" w:hAnsi="Times New Roman" w:cs="Times New Roman"/>
          <w:sz w:val="24"/>
          <w:szCs w:val="24"/>
        </w:rPr>
        <w:t>.</w:t>
      </w:r>
      <w:r w:rsidR="00E051A3" w:rsidRPr="00712B16">
        <w:rPr>
          <w:rStyle w:val="FootnoteReference"/>
          <w:rFonts w:ascii="Times New Roman" w:hAnsi="Times New Roman" w:cs="Times New Roman"/>
          <w:sz w:val="24"/>
          <w:szCs w:val="24"/>
        </w:rPr>
        <w:footnoteReference w:id="7"/>
      </w:r>
    </w:p>
    <w:p w14:paraId="138CE7D9" w14:textId="2058E1C5" w:rsidR="009B474E" w:rsidRPr="00712B16" w:rsidRDefault="009B474E" w:rsidP="009B474E">
      <w:pPr>
        <w:spacing w:after="0" w:line="480" w:lineRule="auto"/>
        <w:ind w:firstLine="567"/>
        <w:jc w:val="both"/>
        <w:rPr>
          <w:rFonts w:ascii="Times New Roman" w:hAnsi="Times New Roman" w:cs="Times New Roman"/>
          <w:sz w:val="24"/>
          <w:szCs w:val="24"/>
        </w:rPr>
      </w:pPr>
      <w:r w:rsidRPr="00712B16">
        <w:rPr>
          <w:rFonts w:ascii="Times New Roman" w:hAnsi="Times New Roman" w:cs="Times New Roman"/>
          <w:sz w:val="24"/>
          <w:szCs w:val="24"/>
        </w:rPr>
        <w:t xml:space="preserve">Panel C of Table 1 displays the sample distribution by industry, country, and year. The industry distribution is categorized based on the Fama-French 48 industries, with the top 10 industries being explicitly listed, and all other industries combined under the label “All others.” Among the top 10 industries, 11.18% of the sample belongs to business services, 5.03% to machinery, and 4.99% are chemical firms. Additionally, 4.73% of the sample is composed of food </w:t>
      </w:r>
      <w:r w:rsidR="006E4770" w:rsidRPr="00712B16">
        <w:rPr>
          <w:rFonts w:ascii="Times New Roman" w:hAnsi="Times New Roman" w:cs="Times New Roman"/>
          <w:sz w:val="24"/>
          <w:szCs w:val="24"/>
        </w:rPr>
        <w:t xml:space="preserve">product </w:t>
      </w:r>
      <w:r w:rsidRPr="00712B16">
        <w:rPr>
          <w:rFonts w:ascii="Times New Roman" w:hAnsi="Times New Roman" w:cs="Times New Roman"/>
          <w:sz w:val="24"/>
          <w:szCs w:val="24"/>
        </w:rPr>
        <w:t>companies.</w:t>
      </w:r>
    </w:p>
    <w:p w14:paraId="3C887338" w14:textId="403CF7D3" w:rsidR="00B36EBF" w:rsidRPr="00712B16" w:rsidRDefault="009B474E" w:rsidP="00C03160">
      <w:pPr>
        <w:spacing w:after="0" w:line="480" w:lineRule="auto"/>
        <w:ind w:firstLine="567"/>
        <w:jc w:val="both"/>
        <w:rPr>
          <w:rFonts w:ascii="Times New Roman" w:hAnsi="Times New Roman" w:cs="Times New Roman"/>
          <w:sz w:val="24"/>
          <w:szCs w:val="24"/>
        </w:rPr>
      </w:pPr>
      <w:r w:rsidRPr="00712B16">
        <w:rPr>
          <w:rFonts w:ascii="Times New Roman" w:hAnsi="Times New Roman" w:cs="Times New Roman"/>
          <w:sz w:val="24"/>
          <w:szCs w:val="24"/>
        </w:rPr>
        <w:t>Regarding the country distribution, 16.49% of the sample firms are headquartered in China, while 14.04% and 13.26% of firm-year observations are from India and Japan, respectively. Firms from Australia account for 5.58% of the sample, and South Korea contributes 5.26% of the total sample.</w:t>
      </w:r>
      <w:r w:rsidR="00C03160" w:rsidRPr="00712B16">
        <w:rPr>
          <w:rFonts w:ascii="Times New Roman" w:hAnsi="Times New Roman" w:cs="Times New Roman"/>
          <w:sz w:val="24"/>
          <w:szCs w:val="24"/>
        </w:rPr>
        <w:t xml:space="preserve"> </w:t>
      </w:r>
      <w:r w:rsidR="001A6543" w:rsidRPr="00712B16">
        <w:rPr>
          <w:rFonts w:ascii="Times New Roman" w:hAnsi="Times New Roman" w:cs="Times New Roman"/>
          <w:sz w:val="24"/>
          <w:szCs w:val="24"/>
        </w:rPr>
        <w:t xml:space="preserve">Panel C of Table 1 </w:t>
      </w:r>
      <w:r w:rsidRPr="00712B16">
        <w:rPr>
          <w:rFonts w:ascii="Times New Roman" w:hAnsi="Times New Roman" w:cs="Times New Roman"/>
          <w:sz w:val="24"/>
          <w:szCs w:val="24"/>
        </w:rPr>
        <w:t xml:space="preserve">also presents the yearly </w:t>
      </w:r>
      <w:r w:rsidRPr="00712B16">
        <w:rPr>
          <w:rFonts w:ascii="Times New Roman" w:hAnsi="Times New Roman" w:cs="Times New Roman"/>
          <w:sz w:val="24"/>
          <w:szCs w:val="24"/>
        </w:rPr>
        <w:lastRenderedPageBreak/>
        <w:t xml:space="preserve">distribution of the sample, indicating the percentage of observations for each year from 2011 (7.99%) to 2021 (9.71%). This demonstrates the gradual increase in observations over the </w:t>
      </w:r>
      <w:r w:rsidR="00485707" w:rsidRPr="00712B16">
        <w:rPr>
          <w:rFonts w:ascii="Times New Roman" w:hAnsi="Times New Roman" w:cs="Times New Roman"/>
          <w:sz w:val="24"/>
          <w:szCs w:val="24"/>
        </w:rPr>
        <w:t xml:space="preserve">period </w:t>
      </w:r>
      <w:r w:rsidRPr="00712B16">
        <w:rPr>
          <w:rFonts w:ascii="Times New Roman" w:hAnsi="Times New Roman" w:cs="Times New Roman"/>
          <w:sz w:val="24"/>
          <w:szCs w:val="24"/>
        </w:rPr>
        <w:t>of the study.</w:t>
      </w:r>
      <w:r w:rsidRPr="00712B16" w:rsidDel="009B474E">
        <w:rPr>
          <w:rFonts w:ascii="Times New Roman" w:hAnsi="Times New Roman" w:cs="Times New Roman"/>
          <w:sz w:val="24"/>
          <w:szCs w:val="24"/>
        </w:rPr>
        <w:t xml:space="preserve"> </w:t>
      </w:r>
    </w:p>
    <w:p w14:paraId="1ACCD275" w14:textId="77777777" w:rsidR="008C40C5" w:rsidRPr="00712B16" w:rsidRDefault="008C40C5" w:rsidP="00B36EBF">
      <w:pPr>
        <w:spacing w:after="0" w:line="480" w:lineRule="auto"/>
        <w:ind w:firstLine="630"/>
        <w:jc w:val="center"/>
        <w:rPr>
          <w:rFonts w:ascii="Times New Roman" w:hAnsi="Times New Roman" w:cs="Times New Roman"/>
          <w:sz w:val="24"/>
          <w:szCs w:val="24"/>
        </w:rPr>
      </w:pPr>
    </w:p>
    <w:p w14:paraId="12D73FF4" w14:textId="65D14EE2" w:rsidR="009032E8" w:rsidRPr="00712B16" w:rsidRDefault="00183F61">
      <w:pPr>
        <w:pStyle w:val="Heading3"/>
        <w:spacing w:line="480" w:lineRule="auto"/>
        <w:jc w:val="both"/>
        <w:rPr>
          <w:rFonts w:ascii="Times New Roman" w:hAnsi="Times New Roman" w:cs="Times New Roman"/>
          <w:i/>
          <w:iCs/>
          <w:color w:val="auto"/>
        </w:rPr>
      </w:pPr>
      <w:bookmarkStart w:id="23" w:name="_Toc118466035"/>
      <w:bookmarkStart w:id="24" w:name="_Hlk118977920"/>
      <w:r w:rsidRPr="00712B16">
        <w:rPr>
          <w:rFonts w:ascii="Times New Roman" w:hAnsi="Times New Roman" w:cs="Times New Roman"/>
          <w:i/>
          <w:iCs/>
          <w:color w:val="auto"/>
        </w:rPr>
        <w:t xml:space="preserve">3.1.2 Information on </w:t>
      </w:r>
      <w:r w:rsidR="000D1E4D" w:rsidRPr="00712B16">
        <w:rPr>
          <w:rFonts w:ascii="Times New Roman" w:hAnsi="Times New Roman" w:cs="Times New Roman"/>
          <w:i/>
          <w:iCs/>
          <w:color w:val="auto"/>
        </w:rPr>
        <w:t xml:space="preserve">the </w:t>
      </w:r>
      <w:r w:rsidR="005832CF" w:rsidRPr="00712B16">
        <w:rPr>
          <w:rFonts w:ascii="Times New Roman" w:hAnsi="Times New Roman" w:cs="Times New Roman"/>
          <w:i/>
          <w:iCs/>
          <w:color w:val="auto"/>
        </w:rPr>
        <w:t>net zero</w:t>
      </w:r>
      <w:r w:rsidRPr="00712B16">
        <w:rPr>
          <w:rFonts w:ascii="Times New Roman" w:hAnsi="Times New Roman" w:cs="Times New Roman"/>
          <w:i/>
          <w:iCs/>
          <w:color w:val="auto"/>
        </w:rPr>
        <w:t xml:space="preserve"> target by country</w:t>
      </w:r>
      <w:bookmarkEnd w:id="23"/>
    </w:p>
    <w:bookmarkEnd w:id="24"/>
    <w:p w14:paraId="4C063911" w14:textId="40CF4DE6" w:rsidR="00B36EBF" w:rsidRPr="00712B16" w:rsidRDefault="009B474E" w:rsidP="00996E84">
      <w:pPr>
        <w:spacing w:after="0" w:line="480" w:lineRule="auto"/>
        <w:jc w:val="both"/>
        <w:rPr>
          <w:rFonts w:ascii="Times New Roman" w:hAnsi="Times New Roman" w:cs="Times New Roman"/>
          <w:sz w:val="24"/>
          <w:szCs w:val="24"/>
        </w:rPr>
      </w:pPr>
      <w:r w:rsidRPr="00712B16">
        <w:rPr>
          <w:rFonts w:ascii="Times New Roman" w:hAnsi="Times New Roman" w:cs="Times New Roman"/>
          <w:sz w:val="24"/>
          <w:szCs w:val="24"/>
        </w:rPr>
        <w:t xml:space="preserve">The Energy &amp; Climate Intelligence Unit (2022) provides data on </w:t>
      </w:r>
      <w:r w:rsidR="000D1E4D" w:rsidRPr="00712B16">
        <w:rPr>
          <w:rFonts w:ascii="Times New Roman" w:hAnsi="Times New Roman" w:cs="Times New Roman"/>
          <w:sz w:val="24"/>
          <w:szCs w:val="24"/>
        </w:rPr>
        <w:t xml:space="preserve">the </w:t>
      </w:r>
      <w:r w:rsidR="005832CF" w:rsidRPr="00712B16">
        <w:rPr>
          <w:rFonts w:ascii="Times New Roman" w:hAnsi="Times New Roman" w:cs="Times New Roman"/>
          <w:sz w:val="24"/>
          <w:szCs w:val="24"/>
        </w:rPr>
        <w:t>net zero</w:t>
      </w:r>
      <w:r w:rsidRPr="00712B16">
        <w:rPr>
          <w:rFonts w:ascii="Times New Roman" w:hAnsi="Times New Roman" w:cs="Times New Roman"/>
          <w:sz w:val="24"/>
          <w:szCs w:val="24"/>
        </w:rPr>
        <w:t xml:space="preserve"> target commitments for 126 countries. </w:t>
      </w:r>
      <w:bookmarkStart w:id="25" w:name="_Hlk195533696"/>
      <w:r w:rsidR="00B31F5C" w:rsidRPr="00712B16">
        <w:rPr>
          <w:rFonts w:ascii="Times New Roman" w:hAnsi="Times New Roman" w:cs="Times New Roman"/>
          <w:sz w:val="24"/>
          <w:szCs w:val="24"/>
        </w:rPr>
        <w:t xml:space="preserve">We manually collect the </w:t>
      </w:r>
      <w:r w:rsidRPr="00712B16">
        <w:rPr>
          <w:rFonts w:ascii="Times New Roman" w:hAnsi="Times New Roman" w:cs="Times New Roman"/>
          <w:sz w:val="24"/>
          <w:szCs w:val="24"/>
        </w:rPr>
        <w:t xml:space="preserve">information on </w:t>
      </w:r>
      <w:r w:rsidR="00A50A47" w:rsidRPr="00712B16">
        <w:rPr>
          <w:rFonts w:ascii="Times New Roman" w:hAnsi="Times New Roman" w:cs="Times New Roman"/>
          <w:sz w:val="24"/>
          <w:szCs w:val="24"/>
        </w:rPr>
        <w:t xml:space="preserve">the </w:t>
      </w:r>
      <w:r w:rsidR="005832CF" w:rsidRPr="00712B16">
        <w:rPr>
          <w:rFonts w:ascii="Times New Roman" w:hAnsi="Times New Roman" w:cs="Times New Roman"/>
          <w:sz w:val="24"/>
          <w:szCs w:val="24"/>
        </w:rPr>
        <w:t>net zero</w:t>
      </w:r>
      <w:r w:rsidR="00A50A47" w:rsidRPr="00712B16">
        <w:rPr>
          <w:rFonts w:ascii="Times New Roman" w:hAnsi="Times New Roman" w:cs="Times New Roman"/>
          <w:sz w:val="24"/>
          <w:szCs w:val="24"/>
        </w:rPr>
        <w:t xml:space="preserve"> target</w:t>
      </w:r>
      <w:r w:rsidRPr="00712B16">
        <w:rPr>
          <w:rFonts w:ascii="Times New Roman" w:hAnsi="Times New Roman" w:cs="Times New Roman"/>
          <w:sz w:val="24"/>
          <w:szCs w:val="24"/>
        </w:rPr>
        <w:t xml:space="preserve"> </w:t>
      </w:r>
      <w:r w:rsidR="00897E37" w:rsidRPr="00712B16">
        <w:rPr>
          <w:rFonts w:ascii="Times New Roman" w:hAnsi="Times New Roman" w:cs="Times New Roman"/>
          <w:sz w:val="24"/>
          <w:szCs w:val="24"/>
        </w:rPr>
        <w:t>commitment</w:t>
      </w:r>
      <w:r w:rsidRPr="00712B16">
        <w:rPr>
          <w:rFonts w:ascii="Times New Roman" w:hAnsi="Times New Roman" w:cs="Times New Roman"/>
          <w:sz w:val="24"/>
          <w:szCs w:val="24"/>
        </w:rPr>
        <w:t xml:space="preserve"> by each country from the websites of </w:t>
      </w:r>
      <w:r w:rsidR="00170665" w:rsidRPr="00712B16">
        <w:rPr>
          <w:rFonts w:ascii="Times New Roman" w:hAnsi="Times New Roman" w:cs="Times New Roman"/>
          <w:sz w:val="24"/>
          <w:szCs w:val="24"/>
        </w:rPr>
        <w:t xml:space="preserve">the </w:t>
      </w:r>
      <w:r w:rsidRPr="00712B16">
        <w:rPr>
          <w:rFonts w:ascii="Times New Roman" w:hAnsi="Times New Roman" w:cs="Times New Roman"/>
          <w:sz w:val="24"/>
          <w:szCs w:val="24"/>
        </w:rPr>
        <w:t xml:space="preserve">Energy &amp; Climate Intelligence Unit and Climate Home News. </w:t>
      </w:r>
      <w:bookmarkEnd w:id="25"/>
      <w:r w:rsidRPr="00712B16">
        <w:rPr>
          <w:rFonts w:ascii="Times New Roman" w:hAnsi="Times New Roman" w:cs="Times New Roman"/>
          <w:sz w:val="24"/>
          <w:szCs w:val="24"/>
        </w:rPr>
        <w:t>Climate Home News (2019</w:t>
      </w:r>
      <w:r w:rsidR="008E241E" w:rsidRPr="00712B16">
        <w:rPr>
          <w:rFonts w:ascii="Times New Roman" w:hAnsi="Times New Roman" w:cs="Times New Roman"/>
          <w:sz w:val="24"/>
          <w:szCs w:val="24"/>
        </w:rPr>
        <w:t>b</w:t>
      </w:r>
      <w:r w:rsidRPr="00712B16">
        <w:rPr>
          <w:rFonts w:ascii="Times New Roman" w:hAnsi="Times New Roman" w:cs="Times New Roman"/>
          <w:sz w:val="24"/>
          <w:szCs w:val="24"/>
        </w:rPr>
        <w:t xml:space="preserve">) offers the year of </w:t>
      </w:r>
      <w:r w:rsidR="005832CF" w:rsidRPr="00712B16">
        <w:rPr>
          <w:rFonts w:ascii="Times New Roman" w:hAnsi="Times New Roman" w:cs="Times New Roman"/>
          <w:sz w:val="24"/>
          <w:szCs w:val="24"/>
        </w:rPr>
        <w:t>net zero</w:t>
      </w:r>
      <w:r w:rsidR="00090DC8" w:rsidRPr="00712B16">
        <w:rPr>
          <w:rFonts w:ascii="Times New Roman" w:hAnsi="Times New Roman" w:cs="Times New Roman"/>
          <w:sz w:val="24"/>
          <w:szCs w:val="24"/>
        </w:rPr>
        <w:t xml:space="preserve"> target</w:t>
      </w:r>
      <w:r w:rsidRPr="00712B16">
        <w:rPr>
          <w:rFonts w:ascii="Times New Roman" w:hAnsi="Times New Roman" w:cs="Times New Roman"/>
          <w:sz w:val="24"/>
          <w:szCs w:val="24"/>
        </w:rPr>
        <w:t xml:space="preserve"> </w:t>
      </w:r>
      <w:r w:rsidR="00897E37" w:rsidRPr="00712B16">
        <w:rPr>
          <w:rFonts w:ascii="Times New Roman" w:hAnsi="Times New Roman" w:cs="Times New Roman"/>
          <w:sz w:val="24"/>
          <w:szCs w:val="24"/>
        </w:rPr>
        <w:t>commitment</w:t>
      </w:r>
      <w:r w:rsidRPr="00712B16">
        <w:rPr>
          <w:rFonts w:ascii="Times New Roman" w:hAnsi="Times New Roman" w:cs="Times New Roman"/>
          <w:sz w:val="24"/>
          <w:szCs w:val="24"/>
        </w:rPr>
        <w:t xml:space="preserve"> for most countries in the sample, while for the remaining countries, the information is gathered through </w:t>
      </w:r>
      <w:r w:rsidR="0040187B" w:rsidRPr="00712B16">
        <w:rPr>
          <w:rFonts w:ascii="Times New Roman" w:hAnsi="Times New Roman" w:cs="Times New Roman"/>
          <w:sz w:val="24"/>
          <w:szCs w:val="24"/>
        </w:rPr>
        <w:t xml:space="preserve">a </w:t>
      </w:r>
      <w:r w:rsidRPr="00712B16">
        <w:rPr>
          <w:rFonts w:ascii="Times New Roman" w:hAnsi="Times New Roman" w:cs="Times New Roman"/>
          <w:sz w:val="24"/>
          <w:szCs w:val="24"/>
        </w:rPr>
        <w:t xml:space="preserve">manual search on their respective websites. </w:t>
      </w:r>
      <w:r w:rsidR="00B36EBF" w:rsidRPr="00712B16">
        <w:rPr>
          <w:rFonts w:ascii="Times New Roman" w:hAnsi="Times New Roman" w:cs="Times New Roman"/>
          <w:sz w:val="24"/>
          <w:szCs w:val="24"/>
        </w:rPr>
        <w:t xml:space="preserve">The </w:t>
      </w:r>
      <w:r w:rsidR="005832CF" w:rsidRPr="00712B16">
        <w:rPr>
          <w:rFonts w:ascii="Times New Roman" w:hAnsi="Times New Roman" w:cs="Times New Roman"/>
          <w:sz w:val="24"/>
          <w:szCs w:val="24"/>
        </w:rPr>
        <w:t>net zero</w:t>
      </w:r>
      <w:r w:rsidR="00B36EBF" w:rsidRPr="00712B16">
        <w:rPr>
          <w:rFonts w:ascii="Times New Roman" w:hAnsi="Times New Roman" w:cs="Times New Roman"/>
          <w:sz w:val="24"/>
          <w:szCs w:val="24"/>
        </w:rPr>
        <w:t xml:space="preserve"> target </w:t>
      </w:r>
      <w:r w:rsidR="00897E37" w:rsidRPr="00712B16">
        <w:rPr>
          <w:rFonts w:ascii="Times New Roman" w:hAnsi="Times New Roman" w:cs="Times New Roman"/>
          <w:sz w:val="24"/>
          <w:szCs w:val="24"/>
        </w:rPr>
        <w:t>commitment</w:t>
      </w:r>
      <w:r w:rsidR="00B36EBF" w:rsidRPr="00712B16">
        <w:rPr>
          <w:rFonts w:ascii="Times New Roman" w:hAnsi="Times New Roman" w:cs="Times New Roman"/>
          <w:sz w:val="24"/>
          <w:szCs w:val="24"/>
        </w:rPr>
        <w:t xml:space="preserve"> varies in terms of the year of </w:t>
      </w:r>
      <w:r w:rsidR="00897E37" w:rsidRPr="00712B16">
        <w:rPr>
          <w:rFonts w:ascii="Times New Roman" w:hAnsi="Times New Roman" w:cs="Times New Roman"/>
          <w:sz w:val="24"/>
          <w:szCs w:val="24"/>
        </w:rPr>
        <w:t>commitment</w:t>
      </w:r>
      <w:r w:rsidR="00B36EBF" w:rsidRPr="00712B16">
        <w:rPr>
          <w:rFonts w:ascii="Times New Roman" w:hAnsi="Times New Roman" w:cs="Times New Roman"/>
          <w:sz w:val="24"/>
          <w:szCs w:val="24"/>
        </w:rPr>
        <w:t xml:space="preserve"> and the level of commitment, which includes: </w:t>
      </w:r>
      <w:proofErr w:type="spellStart"/>
      <w:r w:rsidR="00B36EBF" w:rsidRPr="00712B16">
        <w:rPr>
          <w:rFonts w:ascii="Times New Roman" w:hAnsi="Times New Roman" w:cs="Times New Roman"/>
          <w:sz w:val="24"/>
          <w:szCs w:val="24"/>
        </w:rPr>
        <w:t>i</w:t>
      </w:r>
      <w:proofErr w:type="spellEnd"/>
      <w:r w:rsidR="00B36EBF" w:rsidRPr="00712B16">
        <w:rPr>
          <w:rFonts w:ascii="Times New Roman" w:hAnsi="Times New Roman" w:cs="Times New Roman"/>
          <w:sz w:val="24"/>
          <w:szCs w:val="24"/>
        </w:rPr>
        <w:t xml:space="preserve">) in law, ii) </w:t>
      </w:r>
      <w:r w:rsidR="00B36D65" w:rsidRPr="00712B16">
        <w:rPr>
          <w:rFonts w:ascii="Times New Roman" w:hAnsi="Times New Roman" w:cs="Times New Roman"/>
          <w:sz w:val="24"/>
          <w:szCs w:val="24"/>
        </w:rPr>
        <w:t xml:space="preserve">in </w:t>
      </w:r>
      <w:r w:rsidR="00B36EBF" w:rsidRPr="00712B16">
        <w:rPr>
          <w:rFonts w:ascii="Times New Roman" w:hAnsi="Times New Roman" w:cs="Times New Roman"/>
          <w:sz w:val="24"/>
          <w:szCs w:val="24"/>
        </w:rPr>
        <w:t xml:space="preserve">official policy document, iii) in declaration/pledge, and iv) in discussion/proposed. </w:t>
      </w:r>
    </w:p>
    <w:p w14:paraId="7E60135A" w14:textId="77777777" w:rsidR="00D35B8F" w:rsidRPr="00712B16" w:rsidRDefault="00D35B8F" w:rsidP="009B474E">
      <w:pPr>
        <w:spacing w:after="0" w:line="480" w:lineRule="auto"/>
        <w:jc w:val="both"/>
        <w:rPr>
          <w:rFonts w:ascii="Times New Roman" w:hAnsi="Times New Roman" w:cs="Times New Roman"/>
          <w:sz w:val="24"/>
          <w:szCs w:val="24"/>
        </w:rPr>
      </w:pPr>
    </w:p>
    <w:p w14:paraId="03E580CE" w14:textId="4F5D68AA" w:rsidR="009032E8" w:rsidRPr="00712B16" w:rsidRDefault="00183F61">
      <w:pPr>
        <w:pStyle w:val="Heading2"/>
        <w:spacing w:before="0" w:line="480" w:lineRule="auto"/>
        <w:jc w:val="both"/>
        <w:rPr>
          <w:rFonts w:cs="Times New Roman"/>
          <w:b w:val="0"/>
          <w:bCs/>
          <w:i/>
          <w:szCs w:val="24"/>
        </w:rPr>
      </w:pPr>
      <w:bookmarkStart w:id="26" w:name="_Toc118466036"/>
      <w:bookmarkStart w:id="27" w:name="_Hlk118977941"/>
      <w:r w:rsidRPr="00712B16">
        <w:rPr>
          <w:rFonts w:cs="Times New Roman"/>
          <w:b w:val="0"/>
          <w:bCs/>
          <w:i/>
          <w:szCs w:val="24"/>
        </w:rPr>
        <w:t>3.2 Empirical Models</w:t>
      </w:r>
      <w:bookmarkEnd w:id="26"/>
    </w:p>
    <w:bookmarkEnd w:id="27"/>
    <w:p w14:paraId="168B08CC" w14:textId="307D636B" w:rsidR="009032E8" w:rsidRPr="00712B16" w:rsidRDefault="00E051A3">
      <w:pPr>
        <w:spacing w:after="0" w:line="480" w:lineRule="auto"/>
        <w:jc w:val="both"/>
        <w:rPr>
          <w:rFonts w:ascii="Times New Roman" w:hAnsi="Times New Roman" w:cs="Times New Roman"/>
          <w:sz w:val="24"/>
          <w:szCs w:val="24"/>
        </w:rPr>
      </w:pPr>
      <w:r w:rsidRPr="00712B16">
        <w:rPr>
          <w:rFonts w:ascii="Times New Roman" w:hAnsi="Times New Roman" w:cs="Times New Roman"/>
          <w:sz w:val="24"/>
          <w:szCs w:val="24"/>
        </w:rPr>
        <w:t xml:space="preserve">To test whether firms headquartered in countries </w:t>
      </w:r>
      <w:r w:rsidR="00510E73" w:rsidRPr="00712B16">
        <w:rPr>
          <w:rFonts w:ascii="Times New Roman" w:hAnsi="Times New Roman" w:cs="Times New Roman"/>
          <w:sz w:val="24"/>
          <w:szCs w:val="24"/>
        </w:rPr>
        <w:t>committed to</w:t>
      </w:r>
      <w:r w:rsidRPr="00712B16">
        <w:rPr>
          <w:rFonts w:ascii="Times New Roman" w:hAnsi="Times New Roman" w:cs="Times New Roman"/>
          <w:sz w:val="24"/>
          <w:szCs w:val="24"/>
        </w:rPr>
        <w:t xml:space="preserve"> </w:t>
      </w:r>
      <w:r w:rsidR="00A50A47" w:rsidRPr="00712B16">
        <w:rPr>
          <w:rFonts w:ascii="Times New Roman" w:hAnsi="Times New Roman" w:cs="Times New Roman"/>
          <w:sz w:val="24"/>
          <w:szCs w:val="24"/>
        </w:rPr>
        <w:t xml:space="preserve">the </w:t>
      </w:r>
      <w:r w:rsidR="005832CF" w:rsidRPr="00712B16">
        <w:rPr>
          <w:rFonts w:ascii="Times New Roman" w:hAnsi="Times New Roman" w:cs="Times New Roman"/>
          <w:sz w:val="24"/>
          <w:szCs w:val="24"/>
        </w:rPr>
        <w:t>net zero</w:t>
      </w:r>
      <w:r w:rsidRPr="00712B16">
        <w:rPr>
          <w:rFonts w:ascii="Times New Roman" w:hAnsi="Times New Roman" w:cs="Times New Roman"/>
          <w:sz w:val="24"/>
          <w:szCs w:val="24"/>
        </w:rPr>
        <w:t xml:space="preserve"> target</w:t>
      </w:r>
      <w:r w:rsidR="00A50A47" w:rsidRPr="00712B16">
        <w:rPr>
          <w:rFonts w:ascii="Times New Roman" w:hAnsi="Times New Roman" w:cs="Times New Roman"/>
          <w:sz w:val="24"/>
          <w:szCs w:val="24"/>
        </w:rPr>
        <w:t>s</w:t>
      </w:r>
      <w:r w:rsidRPr="00712B16">
        <w:rPr>
          <w:rFonts w:ascii="Times New Roman" w:hAnsi="Times New Roman" w:cs="Times New Roman"/>
          <w:sz w:val="24"/>
          <w:szCs w:val="24"/>
        </w:rPr>
        <w:t xml:space="preserve"> are more likely to engage in </w:t>
      </w:r>
      <w:r w:rsidR="004635FA" w:rsidRPr="00712B16">
        <w:rPr>
          <w:rFonts w:ascii="Times New Roman" w:hAnsi="Times New Roman" w:cs="Times New Roman"/>
          <w:sz w:val="24"/>
          <w:szCs w:val="24"/>
        </w:rPr>
        <w:t>REM</w:t>
      </w:r>
      <w:r w:rsidRPr="00712B16">
        <w:rPr>
          <w:rFonts w:ascii="Times New Roman" w:hAnsi="Times New Roman" w:cs="Times New Roman"/>
          <w:sz w:val="24"/>
          <w:szCs w:val="24"/>
        </w:rPr>
        <w:t xml:space="preserve"> activities, </w:t>
      </w:r>
      <w:r w:rsidR="00BD2A5D" w:rsidRPr="00712B16">
        <w:rPr>
          <w:rFonts w:ascii="Times New Roman" w:hAnsi="Times New Roman" w:cs="Times New Roman"/>
          <w:sz w:val="24"/>
          <w:szCs w:val="24"/>
        </w:rPr>
        <w:t>we estimate</w:t>
      </w:r>
      <w:r w:rsidRPr="00712B16">
        <w:rPr>
          <w:rFonts w:ascii="Times New Roman" w:hAnsi="Times New Roman" w:cs="Times New Roman"/>
          <w:sz w:val="24"/>
          <w:szCs w:val="24"/>
        </w:rPr>
        <w:t xml:space="preserve"> the following regression model for hypothesis 1:</w:t>
      </w:r>
    </w:p>
    <w:p w14:paraId="3A4C7593" w14:textId="67E0BEE2" w:rsidR="009032E8" w:rsidRPr="00712B16" w:rsidRDefault="00E051A3" w:rsidP="009B67CB">
      <w:pPr>
        <w:spacing w:after="0" w:line="240" w:lineRule="auto"/>
        <w:rPr>
          <w:rFonts w:ascii="Times New Roman" w:hAnsi="Times New Roman" w:cs="Times New Roman"/>
          <w:sz w:val="24"/>
          <w:szCs w:val="24"/>
        </w:rPr>
      </w:pPr>
      <w:proofErr w:type="spellStart"/>
      <w:r w:rsidRPr="00712B16">
        <w:rPr>
          <w:rFonts w:ascii="Times New Roman" w:hAnsi="Times New Roman" w:cs="Times New Roman"/>
          <w:i/>
          <w:iCs/>
          <w:sz w:val="24"/>
          <w:szCs w:val="24"/>
        </w:rPr>
        <w:t>REM</w:t>
      </w:r>
      <w:r w:rsidRPr="00712B16">
        <w:rPr>
          <w:rFonts w:ascii="Times New Roman" w:hAnsi="Times New Roman" w:cs="Times New Roman"/>
          <w:i/>
          <w:iCs/>
          <w:sz w:val="24"/>
          <w:szCs w:val="24"/>
          <w:vertAlign w:val="subscript"/>
        </w:rPr>
        <w:t>i,t</w:t>
      </w:r>
      <w:proofErr w:type="spellEnd"/>
      <w:r w:rsidRPr="00712B16">
        <w:rPr>
          <w:rFonts w:ascii="Times New Roman" w:hAnsi="Times New Roman" w:cs="Times New Roman"/>
          <w:i/>
          <w:iCs/>
          <w:sz w:val="24"/>
          <w:szCs w:val="24"/>
          <w:vertAlign w:val="subscript"/>
        </w:rPr>
        <w:t xml:space="preserve"> </w:t>
      </w:r>
      <w:r w:rsidRPr="00712B16">
        <w:rPr>
          <w:rFonts w:ascii="Times New Roman" w:hAnsi="Times New Roman" w:cs="Times New Roman"/>
          <w:i/>
          <w:iCs/>
          <w:sz w:val="24"/>
          <w:szCs w:val="24"/>
        </w:rPr>
        <w:t>= β</w:t>
      </w:r>
      <w:r w:rsidRPr="00712B16">
        <w:rPr>
          <w:rFonts w:ascii="Times New Roman" w:hAnsi="Times New Roman" w:cs="Times New Roman"/>
          <w:i/>
          <w:iCs/>
          <w:sz w:val="24"/>
          <w:szCs w:val="24"/>
          <w:vertAlign w:val="subscript"/>
        </w:rPr>
        <w:t xml:space="preserve">0 </w:t>
      </w:r>
      <w:r w:rsidRPr="00712B16">
        <w:rPr>
          <w:rFonts w:ascii="Times New Roman" w:hAnsi="Times New Roman" w:cs="Times New Roman"/>
          <w:sz w:val="24"/>
          <w:szCs w:val="24"/>
        </w:rPr>
        <w:t xml:space="preserve">+ </w:t>
      </w:r>
      <w:r w:rsidRPr="00712B16">
        <w:rPr>
          <w:rFonts w:ascii="Times New Roman" w:hAnsi="Times New Roman" w:cs="Times New Roman"/>
          <w:i/>
          <w:iCs/>
          <w:sz w:val="24"/>
          <w:szCs w:val="24"/>
        </w:rPr>
        <w:t>β</w:t>
      </w:r>
      <w:r w:rsidRPr="00712B16">
        <w:rPr>
          <w:rFonts w:ascii="Times New Roman" w:hAnsi="Times New Roman" w:cs="Times New Roman"/>
          <w:i/>
          <w:iCs/>
          <w:sz w:val="24"/>
          <w:szCs w:val="24"/>
          <w:vertAlign w:val="subscript"/>
        </w:rPr>
        <w:t>1</w:t>
      </w:r>
      <w:r w:rsidRPr="00712B16">
        <w:rPr>
          <w:rFonts w:ascii="Times New Roman" w:hAnsi="Times New Roman" w:cs="Times New Roman"/>
          <w:i/>
          <w:iCs/>
          <w:sz w:val="24"/>
          <w:szCs w:val="24"/>
        </w:rPr>
        <w:t>COUNTRY_NETZERO</w:t>
      </w:r>
      <w:r w:rsidRPr="00712B16">
        <w:rPr>
          <w:rFonts w:ascii="Times New Roman" w:hAnsi="Times New Roman" w:cs="Times New Roman"/>
          <w:i/>
          <w:iCs/>
          <w:sz w:val="24"/>
          <w:szCs w:val="24"/>
          <w:vertAlign w:val="subscript"/>
        </w:rPr>
        <w:t xml:space="preserve">i,t </w:t>
      </w:r>
      <w:r w:rsidRPr="00712B16">
        <w:rPr>
          <w:rFonts w:ascii="Times New Roman" w:hAnsi="Times New Roman" w:cs="Times New Roman"/>
          <w:sz w:val="24"/>
          <w:szCs w:val="24"/>
        </w:rPr>
        <w:t xml:space="preserve">+ </w:t>
      </w:r>
      <w:r w:rsidRPr="00712B16">
        <w:rPr>
          <w:rFonts w:ascii="Times New Roman" w:hAnsi="Times New Roman" w:cs="Times New Roman"/>
          <w:i/>
          <w:iCs/>
          <w:sz w:val="24"/>
          <w:szCs w:val="24"/>
        </w:rPr>
        <w:t>β</w:t>
      </w:r>
      <w:r w:rsidRPr="00712B16">
        <w:rPr>
          <w:rFonts w:ascii="Times New Roman" w:hAnsi="Times New Roman" w:cs="Times New Roman"/>
          <w:i/>
          <w:iCs/>
          <w:sz w:val="24"/>
          <w:szCs w:val="24"/>
          <w:vertAlign w:val="subscript"/>
        </w:rPr>
        <w:t>2</w:t>
      </w:r>
      <w:r w:rsidRPr="00712B16">
        <w:rPr>
          <w:rFonts w:ascii="Times New Roman" w:hAnsi="Times New Roman" w:cs="Times New Roman"/>
          <w:i/>
          <w:iCs/>
          <w:sz w:val="24"/>
          <w:szCs w:val="24"/>
        </w:rPr>
        <w:t>CLIMATE_RISK</w:t>
      </w:r>
      <w:r w:rsidRPr="00712B16">
        <w:rPr>
          <w:rFonts w:ascii="Times New Roman" w:hAnsi="Times New Roman" w:cs="Times New Roman"/>
          <w:i/>
          <w:iCs/>
          <w:sz w:val="24"/>
          <w:szCs w:val="24"/>
          <w:vertAlign w:val="subscript"/>
        </w:rPr>
        <w:t xml:space="preserve">i,t </w:t>
      </w:r>
      <w:r w:rsidRPr="00712B16">
        <w:rPr>
          <w:rFonts w:ascii="Times New Roman" w:hAnsi="Times New Roman" w:cs="Times New Roman"/>
          <w:sz w:val="24"/>
          <w:szCs w:val="24"/>
        </w:rPr>
        <w:t xml:space="preserve">+ </w:t>
      </w:r>
      <w:r w:rsidRPr="00712B16">
        <w:rPr>
          <w:rFonts w:ascii="Times New Roman" w:hAnsi="Times New Roman" w:cs="Times New Roman"/>
          <w:i/>
          <w:iCs/>
          <w:sz w:val="24"/>
          <w:szCs w:val="24"/>
        </w:rPr>
        <w:t>β</w:t>
      </w:r>
      <w:r w:rsidRPr="00712B16">
        <w:rPr>
          <w:rFonts w:ascii="Times New Roman" w:hAnsi="Times New Roman" w:cs="Times New Roman"/>
          <w:i/>
          <w:iCs/>
          <w:sz w:val="24"/>
          <w:szCs w:val="24"/>
          <w:vertAlign w:val="subscript"/>
        </w:rPr>
        <w:t>3</w:t>
      </w:r>
      <w:r w:rsidRPr="00712B16">
        <w:rPr>
          <w:rFonts w:ascii="Times New Roman" w:hAnsi="Times New Roman" w:cs="Times New Roman"/>
          <w:i/>
          <w:iCs/>
          <w:sz w:val="24"/>
          <w:szCs w:val="24"/>
        </w:rPr>
        <w:t>CO2_PER_CAPITA</w:t>
      </w:r>
      <w:r w:rsidRPr="00712B16">
        <w:rPr>
          <w:rFonts w:ascii="Times New Roman" w:hAnsi="Times New Roman" w:cs="Times New Roman"/>
          <w:i/>
          <w:iCs/>
          <w:sz w:val="24"/>
          <w:szCs w:val="24"/>
          <w:vertAlign w:val="subscript"/>
        </w:rPr>
        <w:t xml:space="preserve">i,t </w:t>
      </w:r>
      <w:r w:rsidRPr="00712B16">
        <w:rPr>
          <w:rFonts w:ascii="Times New Roman" w:hAnsi="Times New Roman" w:cs="Times New Roman"/>
          <w:sz w:val="24"/>
          <w:szCs w:val="24"/>
        </w:rPr>
        <w:t xml:space="preserve">+ </w:t>
      </w:r>
      <w:r w:rsidRPr="00712B16">
        <w:rPr>
          <w:rFonts w:ascii="Times New Roman" w:hAnsi="Times New Roman" w:cs="Times New Roman"/>
          <w:i/>
          <w:iCs/>
          <w:sz w:val="24"/>
          <w:szCs w:val="24"/>
        </w:rPr>
        <w:t>β</w:t>
      </w:r>
      <w:r w:rsidRPr="00712B16">
        <w:rPr>
          <w:rFonts w:ascii="Times New Roman" w:hAnsi="Times New Roman" w:cs="Times New Roman"/>
          <w:i/>
          <w:iCs/>
          <w:sz w:val="24"/>
          <w:szCs w:val="24"/>
          <w:vertAlign w:val="subscript"/>
        </w:rPr>
        <w:t>4</w:t>
      </w:r>
      <w:r w:rsidRPr="00712B16">
        <w:rPr>
          <w:rFonts w:ascii="Times New Roman" w:hAnsi="Times New Roman" w:cs="Times New Roman"/>
          <w:i/>
          <w:iCs/>
          <w:sz w:val="24"/>
          <w:szCs w:val="24"/>
        </w:rPr>
        <w:t>GDP_PER_CAPITA</w:t>
      </w:r>
      <w:r w:rsidRPr="00712B16">
        <w:rPr>
          <w:rFonts w:ascii="Times New Roman" w:hAnsi="Times New Roman" w:cs="Times New Roman"/>
          <w:i/>
          <w:iCs/>
          <w:sz w:val="24"/>
          <w:szCs w:val="24"/>
          <w:vertAlign w:val="subscript"/>
        </w:rPr>
        <w:t xml:space="preserve">i,t </w:t>
      </w:r>
      <w:r w:rsidRPr="00712B16">
        <w:rPr>
          <w:rFonts w:ascii="Times New Roman" w:hAnsi="Times New Roman" w:cs="Times New Roman"/>
          <w:sz w:val="24"/>
          <w:szCs w:val="24"/>
        </w:rPr>
        <w:t xml:space="preserve">+ </w:t>
      </w:r>
      <w:r w:rsidRPr="00712B16">
        <w:rPr>
          <w:rFonts w:ascii="Times New Roman" w:hAnsi="Times New Roman" w:cs="Times New Roman"/>
          <w:i/>
          <w:iCs/>
          <w:sz w:val="24"/>
          <w:szCs w:val="24"/>
        </w:rPr>
        <w:t>β</w:t>
      </w:r>
      <w:r w:rsidRPr="00712B16">
        <w:rPr>
          <w:rFonts w:ascii="Times New Roman" w:hAnsi="Times New Roman" w:cs="Times New Roman"/>
          <w:i/>
          <w:iCs/>
          <w:sz w:val="24"/>
          <w:szCs w:val="24"/>
          <w:vertAlign w:val="subscript"/>
        </w:rPr>
        <w:t>5</w:t>
      </w:r>
      <w:r w:rsidRPr="00712B16">
        <w:rPr>
          <w:rFonts w:ascii="Times New Roman" w:hAnsi="Times New Roman" w:cs="Times New Roman"/>
          <w:i/>
          <w:iCs/>
          <w:sz w:val="24"/>
          <w:szCs w:val="24"/>
        </w:rPr>
        <w:t>GDP_GROWTH_RATE</w:t>
      </w:r>
      <w:r w:rsidRPr="00712B16">
        <w:rPr>
          <w:rFonts w:ascii="Times New Roman" w:hAnsi="Times New Roman" w:cs="Times New Roman"/>
          <w:i/>
          <w:iCs/>
          <w:sz w:val="24"/>
          <w:szCs w:val="24"/>
          <w:vertAlign w:val="subscript"/>
        </w:rPr>
        <w:t xml:space="preserve">i,t </w:t>
      </w:r>
      <w:r w:rsidRPr="00712B16">
        <w:rPr>
          <w:rFonts w:ascii="Times New Roman" w:hAnsi="Times New Roman" w:cs="Times New Roman"/>
          <w:sz w:val="24"/>
          <w:szCs w:val="24"/>
        </w:rPr>
        <w:t xml:space="preserve">+ </w:t>
      </w:r>
      <w:r w:rsidRPr="00712B16">
        <w:rPr>
          <w:rFonts w:ascii="Times New Roman" w:hAnsi="Times New Roman" w:cs="Times New Roman"/>
          <w:i/>
          <w:iCs/>
          <w:sz w:val="24"/>
          <w:szCs w:val="24"/>
        </w:rPr>
        <w:t>β</w:t>
      </w:r>
      <w:r w:rsidRPr="00712B16">
        <w:rPr>
          <w:rFonts w:ascii="Times New Roman" w:hAnsi="Times New Roman" w:cs="Times New Roman"/>
          <w:i/>
          <w:iCs/>
          <w:sz w:val="24"/>
          <w:szCs w:val="24"/>
          <w:vertAlign w:val="subscript"/>
        </w:rPr>
        <w:t>6</w:t>
      </w:r>
      <w:r w:rsidRPr="00712B16">
        <w:rPr>
          <w:rFonts w:ascii="Times New Roman" w:hAnsi="Times New Roman" w:cs="Times New Roman"/>
          <w:i/>
          <w:iCs/>
          <w:sz w:val="24"/>
          <w:szCs w:val="24"/>
        </w:rPr>
        <w:t>CORRUPT_CONTROL</w:t>
      </w:r>
      <w:r w:rsidRPr="00712B16">
        <w:rPr>
          <w:rFonts w:ascii="Times New Roman" w:hAnsi="Times New Roman" w:cs="Times New Roman"/>
          <w:i/>
          <w:iCs/>
          <w:sz w:val="24"/>
          <w:szCs w:val="24"/>
          <w:vertAlign w:val="subscript"/>
        </w:rPr>
        <w:t xml:space="preserve">i,t </w:t>
      </w:r>
      <w:r w:rsidRPr="00712B16">
        <w:rPr>
          <w:rFonts w:ascii="Times New Roman" w:hAnsi="Times New Roman" w:cs="Times New Roman"/>
          <w:sz w:val="24"/>
          <w:szCs w:val="24"/>
        </w:rPr>
        <w:t xml:space="preserve">+ </w:t>
      </w:r>
      <w:r w:rsidRPr="00712B16">
        <w:rPr>
          <w:rFonts w:ascii="Times New Roman" w:hAnsi="Times New Roman" w:cs="Times New Roman"/>
          <w:i/>
          <w:iCs/>
          <w:sz w:val="24"/>
          <w:szCs w:val="24"/>
        </w:rPr>
        <w:t>β</w:t>
      </w:r>
      <w:r w:rsidRPr="00712B16">
        <w:rPr>
          <w:rFonts w:ascii="Times New Roman" w:hAnsi="Times New Roman" w:cs="Times New Roman"/>
          <w:i/>
          <w:iCs/>
          <w:sz w:val="24"/>
          <w:szCs w:val="24"/>
          <w:vertAlign w:val="subscript"/>
        </w:rPr>
        <w:t>7</w:t>
      </w:r>
      <w:r w:rsidRPr="00712B16">
        <w:rPr>
          <w:rFonts w:ascii="Times New Roman" w:hAnsi="Times New Roman" w:cs="Times New Roman"/>
          <w:i/>
          <w:iCs/>
          <w:sz w:val="24"/>
          <w:szCs w:val="24"/>
        </w:rPr>
        <w:t>GOV_EFFECT</w:t>
      </w:r>
      <w:r w:rsidRPr="00712B16">
        <w:rPr>
          <w:rFonts w:ascii="Times New Roman" w:hAnsi="Times New Roman" w:cs="Times New Roman"/>
          <w:i/>
          <w:iCs/>
          <w:sz w:val="24"/>
          <w:szCs w:val="24"/>
          <w:vertAlign w:val="subscript"/>
        </w:rPr>
        <w:t xml:space="preserve">i,t </w:t>
      </w:r>
      <w:r w:rsidRPr="00712B16">
        <w:rPr>
          <w:rFonts w:ascii="Times New Roman" w:hAnsi="Times New Roman" w:cs="Times New Roman"/>
          <w:sz w:val="24"/>
          <w:szCs w:val="24"/>
        </w:rPr>
        <w:t xml:space="preserve">+ </w:t>
      </w:r>
      <w:r w:rsidRPr="00712B16">
        <w:rPr>
          <w:rFonts w:ascii="Times New Roman" w:hAnsi="Times New Roman" w:cs="Times New Roman"/>
          <w:i/>
          <w:iCs/>
          <w:sz w:val="24"/>
          <w:szCs w:val="24"/>
        </w:rPr>
        <w:t>β</w:t>
      </w:r>
      <w:r w:rsidRPr="00712B16">
        <w:rPr>
          <w:rFonts w:ascii="Times New Roman" w:hAnsi="Times New Roman" w:cs="Times New Roman"/>
          <w:i/>
          <w:iCs/>
          <w:sz w:val="24"/>
          <w:szCs w:val="24"/>
          <w:vertAlign w:val="subscript"/>
        </w:rPr>
        <w:t>8</w:t>
      </w:r>
      <w:r w:rsidRPr="00712B16">
        <w:rPr>
          <w:rFonts w:ascii="Times New Roman" w:hAnsi="Times New Roman" w:cs="Times New Roman"/>
          <w:i/>
          <w:iCs/>
          <w:sz w:val="24"/>
          <w:szCs w:val="24"/>
        </w:rPr>
        <w:t>POL_STABILITY</w:t>
      </w:r>
      <w:r w:rsidRPr="00712B16">
        <w:rPr>
          <w:rFonts w:ascii="Times New Roman" w:hAnsi="Times New Roman" w:cs="Times New Roman"/>
          <w:i/>
          <w:iCs/>
          <w:sz w:val="24"/>
          <w:szCs w:val="24"/>
          <w:vertAlign w:val="subscript"/>
        </w:rPr>
        <w:t xml:space="preserve">i,t </w:t>
      </w:r>
      <w:r w:rsidRPr="00712B16">
        <w:rPr>
          <w:rFonts w:ascii="Times New Roman" w:hAnsi="Times New Roman" w:cs="Times New Roman"/>
          <w:sz w:val="24"/>
          <w:szCs w:val="24"/>
        </w:rPr>
        <w:t xml:space="preserve">+ </w:t>
      </w:r>
      <w:r w:rsidRPr="00712B16">
        <w:rPr>
          <w:rFonts w:ascii="Times New Roman" w:hAnsi="Times New Roman" w:cs="Times New Roman"/>
          <w:i/>
          <w:iCs/>
          <w:sz w:val="24"/>
          <w:szCs w:val="24"/>
        </w:rPr>
        <w:t>β</w:t>
      </w:r>
      <w:r w:rsidRPr="00712B16">
        <w:rPr>
          <w:rFonts w:ascii="Times New Roman" w:hAnsi="Times New Roman" w:cs="Times New Roman"/>
          <w:i/>
          <w:iCs/>
          <w:sz w:val="24"/>
          <w:szCs w:val="24"/>
          <w:vertAlign w:val="subscript"/>
        </w:rPr>
        <w:t>9</w:t>
      </w:r>
      <w:r w:rsidRPr="00712B16">
        <w:rPr>
          <w:rFonts w:ascii="Times New Roman" w:hAnsi="Times New Roman" w:cs="Times New Roman"/>
          <w:i/>
          <w:iCs/>
          <w:sz w:val="24"/>
          <w:szCs w:val="24"/>
        </w:rPr>
        <w:t>REGULATE_QUAL</w:t>
      </w:r>
      <w:r w:rsidRPr="00712B16">
        <w:rPr>
          <w:rFonts w:ascii="Times New Roman" w:hAnsi="Times New Roman" w:cs="Times New Roman"/>
          <w:i/>
          <w:iCs/>
          <w:sz w:val="24"/>
          <w:szCs w:val="24"/>
          <w:vertAlign w:val="subscript"/>
        </w:rPr>
        <w:t xml:space="preserve">i,t </w:t>
      </w:r>
      <w:r w:rsidRPr="00712B16">
        <w:rPr>
          <w:rFonts w:ascii="Times New Roman" w:hAnsi="Times New Roman" w:cs="Times New Roman"/>
          <w:sz w:val="24"/>
          <w:szCs w:val="24"/>
        </w:rPr>
        <w:t xml:space="preserve">+ </w:t>
      </w:r>
      <w:r w:rsidRPr="00712B16">
        <w:rPr>
          <w:rFonts w:ascii="Times New Roman" w:hAnsi="Times New Roman" w:cs="Times New Roman"/>
          <w:i/>
          <w:iCs/>
          <w:sz w:val="24"/>
          <w:szCs w:val="24"/>
        </w:rPr>
        <w:t>β</w:t>
      </w:r>
      <w:r w:rsidRPr="00712B16">
        <w:rPr>
          <w:rFonts w:ascii="Times New Roman" w:hAnsi="Times New Roman" w:cs="Times New Roman"/>
          <w:i/>
          <w:iCs/>
          <w:sz w:val="24"/>
          <w:szCs w:val="24"/>
          <w:vertAlign w:val="subscript"/>
        </w:rPr>
        <w:t>10</w:t>
      </w:r>
      <w:r w:rsidRPr="00712B16">
        <w:rPr>
          <w:rFonts w:ascii="Times New Roman" w:hAnsi="Times New Roman" w:cs="Times New Roman"/>
          <w:i/>
          <w:iCs/>
          <w:sz w:val="24"/>
          <w:szCs w:val="24"/>
        </w:rPr>
        <w:t>RULE_LAW</w:t>
      </w:r>
      <w:r w:rsidRPr="00712B16">
        <w:rPr>
          <w:rFonts w:ascii="Times New Roman" w:hAnsi="Times New Roman" w:cs="Times New Roman"/>
          <w:i/>
          <w:iCs/>
          <w:sz w:val="24"/>
          <w:szCs w:val="24"/>
          <w:vertAlign w:val="subscript"/>
        </w:rPr>
        <w:t xml:space="preserve">i,t </w:t>
      </w:r>
      <w:r w:rsidRPr="00712B16">
        <w:rPr>
          <w:rFonts w:ascii="Times New Roman" w:hAnsi="Times New Roman" w:cs="Times New Roman"/>
          <w:sz w:val="24"/>
          <w:szCs w:val="24"/>
        </w:rPr>
        <w:t xml:space="preserve">+ </w:t>
      </w:r>
      <w:r w:rsidRPr="00712B16">
        <w:rPr>
          <w:rFonts w:ascii="Times New Roman" w:hAnsi="Times New Roman" w:cs="Times New Roman"/>
          <w:i/>
          <w:iCs/>
          <w:sz w:val="24"/>
          <w:szCs w:val="24"/>
        </w:rPr>
        <w:t>β</w:t>
      </w:r>
      <w:r w:rsidRPr="00712B16">
        <w:rPr>
          <w:rFonts w:ascii="Times New Roman" w:hAnsi="Times New Roman" w:cs="Times New Roman"/>
          <w:i/>
          <w:iCs/>
          <w:sz w:val="24"/>
          <w:szCs w:val="24"/>
          <w:vertAlign w:val="subscript"/>
        </w:rPr>
        <w:t>11</w:t>
      </w:r>
      <w:r w:rsidRPr="00712B16">
        <w:rPr>
          <w:rFonts w:ascii="Times New Roman" w:hAnsi="Times New Roman" w:cs="Times New Roman"/>
          <w:i/>
          <w:iCs/>
          <w:sz w:val="24"/>
          <w:szCs w:val="24"/>
        </w:rPr>
        <w:t>VOICE_ACCOUNT</w:t>
      </w:r>
      <w:r w:rsidRPr="00712B16">
        <w:rPr>
          <w:rFonts w:ascii="Times New Roman" w:hAnsi="Times New Roman" w:cs="Times New Roman"/>
          <w:i/>
          <w:iCs/>
          <w:sz w:val="24"/>
          <w:szCs w:val="24"/>
          <w:vertAlign w:val="subscript"/>
        </w:rPr>
        <w:t xml:space="preserve">i,t </w:t>
      </w:r>
      <w:r w:rsidRPr="00712B16">
        <w:rPr>
          <w:rFonts w:ascii="Times New Roman" w:hAnsi="Times New Roman" w:cs="Times New Roman"/>
          <w:sz w:val="24"/>
          <w:szCs w:val="24"/>
        </w:rPr>
        <w:t xml:space="preserve">+ </w:t>
      </w:r>
      <w:r w:rsidRPr="00712B16">
        <w:rPr>
          <w:rFonts w:ascii="Times New Roman" w:hAnsi="Times New Roman" w:cs="Times New Roman"/>
          <w:i/>
          <w:iCs/>
          <w:sz w:val="24"/>
          <w:szCs w:val="24"/>
        </w:rPr>
        <w:t>β</w:t>
      </w:r>
      <w:r w:rsidRPr="00712B16">
        <w:rPr>
          <w:rFonts w:ascii="Times New Roman" w:hAnsi="Times New Roman" w:cs="Times New Roman"/>
          <w:i/>
          <w:iCs/>
          <w:sz w:val="24"/>
          <w:szCs w:val="24"/>
          <w:vertAlign w:val="subscript"/>
        </w:rPr>
        <w:t>12</w:t>
      </w:r>
      <w:r w:rsidRPr="00712B16">
        <w:rPr>
          <w:rFonts w:ascii="Times New Roman" w:hAnsi="Times New Roman" w:cs="Times New Roman"/>
          <w:i/>
          <w:iCs/>
          <w:sz w:val="24"/>
          <w:szCs w:val="24"/>
        </w:rPr>
        <w:t>CTR</w:t>
      </w:r>
      <w:r w:rsidRPr="00712B16">
        <w:rPr>
          <w:rFonts w:ascii="Times New Roman" w:hAnsi="Times New Roman" w:cs="Times New Roman"/>
          <w:i/>
          <w:iCs/>
          <w:sz w:val="24"/>
          <w:szCs w:val="24"/>
          <w:vertAlign w:val="subscript"/>
        </w:rPr>
        <w:t xml:space="preserve">i,t </w:t>
      </w:r>
      <w:r w:rsidRPr="00712B16">
        <w:rPr>
          <w:rFonts w:ascii="Times New Roman" w:hAnsi="Times New Roman" w:cs="Times New Roman"/>
          <w:sz w:val="24"/>
          <w:szCs w:val="24"/>
        </w:rPr>
        <w:t xml:space="preserve">+ </w:t>
      </w:r>
      <w:r w:rsidRPr="00712B16">
        <w:rPr>
          <w:rFonts w:ascii="Times New Roman" w:hAnsi="Times New Roman" w:cs="Times New Roman"/>
          <w:i/>
          <w:iCs/>
          <w:sz w:val="24"/>
          <w:szCs w:val="24"/>
        </w:rPr>
        <w:t>β</w:t>
      </w:r>
      <w:r w:rsidRPr="00712B16">
        <w:rPr>
          <w:rFonts w:ascii="Times New Roman" w:hAnsi="Times New Roman" w:cs="Times New Roman"/>
          <w:i/>
          <w:iCs/>
          <w:sz w:val="24"/>
          <w:szCs w:val="24"/>
          <w:vertAlign w:val="subscript"/>
        </w:rPr>
        <w:t>13</w:t>
      </w:r>
      <w:r w:rsidRPr="00712B16">
        <w:rPr>
          <w:rFonts w:ascii="Times New Roman" w:hAnsi="Times New Roman" w:cs="Times New Roman"/>
          <w:i/>
          <w:iCs/>
          <w:sz w:val="24"/>
          <w:szCs w:val="24"/>
        </w:rPr>
        <w:t>SIZE</w:t>
      </w:r>
      <w:r w:rsidRPr="00712B16">
        <w:rPr>
          <w:rFonts w:ascii="Times New Roman" w:hAnsi="Times New Roman" w:cs="Times New Roman"/>
          <w:i/>
          <w:iCs/>
          <w:sz w:val="24"/>
          <w:szCs w:val="24"/>
          <w:vertAlign w:val="subscript"/>
        </w:rPr>
        <w:t xml:space="preserve">i,t </w:t>
      </w:r>
      <w:r w:rsidRPr="00712B16">
        <w:rPr>
          <w:rFonts w:ascii="Times New Roman" w:hAnsi="Times New Roman" w:cs="Times New Roman"/>
          <w:sz w:val="24"/>
          <w:szCs w:val="24"/>
        </w:rPr>
        <w:t xml:space="preserve">+ </w:t>
      </w:r>
      <w:r w:rsidRPr="00712B16">
        <w:rPr>
          <w:rFonts w:ascii="Times New Roman" w:hAnsi="Times New Roman" w:cs="Times New Roman"/>
          <w:i/>
          <w:iCs/>
          <w:sz w:val="24"/>
          <w:szCs w:val="24"/>
        </w:rPr>
        <w:t>β</w:t>
      </w:r>
      <w:r w:rsidRPr="00712B16">
        <w:rPr>
          <w:rFonts w:ascii="Times New Roman" w:hAnsi="Times New Roman" w:cs="Times New Roman"/>
          <w:i/>
          <w:iCs/>
          <w:sz w:val="24"/>
          <w:szCs w:val="24"/>
          <w:vertAlign w:val="subscript"/>
        </w:rPr>
        <w:t>14</w:t>
      </w:r>
      <w:r w:rsidRPr="00712B16">
        <w:rPr>
          <w:rFonts w:ascii="Times New Roman" w:hAnsi="Times New Roman" w:cs="Times New Roman"/>
          <w:i/>
          <w:iCs/>
          <w:sz w:val="24"/>
          <w:szCs w:val="24"/>
        </w:rPr>
        <w:t>LEV</w:t>
      </w:r>
      <w:r w:rsidRPr="00712B16">
        <w:rPr>
          <w:rFonts w:ascii="Times New Roman" w:hAnsi="Times New Roman" w:cs="Times New Roman"/>
          <w:i/>
          <w:iCs/>
          <w:sz w:val="24"/>
          <w:szCs w:val="24"/>
          <w:vertAlign w:val="subscript"/>
        </w:rPr>
        <w:t xml:space="preserve">i,t </w:t>
      </w:r>
      <w:r w:rsidRPr="00712B16">
        <w:rPr>
          <w:rFonts w:ascii="Times New Roman" w:hAnsi="Times New Roman" w:cs="Times New Roman"/>
          <w:sz w:val="24"/>
          <w:szCs w:val="24"/>
        </w:rPr>
        <w:t xml:space="preserve">+ </w:t>
      </w:r>
      <w:r w:rsidRPr="00712B16">
        <w:rPr>
          <w:rFonts w:ascii="Times New Roman" w:hAnsi="Times New Roman" w:cs="Times New Roman"/>
          <w:i/>
          <w:iCs/>
          <w:sz w:val="24"/>
          <w:szCs w:val="24"/>
        </w:rPr>
        <w:t>β</w:t>
      </w:r>
      <w:r w:rsidRPr="00712B16">
        <w:rPr>
          <w:rFonts w:ascii="Times New Roman" w:hAnsi="Times New Roman" w:cs="Times New Roman"/>
          <w:i/>
          <w:iCs/>
          <w:sz w:val="24"/>
          <w:szCs w:val="24"/>
          <w:vertAlign w:val="subscript"/>
        </w:rPr>
        <w:t>15</w:t>
      </w:r>
      <w:r w:rsidRPr="00712B16">
        <w:rPr>
          <w:rFonts w:ascii="Times New Roman" w:hAnsi="Times New Roman" w:cs="Times New Roman"/>
          <w:i/>
          <w:iCs/>
          <w:sz w:val="24"/>
          <w:szCs w:val="24"/>
        </w:rPr>
        <w:t>ROA</w:t>
      </w:r>
      <w:r w:rsidRPr="00712B16">
        <w:rPr>
          <w:rFonts w:ascii="Times New Roman" w:hAnsi="Times New Roman" w:cs="Times New Roman"/>
          <w:i/>
          <w:iCs/>
          <w:sz w:val="24"/>
          <w:szCs w:val="24"/>
          <w:vertAlign w:val="subscript"/>
        </w:rPr>
        <w:t xml:space="preserve">i,t </w:t>
      </w:r>
      <w:r w:rsidRPr="00712B16">
        <w:rPr>
          <w:rFonts w:ascii="Times New Roman" w:hAnsi="Times New Roman" w:cs="Times New Roman"/>
          <w:sz w:val="24"/>
          <w:szCs w:val="24"/>
        </w:rPr>
        <w:t xml:space="preserve">+ </w:t>
      </w:r>
      <w:r w:rsidRPr="00712B16">
        <w:rPr>
          <w:rFonts w:ascii="Times New Roman" w:hAnsi="Times New Roman" w:cs="Times New Roman"/>
          <w:i/>
          <w:iCs/>
          <w:sz w:val="24"/>
          <w:szCs w:val="24"/>
        </w:rPr>
        <w:t>β</w:t>
      </w:r>
      <w:r w:rsidRPr="00712B16">
        <w:rPr>
          <w:rFonts w:ascii="Times New Roman" w:hAnsi="Times New Roman" w:cs="Times New Roman"/>
          <w:i/>
          <w:iCs/>
          <w:sz w:val="24"/>
          <w:szCs w:val="24"/>
          <w:vertAlign w:val="subscript"/>
        </w:rPr>
        <w:t>16</w:t>
      </w:r>
      <w:r w:rsidRPr="00712B16">
        <w:rPr>
          <w:rFonts w:ascii="Times New Roman" w:hAnsi="Times New Roman" w:cs="Times New Roman"/>
          <w:i/>
          <w:iCs/>
          <w:sz w:val="24"/>
          <w:szCs w:val="24"/>
        </w:rPr>
        <w:t>CASH</w:t>
      </w:r>
      <w:r w:rsidRPr="00712B16">
        <w:rPr>
          <w:rFonts w:ascii="Times New Roman" w:hAnsi="Times New Roman" w:cs="Times New Roman"/>
          <w:i/>
          <w:iCs/>
          <w:sz w:val="24"/>
          <w:szCs w:val="24"/>
          <w:vertAlign w:val="subscript"/>
        </w:rPr>
        <w:t xml:space="preserve">i,t </w:t>
      </w:r>
      <w:r w:rsidRPr="00712B16">
        <w:rPr>
          <w:rFonts w:ascii="Times New Roman" w:hAnsi="Times New Roman" w:cs="Times New Roman"/>
          <w:sz w:val="24"/>
          <w:szCs w:val="24"/>
        </w:rPr>
        <w:t xml:space="preserve">+ </w:t>
      </w:r>
      <w:r w:rsidRPr="00712B16">
        <w:rPr>
          <w:rFonts w:ascii="Times New Roman" w:hAnsi="Times New Roman" w:cs="Times New Roman"/>
          <w:i/>
          <w:iCs/>
          <w:sz w:val="24"/>
          <w:szCs w:val="24"/>
        </w:rPr>
        <w:t>β</w:t>
      </w:r>
      <w:r w:rsidRPr="00712B16">
        <w:rPr>
          <w:rFonts w:ascii="Times New Roman" w:hAnsi="Times New Roman" w:cs="Times New Roman"/>
          <w:i/>
          <w:iCs/>
          <w:sz w:val="24"/>
          <w:szCs w:val="24"/>
          <w:vertAlign w:val="subscript"/>
        </w:rPr>
        <w:t>17</w:t>
      </w:r>
      <w:r w:rsidRPr="00712B16">
        <w:rPr>
          <w:rFonts w:ascii="Times New Roman" w:hAnsi="Times New Roman" w:cs="Times New Roman"/>
          <w:i/>
          <w:iCs/>
          <w:sz w:val="24"/>
          <w:szCs w:val="24"/>
        </w:rPr>
        <w:t>PPE</w:t>
      </w:r>
      <w:r w:rsidRPr="00712B16">
        <w:rPr>
          <w:rFonts w:ascii="Times New Roman" w:hAnsi="Times New Roman" w:cs="Times New Roman"/>
          <w:i/>
          <w:iCs/>
          <w:sz w:val="24"/>
          <w:szCs w:val="24"/>
          <w:vertAlign w:val="subscript"/>
        </w:rPr>
        <w:t xml:space="preserve">i,t </w:t>
      </w:r>
      <w:r w:rsidRPr="00712B16">
        <w:rPr>
          <w:rFonts w:ascii="Times New Roman" w:hAnsi="Times New Roman" w:cs="Times New Roman"/>
          <w:sz w:val="24"/>
          <w:szCs w:val="24"/>
        </w:rPr>
        <w:t xml:space="preserve">+ </w:t>
      </w:r>
      <w:r w:rsidRPr="00712B16">
        <w:rPr>
          <w:rFonts w:ascii="Times New Roman" w:hAnsi="Times New Roman" w:cs="Times New Roman"/>
          <w:i/>
          <w:iCs/>
          <w:sz w:val="24"/>
          <w:szCs w:val="24"/>
        </w:rPr>
        <w:t>β</w:t>
      </w:r>
      <w:r w:rsidRPr="00712B16">
        <w:rPr>
          <w:rFonts w:ascii="Times New Roman" w:hAnsi="Times New Roman" w:cs="Times New Roman"/>
          <w:i/>
          <w:iCs/>
          <w:sz w:val="24"/>
          <w:szCs w:val="24"/>
          <w:vertAlign w:val="subscript"/>
        </w:rPr>
        <w:t>18</w:t>
      </w:r>
      <w:r w:rsidRPr="00712B16">
        <w:rPr>
          <w:rFonts w:ascii="Times New Roman" w:hAnsi="Times New Roman" w:cs="Times New Roman"/>
          <w:i/>
          <w:iCs/>
          <w:sz w:val="24"/>
          <w:szCs w:val="24"/>
        </w:rPr>
        <w:t>INTANG</w:t>
      </w:r>
      <w:r w:rsidRPr="00712B16">
        <w:rPr>
          <w:rFonts w:ascii="Times New Roman" w:hAnsi="Times New Roman" w:cs="Times New Roman"/>
          <w:i/>
          <w:iCs/>
          <w:sz w:val="24"/>
          <w:szCs w:val="24"/>
          <w:vertAlign w:val="subscript"/>
        </w:rPr>
        <w:t xml:space="preserve">i,t </w:t>
      </w:r>
      <w:r w:rsidRPr="00712B16">
        <w:rPr>
          <w:rFonts w:ascii="Times New Roman" w:hAnsi="Times New Roman" w:cs="Times New Roman"/>
          <w:sz w:val="24"/>
          <w:szCs w:val="24"/>
        </w:rPr>
        <w:t xml:space="preserve">+ </w:t>
      </w:r>
      <w:r w:rsidRPr="00712B16">
        <w:rPr>
          <w:rFonts w:ascii="Times New Roman" w:hAnsi="Times New Roman" w:cs="Times New Roman"/>
          <w:i/>
          <w:iCs/>
          <w:sz w:val="24"/>
          <w:szCs w:val="24"/>
        </w:rPr>
        <w:t>β</w:t>
      </w:r>
      <w:r w:rsidRPr="00712B16">
        <w:rPr>
          <w:rFonts w:ascii="Times New Roman" w:hAnsi="Times New Roman" w:cs="Times New Roman"/>
          <w:i/>
          <w:iCs/>
          <w:sz w:val="24"/>
          <w:szCs w:val="24"/>
          <w:vertAlign w:val="subscript"/>
        </w:rPr>
        <w:t>19</w:t>
      </w:r>
      <w:r w:rsidRPr="00712B16">
        <w:rPr>
          <w:rFonts w:ascii="Times New Roman" w:hAnsi="Times New Roman" w:cs="Times New Roman"/>
          <w:i/>
          <w:iCs/>
          <w:sz w:val="24"/>
          <w:szCs w:val="24"/>
        </w:rPr>
        <w:t>FOREIGN</w:t>
      </w:r>
      <w:r w:rsidRPr="00712B16">
        <w:rPr>
          <w:rFonts w:ascii="Times New Roman" w:hAnsi="Times New Roman" w:cs="Times New Roman"/>
          <w:i/>
          <w:iCs/>
          <w:sz w:val="24"/>
          <w:szCs w:val="24"/>
          <w:vertAlign w:val="subscript"/>
        </w:rPr>
        <w:t>i,t</w:t>
      </w:r>
      <w:r w:rsidRPr="00712B16">
        <w:rPr>
          <w:rFonts w:ascii="Times New Roman" w:hAnsi="Times New Roman" w:cs="Times New Roman"/>
          <w:sz w:val="24"/>
          <w:szCs w:val="24"/>
        </w:rPr>
        <w:t xml:space="preserve"> + </w:t>
      </w:r>
      <w:r w:rsidRPr="00712B16">
        <w:rPr>
          <w:rFonts w:ascii="Times New Roman" w:hAnsi="Times New Roman" w:cs="Times New Roman"/>
          <w:i/>
          <w:iCs/>
          <w:sz w:val="24"/>
          <w:szCs w:val="24"/>
        </w:rPr>
        <w:t>β</w:t>
      </w:r>
      <w:r w:rsidRPr="00712B16">
        <w:rPr>
          <w:rFonts w:ascii="Times New Roman" w:hAnsi="Times New Roman" w:cs="Times New Roman"/>
          <w:i/>
          <w:iCs/>
          <w:sz w:val="24"/>
          <w:szCs w:val="24"/>
          <w:vertAlign w:val="subscript"/>
        </w:rPr>
        <w:t>20</w:t>
      </w:r>
      <w:r w:rsidRPr="00712B16">
        <w:rPr>
          <w:rFonts w:ascii="Times New Roman" w:hAnsi="Times New Roman" w:cs="Times New Roman"/>
          <w:i/>
          <w:iCs/>
          <w:sz w:val="24"/>
          <w:szCs w:val="24"/>
        </w:rPr>
        <w:t>R&amp;D</w:t>
      </w:r>
      <w:r w:rsidRPr="00712B16">
        <w:rPr>
          <w:rFonts w:ascii="Times New Roman" w:hAnsi="Times New Roman" w:cs="Times New Roman"/>
          <w:i/>
          <w:iCs/>
          <w:sz w:val="24"/>
          <w:szCs w:val="24"/>
          <w:vertAlign w:val="subscript"/>
        </w:rPr>
        <w:t xml:space="preserve">i,t </w:t>
      </w:r>
      <w:r w:rsidRPr="00712B16">
        <w:rPr>
          <w:rFonts w:ascii="Times New Roman" w:hAnsi="Times New Roman" w:cs="Times New Roman"/>
          <w:sz w:val="24"/>
          <w:szCs w:val="24"/>
        </w:rPr>
        <w:t xml:space="preserve">+ </w:t>
      </w:r>
      <w:r w:rsidRPr="00712B16">
        <w:rPr>
          <w:rFonts w:ascii="Times New Roman" w:hAnsi="Times New Roman" w:cs="Times New Roman"/>
          <w:i/>
          <w:iCs/>
          <w:sz w:val="24"/>
          <w:szCs w:val="24"/>
        </w:rPr>
        <w:t>β</w:t>
      </w:r>
      <w:r w:rsidRPr="00712B16">
        <w:rPr>
          <w:rFonts w:ascii="Times New Roman" w:hAnsi="Times New Roman" w:cs="Times New Roman"/>
          <w:i/>
          <w:iCs/>
          <w:sz w:val="24"/>
          <w:szCs w:val="24"/>
          <w:vertAlign w:val="subscript"/>
        </w:rPr>
        <w:t>21</w:t>
      </w:r>
      <w:r w:rsidRPr="00712B16">
        <w:rPr>
          <w:rFonts w:ascii="Times New Roman" w:hAnsi="Times New Roman" w:cs="Times New Roman"/>
          <w:i/>
          <w:iCs/>
          <w:sz w:val="24"/>
          <w:szCs w:val="24"/>
        </w:rPr>
        <w:t>SGA</w:t>
      </w:r>
      <w:r w:rsidRPr="00712B16">
        <w:rPr>
          <w:rFonts w:ascii="Times New Roman" w:hAnsi="Times New Roman" w:cs="Times New Roman"/>
          <w:i/>
          <w:iCs/>
          <w:sz w:val="24"/>
          <w:szCs w:val="24"/>
          <w:vertAlign w:val="subscript"/>
        </w:rPr>
        <w:t xml:space="preserve">i,t </w:t>
      </w:r>
      <w:r w:rsidRPr="00712B16">
        <w:rPr>
          <w:rFonts w:ascii="Times New Roman" w:hAnsi="Times New Roman" w:cs="Times New Roman"/>
          <w:sz w:val="24"/>
          <w:szCs w:val="24"/>
        </w:rPr>
        <w:t xml:space="preserve">+ </w:t>
      </w:r>
      <w:r w:rsidRPr="00712B16">
        <w:rPr>
          <w:rFonts w:ascii="Times New Roman" w:hAnsi="Times New Roman" w:cs="Times New Roman"/>
          <w:i/>
          <w:iCs/>
          <w:sz w:val="24"/>
          <w:szCs w:val="24"/>
        </w:rPr>
        <w:t>β</w:t>
      </w:r>
      <w:r w:rsidRPr="00712B16">
        <w:rPr>
          <w:rFonts w:ascii="Times New Roman" w:hAnsi="Times New Roman" w:cs="Times New Roman"/>
          <w:i/>
          <w:iCs/>
          <w:sz w:val="24"/>
          <w:szCs w:val="24"/>
          <w:vertAlign w:val="subscript"/>
        </w:rPr>
        <w:t>22</w:t>
      </w:r>
      <w:r w:rsidRPr="00712B16">
        <w:rPr>
          <w:rFonts w:ascii="Times New Roman" w:hAnsi="Times New Roman" w:cs="Times New Roman"/>
          <w:i/>
          <w:iCs/>
          <w:sz w:val="24"/>
          <w:szCs w:val="24"/>
        </w:rPr>
        <w:t>CAPEX</w:t>
      </w:r>
      <w:r w:rsidRPr="00712B16">
        <w:rPr>
          <w:rFonts w:ascii="Times New Roman" w:hAnsi="Times New Roman" w:cs="Times New Roman"/>
          <w:i/>
          <w:iCs/>
          <w:sz w:val="24"/>
          <w:szCs w:val="24"/>
          <w:vertAlign w:val="subscript"/>
        </w:rPr>
        <w:t xml:space="preserve">i,t </w:t>
      </w:r>
      <w:r w:rsidRPr="00712B16">
        <w:rPr>
          <w:rFonts w:ascii="Times New Roman" w:hAnsi="Times New Roman" w:cs="Times New Roman"/>
          <w:sz w:val="24"/>
          <w:szCs w:val="24"/>
        </w:rPr>
        <w:t xml:space="preserve"> + </w:t>
      </w:r>
      <w:r w:rsidRPr="00712B16">
        <w:rPr>
          <w:rFonts w:ascii="Times New Roman" w:hAnsi="Times New Roman" w:cs="Times New Roman"/>
          <w:i/>
          <w:iCs/>
          <w:sz w:val="24"/>
          <w:szCs w:val="24"/>
        </w:rPr>
        <w:t>β</w:t>
      </w:r>
      <w:r w:rsidRPr="00712B16">
        <w:rPr>
          <w:rFonts w:ascii="Times New Roman" w:hAnsi="Times New Roman" w:cs="Times New Roman"/>
          <w:i/>
          <w:iCs/>
          <w:sz w:val="24"/>
          <w:szCs w:val="24"/>
          <w:vertAlign w:val="subscript"/>
        </w:rPr>
        <w:t>23</w:t>
      </w:r>
      <w:r w:rsidRPr="00712B16">
        <w:rPr>
          <w:rFonts w:ascii="Times New Roman" w:hAnsi="Times New Roman" w:cs="Times New Roman"/>
          <w:i/>
          <w:iCs/>
          <w:sz w:val="24"/>
          <w:szCs w:val="24"/>
        </w:rPr>
        <w:t>COVID19</w:t>
      </w:r>
      <w:r w:rsidRPr="00712B16">
        <w:rPr>
          <w:rFonts w:ascii="Times New Roman" w:hAnsi="Times New Roman" w:cs="Times New Roman"/>
          <w:i/>
          <w:iCs/>
          <w:sz w:val="24"/>
          <w:szCs w:val="24"/>
          <w:vertAlign w:val="subscript"/>
        </w:rPr>
        <w:t xml:space="preserve">i,t </w:t>
      </w:r>
      <w:r w:rsidRPr="00712B16">
        <w:rPr>
          <w:rFonts w:ascii="Times New Roman" w:hAnsi="Times New Roman" w:cs="Times New Roman"/>
          <w:sz w:val="24"/>
          <w:szCs w:val="24"/>
        </w:rPr>
        <w:t xml:space="preserve"> + </w:t>
      </w:r>
      <w:proofErr w:type="spellStart"/>
      <w:r w:rsidRPr="00712B16">
        <w:rPr>
          <w:rFonts w:ascii="Times New Roman" w:hAnsi="Times New Roman" w:cs="Times New Roman"/>
          <w:i/>
          <w:iCs/>
          <w:sz w:val="24"/>
          <w:szCs w:val="24"/>
        </w:rPr>
        <w:t>INDUSTRY</w:t>
      </w:r>
      <w:r w:rsidRPr="00712B16">
        <w:rPr>
          <w:rFonts w:ascii="Times New Roman" w:hAnsi="Times New Roman" w:cs="Times New Roman"/>
          <w:i/>
          <w:iCs/>
          <w:sz w:val="24"/>
          <w:szCs w:val="24"/>
          <w:vertAlign w:val="subscript"/>
        </w:rPr>
        <w:t>j,t</w:t>
      </w:r>
      <w:proofErr w:type="spellEnd"/>
      <w:r w:rsidRPr="00712B16">
        <w:rPr>
          <w:rFonts w:ascii="Times New Roman" w:hAnsi="Times New Roman" w:cs="Times New Roman"/>
          <w:i/>
          <w:iCs/>
          <w:sz w:val="24"/>
          <w:szCs w:val="24"/>
          <w:vertAlign w:val="subscript"/>
        </w:rPr>
        <w:t xml:space="preserve"> </w:t>
      </w:r>
      <w:r w:rsidRPr="00712B16">
        <w:rPr>
          <w:rFonts w:ascii="Times New Roman" w:hAnsi="Times New Roman" w:cs="Times New Roman"/>
          <w:sz w:val="24"/>
          <w:szCs w:val="24"/>
        </w:rPr>
        <w:t>+</w:t>
      </w:r>
      <w:r w:rsidRPr="00712B16">
        <w:rPr>
          <w:rFonts w:ascii="Times New Roman" w:hAnsi="Times New Roman" w:cs="Times New Roman"/>
          <w:i/>
          <w:iCs/>
          <w:sz w:val="24"/>
          <w:szCs w:val="24"/>
          <w:vertAlign w:val="subscript"/>
        </w:rPr>
        <w:t xml:space="preserve"> </w:t>
      </w:r>
      <w:r w:rsidRPr="00712B16">
        <w:rPr>
          <w:rFonts w:ascii="Times New Roman" w:hAnsi="Times New Roman" w:cs="Times New Roman"/>
          <w:sz w:val="24"/>
          <w:szCs w:val="24"/>
        </w:rPr>
        <w:t xml:space="preserve"> </w:t>
      </w:r>
      <w:proofErr w:type="spellStart"/>
      <w:r w:rsidRPr="00712B16">
        <w:rPr>
          <w:rFonts w:ascii="Times New Roman" w:hAnsi="Times New Roman" w:cs="Times New Roman"/>
          <w:i/>
          <w:iCs/>
          <w:sz w:val="24"/>
          <w:szCs w:val="24"/>
        </w:rPr>
        <w:t>COUNTRY</w:t>
      </w:r>
      <w:r w:rsidRPr="00712B16">
        <w:rPr>
          <w:rFonts w:ascii="Times New Roman" w:hAnsi="Times New Roman" w:cs="Times New Roman"/>
          <w:i/>
          <w:iCs/>
          <w:sz w:val="24"/>
          <w:szCs w:val="24"/>
          <w:vertAlign w:val="subscript"/>
        </w:rPr>
        <w:t>c,t</w:t>
      </w:r>
      <w:proofErr w:type="spellEnd"/>
      <w:r w:rsidRPr="00712B16">
        <w:rPr>
          <w:rFonts w:ascii="Times New Roman" w:hAnsi="Times New Roman" w:cs="Times New Roman"/>
          <w:i/>
          <w:iCs/>
          <w:sz w:val="24"/>
          <w:szCs w:val="24"/>
          <w:vertAlign w:val="subscript"/>
        </w:rPr>
        <w:t xml:space="preserve"> </w:t>
      </w:r>
      <w:r w:rsidRPr="00712B16">
        <w:rPr>
          <w:rFonts w:ascii="Times New Roman" w:hAnsi="Times New Roman" w:cs="Times New Roman"/>
          <w:sz w:val="24"/>
          <w:szCs w:val="24"/>
        </w:rPr>
        <w:t>+</w:t>
      </w:r>
      <w:r w:rsidRPr="00712B16">
        <w:rPr>
          <w:rFonts w:ascii="Times New Roman" w:hAnsi="Times New Roman" w:cs="Times New Roman"/>
          <w:i/>
          <w:iCs/>
          <w:sz w:val="24"/>
          <w:szCs w:val="24"/>
          <w:vertAlign w:val="subscript"/>
        </w:rPr>
        <w:t xml:space="preserve"> </w:t>
      </w:r>
      <w:proofErr w:type="spellStart"/>
      <w:r w:rsidRPr="00712B16">
        <w:rPr>
          <w:rFonts w:ascii="Times New Roman" w:hAnsi="Times New Roman" w:cs="Times New Roman"/>
          <w:i/>
          <w:iCs/>
          <w:sz w:val="24"/>
          <w:szCs w:val="24"/>
        </w:rPr>
        <w:t>YEAR</w:t>
      </w:r>
      <w:r w:rsidRPr="00712B16">
        <w:rPr>
          <w:rFonts w:ascii="Times New Roman" w:hAnsi="Times New Roman" w:cs="Times New Roman"/>
          <w:i/>
          <w:iCs/>
          <w:sz w:val="24"/>
          <w:szCs w:val="24"/>
          <w:vertAlign w:val="subscript"/>
        </w:rPr>
        <w:t>t</w:t>
      </w:r>
      <w:proofErr w:type="spellEnd"/>
      <w:r w:rsidRPr="00712B16">
        <w:rPr>
          <w:rFonts w:ascii="Times New Roman" w:hAnsi="Times New Roman" w:cs="Times New Roman"/>
          <w:i/>
          <w:iCs/>
          <w:sz w:val="24"/>
          <w:szCs w:val="24"/>
          <w:vertAlign w:val="subscript"/>
        </w:rPr>
        <w:t xml:space="preserve"> </w:t>
      </w:r>
      <w:r w:rsidRPr="00712B16">
        <w:rPr>
          <w:rFonts w:ascii="Times New Roman" w:hAnsi="Times New Roman" w:cs="Times New Roman"/>
          <w:sz w:val="24"/>
          <w:szCs w:val="24"/>
        </w:rPr>
        <w:t xml:space="preserve">+ </w:t>
      </w:r>
      <w:proofErr w:type="spellStart"/>
      <w:r w:rsidRPr="00712B16">
        <w:rPr>
          <w:rFonts w:ascii="Times New Roman" w:hAnsi="Times New Roman" w:cs="Times New Roman"/>
          <w:i/>
          <w:iCs/>
          <w:sz w:val="24"/>
          <w:szCs w:val="24"/>
        </w:rPr>
        <w:t>e</w:t>
      </w:r>
      <w:r w:rsidRPr="00712B16">
        <w:rPr>
          <w:rFonts w:ascii="Times New Roman" w:hAnsi="Times New Roman" w:cs="Times New Roman"/>
          <w:i/>
          <w:iCs/>
          <w:sz w:val="24"/>
          <w:szCs w:val="24"/>
          <w:vertAlign w:val="subscript"/>
        </w:rPr>
        <w:t>i,t</w:t>
      </w:r>
      <w:proofErr w:type="spellEnd"/>
      <w:r w:rsidR="00E87FA8" w:rsidRPr="00712B16">
        <w:rPr>
          <w:rFonts w:ascii="Times New Roman" w:hAnsi="Times New Roman" w:cs="Times New Roman"/>
          <w:sz w:val="24"/>
          <w:szCs w:val="24"/>
        </w:rPr>
        <w:t xml:space="preserve">                                                            </w:t>
      </w:r>
      <w:r w:rsidR="009B67CB" w:rsidRPr="00712B16">
        <w:rPr>
          <w:rFonts w:ascii="Times New Roman" w:hAnsi="Times New Roman" w:cs="Times New Roman"/>
          <w:sz w:val="24"/>
          <w:szCs w:val="24"/>
        </w:rPr>
        <w:t xml:space="preserve">                  </w:t>
      </w:r>
      <w:r w:rsidR="006E4770" w:rsidRPr="00712B16">
        <w:rPr>
          <w:rFonts w:ascii="Times New Roman" w:hAnsi="Times New Roman" w:cs="Times New Roman"/>
          <w:sz w:val="24"/>
          <w:szCs w:val="24"/>
        </w:rPr>
        <w:t xml:space="preserve">         </w:t>
      </w:r>
      <w:r w:rsidRPr="00712B16">
        <w:rPr>
          <w:rFonts w:ascii="Times New Roman" w:hAnsi="Times New Roman" w:cs="Times New Roman"/>
          <w:sz w:val="24"/>
          <w:szCs w:val="24"/>
        </w:rPr>
        <w:t>(1)</w:t>
      </w:r>
    </w:p>
    <w:p w14:paraId="2AA2C58D" w14:textId="77777777" w:rsidR="00E87FA8" w:rsidRPr="00712B16" w:rsidRDefault="00E87FA8">
      <w:pPr>
        <w:spacing w:after="0" w:line="480" w:lineRule="auto"/>
        <w:jc w:val="both"/>
        <w:rPr>
          <w:rFonts w:ascii="Times New Roman" w:hAnsi="Times New Roman" w:cs="Times New Roman"/>
          <w:sz w:val="24"/>
          <w:szCs w:val="24"/>
        </w:rPr>
      </w:pPr>
    </w:p>
    <w:p w14:paraId="22474D90" w14:textId="555BDD15" w:rsidR="009032E8" w:rsidRPr="00712B16" w:rsidRDefault="00E051A3">
      <w:pPr>
        <w:spacing w:after="0" w:line="480" w:lineRule="auto"/>
        <w:jc w:val="both"/>
        <w:rPr>
          <w:rFonts w:ascii="Times New Roman" w:hAnsi="Times New Roman" w:cs="Times New Roman"/>
          <w:sz w:val="24"/>
          <w:szCs w:val="24"/>
        </w:rPr>
      </w:pPr>
      <w:r w:rsidRPr="00712B16">
        <w:rPr>
          <w:rFonts w:ascii="Times New Roman" w:hAnsi="Times New Roman" w:cs="Times New Roman"/>
          <w:sz w:val="24"/>
          <w:szCs w:val="24"/>
        </w:rPr>
        <w:t xml:space="preserve">Where the subscripts </w:t>
      </w:r>
      <w:proofErr w:type="spellStart"/>
      <w:r w:rsidRPr="00712B16">
        <w:rPr>
          <w:rFonts w:ascii="Times New Roman" w:hAnsi="Times New Roman" w:cs="Times New Roman"/>
          <w:i/>
          <w:sz w:val="24"/>
          <w:szCs w:val="24"/>
        </w:rPr>
        <w:t>i</w:t>
      </w:r>
      <w:proofErr w:type="spellEnd"/>
      <w:r w:rsidRPr="00712B16">
        <w:rPr>
          <w:rFonts w:ascii="Times New Roman" w:hAnsi="Times New Roman" w:cs="Times New Roman"/>
          <w:sz w:val="24"/>
          <w:szCs w:val="24"/>
        </w:rPr>
        <w:t xml:space="preserve">, </w:t>
      </w:r>
      <w:r w:rsidRPr="00712B16">
        <w:rPr>
          <w:rFonts w:ascii="Times New Roman" w:hAnsi="Times New Roman" w:cs="Times New Roman"/>
          <w:i/>
          <w:sz w:val="24"/>
          <w:szCs w:val="24"/>
        </w:rPr>
        <w:t>j</w:t>
      </w:r>
      <w:r w:rsidRPr="00712B16">
        <w:rPr>
          <w:rFonts w:ascii="Times New Roman" w:hAnsi="Times New Roman" w:cs="Times New Roman"/>
          <w:sz w:val="24"/>
          <w:szCs w:val="24"/>
        </w:rPr>
        <w:t xml:space="preserve">, </w:t>
      </w:r>
      <w:r w:rsidRPr="00712B16">
        <w:rPr>
          <w:rFonts w:ascii="Times New Roman" w:hAnsi="Times New Roman" w:cs="Times New Roman"/>
          <w:i/>
          <w:sz w:val="24"/>
          <w:szCs w:val="24"/>
        </w:rPr>
        <w:t>c</w:t>
      </w:r>
      <w:r w:rsidR="006E4770" w:rsidRPr="00712B16">
        <w:rPr>
          <w:rFonts w:ascii="Times New Roman" w:hAnsi="Times New Roman" w:cs="Times New Roman"/>
          <w:i/>
          <w:sz w:val="24"/>
          <w:szCs w:val="24"/>
        </w:rPr>
        <w:t>,</w:t>
      </w:r>
      <w:r w:rsidRPr="00712B16">
        <w:rPr>
          <w:rFonts w:ascii="Times New Roman" w:hAnsi="Times New Roman" w:cs="Times New Roman"/>
          <w:sz w:val="24"/>
          <w:szCs w:val="24"/>
        </w:rPr>
        <w:t xml:space="preserve"> and </w:t>
      </w:r>
      <w:proofErr w:type="spellStart"/>
      <w:r w:rsidRPr="00712B16">
        <w:rPr>
          <w:rFonts w:ascii="Times New Roman" w:hAnsi="Times New Roman" w:cs="Times New Roman"/>
          <w:i/>
          <w:sz w:val="24"/>
          <w:szCs w:val="24"/>
        </w:rPr>
        <w:t>t</w:t>
      </w:r>
      <w:proofErr w:type="spellEnd"/>
      <w:r w:rsidRPr="00712B16">
        <w:rPr>
          <w:rFonts w:ascii="Times New Roman" w:hAnsi="Times New Roman" w:cs="Times New Roman"/>
          <w:i/>
          <w:sz w:val="24"/>
          <w:szCs w:val="24"/>
        </w:rPr>
        <w:t xml:space="preserve"> </w:t>
      </w:r>
      <w:r w:rsidRPr="00712B16">
        <w:rPr>
          <w:rFonts w:ascii="Times New Roman" w:hAnsi="Times New Roman" w:cs="Times New Roman"/>
          <w:sz w:val="24"/>
          <w:szCs w:val="24"/>
        </w:rPr>
        <w:t>denote firm, industry, country</w:t>
      </w:r>
      <w:r w:rsidR="006E4770" w:rsidRPr="00712B16">
        <w:rPr>
          <w:rFonts w:ascii="Times New Roman" w:hAnsi="Times New Roman" w:cs="Times New Roman"/>
          <w:sz w:val="24"/>
          <w:szCs w:val="24"/>
        </w:rPr>
        <w:t>,</w:t>
      </w:r>
      <w:r w:rsidRPr="00712B16">
        <w:rPr>
          <w:rFonts w:ascii="Times New Roman" w:hAnsi="Times New Roman" w:cs="Times New Roman"/>
          <w:sz w:val="24"/>
          <w:szCs w:val="24"/>
        </w:rPr>
        <w:t xml:space="preserve"> and year, respectively. The regression model includes industry, country</w:t>
      </w:r>
      <w:r w:rsidR="006E4770" w:rsidRPr="00712B16">
        <w:rPr>
          <w:rFonts w:ascii="Times New Roman" w:hAnsi="Times New Roman" w:cs="Times New Roman"/>
          <w:sz w:val="24"/>
          <w:szCs w:val="24"/>
        </w:rPr>
        <w:t>,</w:t>
      </w:r>
      <w:r w:rsidRPr="00712B16">
        <w:rPr>
          <w:rFonts w:ascii="Times New Roman" w:hAnsi="Times New Roman" w:cs="Times New Roman"/>
          <w:sz w:val="24"/>
          <w:szCs w:val="24"/>
        </w:rPr>
        <w:t xml:space="preserve"> and year fixed effects</w:t>
      </w:r>
      <w:r w:rsidR="00126124" w:rsidRPr="00712B16">
        <w:rPr>
          <w:rFonts w:ascii="Times New Roman" w:hAnsi="Times New Roman" w:cs="Times New Roman"/>
          <w:sz w:val="24"/>
          <w:szCs w:val="24"/>
        </w:rPr>
        <w:t>,</w:t>
      </w:r>
      <w:r w:rsidRPr="00712B16">
        <w:rPr>
          <w:rFonts w:ascii="Times New Roman" w:hAnsi="Times New Roman" w:cs="Times New Roman"/>
          <w:sz w:val="24"/>
          <w:szCs w:val="24"/>
        </w:rPr>
        <w:t xml:space="preserve"> and </w:t>
      </w:r>
      <w:r w:rsidR="004342FC" w:rsidRPr="00712B16">
        <w:rPr>
          <w:rFonts w:ascii="Times New Roman" w:hAnsi="Times New Roman" w:cs="Times New Roman"/>
          <w:sz w:val="24"/>
          <w:szCs w:val="24"/>
        </w:rPr>
        <w:t xml:space="preserve">employs </w:t>
      </w:r>
      <w:r w:rsidRPr="00712B16">
        <w:rPr>
          <w:rFonts w:ascii="Times New Roman" w:hAnsi="Times New Roman" w:cs="Times New Roman"/>
          <w:sz w:val="24"/>
          <w:szCs w:val="24"/>
        </w:rPr>
        <w:lastRenderedPageBreak/>
        <w:t>appropriate indicator variables (</w:t>
      </w:r>
      <w:r w:rsidRPr="00712B16">
        <w:rPr>
          <w:rFonts w:ascii="Times New Roman" w:hAnsi="Times New Roman" w:cs="Times New Roman"/>
          <w:i/>
          <w:iCs/>
          <w:sz w:val="24"/>
          <w:szCs w:val="24"/>
        </w:rPr>
        <w:t>INDUSTRY</w:t>
      </w:r>
      <w:r w:rsidRPr="00712B16">
        <w:rPr>
          <w:rFonts w:ascii="Times New Roman" w:hAnsi="Times New Roman" w:cs="Times New Roman"/>
          <w:sz w:val="24"/>
          <w:szCs w:val="24"/>
        </w:rPr>
        <w:t xml:space="preserve">, </w:t>
      </w:r>
      <w:r w:rsidRPr="00712B16">
        <w:rPr>
          <w:rFonts w:ascii="Times New Roman" w:hAnsi="Times New Roman" w:cs="Times New Roman"/>
          <w:i/>
          <w:iCs/>
          <w:sz w:val="24"/>
          <w:szCs w:val="24"/>
        </w:rPr>
        <w:t>COUNTRY</w:t>
      </w:r>
      <w:r w:rsidR="004342FC" w:rsidRPr="00712B16">
        <w:rPr>
          <w:rFonts w:ascii="Times New Roman" w:hAnsi="Times New Roman" w:cs="Times New Roman"/>
          <w:sz w:val="24"/>
          <w:szCs w:val="24"/>
        </w:rPr>
        <w:t>,</w:t>
      </w:r>
      <w:r w:rsidRPr="00712B16">
        <w:rPr>
          <w:rFonts w:ascii="Times New Roman" w:hAnsi="Times New Roman" w:cs="Times New Roman"/>
          <w:sz w:val="24"/>
          <w:szCs w:val="24"/>
        </w:rPr>
        <w:t xml:space="preserve"> and </w:t>
      </w:r>
      <w:r w:rsidRPr="00712B16">
        <w:rPr>
          <w:rFonts w:ascii="Times New Roman" w:hAnsi="Times New Roman" w:cs="Times New Roman"/>
          <w:i/>
          <w:iCs/>
          <w:sz w:val="24"/>
          <w:szCs w:val="24"/>
        </w:rPr>
        <w:t>YEAR</w:t>
      </w:r>
      <w:r w:rsidRPr="00712B16">
        <w:rPr>
          <w:rFonts w:ascii="Times New Roman" w:hAnsi="Times New Roman" w:cs="Times New Roman"/>
          <w:sz w:val="24"/>
          <w:szCs w:val="24"/>
        </w:rPr>
        <w:t xml:space="preserve">). </w:t>
      </w:r>
      <w:r w:rsidR="000B7853" w:rsidRPr="00712B16">
        <w:rPr>
          <w:rFonts w:ascii="Times New Roman" w:hAnsi="Times New Roman" w:cs="Times New Roman"/>
          <w:sz w:val="24"/>
          <w:szCs w:val="24"/>
        </w:rPr>
        <w:t xml:space="preserve">We cluster the standard errors at the firm level. </w:t>
      </w:r>
      <w:r w:rsidRPr="00712B16">
        <w:rPr>
          <w:rFonts w:ascii="Times New Roman" w:hAnsi="Times New Roman" w:cs="Times New Roman"/>
          <w:sz w:val="24"/>
          <w:szCs w:val="24"/>
        </w:rPr>
        <w:t xml:space="preserve">To test the </w:t>
      </w:r>
      <w:r w:rsidR="004342FC" w:rsidRPr="00712B16">
        <w:rPr>
          <w:rFonts w:ascii="Times New Roman" w:hAnsi="Times New Roman" w:cs="Times New Roman"/>
          <w:sz w:val="24"/>
          <w:szCs w:val="24"/>
        </w:rPr>
        <w:t xml:space="preserve">impact </w:t>
      </w:r>
      <w:r w:rsidRPr="00712B16">
        <w:rPr>
          <w:rFonts w:ascii="Times New Roman" w:hAnsi="Times New Roman" w:cs="Times New Roman"/>
          <w:sz w:val="24"/>
          <w:szCs w:val="24"/>
        </w:rPr>
        <w:t xml:space="preserve">of the </w:t>
      </w:r>
      <w:r w:rsidR="005832CF" w:rsidRPr="00712B16">
        <w:rPr>
          <w:rFonts w:ascii="Times New Roman" w:hAnsi="Times New Roman" w:cs="Times New Roman"/>
          <w:sz w:val="24"/>
          <w:szCs w:val="24"/>
        </w:rPr>
        <w:t>net zero</w:t>
      </w:r>
      <w:r w:rsidRPr="00712B16">
        <w:rPr>
          <w:rFonts w:ascii="Times New Roman" w:hAnsi="Times New Roman" w:cs="Times New Roman"/>
          <w:sz w:val="24"/>
          <w:szCs w:val="24"/>
        </w:rPr>
        <w:t xml:space="preserve"> target </w:t>
      </w:r>
      <w:r w:rsidR="00510E73" w:rsidRPr="00712B16">
        <w:rPr>
          <w:rFonts w:ascii="Times New Roman" w:hAnsi="Times New Roman" w:cs="Times New Roman"/>
          <w:sz w:val="24"/>
          <w:szCs w:val="24"/>
        </w:rPr>
        <w:t xml:space="preserve">commitment of </w:t>
      </w:r>
      <w:r w:rsidR="00B36D65" w:rsidRPr="00712B16">
        <w:rPr>
          <w:rFonts w:ascii="Times New Roman" w:hAnsi="Times New Roman" w:cs="Times New Roman"/>
          <w:sz w:val="24"/>
          <w:szCs w:val="24"/>
        </w:rPr>
        <w:t xml:space="preserve">a </w:t>
      </w:r>
      <w:r w:rsidRPr="00712B16">
        <w:rPr>
          <w:rFonts w:ascii="Times New Roman" w:hAnsi="Times New Roman" w:cs="Times New Roman"/>
          <w:sz w:val="24"/>
          <w:szCs w:val="24"/>
        </w:rPr>
        <w:t xml:space="preserve">country on </w:t>
      </w:r>
      <w:r w:rsidRPr="00712B16">
        <w:rPr>
          <w:rFonts w:ascii="Times New Roman" w:hAnsi="Times New Roman" w:cs="Times New Roman"/>
          <w:i/>
          <w:iCs/>
          <w:sz w:val="24"/>
          <w:szCs w:val="24"/>
        </w:rPr>
        <w:t>REM</w:t>
      </w:r>
      <w:r w:rsidRPr="00712B16">
        <w:rPr>
          <w:rFonts w:ascii="Times New Roman" w:hAnsi="Times New Roman" w:cs="Times New Roman"/>
          <w:sz w:val="24"/>
          <w:szCs w:val="24"/>
        </w:rPr>
        <w:t xml:space="preserve">, </w:t>
      </w:r>
      <w:r w:rsidR="00BE7767" w:rsidRPr="00712B16">
        <w:rPr>
          <w:rFonts w:ascii="Times New Roman" w:hAnsi="Times New Roman" w:cs="Times New Roman"/>
          <w:sz w:val="24"/>
          <w:szCs w:val="24"/>
        </w:rPr>
        <w:t>this study</w:t>
      </w:r>
      <w:r w:rsidRPr="00712B16">
        <w:rPr>
          <w:rFonts w:ascii="Times New Roman" w:hAnsi="Times New Roman" w:cs="Times New Roman"/>
          <w:sz w:val="24"/>
          <w:szCs w:val="24"/>
        </w:rPr>
        <w:t xml:space="preserve"> employ</w:t>
      </w:r>
      <w:r w:rsidR="00BE7767" w:rsidRPr="00712B16">
        <w:rPr>
          <w:rFonts w:ascii="Times New Roman" w:hAnsi="Times New Roman" w:cs="Times New Roman"/>
          <w:sz w:val="24"/>
          <w:szCs w:val="24"/>
        </w:rPr>
        <w:t>s</w:t>
      </w:r>
      <w:r w:rsidRPr="00712B16">
        <w:rPr>
          <w:rFonts w:ascii="Times New Roman" w:hAnsi="Times New Roman" w:cs="Times New Roman"/>
          <w:sz w:val="24"/>
          <w:szCs w:val="24"/>
        </w:rPr>
        <w:t xml:space="preserve"> </w:t>
      </w:r>
      <w:r w:rsidR="00B36D65" w:rsidRPr="00712B16">
        <w:rPr>
          <w:rFonts w:ascii="Times New Roman" w:hAnsi="Times New Roman" w:cs="Times New Roman"/>
          <w:sz w:val="24"/>
          <w:szCs w:val="24"/>
        </w:rPr>
        <w:t xml:space="preserve">a </w:t>
      </w:r>
      <w:r w:rsidRPr="00712B16">
        <w:rPr>
          <w:rFonts w:ascii="Times New Roman" w:hAnsi="Times New Roman" w:cs="Times New Roman"/>
          <w:sz w:val="24"/>
          <w:szCs w:val="24"/>
        </w:rPr>
        <w:t>variable of interest</w:t>
      </w:r>
      <w:r w:rsidR="006E4770" w:rsidRPr="00712B16">
        <w:rPr>
          <w:rFonts w:ascii="Times New Roman" w:hAnsi="Times New Roman" w:cs="Times New Roman"/>
          <w:sz w:val="24"/>
          <w:szCs w:val="24"/>
        </w:rPr>
        <w:t>,</w:t>
      </w:r>
      <w:r w:rsidRPr="00712B16">
        <w:rPr>
          <w:rFonts w:ascii="Times New Roman" w:hAnsi="Times New Roman" w:cs="Times New Roman"/>
          <w:i/>
          <w:iCs/>
          <w:sz w:val="24"/>
          <w:szCs w:val="24"/>
        </w:rPr>
        <w:t xml:space="preserve"> COUNTRY_NETZERO, </w:t>
      </w:r>
      <w:r w:rsidRPr="00712B16">
        <w:rPr>
          <w:rFonts w:ascii="Times New Roman" w:hAnsi="Times New Roman" w:cs="Times New Roman"/>
          <w:iCs/>
          <w:sz w:val="24"/>
          <w:szCs w:val="24"/>
        </w:rPr>
        <w:t>a</w:t>
      </w:r>
      <w:r w:rsidRPr="00712B16">
        <w:rPr>
          <w:rFonts w:ascii="Times New Roman" w:hAnsi="Times New Roman" w:cs="Times New Roman"/>
          <w:sz w:val="24"/>
          <w:szCs w:val="24"/>
        </w:rPr>
        <w:t xml:space="preserve"> categorical variable coded 1 if the country where the firm is headquartered </w:t>
      </w:r>
      <w:r w:rsidR="00510E73" w:rsidRPr="00712B16">
        <w:rPr>
          <w:rFonts w:ascii="Times New Roman" w:hAnsi="Times New Roman" w:cs="Times New Roman"/>
          <w:sz w:val="24"/>
          <w:szCs w:val="24"/>
        </w:rPr>
        <w:t>committed to</w:t>
      </w:r>
      <w:r w:rsidRPr="00712B16">
        <w:rPr>
          <w:rFonts w:ascii="Times New Roman" w:hAnsi="Times New Roman" w:cs="Times New Roman"/>
          <w:sz w:val="24"/>
          <w:szCs w:val="24"/>
        </w:rPr>
        <w:t xml:space="preserve"> </w:t>
      </w:r>
      <w:r w:rsidR="00972351" w:rsidRPr="00712B16">
        <w:rPr>
          <w:rFonts w:ascii="Times New Roman" w:hAnsi="Times New Roman" w:cs="Times New Roman"/>
          <w:sz w:val="24"/>
          <w:szCs w:val="24"/>
        </w:rPr>
        <w:t xml:space="preserve">a </w:t>
      </w:r>
      <w:r w:rsidR="005832CF" w:rsidRPr="00712B16">
        <w:rPr>
          <w:rFonts w:ascii="Times New Roman" w:hAnsi="Times New Roman" w:cs="Times New Roman"/>
          <w:sz w:val="24"/>
          <w:szCs w:val="24"/>
        </w:rPr>
        <w:t>net zero</w:t>
      </w:r>
      <w:r w:rsidRPr="00712B16">
        <w:rPr>
          <w:rFonts w:ascii="Times New Roman" w:hAnsi="Times New Roman" w:cs="Times New Roman"/>
          <w:sz w:val="24"/>
          <w:szCs w:val="24"/>
        </w:rPr>
        <w:t xml:space="preserve"> target in that fiscal year, and 0 otherwise.</w:t>
      </w:r>
    </w:p>
    <w:p w14:paraId="247759E4" w14:textId="7256F8AD" w:rsidR="009032E8" w:rsidRPr="00712B16" w:rsidRDefault="00D32757">
      <w:pPr>
        <w:spacing w:after="0" w:line="480" w:lineRule="auto"/>
        <w:ind w:firstLine="567"/>
        <w:jc w:val="both"/>
        <w:rPr>
          <w:rFonts w:ascii="Times New Roman" w:hAnsi="Times New Roman" w:cs="Times New Roman"/>
          <w:sz w:val="24"/>
          <w:szCs w:val="24"/>
        </w:rPr>
      </w:pPr>
      <w:r w:rsidRPr="00712B16">
        <w:rPr>
          <w:rFonts w:ascii="Times New Roman" w:hAnsi="Times New Roman" w:cs="Times New Roman"/>
          <w:sz w:val="24"/>
          <w:szCs w:val="24"/>
        </w:rPr>
        <w:t xml:space="preserve">Next, we introduce </w:t>
      </w:r>
      <w:r w:rsidR="00E051A3" w:rsidRPr="00712B16">
        <w:rPr>
          <w:rFonts w:ascii="Times New Roman" w:hAnsi="Times New Roman" w:cs="Times New Roman"/>
          <w:sz w:val="24"/>
          <w:szCs w:val="24"/>
        </w:rPr>
        <w:t xml:space="preserve">an interaction variable of </w:t>
      </w:r>
      <w:r w:rsidR="00E051A3" w:rsidRPr="00712B16">
        <w:rPr>
          <w:rFonts w:ascii="Times New Roman" w:hAnsi="Times New Roman" w:cs="Times New Roman"/>
          <w:i/>
          <w:iCs/>
          <w:sz w:val="24"/>
          <w:szCs w:val="24"/>
        </w:rPr>
        <w:t>COUNTRY_NETZERO*</w:t>
      </w:r>
      <w:proofErr w:type="spellStart"/>
      <w:proofErr w:type="gramStart"/>
      <w:r w:rsidR="00E051A3" w:rsidRPr="00712B16">
        <w:rPr>
          <w:rFonts w:ascii="Times New Roman" w:hAnsi="Times New Roman" w:cs="Times New Roman"/>
          <w:i/>
          <w:iCs/>
          <w:sz w:val="24"/>
          <w:szCs w:val="24"/>
        </w:rPr>
        <w:t>CSR</w:t>
      </w:r>
      <w:r w:rsidR="00E051A3" w:rsidRPr="00712B16">
        <w:rPr>
          <w:rFonts w:ascii="Times New Roman" w:hAnsi="Times New Roman" w:cs="Times New Roman"/>
          <w:i/>
          <w:iCs/>
          <w:sz w:val="24"/>
          <w:szCs w:val="24"/>
          <w:vertAlign w:val="subscript"/>
        </w:rPr>
        <w:t>i,t</w:t>
      </w:r>
      <w:proofErr w:type="spellEnd"/>
      <w:proofErr w:type="gramEnd"/>
      <w:r w:rsidR="00E051A3" w:rsidRPr="00712B16">
        <w:rPr>
          <w:rFonts w:ascii="Times New Roman" w:hAnsi="Times New Roman" w:cs="Times New Roman"/>
          <w:sz w:val="24"/>
          <w:szCs w:val="24"/>
        </w:rPr>
        <w:t xml:space="preserve"> in the model to examine the </w:t>
      </w:r>
      <w:r w:rsidR="00B60765" w:rsidRPr="00712B16">
        <w:rPr>
          <w:rFonts w:ascii="Times New Roman" w:hAnsi="Times New Roman" w:cs="Times New Roman"/>
          <w:sz w:val="24"/>
          <w:szCs w:val="24"/>
        </w:rPr>
        <w:t xml:space="preserve">incremental </w:t>
      </w:r>
      <w:r w:rsidR="00E051A3" w:rsidRPr="00712B16">
        <w:rPr>
          <w:rFonts w:ascii="Times New Roman" w:hAnsi="Times New Roman" w:cs="Times New Roman"/>
          <w:sz w:val="24"/>
          <w:szCs w:val="24"/>
        </w:rPr>
        <w:t xml:space="preserve">effect of a firm’s </w:t>
      </w:r>
      <w:r w:rsidR="00E051A3" w:rsidRPr="00712B16">
        <w:rPr>
          <w:rFonts w:ascii="Times New Roman" w:hAnsi="Times New Roman" w:cs="Times New Roman"/>
          <w:i/>
          <w:iCs/>
          <w:sz w:val="24"/>
          <w:szCs w:val="24"/>
        </w:rPr>
        <w:t>CSR</w:t>
      </w:r>
      <w:r w:rsidR="00E051A3" w:rsidRPr="00712B16">
        <w:rPr>
          <w:rFonts w:ascii="Times New Roman" w:hAnsi="Times New Roman" w:cs="Times New Roman"/>
          <w:sz w:val="24"/>
          <w:szCs w:val="24"/>
        </w:rPr>
        <w:t xml:space="preserve"> performance on the relation between </w:t>
      </w:r>
      <w:proofErr w:type="spellStart"/>
      <w:r w:rsidR="00E051A3" w:rsidRPr="00712B16">
        <w:rPr>
          <w:rFonts w:ascii="Times New Roman" w:hAnsi="Times New Roman" w:cs="Times New Roman"/>
          <w:i/>
          <w:iCs/>
          <w:sz w:val="24"/>
          <w:szCs w:val="24"/>
        </w:rPr>
        <w:t>COUNTRY_NETZERO</w:t>
      </w:r>
      <w:r w:rsidR="00E051A3" w:rsidRPr="00712B16">
        <w:rPr>
          <w:rFonts w:ascii="Times New Roman" w:hAnsi="Times New Roman" w:cs="Times New Roman"/>
          <w:i/>
          <w:iCs/>
          <w:sz w:val="24"/>
          <w:szCs w:val="24"/>
          <w:vertAlign w:val="subscript"/>
        </w:rPr>
        <w:t>i,t</w:t>
      </w:r>
      <w:proofErr w:type="spellEnd"/>
      <w:r w:rsidR="00E051A3" w:rsidRPr="00712B16">
        <w:rPr>
          <w:rFonts w:ascii="Times New Roman" w:hAnsi="Times New Roman" w:cs="Times New Roman"/>
          <w:sz w:val="24"/>
          <w:szCs w:val="24"/>
        </w:rPr>
        <w:t xml:space="preserve"> and </w:t>
      </w:r>
      <w:r w:rsidR="00E051A3" w:rsidRPr="00712B16">
        <w:rPr>
          <w:rFonts w:ascii="Times New Roman" w:hAnsi="Times New Roman" w:cs="Times New Roman"/>
          <w:i/>
          <w:sz w:val="24"/>
          <w:szCs w:val="24"/>
        </w:rPr>
        <w:t xml:space="preserve">REM. </w:t>
      </w:r>
      <w:r w:rsidR="00E051A3" w:rsidRPr="00712B16">
        <w:rPr>
          <w:rFonts w:ascii="Times New Roman" w:hAnsi="Times New Roman" w:cs="Times New Roman"/>
          <w:sz w:val="24"/>
          <w:szCs w:val="24"/>
        </w:rPr>
        <w:t>The following regression model is estimated to test hypothesis 2:</w:t>
      </w:r>
    </w:p>
    <w:p w14:paraId="19261EDA" w14:textId="7D53EB13" w:rsidR="009032E8" w:rsidRPr="00712B16" w:rsidRDefault="00E051A3" w:rsidP="009B67CB">
      <w:pPr>
        <w:spacing w:after="0" w:line="240" w:lineRule="auto"/>
        <w:rPr>
          <w:rFonts w:ascii="Times New Roman" w:hAnsi="Times New Roman" w:cs="Times New Roman"/>
          <w:sz w:val="24"/>
          <w:szCs w:val="24"/>
        </w:rPr>
      </w:pPr>
      <w:proofErr w:type="spellStart"/>
      <w:r w:rsidRPr="00712B16">
        <w:rPr>
          <w:rFonts w:ascii="Times New Roman" w:hAnsi="Times New Roman" w:cs="Times New Roman"/>
          <w:i/>
          <w:iCs/>
          <w:sz w:val="24"/>
          <w:szCs w:val="24"/>
        </w:rPr>
        <w:t>REM</w:t>
      </w:r>
      <w:r w:rsidRPr="00712B16">
        <w:rPr>
          <w:rFonts w:ascii="Times New Roman" w:hAnsi="Times New Roman" w:cs="Times New Roman"/>
          <w:i/>
          <w:iCs/>
          <w:sz w:val="24"/>
          <w:szCs w:val="24"/>
          <w:vertAlign w:val="subscript"/>
        </w:rPr>
        <w:t>i,t</w:t>
      </w:r>
      <w:proofErr w:type="spellEnd"/>
      <w:r w:rsidRPr="00712B16">
        <w:rPr>
          <w:rFonts w:ascii="Times New Roman" w:hAnsi="Times New Roman" w:cs="Times New Roman"/>
          <w:i/>
          <w:iCs/>
          <w:sz w:val="24"/>
          <w:szCs w:val="24"/>
          <w:vertAlign w:val="subscript"/>
        </w:rPr>
        <w:t xml:space="preserve"> </w:t>
      </w:r>
      <w:r w:rsidRPr="00712B16">
        <w:rPr>
          <w:rFonts w:ascii="Times New Roman" w:hAnsi="Times New Roman" w:cs="Times New Roman"/>
          <w:i/>
          <w:iCs/>
          <w:sz w:val="24"/>
          <w:szCs w:val="24"/>
        </w:rPr>
        <w:t>= β</w:t>
      </w:r>
      <w:r w:rsidRPr="00712B16">
        <w:rPr>
          <w:rFonts w:ascii="Times New Roman" w:hAnsi="Times New Roman" w:cs="Times New Roman"/>
          <w:i/>
          <w:iCs/>
          <w:sz w:val="24"/>
          <w:szCs w:val="24"/>
          <w:vertAlign w:val="subscript"/>
        </w:rPr>
        <w:t xml:space="preserve">0 </w:t>
      </w:r>
      <w:r w:rsidRPr="00712B16">
        <w:rPr>
          <w:rFonts w:ascii="Times New Roman" w:hAnsi="Times New Roman" w:cs="Times New Roman"/>
          <w:sz w:val="24"/>
          <w:szCs w:val="24"/>
        </w:rPr>
        <w:t xml:space="preserve">+ </w:t>
      </w:r>
      <w:r w:rsidRPr="00712B16">
        <w:rPr>
          <w:rFonts w:ascii="Times New Roman" w:hAnsi="Times New Roman" w:cs="Times New Roman"/>
          <w:i/>
          <w:iCs/>
          <w:sz w:val="24"/>
          <w:szCs w:val="24"/>
        </w:rPr>
        <w:t>β</w:t>
      </w:r>
      <w:r w:rsidRPr="00712B16">
        <w:rPr>
          <w:rFonts w:ascii="Times New Roman" w:hAnsi="Times New Roman" w:cs="Times New Roman"/>
          <w:i/>
          <w:iCs/>
          <w:sz w:val="24"/>
          <w:szCs w:val="24"/>
          <w:vertAlign w:val="subscript"/>
        </w:rPr>
        <w:t>1</w:t>
      </w:r>
      <w:r w:rsidRPr="00712B16">
        <w:rPr>
          <w:rFonts w:ascii="Times New Roman" w:hAnsi="Times New Roman" w:cs="Times New Roman"/>
          <w:i/>
          <w:iCs/>
          <w:sz w:val="24"/>
          <w:szCs w:val="24"/>
        </w:rPr>
        <w:t>COUNTRY_NETZERO</w:t>
      </w:r>
      <w:r w:rsidRPr="00712B16">
        <w:rPr>
          <w:rFonts w:ascii="Times New Roman" w:hAnsi="Times New Roman" w:cs="Times New Roman"/>
          <w:i/>
          <w:iCs/>
          <w:sz w:val="24"/>
          <w:szCs w:val="24"/>
          <w:vertAlign w:val="subscript"/>
        </w:rPr>
        <w:t xml:space="preserve">i,t </w:t>
      </w:r>
      <w:r w:rsidRPr="00712B16">
        <w:rPr>
          <w:rFonts w:ascii="Times New Roman" w:hAnsi="Times New Roman" w:cs="Times New Roman"/>
          <w:sz w:val="24"/>
          <w:szCs w:val="24"/>
        </w:rPr>
        <w:t xml:space="preserve">+ </w:t>
      </w:r>
      <w:r w:rsidRPr="00712B16">
        <w:rPr>
          <w:rFonts w:ascii="Times New Roman" w:hAnsi="Times New Roman" w:cs="Times New Roman"/>
          <w:i/>
          <w:iCs/>
          <w:sz w:val="24"/>
          <w:szCs w:val="24"/>
        </w:rPr>
        <w:t>β</w:t>
      </w:r>
      <w:r w:rsidRPr="00712B16">
        <w:rPr>
          <w:rFonts w:ascii="Times New Roman" w:hAnsi="Times New Roman" w:cs="Times New Roman"/>
          <w:i/>
          <w:iCs/>
          <w:sz w:val="24"/>
          <w:szCs w:val="24"/>
          <w:vertAlign w:val="subscript"/>
        </w:rPr>
        <w:t>2</w:t>
      </w:r>
      <w:r w:rsidRPr="00712B16">
        <w:rPr>
          <w:rFonts w:ascii="Times New Roman" w:hAnsi="Times New Roman" w:cs="Times New Roman"/>
          <w:i/>
          <w:iCs/>
          <w:sz w:val="24"/>
          <w:szCs w:val="24"/>
        </w:rPr>
        <w:t>CSR</w:t>
      </w:r>
      <w:r w:rsidRPr="00712B16">
        <w:rPr>
          <w:rFonts w:ascii="Times New Roman" w:hAnsi="Times New Roman" w:cs="Times New Roman"/>
          <w:i/>
          <w:iCs/>
          <w:sz w:val="24"/>
          <w:szCs w:val="24"/>
          <w:vertAlign w:val="subscript"/>
        </w:rPr>
        <w:t xml:space="preserve">i,t </w:t>
      </w:r>
      <w:r w:rsidRPr="00712B16">
        <w:rPr>
          <w:rFonts w:ascii="Times New Roman" w:hAnsi="Times New Roman" w:cs="Times New Roman"/>
          <w:sz w:val="24"/>
          <w:szCs w:val="24"/>
        </w:rPr>
        <w:t xml:space="preserve">+ </w:t>
      </w:r>
      <w:r w:rsidRPr="00712B16">
        <w:rPr>
          <w:rFonts w:ascii="Times New Roman" w:hAnsi="Times New Roman" w:cs="Times New Roman"/>
          <w:i/>
          <w:iCs/>
          <w:sz w:val="24"/>
          <w:szCs w:val="24"/>
        </w:rPr>
        <w:t>β</w:t>
      </w:r>
      <w:r w:rsidRPr="00712B16">
        <w:rPr>
          <w:rFonts w:ascii="Times New Roman" w:hAnsi="Times New Roman" w:cs="Times New Roman"/>
          <w:i/>
          <w:iCs/>
          <w:sz w:val="24"/>
          <w:szCs w:val="24"/>
          <w:vertAlign w:val="subscript"/>
        </w:rPr>
        <w:t>3</w:t>
      </w:r>
      <w:r w:rsidRPr="00712B16">
        <w:rPr>
          <w:rFonts w:ascii="Times New Roman" w:hAnsi="Times New Roman" w:cs="Times New Roman"/>
          <w:i/>
          <w:iCs/>
          <w:sz w:val="24"/>
          <w:szCs w:val="24"/>
        </w:rPr>
        <w:t>COUNTRY_NETZERO*</w:t>
      </w:r>
      <w:proofErr w:type="spellStart"/>
      <w:r w:rsidRPr="00712B16">
        <w:rPr>
          <w:rFonts w:ascii="Times New Roman" w:hAnsi="Times New Roman" w:cs="Times New Roman"/>
          <w:i/>
          <w:iCs/>
          <w:sz w:val="24"/>
          <w:szCs w:val="24"/>
        </w:rPr>
        <w:t>CSR</w:t>
      </w:r>
      <w:r w:rsidRPr="00712B16">
        <w:rPr>
          <w:rFonts w:ascii="Times New Roman" w:hAnsi="Times New Roman" w:cs="Times New Roman"/>
          <w:i/>
          <w:iCs/>
          <w:sz w:val="24"/>
          <w:szCs w:val="24"/>
          <w:vertAlign w:val="subscript"/>
        </w:rPr>
        <w:t>i,t</w:t>
      </w:r>
      <w:proofErr w:type="spellEnd"/>
      <w:r w:rsidRPr="00712B16">
        <w:rPr>
          <w:rFonts w:ascii="Times New Roman" w:hAnsi="Times New Roman" w:cs="Times New Roman"/>
          <w:sz w:val="24"/>
          <w:szCs w:val="24"/>
        </w:rPr>
        <w:t xml:space="preserve"> + </w:t>
      </w:r>
      <w:r w:rsidRPr="00712B16">
        <w:rPr>
          <w:rFonts w:ascii="Times New Roman" w:hAnsi="Times New Roman" w:cs="Times New Roman"/>
          <w:i/>
          <w:iCs/>
          <w:sz w:val="24"/>
          <w:szCs w:val="24"/>
        </w:rPr>
        <w:t>β</w:t>
      </w:r>
      <w:r w:rsidRPr="00712B16">
        <w:rPr>
          <w:rFonts w:ascii="Times New Roman" w:hAnsi="Times New Roman" w:cs="Times New Roman"/>
          <w:i/>
          <w:iCs/>
          <w:sz w:val="24"/>
          <w:szCs w:val="24"/>
          <w:vertAlign w:val="subscript"/>
        </w:rPr>
        <w:t>4</w:t>
      </w:r>
      <w:r w:rsidRPr="00712B16">
        <w:rPr>
          <w:rFonts w:ascii="Times New Roman" w:hAnsi="Times New Roman" w:cs="Times New Roman"/>
          <w:i/>
          <w:iCs/>
          <w:sz w:val="24"/>
          <w:szCs w:val="24"/>
        </w:rPr>
        <w:t>CLIMATE_RISK</w:t>
      </w:r>
      <w:r w:rsidRPr="00712B16">
        <w:rPr>
          <w:rFonts w:ascii="Times New Roman" w:hAnsi="Times New Roman" w:cs="Times New Roman"/>
          <w:i/>
          <w:iCs/>
          <w:sz w:val="24"/>
          <w:szCs w:val="24"/>
          <w:vertAlign w:val="subscript"/>
        </w:rPr>
        <w:t xml:space="preserve">i,t </w:t>
      </w:r>
      <w:r w:rsidRPr="00712B16">
        <w:rPr>
          <w:rFonts w:ascii="Times New Roman" w:hAnsi="Times New Roman" w:cs="Times New Roman"/>
          <w:sz w:val="24"/>
          <w:szCs w:val="24"/>
        </w:rPr>
        <w:t xml:space="preserve">+ </w:t>
      </w:r>
      <w:r w:rsidRPr="00712B16">
        <w:rPr>
          <w:rFonts w:ascii="Times New Roman" w:hAnsi="Times New Roman" w:cs="Times New Roman"/>
          <w:i/>
          <w:iCs/>
          <w:sz w:val="24"/>
          <w:szCs w:val="24"/>
        </w:rPr>
        <w:t>β</w:t>
      </w:r>
      <w:r w:rsidRPr="00712B16">
        <w:rPr>
          <w:rFonts w:ascii="Times New Roman" w:hAnsi="Times New Roman" w:cs="Times New Roman"/>
          <w:i/>
          <w:iCs/>
          <w:sz w:val="24"/>
          <w:szCs w:val="24"/>
          <w:vertAlign w:val="subscript"/>
        </w:rPr>
        <w:t>5</w:t>
      </w:r>
      <w:r w:rsidRPr="00712B16">
        <w:rPr>
          <w:rFonts w:ascii="Times New Roman" w:hAnsi="Times New Roman" w:cs="Times New Roman"/>
          <w:i/>
          <w:iCs/>
          <w:sz w:val="24"/>
          <w:szCs w:val="24"/>
        </w:rPr>
        <w:t>CO2_PER_CAPITA</w:t>
      </w:r>
      <w:r w:rsidRPr="00712B16">
        <w:rPr>
          <w:rFonts w:ascii="Times New Roman" w:hAnsi="Times New Roman" w:cs="Times New Roman"/>
          <w:i/>
          <w:iCs/>
          <w:sz w:val="24"/>
          <w:szCs w:val="24"/>
          <w:vertAlign w:val="subscript"/>
        </w:rPr>
        <w:t xml:space="preserve">i,t </w:t>
      </w:r>
      <w:r w:rsidRPr="00712B16">
        <w:rPr>
          <w:rFonts w:ascii="Times New Roman" w:hAnsi="Times New Roman" w:cs="Times New Roman"/>
          <w:sz w:val="24"/>
          <w:szCs w:val="24"/>
        </w:rPr>
        <w:t xml:space="preserve">+ </w:t>
      </w:r>
      <w:r w:rsidRPr="00712B16">
        <w:rPr>
          <w:rFonts w:ascii="Times New Roman" w:hAnsi="Times New Roman" w:cs="Times New Roman"/>
          <w:i/>
          <w:iCs/>
          <w:sz w:val="24"/>
          <w:szCs w:val="24"/>
        </w:rPr>
        <w:t>β</w:t>
      </w:r>
      <w:r w:rsidRPr="00712B16">
        <w:rPr>
          <w:rFonts w:ascii="Times New Roman" w:hAnsi="Times New Roman" w:cs="Times New Roman"/>
          <w:i/>
          <w:iCs/>
          <w:sz w:val="24"/>
          <w:szCs w:val="24"/>
          <w:vertAlign w:val="subscript"/>
        </w:rPr>
        <w:t>6</w:t>
      </w:r>
      <w:r w:rsidRPr="00712B16">
        <w:rPr>
          <w:rFonts w:ascii="Times New Roman" w:hAnsi="Times New Roman" w:cs="Times New Roman"/>
          <w:i/>
          <w:iCs/>
          <w:sz w:val="24"/>
          <w:szCs w:val="24"/>
        </w:rPr>
        <w:t>GDP_PER_CAPITA</w:t>
      </w:r>
      <w:r w:rsidRPr="00712B16">
        <w:rPr>
          <w:rFonts w:ascii="Times New Roman" w:hAnsi="Times New Roman" w:cs="Times New Roman"/>
          <w:i/>
          <w:iCs/>
          <w:sz w:val="24"/>
          <w:szCs w:val="24"/>
          <w:vertAlign w:val="subscript"/>
        </w:rPr>
        <w:t xml:space="preserve">i,t </w:t>
      </w:r>
      <w:r w:rsidRPr="00712B16">
        <w:rPr>
          <w:rFonts w:ascii="Times New Roman" w:hAnsi="Times New Roman" w:cs="Times New Roman"/>
          <w:sz w:val="24"/>
          <w:szCs w:val="24"/>
        </w:rPr>
        <w:t xml:space="preserve">+ </w:t>
      </w:r>
      <w:r w:rsidRPr="00712B16">
        <w:rPr>
          <w:rFonts w:ascii="Times New Roman" w:hAnsi="Times New Roman" w:cs="Times New Roman"/>
          <w:i/>
          <w:iCs/>
          <w:sz w:val="24"/>
          <w:szCs w:val="24"/>
        </w:rPr>
        <w:t>β</w:t>
      </w:r>
      <w:r w:rsidRPr="00712B16">
        <w:rPr>
          <w:rFonts w:ascii="Times New Roman" w:hAnsi="Times New Roman" w:cs="Times New Roman"/>
          <w:i/>
          <w:iCs/>
          <w:sz w:val="24"/>
          <w:szCs w:val="24"/>
          <w:vertAlign w:val="subscript"/>
        </w:rPr>
        <w:t>7</w:t>
      </w:r>
      <w:r w:rsidRPr="00712B16">
        <w:rPr>
          <w:rFonts w:ascii="Times New Roman" w:hAnsi="Times New Roman" w:cs="Times New Roman"/>
          <w:i/>
          <w:iCs/>
          <w:sz w:val="24"/>
          <w:szCs w:val="24"/>
        </w:rPr>
        <w:t>GDP_GROWTH_RATE</w:t>
      </w:r>
      <w:r w:rsidRPr="00712B16">
        <w:rPr>
          <w:rFonts w:ascii="Times New Roman" w:hAnsi="Times New Roman" w:cs="Times New Roman"/>
          <w:i/>
          <w:iCs/>
          <w:sz w:val="24"/>
          <w:szCs w:val="24"/>
          <w:vertAlign w:val="subscript"/>
        </w:rPr>
        <w:t xml:space="preserve">i,t </w:t>
      </w:r>
      <w:r w:rsidRPr="00712B16">
        <w:rPr>
          <w:rFonts w:ascii="Times New Roman" w:hAnsi="Times New Roman" w:cs="Times New Roman"/>
          <w:sz w:val="24"/>
          <w:szCs w:val="24"/>
        </w:rPr>
        <w:t xml:space="preserve">+ </w:t>
      </w:r>
      <w:r w:rsidRPr="00712B16">
        <w:rPr>
          <w:rFonts w:ascii="Times New Roman" w:hAnsi="Times New Roman" w:cs="Times New Roman"/>
          <w:i/>
          <w:iCs/>
          <w:sz w:val="24"/>
          <w:szCs w:val="24"/>
        </w:rPr>
        <w:t>β</w:t>
      </w:r>
      <w:r w:rsidRPr="00712B16">
        <w:rPr>
          <w:rFonts w:ascii="Times New Roman" w:hAnsi="Times New Roman" w:cs="Times New Roman"/>
          <w:i/>
          <w:iCs/>
          <w:sz w:val="24"/>
          <w:szCs w:val="24"/>
          <w:vertAlign w:val="subscript"/>
        </w:rPr>
        <w:t>8</w:t>
      </w:r>
      <w:r w:rsidRPr="00712B16">
        <w:rPr>
          <w:rFonts w:ascii="Times New Roman" w:hAnsi="Times New Roman" w:cs="Times New Roman"/>
          <w:i/>
          <w:iCs/>
          <w:sz w:val="24"/>
          <w:szCs w:val="24"/>
        </w:rPr>
        <w:t>CORRUPT_CONTROL</w:t>
      </w:r>
      <w:r w:rsidRPr="00712B16">
        <w:rPr>
          <w:rFonts w:ascii="Times New Roman" w:hAnsi="Times New Roman" w:cs="Times New Roman"/>
          <w:i/>
          <w:iCs/>
          <w:sz w:val="24"/>
          <w:szCs w:val="24"/>
          <w:vertAlign w:val="subscript"/>
        </w:rPr>
        <w:t xml:space="preserve">i,t </w:t>
      </w:r>
      <w:r w:rsidRPr="00712B16">
        <w:rPr>
          <w:rFonts w:ascii="Times New Roman" w:hAnsi="Times New Roman" w:cs="Times New Roman"/>
          <w:sz w:val="24"/>
          <w:szCs w:val="24"/>
        </w:rPr>
        <w:t xml:space="preserve">+ </w:t>
      </w:r>
      <w:r w:rsidRPr="00712B16">
        <w:rPr>
          <w:rFonts w:ascii="Times New Roman" w:hAnsi="Times New Roman" w:cs="Times New Roman"/>
          <w:i/>
          <w:iCs/>
          <w:sz w:val="24"/>
          <w:szCs w:val="24"/>
        </w:rPr>
        <w:t>β</w:t>
      </w:r>
      <w:r w:rsidRPr="00712B16">
        <w:rPr>
          <w:rFonts w:ascii="Times New Roman" w:hAnsi="Times New Roman" w:cs="Times New Roman"/>
          <w:i/>
          <w:iCs/>
          <w:sz w:val="24"/>
          <w:szCs w:val="24"/>
          <w:vertAlign w:val="subscript"/>
        </w:rPr>
        <w:t>9</w:t>
      </w:r>
      <w:r w:rsidRPr="00712B16">
        <w:rPr>
          <w:rFonts w:ascii="Times New Roman" w:hAnsi="Times New Roman" w:cs="Times New Roman"/>
          <w:i/>
          <w:iCs/>
          <w:sz w:val="24"/>
          <w:szCs w:val="24"/>
        </w:rPr>
        <w:t>GOV_EFFECT</w:t>
      </w:r>
      <w:r w:rsidRPr="00712B16">
        <w:rPr>
          <w:rFonts w:ascii="Times New Roman" w:hAnsi="Times New Roman" w:cs="Times New Roman"/>
          <w:i/>
          <w:iCs/>
          <w:sz w:val="24"/>
          <w:szCs w:val="24"/>
          <w:vertAlign w:val="subscript"/>
        </w:rPr>
        <w:t xml:space="preserve">i,t </w:t>
      </w:r>
      <w:r w:rsidRPr="00712B16">
        <w:rPr>
          <w:rFonts w:ascii="Times New Roman" w:hAnsi="Times New Roman" w:cs="Times New Roman"/>
          <w:sz w:val="24"/>
          <w:szCs w:val="24"/>
        </w:rPr>
        <w:t xml:space="preserve">+ </w:t>
      </w:r>
      <w:r w:rsidRPr="00712B16">
        <w:rPr>
          <w:rFonts w:ascii="Times New Roman" w:hAnsi="Times New Roman" w:cs="Times New Roman"/>
          <w:i/>
          <w:iCs/>
          <w:sz w:val="24"/>
          <w:szCs w:val="24"/>
        </w:rPr>
        <w:t>β</w:t>
      </w:r>
      <w:r w:rsidRPr="00712B16">
        <w:rPr>
          <w:rFonts w:ascii="Times New Roman" w:hAnsi="Times New Roman" w:cs="Times New Roman"/>
          <w:i/>
          <w:iCs/>
          <w:sz w:val="24"/>
          <w:szCs w:val="24"/>
          <w:vertAlign w:val="subscript"/>
        </w:rPr>
        <w:t>10</w:t>
      </w:r>
      <w:r w:rsidRPr="00712B16">
        <w:rPr>
          <w:rFonts w:ascii="Times New Roman" w:hAnsi="Times New Roman" w:cs="Times New Roman"/>
          <w:i/>
          <w:iCs/>
          <w:sz w:val="24"/>
          <w:szCs w:val="24"/>
        </w:rPr>
        <w:t>POL_STABILITY</w:t>
      </w:r>
      <w:r w:rsidRPr="00712B16">
        <w:rPr>
          <w:rFonts w:ascii="Times New Roman" w:hAnsi="Times New Roman" w:cs="Times New Roman"/>
          <w:i/>
          <w:iCs/>
          <w:sz w:val="24"/>
          <w:szCs w:val="24"/>
          <w:vertAlign w:val="subscript"/>
        </w:rPr>
        <w:t xml:space="preserve">i,t </w:t>
      </w:r>
      <w:r w:rsidRPr="00712B16">
        <w:rPr>
          <w:rFonts w:ascii="Times New Roman" w:hAnsi="Times New Roman" w:cs="Times New Roman"/>
          <w:sz w:val="24"/>
          <w:szCs w:val="24"/>
        </w:rPr>
        <w:t xml:space="preserve">+ </w:t>
      </w:r>
      <w:r w:rsidRPr="00712B16">
        <w:rPr>
          <w:rFonts w:ascii="Times New Roman" w:hAnsi="Times New Roman" w:cs="Times New Roman"/>
          <w:i/>
          <w:iCs/>
          <w:sz w:val="24"/>
          <w:szCs w:val="24"/>
        </w:rPr>
        <w:t>β</w:t>
      </w:r>
      <w:r w:rsidRPr="00712B16">
        <w:rPr>
          <w:rFonts w:ascii="Times New Roman" w:hAnsi="Times New Roman" w:cs="Times New Roman"/>
          <w:i/>
          <w:iCs/>
          <w:sz w:val="24"/>
          <w:szCs w:val="24"/>
          <w:vertAlign w:val="subscript"/>
        </w:rPr>
        <w:t>11</w:t>
      </w:r>
      <w:r w:rsidRPr="00712B16">
        <w:rPr>
          <w:rFonts w:ascii="Times New Roman" w:hAnsi="Times New Roman" w:cs="Times New Roman"/>
          <w:i/>
          <w:iCs/>
          <w:sz w:val="24"/>
          <w:szCs w:val="24"/>
        </w:rPr>
        <w:t>REGULATE_QUAL</w:t>
      </w:r>
      <w:r w:rsidRPr="00712B16">
        <w:rPr>
          <w:rFonts w:ascii="Times New Roman" w:hAnsi="Times New Roman" w:cs="Times New Roman"/>
          <w:i/>
          <w:iCs/>
          <w:sz w:val="24"/>
          <w:szCs w:val="24"/>
          <w:vertAlign w:val="subscript"/>
        </w:rPr>
        <w:t xml:space="preserve">i,t </w:t>
      </w:r>
      <w:r w:rsidRPr="00712B16">
        <w:rPr>
          <w:rFonts w:ascii="Times New Roman" w:hAnsi="Times New Roman" w:cs="Times New Roman"/>
          <w:sz w:val="24"/>
          <w:szCs w:val="24"/>
        </w:rPr>
        <w:t xml:space="preserve">+ </w:t>
      </w:r>
      <w:r w:rsidRPr="00712B16">
        <w:rPr>
          <w:rFonts w:ascii="Times New Roman" w:hAnsi="Times New Roman" w:cs="Times New Roman"/>
          <w:i/>
          <w:iCs/>
          <w:sz w:val="24"/>
          <w:szCs w:val="24"/>
        </w:rPr>
        <w:t>β</w:t>
      </w:r>
      <w:r w:rsidRPr="00712B16">
        <w:rPr>
          <w:rFonts w:ascii="Times New Roman" w:hAnsi="Times New Roman" w:cs="Times New Roman"/>
          <w:i/>
          <w:iCs/>
          <w:sz w:val="24"/>
          <w:szCs w:val="24"/>
          <w:vertAlign w:val="subscript"/>
        </w:rPr>
        <w:t>12</w:t>
      </w:r>
      <w:r w:rsidRPr="00712B16">
        <w:rPr>
          <w:rFonts w:ascii="Times New Roman" w:hAnsi="Times New Roman" w:cs="Times New Roman"/>
          <w:i/>
          <w:iCs/>
          <w:sz w:val="24"/>
          <w:szCs w:val="24"/>
        </w:rPr>
        <w:t>RULE_LAW</w:t>
      </w:r>
      <w:r w:rsidRPr="00712B16">
        <w:rPr>
          <w:rFonts w:ascii="Times New Roman" w:hAnsi="Times New Roman" w:cs="Times New Roman"/>
          <w:i/>
          <w:iCs/>
          <w:sz w:val="24"/>
          <w:szCs w:val="24"/>
          <w:vertAlign w:val="subscript"/>
        </w:rPr>
        <w:t xml:space="preserve">i,t </w:t>
      </w:r>
      <w:r w:rsidRPr="00712B16">
        <w:rPr>
          <w:rFonts w:ascii="Times New Roman" w:hAnsi="Times New Roman" w:cs="Times New Roman"/>
          <w:sz w:val="24"/>
          <w:szCs w:val="24"/>
        </w:rPr>
        <w:t xml:space="preserve">+ </w:t>
      </w:r>
      <w:r w:rsidRPr="00712B16">
        <w:rPr>
          <w:rFonts w:ascii="Times New Roman" w:hAnsi="Times New Roman" w:cs="Times New Roman"/>
          <w:i/>
          <w:iCs/>
          <w:sz w:val="24"/>
          <w:szCs w:val="24"/>
        </w:rPr>
        <w:t>β</w:t>
      </w:r>
      <w:r w:rsidRPr="00712B16">
        <w:rPr>
          <w:rFonts w:ascii="Times New Roman" w:hAnsi="Times New Roman" w:cs="Times New Roman"/>
          <w:i/>
          <w:iCs/>
          <w:sz w:val="24"/>
          <w:szCs w:val="24"/>
          <w:vertAlign w:val="subscript"/>
        </w:rPr>
        <w:t>13</w:t>
      </w:r>
      <w:r w:rsidRPr="00712B16">
        <w:rPr>
          <w:rFonts w:ascii="Times New Roman" w:hAnsi="Times New Roman" w:cs="Times New Roman"/>
          <w:i/>
          <w:iCs/>
          <w:sz w:val="24"/>
          <w:szCs w:val="24"/>
        </w:rPr>
        <w:t>VOICE_ACCOUNT</w:t>
      </w:r>
      <w:r w:rsidRPr="00712B16">
        <w:rPr>
          <w:rFonts w:ascii="Times New Roman" w:hAnsi="Times New Roman" w:cs="Times New Roman"/>
          <w:i/>
          <w:iCs/>
          <w:sz w:val="24"/>
          <w:szCs w:val="24"/>
          <w:vertAlign w:val="subscript"/>
        </w:rPr>
        <w:t xml:space="preserve">i,t </w:t>
      </w:r>
      <w:r w:rsidRPr="00712B16">
        <w:rPr>
          <w:rFonts w:ascii="Times New Roman" w:hAnsi="Times New Roman" w:cs="Times New Roman"/>
          <w:sz w:val="24"/>
          <w:szCs w:val="24"/>
        </w:rPr>
        <w:t xml:space="preserve">+ </w:t>
      </w:r>
      <w:r w:rsidRPr="00712B16">
        <w:rPr>
          <w:rFonts w:ascii="Times New Roman" w:hAnsi="Times New Roman" w:cs="Times New Roman"/>
          <w:i/>
          <w:iCs/>
          <w:sz w:val="24"/>
          <w:szCs w:val="24"/>
        </w:rPr>
        <w:t>β</w:t>
      </w:r>
      <w:r w:rsidRPr="00712B16">
        <w:rPr>
          <w:rFonts w:ascii="Times New Roman" w:hAnsi="Times New Roman" w:cs="Times New Roman"/>
          <w:i/>
          <w:iCs/>
          <w:sz w:val="24"/>
          <w:szCs w:val="24"/>
          <w:vertAlign w:val="subscript"/>
        </w:rPr>
        <w:t>14</w:t>
      </w:r>
      <w:r w:rsidRPr="00712B16">
        <w:rPr>
          <w:rFonts w:ascii="Times New Roman" w:hAnsi="Times New Roman" w:cs="Times New Roman"/>
          <w:i/>
          <w:iCs/>
          <w:sz w:val="24"/>
          <w:szCs w:val="24"/>
        </w:rPr>
        <w:t>CTR</w:t>
      </w:r>
      <w:r w:rsidRPr="00712B16">
        <w:rPr>
          <w:rFonts w:ascii="Times New Roman" w:hAnsi="Times New Roman" w:cs="Times New Roman"/>
          <w:i/>
          <w:iCs/>
          <w:sz w:val="24"/>
          <w:szCs w:val="24"/>
          <w:vertAlign w:val="subscript"/>
        </w:rPr>
        <w:t xml:space="preserve">i,t </w:t>
      </w:r>
      <w:r w:rsidRPr="00712B16">
        <w:rPr>
          <w:rFonts w:ascii="Times New Roman" w:hAnsi="Times New Roman" w:cs="Times New Roman"/>
          <w:sz w:val="24"/>
          <w:szCs w:val="24"/>
        </w:rPr>
        <w:t xml:space="preserve">+ </w:t>
      </w:r>
      <w:r w:rsidRPr="00712B16">
        <w:rPr>
          <w:rFonts w:ascii="Times New Roman" w:hAnsi="Times New Roman" w:cs="Times New Roman"/>
          <w:i/>
          <w:iCs/>
          <w:sz w:val="24"/>
          <w:szCs w:val="24"/>
        </w:rPr>
        <w:t>β</w:t>
      </w:r>
      <w:r w:rsidRPr="00712B16">
        <w:rPr>
          <w:rFonts w:ascii="Times New Roman" w:hAnsi="Times New Roman" w:cs="Times New Roman"/>
          <w:i/>
          <w:iCs/>
          <w:sz w:val="24"/>
          <w:szCs w:val="24"/>
          <w:vertAlign w:val="subscript"/>
        </w:rPr>
        <w:t>15</w:t>
      </w:r>
      <w:r w:rsidRPr="00712B16">
        <w:rPr>
          <w:rFonts w:ascii="Times New Roman" w:hAnsi="Times New Roman" w:cs="Times New Roman"/>
          <w:i/>
          <w:iCs/>
          <w:sz w:val="24"/>
          <w:szCs w:val="24"/>
        </w:rPr>
        <w:t>SIZE</w:t>
      </w:r>
      <w:r w:rsidRPr="00712B16">
        <w:rPr>
          <w:rFonts w:ascii="Times New Roman" w:hAnsi="Times New Roman" w:cs="Times New Roman"/>
          <w:i/>
          <w:iCs/>
          <w:sz w:val="24"/>
          <w:szCs w:val="24"/>
          <w:vertAlign w:val="subscript"/>
        </w:rPr>
        <w:t xml:space="preserve">i,t </w:t>
      </w:r>
      <w:r w:rsidRPr="00712B16">
        <w:rPr>
          <w:rFonts w:ascii="Times New Roman" w:hAnsi="Times New Roman" w:cs="Times New Roman"/>
          <w:sz w:val="24"/>
          <w:szCs w:val="24"/>
        </w:rPr>
        <w:t xml:space="preserve">+ </w:t>
      </w:r>
      <w:r w:rsidRPr="00712B16">
        <w:rPr>
          <w:rFonts w:ascii="Times New Roman" w:hAnsi="Times New Roman" w:cs="Times New Roman"/>
          <w:i/>
          <w:iCs/>
          <w:sz w:val="24"/>
          <w:szCs w:val="24"/>
        </w:rPr>
        <w:t>β</w:t>
      </w:r>
      <w:r w:rsidRPr="00712B16">
        <w:rPr>
          <w:rFonts w:ascii="Times New Roman" w:hAnsi="Times New Roman" w:cs="Times New Roman"/>
          <w:i/>
          <w:iCs/>
          <w:sz w:val="24"/>
          <w:szCs w:val="24"/>
          <w:vertAlign w:val="subscript"/>
        </w:rPr>
        <w:t>16</w:t>
      </w:r>
      <w:r w:rsidRPr="00712B16">
        <w:rPr>
          <w:rFonts w:ascii="Times New Roman" w:hAnsi="Times New Roman" w:cs="Times New Roman"/>
          <w:i/>
          <w:iCs/>
          <w:sz w:val="24"/>
          <w:szCs w:val="24"/>
        </w:rPr>
        <w:t>LEV</w:t>
      </w:r>
      <w:r w:rsidRPr="00712B16">
        <w:rPr>
          <w:rFonts w:ascii="Times New Roman" w:hAnsi="Times New Roman" w:cs="Times New Roman"/>
          <w:i/>
          <w:iCs/>
          <w:sz w:val="24"/>
          <w:szCs w:val="24"/>
          <w:vertAlign w:val="subscript"/>
        </w:rPr>
        <w:t xml:space="preserve">i,t </w:t>
      </w:r>
      <w:r w:rsidRPr="00712B16">
        <w:rPr>
          <w:rFonts w:ascii="Times New Roman" w:hAnsi="Times New Roman" w:cs="Times New Roman"/>
          <w:sz w:val="24"/>
          <w:szCs w:val="24"/>
        </w:rPr>
        <w:t xml:space="preserve">+ </w:t>
      </w:r>
      <w:r w:rsidRPr="00712B16">
        <w:rPr>
          <w:rFonts w:ascii="Times New Roman" w:hAnsi="Times New Roman" w:cs="Times New Roman"/>
          <w:i/>
          <w:iCs/>
          <w:sz w:val="24"/>
          <w:szCs w:val="24"/>
        </w:rPr>
        <w:t>β</w:t>
      </w:r>
      <w:r w:rsidRPr="00712B16">
        <w:rPr>
          <w:rFonts w:ascii="Times New Roman" w:hAnsi="Times New Roman" w:cs="Times New Roman"/>
          <w:i/>
          <w:iCs/>
          <w:sz w:val="24"/>
          <w:szCs w:val="24"/>
          <w:vertAlign w:val="subscript"/>
        </w:rPr>
        <w:t>17</w:t>
      </w:r>
      <w:r w:rsidRPr="00712B16">
        <w:rPr>
          <w:rFonts w:ascii="Times New Roman" w:hAnsi="Times New Roman" w:cs="Times New Roman"/>
          <w:i/>
          <w:iCs/>
          <w:sz w:val="24"/>
          <w:szCs w:val="24"/>
        </w:rPr>
        <w:t>ROA</w:t>
      </w:r>
      <w:r w:rsidRPr="00712B16">
        <w:rPr>
          <w:rFonts w:ascii="Times New Roman" w:hAnsi="Times New Roman" w:cs="Times New Roman"/>
          <w:i/>
          <w:iCs/>
          <w:sz w:val="24"/>
          <w:szCs w:val="24"/>
          <w:vertAlign w:val="subscript"/>
        </w:rPr>
        <w:t xml:space="preserve">i,t </w:t>
      </w:r>
      <w:r w:rsidRPr="00712B16">
        <w:rPr>
          <w:rFonts w:ascii="Times New Roman" w:hAnsi="Times New Roman" w:cs="Times New Roman"/>
          <w:sz w:val="24"/>
          <w:szCs w:val="24"/>
        </w:rPr>
        <w:t xml:space="preserve">+ </w:t>
      </w:r>
      <w:r w:rsidRPr="00712B16">
        <w:rPr>
          <w:rFonts w:ascii="Times New Roman" w:hAnsi="Times New Roman" w:cs="Times New Roman"/>
          <w:i/>
          <w:iCs/>
          <w:sz w:val="24"/>
          <w:szCs w:val="24"/>
        </w:rPr>
        <w:t>β</w:t>
      </w:r>
      <w:r w:rsidRPr="00712B16">
        <w:rPr>
          <w:rFonts w:ascii="Times New Roman" w:hAnsi="Times New Roman" w:cs="Times New Roman"/>
          <w:i/>
          <w:iCs/>
          <w:sz w:val="24"/>
          <w:szCs w:val="24"/>
          <w:vertAlign w:val="subscript"/>
        </w:rPr>
        <w:t>18</w:t>
      </w:r>
      <w:r w:rsidRPr="00712B16">
        <w:rPr>
          <w:rFonts w:ascii="Times New Roman" w:hAnsi="Times New Roman" w:cs="Times New Roman"/>
          <w:i/>
          <w:iCs/>
          <w:sz w:val="24"/>
          <w:szCs w:val="24"/>
        </w:rPr>
        <w:t>CASH</w:t>
      </w:r>
      <w:r w:rsidRPr="00712B16">
        <w:rPr>
          <w:rFonts w:ascii="Times New Roman" w:hAnsi="Times New Roman" w:cs="Times New Roman"/>
          <w:i/>
          <w:iCs/>
          <w:sz w:val="24"/>
          <w:szCs w:val="24"/>
          <w:vertAlign w:val="subscript"/>
        </w:rPr>
        <w:t xml:space="preserve">i,t </w:t>
      </w:r>
      <w:r w:rsidRPr="00712B16">
        <w:rPr>
          <w:rFonts w:ascii="Times New Roman" w:hAnsi="Times New Roman" w:cs="Times New Roman"/>
          <w:sz w:val="24"/>
          <w:szCs w:val="24"/>
        </w:rPr>
        <w:t xml:space="preserve">+ </w:t>
      </w:r>
      <w:r w:rsidRPr="00712B16">
        <w:rPr>
          <w:rFonts w:ascii="Times New Roman" w:hAnsi="Times New Roman" w:cs="Times New Roman"/>
          <w:i/>
          <w:iCs/>
          <w:sz w:val="24"/>
          <w:szCs w:val="24"/>
        </w:rPr>
        <w:t>β</w:t>
      </w:r>
      <w:r w:rsidRPr="00712B16">
        <w:rPr>
          <w:rFonts w:ascii="Times New Roman" w:hAnsi="Times New Roman" w:cs="Times New Roman"/>
          <w:i/>
          <w:iCs/>
          <w:sz w:val="24"/>
          <w:szCs w:val="24"/>
          <w:vertAlign w:val="subscript"/>
        </w:rPr>
        <w:t>19</w:t>
      </w:r>
      <w:r w:rsidRPr="00712B16">
        <w:rPr>
          <w:rFonts w:ascii="Times New Roman" w:hAnsi="Times New Roman" w:cs="Times New Roman"/>
          <w:i/>
          <w:iCs/>
          <w:sz w:val="24"/>
          <w:szCs w:val="24"/>
        </w:rPr>
        <w:t>PPE</w:t>
      </w:r>
      <w:r w:rsidRPr="00712B16">
        <w:rPr>
          <w:rFonts w:ascii="Times New Roman" w:hAnsi="Times New Roman" w:cs="Times New Roman"/>
          <w:i/>
          <w:iCs/>
          <w:sz w:val="24"/>
          <w:szCs w:val="24"/>
          <w:vertAlign w:val="subscript"/>
        </w:rPr>
        <w:t xml:space="preserve">i,t </w:t>
      </w:r>
      <w:r w:rsidRPr="00712B16">
        <w:rPr>
          <w:rFonts w:ascii="Times New Roman" w:hAnsi="Times New Roman" w:cs="Times New Roman"/>
          <w:sz w:val="24"/>
          <w:szCs w:val="24"/>
        </w:rPr>
        <w:t xml:space="preserve">+ </w:t>
      </w:r>
      <w:r w:rsidRPr="00712B16">
        <w:rPr>
          <w:rFonts w:ascii="Times New Roman" w:hAnsi="Times New Roman" w:cs="Times New Roman"/>
          <w:i/>
          <w:iCs/>
          <w:sz w:val="24"/>
          <w:szCs w:val="24"/>
        </w:rPr>
        <w:t>β</w:t>
      </w:r>
      <w:r w:rsidRPr="00712B16">
        <w:rPr>
          <w:rFonts w:ascii="Times New Roman" w:hAnsi="Times New Roman" w:cs="Times New Roman"/>
          <w:i/>
          <w:iCs/>
          <w:sz w:val="24"/>
          <w:szCs w:val="24"/>
          <w:vertAlign w:val="subscript"/>
        </w:rPr>
        <w:t>20</w:t>
      </w:r>
      <w:r w:rsidRPr="00712B16">
        <w:rPr>
          <w:rFonts w:ascii="Times New Roman" w:hAnsi="Times New Roman" w:cs="Times New Roman"/>
          <w:i/>
          <w:iCs/>
          <w:sz w:val="24"/>
          <w:szCs w:val="24"/>
        </w:rPr>
        <w:t>INTANG</w:t>
      </w:r>
      <w:r w:rsidRPr="00712B16">
        <w:rPr>
          <w:rFonts w:ascii="Times New Roman" w:hAnsi="Times New Roman" w:cs="Times New Roman"/>
          <w:i/>
          <w:iCs/>
          <w:sz w:val="24"/>
          <w:szCs w:val="24"/>
          <w:vertAlign w:val="subscript"/>
        </w:rPr>
        <w:t xml:space="preserve">i,t </w:t>
      </w:r>
      <w:r w:rsidRPr="00712B16">
        <w:rPr>
          <w:rFonts w:ascii="Times New Roman" w:hAnsi="Times New Roman" w:cs="Times New Roman"/>
          <w:sz w:val="24"/>
          <w:szCs w:val="24"/>
        </w:rPr>
        <w:t xml:space="preserve">+ </w:t>
      </w:r>
      <w:r w:rsidRPr="00712B16">
        <w:rPr>
          <w:rFonts w:ascii="Times New Roman" w:hAnsi="Times New Roman" w:cs="Times New Roman"/>
          <w:i/>
          <w:iCs/>
          <w:sz w:val="24"/>
          <w:szCs w:val="24"/>
        </w:rPr>
        <w:t>β</w:t>
      </w:r>
      <w:r w:rsidRPr="00712B16">
        <w:rPr>
          <w:rFonts w:ascii="Times New Roman" w:hAnsi="Times New Roman" w:cs="Times New Roman"/>
          <w:i/>
          <w:iCs/>
          <w:sz w:val="24"/>
          <w:szCs w:val="24"/>
          <w:vertAlign w:val="subscript"/>
        </w:rPr>
        <w:t>21</w:t>
      </w:r>
      <w:r w:rsidRPr="00712B16">
        <w:rPr>
          <w:rFonts w:ascii="Times New Roman" w:hAnsi="Times New Roman" w:cs="Times New Roman"/>
          <w:i/>
          <w:iCs/>
          <w:sz w:val="24"/>
          <w:szCs w:val="24"/>
        </w:rPr>
        <w:t>FOREIGN</w:t>
      </w:r>
      <w:r w:rsidRPr="00712B16">
        <w:rPr>
          <w:rFonts w:ascii="Times New Roman" w:hAnsi="Times New Roman" w:cs="Times New Roman"/>
          <w:i/>
          <w:iCs/>
          <w:sz w:val="24"/>
          <w:szCs w:val="24"/>
          <w:vertAlign w:val="subscript"/>
        </w:rPr>
        <w:t>i,t</w:t>
      </w:r>
      <w:r w:rsidRPr="00712B16">
        <w:rPr>
          <w:rFonts w:ascii="Times New Roman" w:hAnsi="Times New Roman" w:cs="Times New Roman"/>
          <w:sz w:val="24"/>
          <w:szCs w:val="24"/>
        </w:rPr>
        <w:t xml:space="preserve"> + </w:t>
      </w:r>
      <w:r w:rsidRPr="00712B16">
        <w:rPr>
          <w:rFonts w:ascii="Times New Roman" w:hAnsi="Times New Roman" w:cs="Times New Roman"/>
          <w:i/>
          <w:iCs/>
          <w:sz w:val="24"/>
          <w:szCs w:val="24"/>
        </w:rPr>
        <w:t>β</w:t>
      </w:r>
      <w:r w:rsidRPr="00712B16">
        <w:rPr>
          <w:rFonts w:ascii="Times New Roman" w:hAnsi="Times New Roman" w:cs="Times New Roman"/>
          <w:i/>
          <w:iCs/>
          <w:sz w:val="24"/>
          <w:szCs w:val="24"/>
          <w:vertAlign w:val="subscript"/>
        </w:rPr>
        <w:t>22</w:t>
      </w:r>
      <w:r w:rsidRPr="00712B16">
        <w:rPr>
          <w:rFonts w:ascii="Times New Roman" w:hAnsi="Times New Roman" w:cs="Times New Roman"/>
          <w:i/>
          <w:iCs/>
          <w:sz w:val="24"/>
          <w:szCs w:val="24"/>
        </w:rPr>
        <w:t>R&amp;D</w:t>
      </w:r>
      <w:r w:rsidRPr="00712B16">
        <w:rPr>
          <w:rFonts w:ascii="Times New Roman" w:hAnsi="Times New Roman" w:cs="Times New Roman"/>
          <w:i/>
          <w:iCs/>
          <w:sz w:val="24"/>
          <w:szCs w:val="24"/>
          <w:vertAlign w:val="subscript"/>
        </w:rPr>
        <w:t xml:space="preserve">i,t </w:t>
      </w:r>
      <w:r w:rsidRPr="00712B16">
        <w:rPr>
          <w:rFonts w:ascii="Times New Roman" w:hAnsi="Times New Roman" w:cs="Times New Roman"/>
          <w:sz w:val="24"/>
          <w:szCs w:val="24"/>
        </w:rPr>
        <w:t xml:space="preserve">+ </w:t>
      </w:r>
      <w:r w:rsidRPr="00712B16">
        <w:rPr>
          <w:rFonts w:ascii="Times New Roman" w:hAnsi="Times New Roman" w:cs="Times New Roman"/>
          <w:i/>
          <w:iCs/>
          <w:sz w:val="24"/>
          <w:szCs w:val="24"/>
        </w:rPr>
        <w:t>β</w:t>
      </w:r>
      <w:r w:rsidRPr="00712B16">
        <w:rPr>
          <w:rFonts w:ascii="Times New Roman" w:hAnsi="Times New Roman" w:cs="Times New Roman"/>
          <w:i/>
          <w:iCs/>
          <w:sz w:val="24"/>
          <w:szCs w:val="24"/>
          <w:vertAlign w:val="subscript"/>
        </w:rPr>
        <w:t>23</w:t>
      </w:r>
      <w:r w:rsidRPr="00712B16">
        <w:rPr>
          <w:rFonts w:ascii="Times New Roman" w:hAnsi="Times New Roman" w:cs="Times New Roman"/>
          <w:i/>
          <w:iCs/>
          <w:sz w:val="24"/>
          <w:szCs w:val="24"/>
        </w:rPr>
        <w:t>SGA</w:t>
      </w:r>
      <w:r w:rsidRPr="00712B16">
        <w:rPr>
          <w:rFonts w:ascii="Times New Roman" w:hAnsi="Times New Roman" w:cs="Times New Roman"/>
          <w:i/>
          <w:iCs/>
          <w:sz w:val="24"/>
          <w:szCs w:val="24"/>
          <w:vertAlign w:val="subscript"/>
        </w:rPr>
        <w:t xml:space="preserve">i,t </w:t>
      </w:r>
      <w:r w:rsidRPr="00712B16">
        <w:rPr>
          <w:rFonts w:ascii="Times New Roman" w:hAnsi="Times New Roman" w:cs="Times New Roman"/>
          <w:sz w:val="24"/>
          <w:szCs w:val="24"/>
        </w:rPr>
        <w:t xml:space="preserve">+ </w:t>
      </w:r>
      <w:r w:rsidRPr="00712B16">
        <w:rPr>
          <w:rFonts w:ascii="Times New Roman" w:hAnsi="Times New Roman" w:cs="Times New Roman"/>
          <w:i/>
          <w:iCs/>
          <w:sz w:val="24"/>
          <w:szCs w:val="24"/>
        </w:rPr>
        <w:t>β</w:t>
      </w:r>
      <w:r w:rsidRPr="00712B16">
        <w:rPr>
          <w:rFonts w:ascii="Times New Roman" w:hAnsi="Times New Roman" w:cs="Times New Roman"/>
          <w:i/>
          <w:iCs/>
          <w:sz w:val="24"/>
          <w:szCs w:val="24"/>
          <w:vertAlign w:val="subscript"/>
        </w:rPr>
        <w:t>24</w:t>
      </w:r>
      <w:r w:rsidRPr="00712B16">
        <w:rPr>
          <w:rFonts w:ascii="Times New Roman" w:hAnsi="Times New Roman" w:cs="Times New Roman"/>
          <w:i/>
          <w:iCs/>
          <w:sz w:val="24"/>
          <w:szCs w:val="24"/>
        </w:rPr>
        <w:t>CAPEX</w:t>
      </w:r>
      <w:r w:rsidRPr="00712B16">
        <w:rPr>
          <w:rFonts w:ascii="Times New Roman" w:hAnsi="Times New Roman" w:cs="Times New Roman"/>
          <w:i/>
          <w:iCs/>
          <w:sz w:val="24"/>
          <w:szCs w:val="24"/>
          <w:vertAlign w:val="subscript"/>
        </w:rPr>
        <w:t xml:space="preserve">i,t </w:t>
      </w:r>
      <w:r w:rsidRPr="00712B16">
        <w:rPr>
          <w:rFonts w:ascii="Times New Roman" w:hAnsi="Times New Roman" w:cs="Times New Roman"/>
          <w:sz w:val="24"/>
          <w:szCs w:val="24"/>
        </w:rPr>
        <w:t xml:space="preserve"> + </w:t>
      </w:r>
      <w:r w:rsidRPr="00712B16">
        <w:rPr>
          <w:rFonts w:ascii="Times New Roman" w:hAnsi="Times New Roman" w:cs="Times New Roman"/>
          <w:i/>
          <w:iCs/>
          <w:sz w:val="24"/>
          <w:szCs w:val="24"/>
        </w:rPr>
        <w:t>β</w:t>
      </w:r>
      <w:r w:rsidRPr="00712B16">
        <w:rPr>
          <w:rFonts w:ascii="Times New Roman" w:hAnsi="Times New Roman" w:cs="Times New Roman"/>
          <w:i/>
          <w:iCs/>
          <w:sz w:val="24"/>
          <w:szCs w:val="24"/>
          <w:vertAlign w:val="subscript"/>
        </w:rPr>
        <w:t>25</w:t>
      </w:r>
      <w:r w:rsidRPr="00712B16">
        <w:rPr>
          <w:rFonts w:ascii="Times New Roman" w:hAnsi="Times New Roman" w:cs="Times New Roman"/>
          <w:i/>
          <w:iCs/>
          <w:sz w:val="24"/>
          <w:szCs w:val="24"/>
        </w:rPr>
        <w:t>COVID19</w:t>
      </w:r>
      <w:r w:rsidRPr="00712B16">
        <w:rPr>
          <w:rFonts w:ascii="Times New Roman" w:hAnsi="Times New Roman" w:cs="Times New Roman"/>
          <w:i/>
          <w:iCs/>
          <w:sz w:val="24"/>
          <w:szCs w:val="24"/>
          <w:vertAlign w:val="subscript"/>
        </w:rPr>
        <w:t xml:space="preserve">i,t </w:t>
      </w:r>
      <w:r w:rsidRPr="00712B16">
        <w:rPr>
          <w:rFonts w:ascii="Times New Roman" w:hAnsi="Times New Roman" w:cs="Times New Roman"/>
          <w:sz w:val="24"/>
          <w:szCs w:val="24"/>
        </w:rPr>
        <w:t xml:space="preserve"> + </w:t>
      </w:r>
      <w:proofErr w:type="spellStart"/>
      <w:r w:rsidRPr="00712B16">
        <w:rPr>
          <w:rFonts w:ascii="Times New Roman" w:hAnsi="Times New Roman" w:cs="Times New Roman"/>
          <w:i/>
          <w:iCs/>
          <w:sz w:val="24"/>
          <w:szCs w:val="24"/>
        </w:rPr>
        <w:t>INDUSTRY</w:t>
      </w:r>
      <w:r w:rsidRPr="00712B16">
        <w:rPr>
          <w:rFonts w:ascii="Times New Roman" w:hAnsi="Times New Roman" w:cs="Times New Roman"/>
          <w:i/>
          <w:iCs/>
          <w:sz w:val="24"/>
          <w:szCs w:val="24"/>
          <w:vertAlign w:val="subscript"/>
        </w:rPr>
        <w:t>j,t</w:t>
      </w:r>
      <w:proofErr w:type="spellEnd"/>
      <w:r w:rsidRPr="00712B16">
        <w:rPr>
          <w:rFonts w:ascii="Times New Roman" w:hAnsi="Times New Roman" w:cs="Times New Roman"/>
          <w:i/>
          <w:iCs/>
          <w:sz w:val="24"/>
          <w:szCs w:val="24"/>
          <w:vertAlign w:val="subscript"/>
        </w:rPr>
        <w:t xml:space="preserve"> </w:t>
      </w:r>
      <w:r w:rsidRPr="00712B16">
        <w:rPr>
          <w:rFonts w:ascii="Times New Roman" w:hAnsi="Times New Roman" w:cs="Times New Roman"/>
          <w:sz w:val="24"/>
          <w:szCs w:val="24"/>
        </w:rPr>
        <w:t>+</w:t>
      </w:r>
      <w:r w:rsidRPr="00712B16">
        <w:rPr>
          <w:rFonts w:ascii="Times New Roman" w:hAnsi="Times New Roman" w:cs="Times New Roman"/>
          <w:i/>
          <w:iCs/>
          <w:sz w:val="24"/>
          <w:szCs w:val="24"/>
          <w:vertAlign w:val="subscript"/>
        </w:rPr>
        <w:t xml:space="preserve"> </w:t>
      </w:r>
      <w:r w:rsidRPr="00712B16">
        <w:rPr>
          <w:rFonts w:ascii="Times New Roman" w:hAnsi="Times New Roman" w:cs="Times New Roman"/>
          <w:sz w:val="24"/>
          <w:szCs w:val="24"/>
        </w:rPr>
        <w:t xml:space="preserve"> </w:t>
      </w:r>
      <w:proofErr w:type="spellStart"/>
      <w:r w:rsidRPr="00712B16">
        <w:rPr>
          <w:rFonts w:ascii="Times New Roman" w:hAnsi="Times New Roman" w:cs="Times New Roman"/>
          <w:i/>
          <w:iCs/>
          <w:sz w:val="24"/>
          <w:szCs w:val="24"/>
        </w:rPr>
        <w:t>COUNTRY</w:t>
      </w:r>
      <w:r w:rsidRPr="00712B16">
        <w:rPr>
          <w:rFonts w:ascii="Times New Roman" w:hAnsi="Times New Roman" w:cs="Times New Roman"/>
          <w:i/>
          <w:iCs/>
          <w:sz w:val="24"/>
          <w:szCs w:val="24"/>
          <w:vertAlign w:val="subscript"/>
        </w:rPr>
        <w:t>c,t</w:t>
      </w:r>
      <w:proofErr w:type="spellEnd"/>
      <w:r w:rsidRPr="00712B16">
        <w:rPr>
          <w:rFonts w:ascii="Times New Roman" w:hAnsi="Times New Roman" w:cs="Times New Roman"/>
          <w:i/>
          <w:iCs/>
          <w:sz w:val="24"/>
          <w:szCs w:val="24"/>
          <w:vertAlign w:val="subscript"/>
        </w:rPr>
        <w:t xml:space="preserve"> </w:t>
      </w:r>
      <w:r w:rsidRPr="00712B16">
        <w:rPr>
          <w:rFonts w:ascii="Times New Roman" w:hAnsi="Times New Roman" w:cs="Times New Roman"/>
          <w:sz w:val="24"/>
          <w:szCs w:val="24"/>
        </w:rPr>
        <w:t>+</w:t>
      </w:r>
      <w:r w:rsidRPr="00712B16">
        <w:rPr>
          <w:rFonts w:ascii="Times New Roman" w:hAnsi="Times New Roman" w:cs="Times New Roman"/>
          <w:i/>
          <w:iCs/>
          <w:sz w:val="24"/>
          <w:szCs w:val="24"/>
          <w:vertAlign w:val="subscript"/>
        </w:rPr>
        <w:t xml:space="preserve"> </w:t>
      </w:r>
      <w:proofErr w:type="spellStart"/>
      <w:r w:rsidRPr="00712B16">
        <w:rPr>
          <w:rFonts w:ascii="Times New Roman" w:hAnsi="Times New Roman" w:cs="Times New Roman"/>
          <w:i/>
          <w:iCs/>
          <w:sz w:val="24"/>
          <w:szCs w:val="24"/>
        </w:rPr>
        <w:t>YEAR</w:t>
      </w:r>
      <w:r w:rsidRPr="00712B16">
        <w:rPr>
          <w:rFonts w:ascii="Times New Roman" w:hAnsi="Times New Roman" w:cs="Times New Roman"/>
          <w:i/>
          <w:iCs/>
          <w:sz w:val="24"/>
          <w:szCs w:val="24"/>
          <w:vertAlign w:val="subscript"/>
        </w:rPr>
        <w:t>t</w:t>
      </w:r>
      <w:proofErr w:type="spellEnd"/>
      <w:r w:rsidRPr="00712B16">
        <w:rPr>
          <w:rFonts w:ascii="Times New Roman" w:hAnsi="Times New Roman" w:cs="Times New Roman"/>
          <w:i/>
          <w:iCs/>
          <w:sz w:val="24"/>
          <w:szCs w:val="24"/>
          <w:vertAlign w:val="subscript"/>
        </w:rPr>
        <w:t xml:space="preserve"> </w:t>
      </w:r>
      <w:r w:rsidRPr="00712B16">
        <w:rPr>
          <w:rFonts w:ascii="Times New Roman" w:hAnsi="Times New Roman" w:cs="Times New Roman"/>
          <w:sz w:val="24"/>
          <w:szCs w:val="24"/>
        </w:rPr>
        <w:t xml:space="preserve">+ </w:t>
      </w:r>
      <w:proofErr w:type="spellStart"/>
      <w:r w:rsidRPr="00712B16">
        <w:rPr>
          <w:rFonts w:ascii="Times New Roman" w:hAnsi="Times New Roman" w:cs="Times New Roman"/>
          <w:i/>
          <w:iCs/>
          <w:sz w:val="24"/>
          <w:szCs w:val="24"/>
        </w:rPr>
        <w:t>e</w:t>
      </w:r>
      <w:r w:rsidRPr="00712B16">
        <w:rPr>
          <w:rFonts w:ascii="Times New Roman" w:hAnsi="Times New Roman" w:cs="Times New Roman"/>
          <w:i/>
          <w:iCs/>
          <w:sz w:val="24"/>
          <w:szCs w:val="24"/>
          <w:vertAlign w:val="subscript"/>
        </w:rPr>
        <w:t>i,t</w:t>
      </w:r>
      <w:proofErr w:type="spellEnd"/>
      <w:r w:rsidR="00E87FA8" w:rsidRPr="00712B16">
        <w:rPr>
          <w:rFonts w:ascii="Times New Roman" w:hAnsi="Times New Roman" w:cs="Times New Roman"/>
          <w:i/>
          <w:iCs/>
          <w:sz w:val="24"/>
          <w:szCs w:val="24"/>
          <w:vertAlign w:val="subscript"/>
        </w:rPr>
        <w:t xml:space="preserve"> </w:t>
      </w:r>
      <w:r w:rsidR="00E87FA8" w:rsidRPr="00712B16">
        <w:rPr>
          <w:rFonts w:ascii="Times New Roman" w:hAnsi="Times New Roman" w:cs="Times New Roman"/>
          <w:sz w:val="24"/>
          <w:szCs w:val="24"/>
        </w:rPr>
        <w:t xml:space="preserve">                                  </w:t>
      </w:r>
      <w:r w:rsidR="006E4770" w:rsidRPr="00712B16">
        <w:rPr>
          <w:rFonts w:ascii="Times New Roman" w:hAnsi="Times New Roman" w:cs="Times New Roman"/>
          <w:sz w:val="24"/>
          <w:szCs w:val="24"/>
        </w:rPr>
        <w:t xml:space="preserve">  </w:t>
      </w:r>
      <w:r w:rsidRPr="00712B16">
        <w:rPr>
          <w:rFonts w:ascii="Times New Roman" w:hAnsi="Times New Roman" w:cs="Times New Roman"/>
          <w:sz w:val="24"/>
          <w:szCs w:val="24"/>
        </w:rPr>
        <w:t>(2)</w:t>
      </w:r>
    </w:p>
    <w:p w14:paraId="6F31061D" w14:textId="77777777" w:rsidR="00E87FA8" w:rsidRPr="00712B16" w:rsidRDefault="00E87FA8">
      <w:pPr>
        <w:spacing w:after="0" w:line="480" w:lineRule="auto"/>
        <w:jc w:val="both"/>
        <w:rPr>
          <w:rFonts w:ascii="Times New Roman" w:hAnsi="Times New Roman" w:cs="Times New Roman"/>
          <w:sz w:val="24"/>
          <w:szCs w:val="24"/>
        </w:rPr>
      </w:pPr>
    </w:p>
    <w:p w14:paraId="667A4378" w14:textId="403D46F8" w:rsidR="009032E8" w:rsidRPr="00712B16" w:rsidRDefault="00E051A3" w:rsidP="00667E57">
      <w:pPr>
        <w:spacing w:after="0" w:line="480" w:lineRule="auto"/>
        <w:ind w:firstLine="567"/>
        <w:jc w:val="both"/>
        <w:rPr>
          <w:rFonts w:ascii="Times New Roman" w:hAnsi="Times New Roman" w:cs="Times New Roman"/>
          <w:sz w:val="24"/>
          <w:szCs w:val="24"/>
        </w:rPr>
      </w:pPr>
      <w:r w:rsidRPr="00712B16">
        <w:rPr>
          <w:rFonts w:ascii="Times New Roman" w:hAnsi="Times New Roman" w:cs="Times New Roman"/>
          <w:sz w:val="24"/>
          <w:szCs w:val="24"/>
        </w:rPr>
        <w:t>CSR score is available in the Refinitiv database and comprises individual components related to environmental, social</w:t>
      </w:r>
      <w:r w:rsidR="006E4770" w:rsidRPr="00712B16">
        <w:rPr>
          <w:rFonts w:ascii="Times New Roman" w:hAnsi="Times New Roman" w:cs="Times New Roman"/>
          <w:sz w:val="24"/>
          <w:szCs w:val="24"/>
        </w:rPr>
        <w:t>,</w:t>
      </w:r>
      <w:r w:rsidRPr="00712B16">
        <w:rPr>
          <w:rFonts w:ascii="Times New Roman" w:hAnsi="Times New Roman" w:cs="Times New Roman"/>
          <w:sz w:val="24"/>
          <w:szCs w:val="24"/>
        </w:rPr>
        <w:t xml:space="preserve"> and corporate governance performance</w:t>
      </w:r>
      <w:r w:rsidR="006E4770" w:rsidRPr="00712B16">
        <w:rPr>
          <w:rFonts w:ascii="Times New Roman" w:hAnsi="Times New Roman" w:cs="Times New Roman"/>
          <w:sz w:val="24"/>
          <w:szCs w:val="24"/>
        </w:rPr>
        <w:t>,</w:t>
      </w:r>
      <w:r w:rsidRPr="00712B16">
        <w:rPr>
          <w:rFonts w:ascii="Times New Roman" w:hAnsi="Times New Roman" w:cs="Times New Roman"/>
          <w:sz w:val="24"/>
          <w:szCs w:val="24"/>
        </w:rPr>
        <w:t xml:space="preserve"> and the overall CSR score. The variable of interest employed is the interaction of country-level </w:t>
      </w:r>
      <w:r w:rsidR="005832CF" w:rsidRPr="00712B16">
        <w:rPr>
          <w:rFonts w:ascii="Times New Roman" w:hAnsi="Times New Roman" w:cs="Times New Roman"/>
          <w:sz w:val="24"/>
          <w:szCs w:val="24"/>
        </w:rPr>
        <w:t>net zero</w:t>
      </w:r>
      <w:r w:rsidRPr="00712B16">
        <w:rPr>
          <w:rFonts w:ascii="Times New Roman" w:hAnsi="Times New Roman" w:cs="Times New Roman"/>
          <w:sz w:val="24"/>
          <w:szCs w:val="24"/>
        </w:rPr>
        <w:t xml:space="preserve"> target </w:t>
      </w:r>
      <w:r w:rsidR="006A5F05" w:rsidRPr="00712B16">
        <w:rPr>
          <w:rFonts w:ascii="Times New Roman" w:hAnsi="Times New Roman" w:cs="Times New Roman"/>
          <w:sz w:val="24"/>
          <w:szCs w:val="24"/>
        </w:rPr>
        <w:t>commitment</w:t>
      </w:r>
      <w:r w:rsidRPr="00712B16">
        <w:rPr>
          <w:rFonts w:ascii="Times New Roman" w:hAnsi="Times New Roman" w:cs="Times New Roman"/>
          <w:sz w:val="24"/>
          <w:szCs w:val="24"/>
        </w:rPr>
        <w:t xml:space="preserve"> and CSR performance (</w:t>
      </w:r>
      <w:r w:rsidRPr="00712B16">
        <w:rPr>
          <w:rFonts w:ascii="Times New Roman" w:hAnsi="Times New Roman" w:cs="Times New Roman"/>
          <w:i/>
          <w:iCs/>
          <w:sz w:val="24"/>
          <w:szCs w:val="24"/>
        </w:rPr>
        <w:t>COUNTRY_NETZERO*CSR),</w:t>
      </w:r>
      <w:r w:rsidRPr="00712B16">
        <w:rPr>
          <w:rFonts w:ascii="Times New Roman" w:hAnsi="Times New Roman" w:cs="Times New Roman"/>
          <w:sz w:val="24"/>
          <w:szCs w:val="24"/>
        </w:rPr>
        <w:t xml:space="preserve"> to </w:t>
      </w:r>
      <w:r w:rsidR="00B87E85" w:rsidRPr="00712B16">
        <w:rPr>
          <w:rFonts w:ascii="Times New Roman" w:hAnsi="Times New Roman" w:cs="Times New Roman"/>
          <w:sz w:val="24"/>
          <w:szCs w:val="24"/>
        </w:rPr>
        <w:t>test for</w:t>
      </w:r>
      <w:r w:rsidRPr="00712B16">
        <w:rPr>
          <w:rFonts w:ascii="Times New Roman" w:hAnsi="Times New Roman" w:cs="Times New Roman"/>
          <w:sz w:val="24"/>
          <w:szCs w:val="24"/>
        </w:rPr>
        <w:t xml:space="preserve"> the incremental effect of CSR on the relation between country-level </w:t>
      </w:r>
      <w:r w:rsidR="005832CF" w:rsidRPr="00712B16">
        <w:rPr>
          <w:rFonts w:ascii="Times New Roman" w:hAnsi="Times New Roman" w:cs="Times New Roman"/>
          <w:sz w:val="24"/>
          <w:szCs w:val="24"/>
        </w:rPr>
        <w:t>net zero</w:t>
      </w:r>
      <w:r w:rsidR="00090DC8" w:rsidRPr="00712B16">
        <w:rPr>
          <w:rFonts w:ascii="Times New Roman" w:hAnsi="Times New Roman" w:cs="Times New Roman"/>
          <w:sz w:val="24"/>
          <w:szCs w:val="24"/>
        </w:rPr>
        <w:t xml:space="preserve"> target</w:t>
      </w:r>
      <w:r w:rsidRPr="00712B16">
        <w:rPr>
          <w:rFonts w:ascii="Times New Roman" w:hAnsi="Times New Roman" w:cs="Times New Roman"/>
          <w:sz w:val="24"/>
          <w:szCs w:val="24"/>
        </w:rPr>
        <w:t xml:space="preserve"> </w:t>
      </w:r>
      <w:r w:rsidR="006A5F05" w:rsidRPr="00712B16">
        <w:rPr>
          <w:rFonts w:ascii="Times New Roman" w:hAnsi="Times New Roman" w:cs="Times New Roman"/>
          <w:sz w:val="24"/>
          <w:szCs w:val="24"/>
        </w:rPr>
        <w:t>commitment</w:t>
      </w:r>
      <w:r w:rsidRPr="00712B16">
        <w:rPr>
          <w:rFonts w:ascii="Times New Roman" w:hAnsi="Times New Roman" w:cs="Times New Roman"/>
          <w:sz w:val="24"/>
          <w:szCs w:val="24"/>
        </w:rPr>
        <w:t xml:space="preserve"> and REM.</w:t>
      </w:r>
    </w:p>
    <w:p w14:paraId="79AEB238" w14:textId="44ED337E" w:rsidR="00E87FA8" w:rsidRPr="00712B16" w:rsidRDefault="00E051A3" w:rsidP="00D95C1E">
      <w:pPr>
        <w:spacing w:after="0" w:line="480" w:lineRule="auto"/>
        <w:ind w:firstLine="567"/>
        <w:jc w:val="both"/>
        <w:rPr>
          <w:rFonts w:ascii="Times New Roman" w:hAnsi="Times New Roman" w:cs="Times New Roman"/>
          <w:sz w:val="24"/>
          <w:szCs w:val="24"/>
        </w:rPr>
      </w:pPr>
      <w:r w:rsidRPr="00712B16">
        <w:rPr>
          <w:rFonts w:ascii="Times New Roman" w:hAnsi="Times New Roman" w:cs="Times New Roman"/>
          <w:sz w:val="24"/>
          <w:szCs w:val="24"/>
        </w:rPr>
        <w:t xml:space="preserve">Since a country’s </w:t>
      </w:r>
      <w:r w:rsidR="005832CF" w:rsidRPr="00712B16">
        <w:rPr>
          <w:rFonts w:ascii="Times New Roman" w:hAnsi="Times New Roman" w:cs="Times New Roman"/>
          <w:sz w:val="24"/>
          <w:szCs w:val="24"/>
        </w:rPr>
        <w:t>net zero</w:t>
      </w:r>
      <w:r w:rsidRPr="00712B16">
        <w:rPr>
          <w:rFonts w:ascii="Times New Roman" w:hAnsi="Times New Roman" w:cs="Times New Roman"/>
          <w:sz w:val="24"/>
          <w:szCs w:val="24"/>
        </w:rPr>
        <w:t xml:space="preserve"> </w:t>
      </w:r>
      <w:r w:rsidR="000355AA" w:rsidRPr="00712B16">
        <w:rPr>
          <w:rFonts w:ascii="Times New Roman" w:hAnsi="Times New Roman" w:cs="Times New Roman"/>
          <w:sz w:val="24"/>
          <w:szCs w:val="24"/>
        </w:rPr>
        <w:t xml:space="preserve">target </w:t>
      </w:r>
      <w:r w:rsidR="006A5F05" w:rsidRPr="00712B16">
        <w:rPr>
          <w:rFonts w:ascii="Times New Roman" w:hAnsi="Times New Roman" w:cs="Times New Roman"/>
          <w:sz w:val="24"/>
          <w:szCs w:val="24"/>
        </w:rPr>
        <w:t>commitment</w:t>
      </w:r>
      <w:r w:rsidRPr="00712B16">
        <w:rPr>
          <w:rFonts w:ascii="Times New Roman" w:hAnsi="Times New Roman" w:cs="Times New Roman"/>
          <w:sz w:val="24"/>
          <w:szCs w:val="24"/>
        </w:rPr>
        <w:t xml:space="preserve"> is </w:t>
      </w:r>
      <w:r w:rsidR="00C746FE" w:rsidRPr="00712B16">
        <w:rPr>
          <w:rFonts w:ascii="Times New Roman" w:hAnsi="Times New Roman" w:cs="Times New Roman"/>
          <w:sz w:val="24"/>
          <w:szCs w:val="24"/>
        </w:rPr>
        <w:t>a regulator</w:t>
      </w:r>
      <w:r w:rsidR="00764649" w:rsidRPr="00712B16">
        <w:rPr>
          <w:rFonts w:ascii="Times New Roman" w:hAnsi="Times New Roman" w:cs="Times New Roman"/>
          <w:sz w:val="24"/>
          <w:szCs w:val="24"/>
        </w:rPr>
        <w:t>y</w:t>
      </w:r>
      <w:r w:rsidR="00C746FE" w:rsidRPr="00712B16">
        <w:rPr>
          <w:rFonts w:ascii="Times New Roman" w:hAnsi="Times New Roman" w:cs="Times New Roman"/>
          <w:sz w:val="24"/>
          <w:szCs w:val="24"/>
        </w:rPr>
        <w:t xml:space="preserve"> </w:t>
      </w:r>
      <w:r w:rsidR="00007674" w:rsidRPr="00712B16">
        <w:rPr>
          <w:rFonts w:ascii="Times New Roman" w:hAnsi="Times New Roman" w:cs="Times New Roman"/>
          <w:sz w:val="24"/>
          <w:szCs w:val="24"/>
        </w:rPr>
        <w:t>shock</w:t>
      </w:r>
      <w:r w:rsidRPr="00712B16">
        <w:rPr>
          <w:rFonts w:ascii="Times New Roman" w:hAnsi="Times New Roman" w:cs="Times New Roman"/>
          <w:sz w:val="24"/>
          <w:szCs w:val="24"/>
        </w:rPr>
        <w:t xml:space="preserve"> for firms headquartered in that country, the setting of this study is </w:t>
      </w:r>
      <w:r w:rsidR="0097695D" w:rsidRPr="00712B16">
        <w:rPr>
          <w:rFonts w:ascii="Times New Roman" w:hAnsi="Times New Roman" w:cs="Times New Roman"/>
          <w:sz w:val="24"/>
          <w:szCs w:val="24"/>
        </w:rPr>
        <w:t>less likely to be affected by endogeneity concerns</w:t>
      </w:r>
      <w:r w:rsidRPr="00712B16">
        <w:rPr>
          <w:rFonts w:ascii="Times New Roman" w:hAnsi="Times New Roman" w:cs="Times New Roman"/>
          <w:sz w:val="24"/>
          <w:szCs w:val="24"/>
        </w:rPr>
        <w:t xml:space="preserve">. However, firms can voluntarily </w:t>
      </w:r>
      <w:r w:rsidR="00510E73" w:rsidRPr="00712B16">
        <w:rPr>
          <w:rFonts w:ascii="Times New Roman" w:hAnsi="Times New Roman" w:cs="Times New Roman"/>
          <w:sz w:val="24"/>
          <w:szCs w:val="24"/>
        </w:rPr>
        <w:t>commit to</w:t>
      </w:r>
      <w:r w:rsidRPr="00712B16">
        <w:rPr>
          <w:rFonts w:ascii="Times New Roman" w:hAnsi="Times New Roman" w:cs="Times New Roman"/>
          <w:sz w:val="24"/>
          <w:szCs w:val="24"/>
        </w:rPr>
        <w:t xml:space="preserve"> </w:t>
      </w:r>
      <w:r w:rsidR="000355AA" w:rsidRPr="00712B16">
        <w:rPr>
          <w:rFonts w:ascii="Times New Roman" w:hAnsi="Times New Roman" w:cs="Times New Roman"/>
          <w:sz w:val="24"/>
          <w:szCs w:val="24"/>
        </w:rPr>
        <w:t xml:space="preserve">the </w:t>
      </w:r>
      <w:r w:rsidR="005832CF" w:rsidRPr="00712B16">
        <w:rPr>
          <w:rFonts w:ascii="Times New Roman" w:hAnsi="Times New Roman" w:cs="Times New Roman"/>
          <w:sz w:val="24"/>
          <w:szCs w:val="24"/>
        </w:rPr>
        <w:t>net zero</w:t>
      </w:r>
      <w:r w:rsidRPr="00712B16">
        <w:rPr>
          <w:rFonts w:ascii="Times New Roman" w:hAnsi="Times New Roman" w:cs="Times New Roman"/>
          <w:sz w:val="24"/>
          <w:szCs w:val="24"/>
        </w:rPr>
        <w:t xml:space="preserve"> target</w:t>
      </w:r>
      <w:r w:rsidR="000355AA" w:rsidRPr="00712B16">
        <w:rPr>
          <w:rFonts w:ascii="Times New Roman" w:hAnsi="Times New Roman" w:cs="Times New Roman"/>
          <w:sz w:val="24"/>
          <w:szCs w:val="24"/>
        </w:rPr>
        <w:t>s</w:t>
      </w:r>
      <w:r w:rsidRPr="00712B16">
        <w:rPr>
          <w:rFonts w:ascii="Times New Roman" w:hAnsi="Times New Roman" w:cs="Times New Roman"/>
          <w:sz w:val="24"/>
          <w:szCs w:val="24"/>
        </w:rPr>
        <w:t xml:space="preserve">. To address this concern, several additional tests are conducted, which include propensity score matching and analysis based on firms’ </w:t>
      </w:r>
      <w:r w:rsidR="006A5F05" w:rsidRPr="00712B16">
        <w:rPr>
          <w:rFonts w:ascii="Times New Roman" w:hAnsi="Times New Roman" w:cs="Times New Roman"/>
          <w:sz w:val="24"/>
          <w:szCs w:val="24"/>
        </w:rPr>
        <w:t>commitment to the</w:t>
      </w:r>
      <w:r w:rsidRPr="00712B16">
        <w:rPr>
          <w:rFonts w:ascii="Times New Roman" w:hAnsi="Times New Roman" w:cs="Times New Roman"/>
          <w:sz w:val="24"/>
          <w:szCs w:val="24"/>
        </w:rPr>
        <w:t xml:space="preserve"> </w:t>
      </w:r>
      <w:r w:rsidR="005832CF" w:rsidRPr="00712B16">
        <w:rPr>
          <w:rFonts w:ascii="Times New Roman" w:hAnsi="Times New Roman" w:cs="Times New Roman"/>
          <w:sz w:val="24"/>
          <w:szCs w:val="24"/>
        </w:rPr>
        <w:t>net zero</w:t>
      </w:r>
      <w:r w:rsidR="00065A17" w:rsidRPr="00712B16">
        <w:rPr>
          <w:rFonts w:ascii="Times New Roman" w:hAnsi="Times New Roman" w:cs="Times New Roman"/>
          <w:sz w:val="24"/>
          <w:szCs w:val="24"/>
        </w:rPr>
        <w:t xml:space="preserve"> targets</w:t>
      </w:r>
      <w:r w:rsidRPr="00712B16">
        <w:rPr>
          <w:rFonts w:ascii="Times New Roman" w:hAnsi="Times New Roman" w:cs="Times New Roman"/>
          <w:sz w:val="24"/>
          <w:szCs w:val="24"/>
        </w:rPr>
        <w:t>.</w:t>
      </w:r>
      <w:bookmarkStart w:id="28" w:name="_Toc118466037"/>
      <w:bookmarkStart w:id="29" w:name="_Hlk118977980"/>
    </w:p>
    <w:p w14:paraId="5D09B955" w14:textId="77777777" w:rsidR="00D95C1E" w:rsidRPr="00712B16" w:rsidRDefault="00D95C1E" w:rsidP="00D95C1E">
      <w:pPr>
        <w:spacing w:after="0" w:line="480" w:lineRule="auto"/>
        <w:ind w:firstLine="567"/>
        <w:jc w:val="both"/>
        <w:rPr>
          <w:rFonts w:ascii="Times New Roman" w:hAnsi="Times New Roman" w:cs="Times New Roman"/>
          <w:sz w:val="24"/>
          <w:szCs w:val="24"/>
        </w:rPr>
      </w:pPr>
    </w:p>
    <w:p w14:paraId="4474D5AC" w14:textId="46C4744E" w:rsidR="009032E8" w:rsidRPr="00712B16" w:rsidRDefault="00183F61">
      <w:pPr>
        <w:pStyle w:val="Heading2"/>
        <w:spacing w:before="0" w:line="480" w:lineRule="auto"/>
        <w:jc w:val="both"/>
        <w:rPr>
          <w:rFonts w:cs="Times New Roman"/>
          <w:b w:val="0"/>
          <w:bCs/>
          <w:i/>
          <w:szCs w:val="24"/>
        </w:rPr>
      </w:pPr>
      <w:r w:rsidRPr="00712B16">
        <w:rPr>
          <w:rFonts w:cs="Times New Roman"/>
          <w:b w:val="0"/>
          <w:bCs/>
          <w:i/>
          <w:szCs w:val="24"/>
        </w:rPr>
        <w:t xml:space="preserve">3.3 </w:t>
      </w:r>
      <w:bookmarkEnd w:id="28"/>
      <w:r w:rsidRPr="00712B16">
        <w:rPr>
          <w:rFonts w:cs="Times New Roman"/>
          <w:b w:val="0"/>
          <w:bCs/>
          <w:i/>
          <w:szCs w:val="24"/>
        </w:rPr>
        <w:t>Dependent variables</w:t>
      </w:r>
    </w:p>
    <w:p w14:paraId="5135EFCA" w14:textId="7DE7EE3E" w:rsidR="009032E8" w:rsidRPr="00712B16" w:rsidRDefault="003127A3">
      <w:pPr>
        <w:pStyle w:val="1"/>
        <w:spacing w:before="0" w:beforeAutospacing="0" w:after="0" w:line="480" w:lineRule="auto"/>
        <w:jc w:val="both"/>
        <w:rPr>
          <w:iCs/>
        </w:rPr>
      </w:pPr>
      <w:bookmarkStart w:id="30" w:name="_Hlk195533591"/>
      <w:bookmarkEnd w:id="29"/>
      <w:r w:rsidRPr="00712B16">
        <w:rPr>
          <w:iCs/>
        </w:rPr>
        <w:t>We</w:t>
      </w:r>
      <w:r w:rsidR="00E051A3" w:rsidRPr="00712B16">
        <w:rPr>
          <w:iCs/>
        </w:rPr>
        <w:t xml:space="preserve"> employ four measures of REM following prior literature (e.g., Achleitner </w:t>
      </w:r>
      <w:r w:rsidR="00E051A3" w:rsidRPr="00712B16">
        <w:rPr>
          <w:i/>
          <w:iCs/>
        </w:rPr>
        <w:t>et al</w:t>
      </w:r>
      <w:r w:rsidR="00E051A3" w:rsidRPr="00712B16">
        <w:rPr>
          <w:iCs/>
        </w:rPr>
        <w:t>.</w:t>
      </w:r>
      <w:r w:rsidR="00C43193" w:rsidRPr="00712B16">
        <w:rPr>
          <w:iCs/>
        </w:rPr>
        <w:t>,</w:t>
      </w:r>
      <w:r w:rsidR="00E051A3" w:rsidRPr="00712B16">
        <w:rPr>
          <w:iCs/>
        </w:rPr>
        <w:t xml:space="preserve"> 2014; </w:t>
      </w:r>
      <w:bookmarkStart w:id="31" w:name="_Hlk117866541"/>
      <w:r w:rsidR="00E051A3" w:rsidRPr="00712B16">
        <w:rPr>
          <w:iCs/>
        </w:rPr>
        <w:t xml:space="preserve">Cohen </w:t>
      </w:r>
      <w:r w:rsidR="00CF3F60" w:rsidRPr="00712B16">
        <w:rPr>
          <w:iCs/>
        </w:rPr>
        <w:t xml:space="preserve">&amp; </w:t>
      </w:r>
      <w:r w:rsidR="00E051A3" w:rsidRPr="00712B16">
        <w:rPr>
          <w:iCs/>
        </w:rPr>
        <w:t>Zarowin</w:t>
      </w:r>
      <w:r w:rsidR="00A22069" w:rsidRPr="00712B16">
        <w:rPr>
          <w:iCs/>
        </w:rPr>
        <w:t>,</w:t>
      </w:r>
      <w:r w:rsidR="00E051A3" w:rsidRPr="00712B16">
        <w:rPr>
          <w:iCs/>
        </w:rPr>
        <w:t xml:space="preserve"> 2010; Garg</w:t>
      </w:r>
      <w:r w:rsidR="00CF3F60" w:rsidRPr="00712B16">
        <w:rPr>
          <w:iCs/>
        </w:rPr>
        <w:t>,</w:t>
      </w:r>
      <w:r w:rsidR="00E051A3" w:rsidRPr="00712B16">
        <w:rPr>
          <w:iCs/>
        </w:rPr>
        <w:t xml:space="preserve"> 2018;</w:t>
      </w:r>
      <w:r w:rsidR="00E051A3" w:rsidRPr="00712B16">
        <w:t xml:space="preserve"> </w:t>
      </w:r>
      <w:r w:rsidR="00845364" w:rsidRPr="00712B16">
        <w:t xml:space="preserve">Ghaleb </w:t>
      </w:r>
      <w:r w:rsidR="00845364" w:rsidRPr="00712B16">
        <w:rPr>
          <w:i/>
        </w:rPr>
        <w:t>et al.</w:t>
      </w:r>
      <w:r w:rsidR="00845364" w:rsidRPr="00712B16">
        <w:t xml:space="preserve">, 2020; </w:t>
      </w:r>
      <w:r w:rsidR="00CF3F60" w:rsidRPr="00712B16">
        <w:rPr>
          <w:noProof/>
        </w:rPr>
        <w:t>Paredes &amp; Wheatley, 2017</w:t>
      </w:r>
      <w:r w:rsidR="00E051A3" w:rsidRPr="00712B16">
        <w:rPr>
          <w:rFonts w:eastAsia="SimSun"/>
          <w:iCs/>
        </w:rPr>
        <w:t xml:space="preserve">; </w:t>
      </w:r>
      <w:r w:rsidR="00E051A3" w:rsidRPr="00712B16">
        <w:rPr>
          <w:iCs/>
        </w:rPr>
        <w:t>Roychowdhury</w:t>
      </w:r>
      <w:r w:rsidR="0022113D" w:rsidRPr="00712B16">
        <w:rPr>
          <w:iCs/>
        </w:rPr>
        <w:t>,</w:t>
      </w:r>
      <w:r w:rsidR="00E051A3" w:rsidRPr="00712B16">
        <w:rPr>
          <w:iCs/>
        </w:rPr>
        <w:t xml:space="preserve"> 2006</w:t>
      </w:r>
      <w:bookmarkEnd w:id="31"/>
      <w:r w:rsidR="00E051A3" w:rsidRPr="00712B16">
        <w:rPr>
          <w:iCs/>
        </w:rPr>
        <w:t xml:space="preserve">). These four measures include </w:t>
      </w:r>
      <w:proofErr w:type="spellStart"/>
      <w:r w:rsidR="004E6227" w:rsidRPr="00712B16">
        <w:rPr>
          <w:iCs/>
        </w:rPr>
        <w:t>i</w:t>
      </w:r>
      <w:proofErr w:type="spellEnd"/>
      <w:r w:rsidR="004E6227" w:rsidRPr="00712B16">
        <w:rPr>
          <w:iCs/>
        </w:rPr>
        <w:t xml:space="preserve">) </w:t>
      </w:r>
      <w:r w:rsidR="00E051A3" w:rsidRPr="00712B16">
        <w:rPr>
          <w:iCs/>
        </w:rPr>
        <w:t>abnormal cash flow from operations (</w:t>
      </w:r>
      <w:r w:rsidR="00E051A3" w:rsidRPr="00712B16">
        <w:rPr>
          <w:i/>
        </w:rPr>
        <w:t>REM_CFO</w:t>
      </w:r>
      <w:r w:rsidR="00E051A3" w:rsidRPr="00712B16">
        <w:rPr>
          <w:iCs/>
        </w:rPr>
        <w:t xml:space="preserve">), </w:t>
      </w:r>
      <w:r w:rsidR="004E6227" w:rsidRPr="00712B16">
        <w:rPr>
          <w:iCs/>
        </w:rPr>
        <w:t xml:space="preserve">ii) </w:t>
      </w:r>
      <w:r w:rsidR="00E051A3" w:rsidRPr="00712B16">
        <w:rPr>
          <w:iCs/>
        </w:rPr>
        <w:t>abnormal discretionary expenses (</w:t>
      </w:r>
      <w:r w:rsidR="00E051A3" w:rsidRPr="00712B16">
        <w:rPr>
          <w:i/>
        </w:rPr>
        <w:t>REM_DISEXP</w:t>
      </w:r>
      <w:r w:rsidR="00E051A3" w:rsidRPr="00712B16">
        <w:rPr>
          <w:iCs/>
        </w:rPr>
        <w:t xml:space="preserve">), </w:t>
      </w:r>
      <w:r w:rsidR="004E6227" w:rsidRPr="00712B16">
        <w:rPr>
          <w:iCs/>
        </w:rPr>
        <w:t xml:space="preserve">iii) </w:t>
      </w:r>
      <w:r w:rsidR="00E051A3" w:rsidRPr="00712B16">
        <w:rPr>
          <w:iCs/>
        </w:rPr>
        <w:t>abnormal production costs (</w:t>
      </w:r>
      <w:r w:rsidR="00E051A3" w:rsidRPr="00712B16">
        <w:rPr>
          <w:i/>
        </w:rPr>
        <w:t>REM_PRODCOST</w:t>
      </w:r>
      <w:r w:rsidR="00E051A3" w:rsidRPr="00712B16">
        <w:rPr>
          <w:iCs/>
        </w:rPr>
        <w:t xml:space="preserve">), and </w:t>
      </w:r>
      <w:r w:rsidR="004E6227" w:rsidRPr="00712B16">
        <w:rPr>
          <w:iCs/>
        </w:rPr>
        <w:t xml:space="preserve">iv) </w:t>
      </w:r>
      <w:r w:rsidR="00E051A3" w:rsidRPr="00712B16">
        <w:rPr>
          <w:iCs/>
        </w:rPr>
        <w:t>the sum of the three aforementioned measures (</w:t>
      </w:r>
      <w:r w:rsidR="00E051A3" w:rsidRPr="00712B16">
        <w:rPr>
          <w:i/>
        </w:rPr>
        <w:t>REM_SUM</w:t>
      </w:r>
      <w:r w:rsidR="00E051A3" w:rsidRPr="00712B16">
        <w:rPr>
          <w:iCs/>
        </w:rPr>
        <w:t>).</w:t>
      </w:r>
    </w:p>
    <w:bookmarkEnd w:id="30"/>
    <w:p w14:paraId="1D3CFD17" w14:textId="10B7C125" w:rsidR="009032E8" w:rsidRPr="00712B16" w:rsidRDefault="00E051A3">
      <w:pPr>
        <w:pStyle w:val="1"/>
        <w:spacing w:before="0" w:beforeAutospacing="0" w:after="0" w:line="480" w:lineRule="auto"/>
        <w:ind w:firstLine="482"/>
        <w:jc w:val="both"/>
        <w:rPr>
          <w:iCs/>
        </w:rPr>
      </w:pPr>
      <w:r w:rsidRPr="00712B16">
        <w:rPr>
          <w:iCs/>
        </w:rPr>
        <w:t xml:space="preserve">The first measure of REM is </w:t>
      </w:r>
      <w:r w:rsidRPr="00712B16">
        <w:t>abnormal operating cash flow</w:t>
      </w:r>
      <w:r w:rsidRPr="00712B16">
        <w:rPr>
          <w:iCs/>
        </w:rPr>
        <w:t>. To estimate this measure, the following cross-sectional regression (3) for each industry (based on Fama-French 48 industries) and year to capture the normal level of operating cash flows</w:t>
      </w:r>
      <w:r w:rsidR="0007067C" w:rsidRPr="00712B16">
        <w:rPr>
          <w:iCs/>
        </w:rPr>
        <w:t xml:space="preserve"> is employed</w:t>
      </w:r>
      <w:r w:rsidRPr="00712B16">
        <w:rPr>
          <w:iCs/>
        </w:rPr>
        <w:t>. The abnormal cash flow from operations for year t (</w:t>
      </w:r>
      <w:proofErr w:type="spellStart"/>
      <w:r w:rsidRPr="00712B16">
        <w:rPr>
          <w:i/>
          <w:iCs/>
        </w:rPr>
        <w:t>REM_CFO</w:t>
      </w:r>
      <w:r w:rsidRPr="00712B16">
        <w:rPr>
          <w:i/>
          <w:iCs/>
          <w:vertAlign w:val="subscript"/>
        </w:rPr>
        <w:t>t</w:t>
      </w:r>
      <w:proofErr w:type="spellEnd"/>
      <w:r w:rsidRPr="00712B16">
        <w:t xml:space="preserve">) </w:t>
      </w:r>
      <w:r w:rsidRPr="00712B16">
        <w:rPr>
          <w:iCs/>
        </w:rPr>
        <w:t>is the residual from regression (3):</w:t>
      </w:r>
    </w:p>
    <w:p w14:paraId="47C613A0" w14:textId="5104D2C0" w:rsidR="009032E8" w:rsidRPr="00712B16" w:rsidRDefault="00000000">
      <w:pPr>
        <w:spacing w:line="480" w:lineRule="auto"/>
        <w:ind w:firstLine="425"/>
        <w:jc w:val="both"/>
        <w:rPr>
          <w:rFonts w:ascii="Times New Roman" w:hAnsi="Times New Roman" w:cs="Times New Roman"/>
          <w:sz w:val="24"/>
          <w:szCs w:val="24"/>
        </w:rPr>
      </w:pPr>
      <m:oMath>
        <m:f>
          <m:fPr>
            <m:ctrlPr>
              <w:rPr>
                <w:rFonts w:ascii="Cambria Math" w:hAnsi="Cambria Math"/>
                <w:i/>
                <w:sz w:val="24"/>
                <w:szCs w:val="24"/>
              </w:rPr>
            </m:ctrlPr>
          </m:fPr>
          <m:num>
            <m:r>
              <w:rPr>
                <w:rFonts w:ascii="Cambria Math" w:hAnsi="Cambria Math"/>
                <w:sz w:val="24"/>
                <w:szCs w:val="24"/>
              </w:rPr>
              <m:t>CF</m:t>
            </m:r>
            <m:sSub>
              <m:sSubPr>
                <m:ctrlPr>
                  <w:rPr>
                    <w:rFonts w:ascii="Cambria Math" w:hAnsi="Cambria Math"/>
                    <w:i/>
                    <w:sz w:val="24"/>
                    <w:szCs w:val="24"/>
                  </w:rPr>
                </m:ctrlPr>
              </m:sSubPr>
              <m:e>
                <m:r>
                  <w:rPr>
                    <w:rFonts w:ascii="Cambria Math" w:hAnsi="Cambria Math"/>
                    <w:sz w:val="24"/>
                    <w:szCs w:val="24"/>
                  </w:rPr>
                  <m:t>O</m:t>
                </m:r>
              </m:e>
              <m:sub>
                <m:r>
                  <w:rPr>
                    <w:rFonts w:ascii="Cambria Math" w:hAnsi="Cambria Math"/>
                    <w:sz w:val="24"/>
                    <w:szCs w:val="24"/>
                  </w:rPr>
                  <m:t>t</m:t>
                </m:r>
              </m:sub>
            </m:sSub>
          </m:num>
          <m:den>
            <m:sSub>
              <m:sSubPr>
                <m:ctrlPr>
                  <w:rPr>
                    <w:rFonts w:ascii="Cambria Math" w:hAnsi="Cambria Math"/>
                    <w:i/>
                    <w:sz w:val="24"/>
                    <w:szCs w:val="24"/>
                  </w:rPr>
                </m:ctrlPr>
              </m:sSubPr>
              <m:e>
                <m:r>
                  <w:rPr>
                    <w:rFonts w:ascii="Cambria Math" w:hAnsi="Cambria Math"/>
                    <w:sz w:val="24"/>
                    <w:szCs w:val="24"/>
                  </w:rPr>
                  <m:t>TA</m:t>
                </m:r>
              </m:e>
              <m:sub>
                <m:r>
                  <w:rPr>
                    <w:rFonts w:ascii="Cambria Math" w:hAnsi="Cambria Math"/>
                    <w:sz w:val="24"/>
                    <w:szCs w:val="24"/>
                  </w:rPr>
                  <m:t>t-1</m:t>
                </m:r>
              </m:sub>
            </m:sSub>
          </m:den>
        </m:f>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1</m:t>
            </m:r>
          </m:sub>
        </m:sSub>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1</m:t>
                </m:r>
              </m:num>
              <m:den>
                <m:sSub>
                  <m:sSubPr>
                    <m:ctrlPr>
                      <w:rPr>
                        <w:rFonts w:ascii="Cambria Math" w:hAnsi="Cambria Math"/>
                        <w:i/>
                        <w:sz w:val="24"/>
                        <w:szCs w:val="24"/>
                      </w:rPr>
                    </m:ctrlPr>
                  </m:sSubPr>
                  <m:e>
                    <m:r>
                      <w:rPr>
                        <w:rFonts w:ascii="Cambria Math" w:hAnsi="Cambria Math"/>
                        <w:sz w:val="24"/>
                        <w:szCs w:val="24"/>
                      </w:rPr>
                      <m:t>TA</m:t>
                    </m:r>
                  </m:e>
                  <m:sub>
                    <m:r>
                      <w:rPr>
                        <w:rFonts w:ascii="Cambria Math" w:hAnsi="Cambria Math"/>
                        <w:sz w:val="24"/>
                        <w:szCs w:val="24"/>
                      </w:rPr>
                      <m:t>t-1</m:t>
                    </m:r>
                  </m:sub>
                </m:sSub>
              </m:den>
            </m:f>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1</m:t>
            </m:r>
          </m:sub>
        </m:sSub>
        <m:d>
          <m:dPr>
            <m:ctrlPr>
              <w:rPr>
                <w:rFonts w:ascii="Cambria Math" w:hAnsi="Cambria Math"/>
                <w:i/>
                <w:sz w:val="24"/>
                <w:szCs w:val="24"/>
              </w:rPr>
            </m:ctrlPr>
          </m:dPr>
          <m:e>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t</m:t>
                    </m:r>
                  </m:sub>
                </m:sSub>
              </m:num>
              <m:den>
                <m:sSub>
                  <m:sSubPr>
                    <m:ctrlPr>
                      <w:rPr>
                        <w:rFonts w:ascii="Cambria Math" w:hAnsi="Cambria Math"/>
                        <w:i/>
                        <w:sz w:val="24"/>
                        <w:szCs w:val="24"/>
                      </w:rPr>
                    </m:ctrlPr>
                  </m:sSubPr>
                  <m:e>
                    <m:r>
                      <w:rPr>
                        <w:rFonts w:ascii="Cambria Math" w:hAnsi="Cambria Math"/>
                        <w:sz w:val="24"/>
                        <w:szCs w:val="24"/>
                      </w:rPr>
                      <m:t>TA</m:t>
                    </m:r>
                  </m:e>
                  <m:sub>
                    <m:r>
                      <w:rPr>
                        <w:rFonts w:ascii="Cambria Math" w:hAnsi="Cambria Math"/>
                        <w:sz w:val="24"/>
                        <w:szCs w:val="24"/>
                      </w:rPr>
                      <m:t>t-1</m:t>
                    </m:r>
                  </m:sub>
                </m:sSub>
              </m:den>
            </m:f>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2</m:t>
            </m:r>
          </m:sub>
        </m:sSub>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Δ</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t</m:t>
                    </m:r>
                  </m:sub>
                </m:sSub>
              </m:num>
              <m:den>
                <m:sSub>
                  <m:sSubPr>
                    <m:ctrlPr>
                      <w:rPr>
                        <w:rFonts w:ascii="Cambria Math" w:hAnsi="Cambria Math"/>
                        <w:i/>
                        <w:sz w:val="24"/>
                        <w:szCs w:val="24"/>
                      </w:rPr>
                    </m:ctrlPr>
                  </m:sSubPr>
                  <m:e>
                    <m:r>
                      <w:rPr>
                        <w:rFonts w:ascii="Cambria Math" w:hAnsi="Cambria Math"/>
                        <w:sz w:val="24"/>
                        <w:szCs w:val="24"/>
                      </w:rPr>
                      <m:t>TA</m:t>
                    </m:r>
                  </m:e>
                  <m:sub>
                    <m:r>
                      <w:rPr>
                        <w:rFonts w:ascii="Cambria Math" w:hAnsi="Cambria Math"/>
                        <w:sz w:val="24"/>
                        <w:szCs w:val="24"/>
                      </w:rPr>
                      <m:t>t-1</m:t>
                    </m:r>
                  </m:sub>
                </m:sSub>
              </m:den>
            </m:f>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t</m:t>
            </m:r>
          </m:sub>
        </m:sSub>
      </m:oMath>
      <w:r w:rsidR="009B67CB" w:rsidRPr="00712B16">
        <w:rPr>
          <w:rFonts w:ascii="Times New Roman" w:hAnsi="Times New Roman" w:cs="Times New Roman"/>
          <w:sz w:val="24"/>
          <w:szCs w:val="24"/>
        </w:rPr>
        <w:t xml:space="preserve">                         </w:t>
      </w:r>
      <w:r w:rsidR="00C613D5" w:rsidRPr="00712B16">
        <w:rPr>
          <w:rFonts w:ascii="Times New Roman" w:hAnsi="Times New Roman" w:cs="Times New Roman"/>
          <w:sz w:val="24"/>
          <w:szCs w:val="24"/>
        </w:rPr>
        <w:t xml:space="preserve">           </w:t>
      </w:r>
      <w:r w:rsidR="009B67CB" w:rsidRPr="00712B16">
        <w:rPr>
          <w:rFonts w:ascii="Times New Roman" w:hAnsi="Times New Roman" w:cs="Times New Roman"/>
          <w:sz w:val="24"/>
          <w:szCs w:val="24"/>
        </w:rPr>
        <w:t xml:space="preserve"> (3)</w:t>
      </w:r>
    </w:p>
    <w:p w14:paraId="277948CD" w14:textId="77777777" w:rsidR="009032E8" w:rsidRPr="00712B16" w:rsidRDefault="00E051A3" w:rsidP="007818F9">
      <w:pPr>
        <w:spacing w:after="0" w:line="240" w:lineRule="auto"/>
        <w:jc w:val="both"/>
        <w:rPr>
          <w:rFonts w:ascii="Times New Roman" w:hAnsi="Times New Roman" w:cs="Times New Roman"/>
          <w:sz w:val="24"/>
          <w:szCs w:val="24"/>
        </w:rPr>
      </w:pPr>
      <w:r w:rsidRPr="00712B16">
        <w:rPr>
          <w:rFonts w:ascii="Times New Roman" w:hAnsi="Times New Roman" w:cs="Times New Roman"/>
          <w:sz w:val="24"/>
          <w:szCs w:val="24"/>
        </w:rPr>
        <w:t xml:space="preserve">where </w:t>
      </w:r>
      <w:r w:rsidRPr="00712B16">
        <w:rPr>
          <w:rFonts w:ascii="Times New Roman" w:hAnsi="Times New Roman" w:cs="Times New Roman"/>
          <w:i/>
          <w:sz w:val="24"/>
          <w:szCs w:val="24"/>
        </w:rPr>
        <w:tab/>
      </w:r>
      <w:proofErr w:type="spellStart"/>
      <w:r w:rsidRPr="00712B16">
        <w:rPr>
          <w:rFonts w:ascii="Times New Roman" w:hAnsi="Times New Roman" w:cs="Times New Roman"/>
          <w:i/>
          <w:sz w:val="24"/>
          <w:szCs w:val="24"/>
        </w:rPr>
        <w:t>CFO</w:t>
      </w:r>
      <w:r w:rsidRPr="00712B16">
        <w:rPr>
          <w:rFonts w:ascii="Times New Roman" w:hAnsi="Times New Roman" w:cs="Times New Roman"/>
          <w:i/>
          <w:sz w:val="24"/>
          <w:szCs w:val="24"/>
          <w:vertAlign w:val="subscript"/>
        </w:rPr>
        <w:t>t</w:t>
      </w:r>
      <w:proofErr w:type="spellEnd"/>
      <w:r w:rsidRPr="00712B16">
        <w:rPr>
          <w:rFonts w:ascii="Times New Roman" w:hAnsi="Times New Roman" w:cs="Times New Roman"/>
          <w:sz w:val="24"/>
          <w:szCs w:val="24"/>
        </w:rPr>
        <w:t xml:space="preserve"> is the cash flow from operations at the end of period </w:t>
      </w:r>
      <w:r w:rsidRPr="00712B16">
        <w:rPr>
          <w:rFonts w:ascii="Times New Roman" w:hAnsi="Times New Roman" w:cs="Times New Roman"/>
          <w:i/>
          <w:sz w:val="24"/>
          <w:szCs w:val="24"/>
        </w:rPr>
        <w:t>t</w:t>
      </w:r>
      <w:r w:rsidRPr="00712B16">
        <w:rPr>
          <w:rFonts w:ascii="Times New Roman" w:hAnsi="Times New Roman" w:cs="Times New Roman"/>
          <w:sz w:val="24"/>
          <w:szCs w:val="24"/>
        </w:rPr>
        <w:t>;</w:t>
      </w:r>
    </w:p>
    <w:p w14:paraId="4FF2248E" w14:textId="3D231BBC" w:rsidR="009B67CB" w:rsidRPr="00712B16" w:rsidRDefault="00E051A3">
      <w:pPr>
        <w:spacing w:after="0" w:line="240" w:lineRule="auto"/>
        <w:jc w:val="both"/>
        <w:rPr>
          <w:rFonts w:ascii="Times New Roman" w:hAnsi="Times New Roman" w:cs="Times New Roman"/>
          <w:sz w:val="24"/>
          <w:szCs w:val="24"/>
        </w:rPr>
      </w:pPr>
      <w:proofErr w:type="spellStart"/>
      <w:r w:rsidRPr="00712B16">
        <w:rPr>
          <w:rFonts w:ascii="Times New Roman" w:hAnsi="Times New Roman" w:cs="Times New Roman"/>
          <w:i/>
          <w:sz w:val="24"/>
          <w:szCs w:val="24"/>
        </w:rPr>
        <w:t>TA</w:t>
      </w:r>
      <w:r w:rsidRPr="00712B16">
        <w:rPr>
          <w:rFonts w:ascii="Times New Roman" w:hAnsi="Times New Roman" w:cs="Times New Roman"/>
          <w:i/>
          <w:sz w:val="24"/>
          <w:szCs w:val="24"/>
          <w:vertAlign w:val="subscript"/>
        </w:rPr>
        <w:t>t</w:t>
      </w:r>
      <w:proofErr w:type="spellEnd"/>
      <w:r w:rsidRPr="00712B16">
        <w:rPr>
          <w:rFonts w:ascii="Times New Roman" w:hAnsi="Times New Roman" w:cs="Times New Roman"/>
          <w:sz w:val="24"/>
          <w:szCs w:val="24"/>
        </w:rPr>
        <w:t xml:space="preserve"> is the total assets at the end of period </w:t>
      </w:r>
      <w:r w:rsidRPr="00712B16">
        <w:rPr>
          <w:rFonts w:ascii="Times New Roman" w:hAnsi="Times New Roman" w:cs="Times New Roman"/>
          <w:i/>
          <w:sz w:val="24"/>
          <w:szCs w:val="24"/>
        </w:rPr>
        <w:t>t</w:t>
      </w:r>
      <w:r w:rsidRPr="00712B16">
        <w:rPr>
          <w:rFonts w:ascii="Times New Roman" w:hAnsi="Times New Roman" w:cs="Times New Roman"/>
          <w:sz w:val="24"/>
          <w:szCs w:val="24"/>
        </w:rPr>
        <w:t>;</w:t>
      </w:r>
      <w:r w:rsidR="009B67CB" w:rsidRPr="00712B16">
        <w:rPr>
          <w:rFonts w:ascii="Times New Roman" w:hAnsi="Times New Roman" w:cs="Times New Roman"/>
          <w:sz w:val="24"/>
          <w:szCs w:val="24"/>
        </w:rPr>
        <w:t xml:space="preserve"> </w:t>
      </w:r>
      <w:r w:rsidRPr="00712B16">
        <w:rPr>
          <w:rFonts w:ascii="Times New Roman" w:hAnsi="Times New Roman" w:cs="Times New Roman"/>
          <w:sz w:val="24"/>
          <w:szCs w:val="24"/>
        </w:rPr>
        <w:t>S</w:t>
      </w:r>
      <w:r w:rsidRPr="00712B16">
        <w:rPr>
          <w:rFonts w:ascii="Times New Roman" w:hAnsi="Times New Roman" w:cs="Times New Roman"/>
          <w:i/>
          <w:sz w:val="24"/>
          <w:szCs w:val="24"/>
          <w:vertAlign w:val="subscript"/>
        </w:rPr>
        <w:t>t</w:t>
      </w:r>
      <w:r w:rsidRPr="00712B16">
        <w:rPr>
          <w:rFonts w:ascii="Times New Roman" w:hAnsi="Times New Roman" w:cs="Times New Roman"/>
          <w:sz w:val="24"/>
          <w:szCs w:val="24"/>
        </w:rPr>
        <w:t xml:space="preserve"> </w:t>
      </w:r>
      <w:r w:rsidR="006E4770" w:rsidRPr="00712B16">
        <w:rPr>
          <w:rFonts w:ascii="Times New Roman" w:hAnsi="Times New Roman" w:cs="Times New Roman"/>
          <w:sz w:val="24"/>
          <w:szCs w:val="24"/>
        </w:rPr>
        <w:t xml:space="preserve">is </w:t>
      </w:r>
      <w:r w:rsidRPr="00712B16">
        <w:rPr>
          <w:rFonts w:ascii="Times New Roman" w:hAnsi="Times New Roman" w:cs="Times New Roman"/>
          <w:sz w:val="24"/>
          <w:szCs w:val="24"/>
        </w:rPr>
        <w:t>the sales during period</w:t>
      </w:r>
      <w:r w:rsidRPr="00712B16">
        <w:rPr>
          <w:rFonts w:ascii="Times New Roman" w:hAnsi="Times New Roman" w:cs="Times New Roman"/>
          <w:i/>
          <w:sz w:val="24"/>
          <w:szCs w:val="24"/>
        </w:rPr>
        <w:t xml:space="preserve"> t</w:t>
      </w:r>
      <w:r w:rsidRPr="00712B16">
        <w:rPr>
          <w:rFonts w:ascii="Times New Roman" w:hAnsi="Times New Roman" w:cs="Times New Roman"/>
          <w:sz w:val="24"/>
          <w:szCs w:val="24"/>
        </w:rPr>
        <w:t>; and</w:t>
      </w:r>
      <w:r w:rsidR="009B67CB" w:rsidRPr="00712B16">
        <w:rPr>
          <w:rFonts w:ascii="Times New Roman" w:hAnsi="Times New Roman" w:cs="Times New Roman"/>
          <w:sz w:val="24"/>
          <w:szCs w:val="24"/>
        </w:rPr>
        <w:t xml:space="preserve"> </w:t>
      </w:r>
    </w:p>
    <w:p w14:paraId="73EC5DB3" w14:textId="74AA9A66" w:rsidR="009032E8" w:rsidRPr="00712B16" w:rsidRDefault="00E051A3">
      <w:pPr>
        <w:spacing w:after="0" w:line="240" w:lineRule="auto"/>
        <w:jc w:val="both"/>
        <w:rPr>
          <w:rFonts w:ascii="Times New Roman" w:hAnsi="Times New Roman" w:cs="Times New Roman"/>
          <w:sz w:val="24"/>
          <w:szCs w:val="24"/>
        </w:rPr>
      </w:pPr>
      <w:r w:rsidRPr="00712B16">
        <w:rPr>
          <w:rFonts w:ascii="Times New Roman" w:hAnsi="Times New Roman" w:cs="Times New Roman"/>
          <w:i/>
          <w:sz w:val="24"/>
          <w:szCs w:val="24"/>
        </w:rPr>
        <w:t>∆St = St- St-1</w:t>
      </w:r>
      <w:r w:rsidRPr="00712B16">
        <w:rPr>
          <w:rFonts w:ascii="Times New Roman" w:hAnsi="Times New Roman" w:cs="Times New Roman"/>
          <w:sz w:val="24"/>
          <w:szCs w:val="24"/>
        </w:rPr>
        <w:t>.</w:t>
      </w:r>
    </w:p>
    <w:p w14:paraId="2C73EA3E" w14:textId="77777777" w:rsidR="00E87FA8" w:rsidRPr="00712B16" w:rsidRDefault="00E87FA8" w:rsidP="00E87FA8">
      <w:pPr>
        <w:pStyle w:val="1"/>
        <w:spacing w:before="0" w:beforeAutospacing="0" w:after="0" w:line="480" w:lineRule="auto"/>
        <w:jc w:val="both"/>
        <w:rPr>
          <w:iCs/>
        </w:rPr>
      </w:pPr>
    </w:p>
    <w:p w14:paraId="4DD388AC" w14:textId="53850E3F" w:rsidR="009032E8" w:rsidRPr="00712B16" w:rsidRDefault="00E051A3" w:rsidP="00723823">
      <w:pPr>
        <w:pStyle w:val="1"/>
        <w:spacing w:before="0" w:beforeAutospacing="0" w:after="0" w:line="480" w:lineRule="auto"/>
        <w:ind w:firstLine="720"/>
        <w:jc w:val="both"/>
        <w:rPr>
          <w:iCs/>
        </w:rPr>
      </w:pPr>
      <w:r w:rsidRPr="00712B16">
        <w:rPr>
          <w:iCs/>
        </w:rPr>
        <w:t xml:space="preserve">The second measure of </w:t>
      </w:r>
      <w:r w:rsidRPr="00712B16">
        <w:rPr>
          <w:i/>
        </w:rPr>
        <w:t>REM</w:t>
      </w:r>
      <w:r w:rsidRPr="00712B16">
        <w:rPr>
          <w:iCs/>
        </w:rPr>
        <w:t xml:space="preserve"> is abnormal discretionary expenses. </w:t>
      </w:r>
      <w:r w:rsidR="0007067C" w:rsidRPr="00712B16">
        <w:rPr>
          <w:iCs/>
        </w:rPr>
        <w:t>We</w:t>
      </w:r>
      <w:r w:rsidRPr="00712B16">
        <w:rPr>
          <w:iCs/>
        </w:rPr>
        <w:t xml:space="preserve"> run cross-sectional regression (4) for each industry (based on Fama-French 48 industries) and year. The abnormal discretionary expenses for year t (</w:t>
      </w:r>
      <w:proofErr w:type="spellStart"/>
      <w:r w:rsidRPr="00712B16">
        <w:rPr>
          <w:i/>
        </w:rPr>
        <w:t>REM_DISEXP</w:t>
      </w:r>
      <w:r w:rsidRPr="00712B16">
        <w:rPr>
          <w:i/>
          <w:iCs/>
          <w:vertAlign w:val="subscript"/>
        </w:rPr>
        <w:t>t</w:t>
      </w:r>
      <w:proofErr w:type="spellEnd"/>
      <w:r w:rsidRPr="00712B16">
        <w:rPr>
          <w:iCs/>
        </w:rPr>
        <w:t>) are the residuals from regression (4):</w:t>
      </w:r>
    </w:p>
    <w:p w14:paraId="472F1702" w14:textId="0BBA36EE" w:rsidR="009032E8" w:rsidRPr="00712B16" w:rsidRDefault="00000000">
      <w:pPr>
        <w:pStyle w:val="1"/>
        <w:spacing w:before="0" w:beforeAutospacing="0" w:after="0" w:line="480" w:lineRule="auto"/>
        <w:jc w:val="both"/>
        <w:rPr>
          <w:iCs/>
        </w:rPr>
      </w:pPr>
      <m:oMath>
        <m:f>
          <m:fPr>
            <m:ctrlPr>
              <w:rPr>
                <w:rFonts w:ascii="Cambria Math" w:hAnsi="Cambria Math"/>
                <w:i/>
              </w:rPr>
            </m:ctrlPr>
          </m:fPr>
          <m:num>
            <m:r>
              <w:rPr>
                <w:rFonts w:ascii="Cambria Math" w:hAnsi="Cambria Math"/>
              </w:rPr>
              <m:t>DISEX</m:t>
            </m:r>
            <m:sSub>
              <m:sSubPr>
                <m:ctrlPr>
                  <w:rPr>
                    <w:rFonts w:ascii="Cambria Math" w:hAnsi="Cambria Math"/>
                    <w:i/>
                  </w:rPr>
                </m:ctrlPr>
              </m:sSubPr>
              <m:e>
                <m:r>
                  <w:rPr>
                    <w:rFonts w:ascii="Cambria Math" w:hAnsi="Cambria Math"/>
                  </w:rPr>
                  <m:t>P</m:t>
                </m:r>
              </m:e>
              <m:sub>
                <m:r>
                  <w:rPr>
                    <w:rFonts w:ascii="Cambria Math" w:hAnsi="Cambria Math"/>
                  </w:rPr>
                  <m:t>t</m:t>
                </m:r>
              </m:sub>
            </m:sSub>
          </m:num>
          <m:den>
            <m:sSub>
              <m:sSubPr>
                <m:ctrlPr>
                  <w:rPr>
                    <w:rFonts w:ascii="Cambria Math" w:hAnsi="Cambria Math"/>
                    <w:i/>
                  </w:rPr>
                </m:ctrlPr>
              </m:sSubPr>
              <m:e>
                <m:r>
                  <w:rPr>
                    <w:rFonts w:ascii="Cambria Math" w:hAnsi="Cambria Math"/>
                  </w:rPr>
                  <m:t>TA</m:t>
                </m:r>
              </m:e>
              <m:sub>
                <m:r>
                  <w:rPr>
                    <w:rFonts w:ascii="Cambria Math" w:hAnsi="Cambria Math"/>
                  </w:rPr>
                  <m:t>t-1</m:t>
                </m:r>
              </m:sub>
            </m:sSub>
          </m:den>
        </m:f>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1</m:t>
            </m:r>
          </m:sub>
        </m:sSub>
        <m:d>
          <m:dPr>
            <m:ctrlPr>
              <w:rPr>
                <w:rFonts w:ascii="Cambria Math" w:hAnsi="Cambria Math"/>
                <w:i/>
              </w:rPr>
            </m:ctrlPr>
          </m:dPr>
          <m:e>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TA</m:t>
                    </m:r>
                  </m:e>
                  <m:sub>
                    <m:r>
                      <w:rPr>
                        <w:rFonts w:ascii="Cambria Math" w:hAnsi="Cambria Math"/>
                      </w:rPr>
                      <m:t>t-1</m:t>
                    </m:r>
                  </m:sub>
                </m:sSub>
              </m:den>
            </m:f>
          </m:e>
        </m:d>
        <m:r>
          <w:rPr>
            <w:rFonts w:ascii="Cambria Math" w:hAnsi="Cambria Math"/>
          </w:rPr>
          <m:t>+β</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t-1</m:t>
                    </m:r>
                  </m:sub>
                </m:sSub>
              </m:num>
              <m:den>
                <m:sSub>
                  <m:sSubPr>
                    <m:ctrlPr>
                      <w:rPr>
                        <w:rFonts w:ascii="Cambria Math" w:hAnsi="Cambria Math"/>
                        <w:i/>
                      </w:rPr>
                    </m:ctrlPr>
                  </m:sSubPr>
                  <m:e>
                    <m:r>
                      <w:rPr>
                        <w:rFonts w:ascii="Cambria Math" w:hAnsi="Cambria Math"/>
                      </w:rPr>
                      <m:t>TA</m:t>
                    </m:r>
                  </m:e>
                  <m:sub>
                    <m:r>
                      <w:rPr>
                        <w:rFonts w:ascii="Cambria Math" w:hAnsi="Cambria Math"/>
                      </w:rPr>
                      <m:t>t-1</m:t>
                    </m:r>
                  </m:sub>
                </m:sSub>
              </m:den>
            </m:f>
          </m:e>
        </m:d>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t</m:t>
            </m:r>
          </m:sub>
        </m:sSub>
      </m:oMath>
      <w:r w:rsidR="009B67CB" w:rsidRPr="00712B16">
        <w:t xml:space="preserve">                                                  </w:t>
      </w:r>
      <w:r w:rsidR="00C613D5" w:rsidRPr="00712B16">
        <w:t xml:space="preserve">             </w:t>
      </w:r>
      <w:r w:rsidR="009B67CB" w:rsidRPr="00712B16">
        <w:t>(4)</w:t>
      </w:r>
    </w:p>
    <w:p w14:paraId="35B51367" w14:textId="65A0712D" w:rsidR="009032E8" w:rsidRPr="00712B16" w:rsidRDefault="00E051A3" w:rsidP="009B67CB">
      <w:pPr>
        <w:spacing w:after="0" w:line="240" w:lineRule="auto"/>
        <w:jc w:val="both"/>
        <w:rPr>
          <w:rFonts w:ascii="Times New Roman" w:hAnsi="Times New Roman" w:cs="Times New Roman"/>
          <w:sz w:val="24"/>
          <w:szCs w:val="24"/>
        </w:rPr>
      </w:pPr>
      <w:r w:rsidRPr="00712B16">
        <w:rPr>
          <w:rFonts w:ascii="Times New Roman" w:hAnsi="Times New Roman" w:cs="Times New Roman"/>
          <w:sz w:val="24"/>
          <w:szCs w:val="24"/>
        </w:rPr>
        <w:t xml:space="preserve">where </w:t>
      </w:r>
      <w:r w:rsidRPr="00712B16">
        <w:rPr>
          <w:rFonts w:ascii="Times New Roman" w:hAnsi="Times New Roman" w:cs="Times New Roman"/>
          <w:sz w:val="24"/>
          <w:szCs w:val="24"/>
        </w:rPr>
        <w:tab/>
      </w:r>
      <w:proofErr w:type="spellStart"/>
      <w:r w:rsidRPr="00712B16">
        <w:rPr>
          <w:rFonts w:ascii="Times New Roman" w:hAnsi="Times New Roman" w:cs="Times New Roman"/>
          <w:i/>
          <w:sz w:val="24"/>
          <w:szCs w:val="24"/>
        </w:rPr>
        <w:t>DISEXP</w:t>
      </w:r>
      <w:r w:rsidRPr="00712B16">
        <w:rPr>
          <w:rFonts w:ascii="Times New Roman" w:hAnsi="Times New Roman" w:cs="Times New Roman"/>
          <w:i/>
          <w:sz w:val="24"/>
          <w:szCs w:val="24"/>
          <w:vertAlign w:val="subscript"/>
        </w:rPr>
        <w:t>t</w:t>
      </w:r>
      <w:proofErr w:type="spellEnd"/>
      <w:r w:rsidRPr="00712B16">
        <w:rPr>
          <w:rFonts w:ascii="Times New Roman" w:hAnsi="Times New Roman" w:cs="Times New Roman"/>
          <w:i/>
          <w:sz w:val="24"/>
          <w:szCs w:val="24"/>
        </w:rPr>
        <w:t xml:space="preserve"> </w:t>
      </w:r>
      <w:r w:rsidRPr="00712B16">
        <w:rPr>
          <w:rFonts w:ascii="Times New Roman" w:hAnsi="Times New Roman" w:cs="Times New Roman"/>
          <w:sz w:val="24"/>
          <w:szCs w:val="24"/>
        </w:rPr>
        <w:t xml:space="preserve">is the sum of R&amp;D expenses, advertising expenses, and SG&amp;A expenses at the end of period </w:t>
      </w:r>
      <w:r w:rsidRPr="00712B16">
        <w:rPr>
          <w:rFonts w:ascii="Times New Roman" w:hAnsi="Times New Roman" w:cs="Times New Roman"/>
          <w:i/>
          <w:sz w:val="24"/>
          <w:szCs w:val="24"/>
        </w:rPr>
        <w:t>t</w:t>
      </w:r>
      <w:r w:rsidRPr="00712B16">
        <w:rPr>
          <w:rFonts w:ascii="Times New Roman" w:hAnsi="Times New Roman" w:cs="Times New Roman"/>
          <w:sz w:val="24"/>
          <w:szCs w:val="24"/>
        </w:rPr>
        <w:t>; and</w:t>
      </w:r>
      <w:r w:rsidR="009B67CB" w:rsidRPr="00712B16">
        <w:rPr>
          <w:rFonts w:ascii="Times New Roman" w:hAnsi="Times New Roman" w:cs="Times New Roman"/>
          <w:sz w:val="24"/>
          <w:szCs w:val="24"/>
        </w:rPr>
        <w:t>. O</w:t>
      </w:r>
      <w:r w:rsidRPr="00712B16">
        <w:rPr>
          <w:rFonts w:ascii="Times New Roman" w:hAnsi="Times New Roman" w:cs="Times New Roman"/>
          <w:sz w:val="24"/>
          <w:szCs w:val="24"/>
        </w:rPr>
        <w:t xml:space="preserve">ther variables are as defined </w:t>
      </w:r>
      <w:r w:rsidR="007A164E" w:rsidRPr="00712B16">
        <w:rPr>
          <w:rFonts w:ascii="Times New Roman" w:hAnsi="Times New Roman" w:cs="Times New Roman"/>
          <w:sz w:val="24"/>
          <w:szCs w:val="24"/>
        </w:rPr>
        <w:t xml:space="preserve">in </w:t>
      </w:r>
      <w:r w:rsidR="00B27F8B" w:rsidRPr="00712B16">
        <w:rPr>
          <w:rFonts w:ascii="Times New Roman" w:hAnsi="Times New Roman" w:cs="Times New Roman"/>
          <w:sz w:val="24"/>
          <w:szCs w:val="24"/>
        </w:rPr>
        <w:t xml:space="preserve">Supplementary Material </w:t>
      </w:r>
      <w:r w:rsidR="007A164E" w:rsidRPr="00712B16">
        <w:rPr>
          <w:rFonts w:ascii="Times New Roman" w:hAnsi="Times New Roman" w:cs="Times New Roman"/>
          <w:sz w:val="24"/>
          <w:szCs w:val="24"/>
        </w:rPr>
        <w:t>A</w:t>
      </w:r>
      <w:r w:rsidRPr="00712B16">
        <w:rPr>
          <w:rFonts w:ascii="Times New Roman" w:hAnsi="Times New Roman" w:cs="Times New Roman"/>
          <w:sz w:val="24"/>
          <w:szCs w:val="24"/>
        </w:rPr>
        <w:t>.</w:t>
      </w:r>
    </w:p>
    <w:p w14:paraId="13BC3D30" w14:textId="77777777" w:rsidR="00E87FA8" w:rsidRPr="00712B16" w:rsidRDefault="00E87FA8" w:rsidP="00E87FA8">
      <w:pPr>
        <w:spacing w:line="480" w:lineRule="auto"/>
        <w:jc w:val="both"/>
        <w:rPr>
          <w:rFonts w:ascii="Times New Roman" w:hAnsi="Times New Roman" w:cs="Times New Roman"/>
          <w:sz w:val="24"/>
          <w:szCs w:val="24"/>
        </w:rPr>
      </w:pPr>
    </w:p>
    <w:p w14:paraId="08FF91D8" w14:textId="77777777" w:rsidR="00022479" w:rsidRPr="00712B16" w:rsidRDefault="00E051A3" w:rsidP="00F40814">
      <w:pPr>
        <w:spacing w:line="480" w:lineRule="auto"/>
        <w:ind w:firstLine="720"/>
        <w:jc w:val="both"/>
        <w:rPr>
          <w:rFonts w:ascii="Times New Roman" w:hAnsi="Times New Roman" w:cs="Times New Roman"/>
          <w:sz w:val="24"/>
          <w:szCs w:val="24"/>
        </w:rPr>
      </w:pPr>
      <w:r w:rsidRPr="00712B16">
        <w:rPr>
          <w:rFonts w:ascii="Times New Roman" w:hAnsi="Times New Roman" w:cs="Times New Roman"/>
          <w:sz w:val="24"/>
          <w:szCs w:val="24"/>
        </w:rPr>
        <w:lastRenderedPageBreak/>
        <w:t xml:space="preserve">To obtain the third measure of REM abnormal production costs, </w:t>
      </w:r>
      <w:r w:rsidR="0007067C" w:rsidRPr="00712B16">
        <w:rPr>
          <w:rFonts w:ascii="Times New Roman" w:hAnsi="Times New Roman" w:cs="Times New Roman"/>
          <w:sz w:val="24"/>
          <w:szCs w:val="24"/>
        </w:rPr>
        <w:t>we</w:t>
      </w:r>
      <w:r w:rsidRPr="00712B16">
        <w:rPr>
          <w:rFonts w:ascii="Times New Roman" w:hAnsi="Times New Roman" w:cs="Times New Roman"/>
          <w:sz w:val="24"/>
          <w:szCs w:val="24"/>
        </w:rPr>
        <w:t xml:space="preserve"> run regression (5) for each industry (based on Fama-French 48 industries) and year, to obtain the normal production costs. The abnormal production costs (</w:t>
      </w:r>
      <w:proofErr w:type="spellStart"/>
      <w:r w:rsidRPr="00712B16">
        <w:rPr>
          <w:rFonts w:ascii="Times New Roman" w:hAnsi="Times New Roman" w:cs="Times New Roman"/>
          <w:i/>
          <w:iCs/>
          <w:sz w:val="24"/>
          <w:szCs w:val="24"/>
        </w:rPr>
        <w:t>REM_PRODCOST</w:t>
      </w:r>
      <w:r w:rsidRPr="00712B16">
        <w:rPr>
          <w:rFonts w:ascii="Times New Roman" w:hAnsi="Times New Roman" w:cs="Times New Roman"/>
          <w:i/>
          <w:iCs/>
          <w:sz w:val="24"/>
          <w:szCs w:val="24"/>
          <w:vertAlign w:val="subscript"/>
        </w:rPr>
        <w:t>t</w:t>
      </w:r>
      <w:proofErr w:type="spellEnd"/>
      <w:r w:rsidRPr="00712B16">
        <w:rPr>
          <w:rFonts w:ascii="Times New Roman" w:hAnsi="Times New Roman" w:cs="Times New Roman"/>
          <w:sz w:val="24"/>
          <w:szCs w:val="24"/>
        </w:rPr>
        <w:t>) are the residuals from regression (5):</w:t>
      </w:r>
    </w:p>
    <w:p w14:paraId="2BE2429E" w14:textId="2B08BB20" w:rsidR="009032E8" w:rsidRPr="00712B16" w:rsidRDefault="00000000" w:rsidP="00F40814">
      <w:pPr>
        <w:spacing w:line="480" w:lineRule="auto"/>
        <w:ind w:firstLine="720"/>
        <w:jc w:val="both"/>
        <w:rPr>
          <w:rFonts w:ascii="Times New Roman" w:hAnsi="Times New Roman" w:cs="Times New Roman"/>
          <w:sz w:val="24"/>
          <w:szCs w:val="24"/>
        </w:rPr>
      </w:pPr>
      <m:oMathPara>
        <m:oMath>
          <m:f>
            <m:fPr>
              <m:ctrlPr>
                <w:rPr>
                  <w:rFonts w:ascii="Cambria Math" w:hAnsi="Cambria Math"/>
                  <w:i/>
                  <w:sz w:val="24"/>
                  <w:szCs w:val="24"/>
                </w:rPr>
              </m:ctrlPr>
            </m:fPr>
            <m:num>
              <m:r>
                <w:rPr>
                  <w:rFonts w:ascii="Cambria Math" w:hAnsi="Cambria Math"/>
                  <w:sz w:val="24"/>
                  <w:szCs w:val="24"/>
                </w:rPr>
                <m:t>PRO</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t</m:t>
                  </m:r>
                </m:sub>
              </m:sSub>
            </m:num>
            <m:den>
              <m:sSub>
                <m:sSubPr>
                  <m:ctrlPr>
                    <w:rPr>
                      <w:rFonts w:ascii="Cambria Math" w:hAnsi="Cambria Math"/>
                      <w:i/>
                      <w:sz w:val="24"/>
                      <w:szCs w:val="24"/>
                    </w:rPr>
                  </m:ctrlPr>
                </m:sSubPr>
                <m:e>
                  <m:r>
                    <w:rPr>
                      <w:rFonts w:ascii="Cambria Math" w:hAnsi="Cambria Math"/>
                      <w:sz w:val="24"/>
                      <w:szCs w:val="24"/>
                    </w:rPr>
                    <m:t>TA</m:t>
                  </m:r>
                </m:e>
                <m:sub>
                  <m:r>
                    <w:rPr>
                      <w:rFonts w:ascii="Cambria Math" w:hAnsi="Cambria Math"/>
                      <w:sz w:val="24"/>
                      <w:szCs w:val="24"/>
                    </w:rPr>
                    <m:t>t-1</m:t>
                  </m:r>
                </m:sub>
              </m:sSub>
            </m:den>
          </m:f>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1</m:t>
              </m:r>
            </m:sub>
          </m:sSub>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t-1</m:t>
                      </m:r>
                    </m:sub>
                  </m:sSub>
                </m:den>
              </m:f>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1</m:t>
              </m:r>
            </m:sub>
          </m:sSub>
          <m:d>
            <m:dPr>
              <m:ctrlPr>
                <w:rPr>
                  <w:rFonts w:ascii="Cambria Math" w:hAnsi="Cambria Math"/>
                  <w:i/>
                  <w:sz w:val="24"/>
                  <w:szCs w:val="24"/>
                </w:rPr>
              </m:ctrlPr>
            </m:dPr>
            <m:e>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t</m:t>
                      </m:r>
                    </m:sub>
                  </m:sSub>
                </m:num>
                <m:den>
                  <m:sSub>
                    <m:sSubPr>
                      <m:ctrlPr>
                        <w:rPr>
                          <w:rFonts w:ascii="Cambria Math" w:hAnsi="Cambria Math"/>
                          <w:i/>
                          <w:sz w:val="24"/>
                          <w:szCs w:val="24"/>
                        </w:rPr>
                      </m:ctrlPr>
                    </m:sSubPr>
                    <m:e>
                      <m:r>
                        <w:rPr>
                          <w:rFonts w:ascii="Cambria Math" w:hAnsi="Cambria Math"/>
                          <w:sz w:val="24"/>
                          <w:szCs w:val="24"/>
                        </w:rPr>
                        <m:t>TA</m:t>
                      </m:r>
                    </m:e>
                    <m:sub>
                      <m:r>
                        <w:rPr>
                          <w:rFonts w:ascii="Cambria Math" w:hAnsi="Cambria Math"/>
                          <w:sz w:val="24"/>
                          <w:szCs w:val="24"/>
                        </w:rPr>
                        <m:t>t-1</m:t>
                      </m:r>
                    </m:sub>
                  </m:sSub>
                </m:den>
              </m:f>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2</m:t>
              </m:r>
            </m:sub>
          </m:sSub>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Δ</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t</m:t>
                      </m:r>
                    </m:sub>
                  </m:sSub>
                </m:num>
                <m:den>
                  <m:sSub>
                    <m:sSubPr>
                      <m:ctrlPr>
                        <w:rPr>
                          <w:rFonts w:ascii="Cambria Math" w:hAnsi="Cambria Math"/>
                          <w:i/>
                          <w:sz w:val="24"/>
                          <w:szCs w:val="24"/>
                        </w:rPr>
                      </m:ctrlPr>
                    </m:sSubPr>
                    <m:e>
                      <m:r>
                        <w:rPr>
                          <w:rFonts w:ascii="Cambria Math" w:hAnsi="Cambria Math"/>
                          <w:sz w:val="24"/>
                          <w:szCs w:val="24"/>
                        </w:rPr>
                        <m:t>TA</m:t>
                      </m:r>
                    </m:e>
                    <m:sub>
                      <m:r>
                        <w:rPr>
                          <w:rFonts w:ascii="Cambria Math" w:hAnsi="Cambria Math"/>
                          <w:sz w:val="24"/>
                          <w:szCs w:val="24"/>
                        </w:rPr>
                        <m:t>t-1</m:t>
                      </m:r>
                    </m:sub>
                  </m:sSub>
                </m:den>
              </m:f>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3</m:t>
              </m:r>
            </m:sub>
          </m:sSub>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Δ</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t-1</m:t>
                      </m:r>
                    </m:sub>
                  </m:sSub>
                </m:num>
                <m:den>
                  <m:sSub>
                    <m:sSubPr>
                      <m:ctrlPr>
                        <w:rPr>
                          <w:rFonts w:ascii="Cambria Math" w:hAnsi="Cambria Math"/>
                          <w:i/>
                          <w:sz w:val="24"/>
                          <w:szCs w:val="24"/>
                        </w:rPr>
                      </m:ctrlPr>
                    </m:sSubPr>
                    <m:e>
                      <m:r>
                        <w:rPr>
                          <w:rFonts w:ascii="Cambria Math" w:hAnsi="Cambria Math"/>
                          <w:sz w:val="24"/>
                          <w:szCs w:val="24"/>
                        </w:rPr>
                        <m:t>TA</m:t>
                      </m:r>
                    </m:e>
                    <m:sub>
                      <m:r>
                        <w:rPr>
                          <w:rFonts w:ascii="Cambria Math" w:hAnsi="Cambria Math"/>
                          <w:sz w:val="24"/>
                          <w:szCs w:val="24"/>
                        </w:rPr>
                        <m:t>t-1</m:t>
                      </m:r>
                    </m:sub>
                  </m:sSub>
                </m:den>
              </m:f>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t</m:t>
              </m:r>
            </m:sub>
          </m:sSub>
        </m:oMath>
      </m:oMathPara>
    </w:p>
    <w:p w14:paraId="16DD2509" w14:textId="6C23234C" w:rsidR="009032E8" w:rsidRPr="00712B16" w:rsidRDefault="00E87FA8">
      <w:pPr>
        <w:spacing w:after="0" w:line="480" w:lineRule="auto"/>
        <w:jc w:val="both"/>
        <w:rPr>
          <w:rFonts w:ascii="Times New Roman" w:hAnsi="Times New Roman" w:cs="Times New Roman"/>
          <w:sz w:val="24"/>
          <w:szCs w:val="24"/>
        </w:rPr>
      </w:pPr>
      <w:r w:rsidRPr="00712B16">
        <w:rPr>
          <w:rFonts w:ascii="Times New Roman" w:hAnsi="Times New Roman" w:cs="Times New Roman"/>
          <w:sz w:val="24"/>
          <w:szCs w:val="24"/>
        </w:rPr>
        <w:t xml:space="preserve">                                                                                                                                   </w:t>
      </w:r>
      <w:r w:rsidR="00E051A3" w:rsidRPr="00712B16">
        <w:rPr>
          <w:rFonts w:ascii="Times New Roman" w:hAnsi="Times New Roman" w:cs="Times New Roman"/>
          <w:sz w:val="24"/>
          <w:szCs w:val="24"/>
        </w:rPr>
        <w:t>(5)</w:t>
      </w:r>
    </w:p>
    <w:p w14:paraId="5B601321" w14:textId="32DF87A2" w:rsidR="009032E8" w:rsidRPr="00712B16" w:rsidRDefault="00E051A3" w:rsidP="009B67CB">
      <w:pPr>
        <w:spacing w:after="0" w:line="240" w:lineRule="auto"/>
        <w:jc w:val="both"/>
        <w:rPr>
          <w:rFonts w:ascii="Times New Roman" w:hAnsi="Times New Roman" w:cs="Times New Roman"/>
          <w:sz w:val="24"/>
          <w:szCs w:val="24"/>
        </w:rPr>
      </w:pPr>
      <w:r w:rsidRPr="00712B16">
        <w:rPr>
          <w:rFonts w:ascii="Times New Roman" w:hAnsi="Times New Roman" w:cs="Times New Roman"/>
          <w:sz w:val="24"/>
          <w:szCs w:val="24"/>
        </w:rPr>
        <w:t xml:space="preserve">where </w:t>
      </w:r>
      <w:r w:rsidRPr="00712B16">
        <w:rPr>
          <w:rFonts w:ascii="Times New Roman" w:hAnsi="Times New Roman" w:cs="Times New Roman"/>
          <w:sz w:val="24"/>
          <w:szCs w:val="24"/>
        </w:rPr>
        <w:tab/>
      </w:r>
      <w:proofErr w:type="spellStart"/>
      <w:r w:rsidRPr="00712B16">
        <w:rPr>
          <w:rFonts w:ascii="Times New Roman" w:hAnsi="Times New Roman" w:cs="Times New Roman"/>
          <w:i/>
          <w:sz w:val="24"/>
          <w:szCs w:val="24"/>
        </w:rPr>
        <w:t>PROD</w:t>
      </w:r>
      <w:r w:rsidRPr="00712B16">
        <w:rPr>
          <w:rFonts w:ascii="Times New Roman" w:hAnsi="Times New Roman" w:cs="Times New Roman"/>
          <w:i/>
          <w:sz w:val="24"/>
          <w:szCs w:val="24"/>
          <w:vertAlign w:val="subscript"/>
        </w:rPr>
        <w:t>t</w:t>
      </w:r>
      <w:proofErr w:type="spellEnd"/>
      <w:r w:rsidRPr="00712B16">
        <w:rPr>
          <w:rFonts w:ascii="Times New Roman" w:hAnsi="Times New Roman" w:cs="Times New Roman"/>
          <w:sz w:val="24"/>
          <w:szCs w:val="24"/>
        </w:rPr>
        <w:t xml:space="preserve"> is the sum of the cost of goods sold and the change in inventories at the</w:t>
      </w:r>
      <w:r w:rsidR="00E87FA8" w:rsidRPr="00712B16">
        <w:rPr>
          <w:rFonts w:ascii="Times New Roman" w:hAnsi="Times New Roman" w:cs="Times New Roman"/>
          <w:sz w:val="24"/>
          <w:szCs w:val="24"/>
        </w:rPr>
        <w:t xml:space="preserve"> </w:t>
      </w:r>
      <w:r w:rsidRPr="00712B16">
        <w:rPr>
          <w:rFonts w:ascii="Times New Roman" w:hAnsi="Times New Roman" w:cs="Times New Roman"/>
          <w:sz w:val="24"/>
          <w:szCs w:val="24"/>
        </w:rPr>
        <w:t xml:space="preserve">end of period </w:t>
      </w:r>
      <w:r w:rsidRPr="00712B16">
        <w:rPr>
          <w:rFonts w:ascii="Times New Roman" w:hAnsi="Times New Roman" w:cs="Times New Roman"/>
          <w:i/>
          <w:sz w:val="24"/>
          <w:szCs w:val="24"/>
        </w:rPr>
        <w:t>t</w:t>
      </w:r>
      <w:r w:rsidR="009B67CB" w:rsidRPr="00712B16">
        <w:rPr>
          <w:rFonts w:ascii="Times New Roman" w:hAnsi="Times New Roman" w:cs="Times New Roman"/>
          <w:sz w:val="24"/>
          <w:szCs w:val="24"/>
        </w:rPr>
        <w:t>. O</w:t>
      </w:r>
      <w:r w:rsidRPr="00712B16">
        <w:rPr>
          <w:rFonts w:ascii="Times New Roman" w:hAnsi="Times New Roman" w:cs="Times New Roman"/>
          <w:sz w:val="24"/>
          <w:szCs w:val="24"/>
        </w:rPr>
        <w:t xml:space="preserve">ther variables are as defined </w:t>
      </w:r>
      <w:r w:rsidR="00B27F8B" w:rsidRPr="00712B16">
        <w:rPr>
          <w:rFonts w:ascii="Times New Roman" w:hAnsi="Times New Roman" w:cs="Times New Roman"/>
          <w:sz w:val="24"/>
          <w:szCs w:val="24"/>
        </w:rPr>
        <w:t>in Supplementary Material A</w:t>
      </w:r>
      <w:r w:rsidRPr="00712B16">
        <w:rPr>
          <w:rFonts w:ascii="Times New Roman" w:hAnsi="Times New Roman" w:cs="Times New Roman"/>
          <w:sz w:val="24"/>
          <w:szCs w:val="24"/>
        </w:rPr>
        <w:t>.</w:t>
      </w:r>
    </w:p>
    <w:p w14:paraId="0EBCCA80" w14:textId="77777777" w:rsidR="009B67CB" w:rsidRPr="00712B16" w:rsidRDefault="009B67CB" w:rsidP="009B67CB">
      <w:pPr>
        <w:spacing w:after="0" w:line="480" w:lineRule="auto"/>
        <w:jc w:val="both"/>
        <w:rPr>
          <w:rFonts w:ascii="Times New Roman" w:hAnsi="Times New Roman" w:cs="Times New Roman"/>
          <w:iCs/>
          <w:sz w:val="24"/>
          <w:szCs w:val="24"/>
        </w:rPr>
      </w:pPr>
    </w:p>
    <w:p w14:paraId="0FCACBEE" w14:textId="1A6A987C" w:rsidR="009032E8" w:rsidRPr="00712B16" w:rsidRDefault="00E051A3" w:rsidP="00723823">
      <w:pPr>
        <w:spacing w:after="0" w:line="480" w:lineRule="auto"/>
        <w:ind w:firstLine="720"/>
        <w:jc w:val="both"/>
        <w:rPr>
          <w:rFonts w:ascii="Times New Roman" w:hAnsi="Times New Roman" w:cs="Times New Roman"/>
          <w:iCs/>
          <w:sz w:val="24"/>
          <w:szCs w:val="24"/>
        </w:rPr>
      </w:pPr>
      <w:r w:rsidRPr="00712B16">
        <w:rPr>
          <w:rFonts w:ascii="Times New Roman" w:hAnsi="Times New Roman" w:cs="Times New Roman"/>
          <w:iCs/>
          <w:sz w:val="24"/>
          <w:szCs w:val="24"/>
        </w:rPr>
        <w:t xml:space="preserve">Finally, </w:t>
      </w:r>
      <w:r w:rsidR="008E7680" w:rsidRPr="00712B16">
        <w:rPr>
          <w:rFonts w:ascii="Times New Roman" w:hAnsi="Times New Roman" w:cs="Times New Roman"/>
          <w:iCs/>
          <w:sz w:val="24"/>
          <w:szCs w:val="24"/>
        </w:rPr>
        <w:t>we use</w:t>
      </w:r>
      <w:r w:rsidRPr="00712B16">
        <w:rPr>
          <w:rFonts w:ascii="Times New Roman" w:hAnsi="Times New Roman" w:cs="Times New Roman"/>
          <w:iCs/>
          <w:sz w:val="24"/>
          <w:szCs w:val="24"/>
        </w:rPr>
        <w:t xml:space="preserve"> </w:t>
      </w:r>
      <w:r w:rsidR="006E4770" w:rsidRPr="00712B16">
        <w:rPr>
          <w:rFonts w:ascii="Times New Roman" w:hAnsi="Times New Roman" w:cs="Times New Roman"/>
          <w:iCs/>
          <w:sz w:val="24"/>
          <w:szCs w:val="24"/>
        </w:rPr>
        <w:t xml:space="preserve">the </w:t>
      </w:r>
      <w:r w:rsidRPr="00712B16">
        <w:rPr>
          <w:rFonts w:ascii="Times New Roman" w:hAnsi="Times New Roman" w:cs="Times New Roman"/>
          <w:iCs/>
          <w:sz w:val="24"/>
          <w:szCs w:val="24"/>
        </w:rPr>
        <w:t>sum of the three proxies of REM above (</w:t>
      </w:r>
      <w:r w:rsidRPr="00712B16">
        <w:rPr>
          <w:rFonts w:ascii="Times New Roman" w:hAnsi="Times New Roman" w:cs="Times New Roman"/>
          <w:i/>
          <w:sz w:val="24"/>
          <w:szCs w:val="24"/>
        </w:rPr>
        <w:t>REM_SUM</w:t>
      </w:r>
      <w:r w:rsidRPr="00712B16">
        <w:rPr>
          <w:rFonts w:ascii="Times New Roman" w:hAnsi="Times New Roman" w:cs="Times New Roman"/>
          <w:iCs/>
          <w:sz w:val="24"/>
          <w:szCs w:val="24"/>
        </w:rPr>
        <w:t xml:space="preserve">) as the fourth measure. Considering </w:t>
      </w:r>
      <w:r w:rsidR="00A977B6" w:rsidRPr="00712B16">
        <w:rPr>
          <w:rFonts w:ascii="Times New Roman" w:hAnsi="Times New Roman" w:cs="Times New Roman"/>
          <w:iCs/>
          <w:sz w:val="24"/>
          <w:szCs w:val="24"/>
        </w:rPr>
        <w:t xml:space="preserve">the </w:t>
      </w:r>
      <w:r w:rsidRPr="00712B16">
        <w:rPr>
          <w:rFonts w:ascii="Times New Roman" w:hAnsi="Times New Roman" w:cs="Times New Roman"/>
          <w:iCs/>
          <w:sz w:val="24"/>
          <w:szCs w:val="24"/>
        </w:rPr>
        <w:t xml:space="preserve">advantages and disadvantages of </w:t>
      </w:r>
      <w:r w:rsidR="00A977B6" w:rsidRPr="00712B16">
        <w:rPr>
          <w:rFonts w:ascii="Times New Roman" w:hAnsi="Times New Roman" w:cs="Times New Roman"/>
          <w:iCs/>
          <w:sz w:val="24"/>
          <w:szCs w:val="24"/>
        </w:rPr>
        <w:t>the REM measures</w:t>
      </w:r>
      <w:r w:rsidRPr="00712B16">
        <w:rPr>
          <w:rFonts w:ascii="Times New Roman" w:hAnsi="Times New Roman" w:cs="Times New Roman"/>
          <w:iCs/>
          <w:sz w:val="24"/>
          <w:szCs w:val="24"/>
        </w:rPr>
        <w:t xml:space="preserve">, </w:t>
      </w:r>
      <w:r w:rsidR="00A977B6" w:rsidRPr="00712B16">
        <w:rPr>
          <w:rFonts w:ascii="Times New Roman" w:hAnsi="Times New Roman" w:cs="Times New Roman"/>
          <w:iCs/>
          <w:sz w:val="24"/>
          <w:szCs w:val="24"/>
        </w:rPr>
        <w:t>we test</w:t>
      </w:r>
      <w:r w:rsidRPr="00712B16">
        <w:rPr>
          <w:rFonts w:ascii="Times New Roman" w:hAnsi="Times New Roman" w:cs="Times New Roman"/>
          <w:iCs/>
          <w:sz w:val="24"/>
          <w:szCs w:val="24"/>
        </w:rPr>
        <w:t xml:space="preserve"> hypotheses 1 and </w:t>
      </w:r>
      <w:r w:rsidR="00BE7767" w:rsidRPr="00712B16">
        <w:rPr>
          <w:rFonts w:ascii="Times New Roman" w:hAnsi="Times New Roman" w:cs="Times New Roman"/>
          <w:iCs/>
          <w:sz w:val="24"/>
          <w:szCs w:val="24"/>
        </w:rPr>
        <w:t>2</w:t>
      </w:r>
      <w:r w:rsidRPr="00712B16">
        <w:rPr>
          <w:rFonts w:ascii="Times New Roman" w:hAnsi="Times New Roman" w:cs="Times New Roman"/>
          <w:iCs/>
          <w:sz w:val="24"/>
          <w:szCs w:val="24"/>
        </w:rPr>
        <w:t xml:space="preserve"> using each of the four measures of REM as the variable of interest in separate regression models.</w:t>
      </w:r>
    </w:p>
    <w:p w14:paraId="0668968E" w14:textId="77777777" w:rsidR="00F76774" w:rsidRPr="00712B16" w:rsidRDefault="00F76774" w:rsidP="00723823">
      <w:pPr>
        <w:spacing w:after="0" w:line="480" w:lineRule="auto"/>
        <w:ind w:firstLine="720"/>
        <w:jc w:val="both"/>
        <w:rPr>
          <w:rFonts w:ascii="Times New Roman" w:hAnsi="Times New Roman" w:cs="Times New Roman"/>
          <w:iCs/>
          <w:sz w:val="24"/>
          <w:szCs w:val="24"/>
        </w:rPr>
      </w:pPr>
    </w:p>
    <w:p w14:paraId="71FE355C" w14:textId="5D34148C" w:rsidR="009032E8" w:rsidRPr="00712B16" w:rsidRDefault="00183F61" w:rsidP="00405142">
      <w:pPr>
        <w:pStyle w:val="Heading2"/>
        <w:spacing w:before="0" w:line="480" w:lineRule="auto"/>
        <w:jc w:val="both"/>
        <w:rPr>
          <w:rFonts w:cs="Times New Roman"/>
          <w:b w:val="0"/>
          <w:bCs/>
          <w:i/>
        </w:rPr>
      </w:pPr>
      <w:bookmarkStart w:id="32" w:name="_Toc118466038"/>
      <w:bookmarkStart w:id="33" w:name="_Hlk118977993"/>
      <w:r w:rsidRPr="00712B16">
        <w:rPr>
          <w:rFonts w:cs="Times New Roman"/>
          <w:b w:val="0"/>
          <w:bCs/>
          <w:i/>
          <w:szCs w:val="24"/>
        </w:rPr>
        <w:t xml:space="preserve">3.4 </w:t>
      </w:r>
      <w:bookmarkEnd w:id="32"/>
      <w:r w:rsidRPr="00712B16">
        <w:rPr>
          <w:rFonts w:cs="Times New Roman"/>
          <w:b w:val="0"/>
          <w:bCs/>
          <w:i/>
          <w:szCs w:val="24"/>
        </w:rPr>
        <w:t>Independent variables of interest</w:t>
      </w:r>
    </w:p>
    <w:bookmarkEnd w:id="33"/>
    <w:p w14:paraId="6406D37F" w14:textId="341999BC" w:rsidR="009D6CBC" w:rsidRPr="00712B16" w:rsidRDefault="009D6CBC" w:rsidP="00723823">
      <w:pPr>
        <w:pStyle w:val="1"/>
        <w:spacing w:before="0" w:beforeAutospacing="0" w:after="0" w:line="480" w:lineRule="auto"/>
        <w:jc w:val="both"/>
      </w:pPr>
      <w:r w:rsidRPr="00712B16">
        <w:t xml:space="preserve">Our main independent variable of interest is </w:t>
      </w:r>
      <w:r w:rsidRPr="00712B16">
        <w:rPr>
          <w:i/>
          <w:iCs/>
        </w:rPr>
        <w:t>COUNTRY_NETZERO</w:t>
      </w:r>
      <w:r w:rsidRPr="00712B16">
        <w:t xml:space="preserve">, which represents the </w:t>
      </w:r>
      <w:r w:rsidR="005832CF" w:rsidRPr="00712B16">
        <w:t>net zero</w:t>
      </w:r>
      <w:r w:rsidR="00090DC8" w:rsidRPr="00712B16">
        <w:t xml:space="preserve"> target</w:t>
      </w:r>
      <w:r w:rsidRPr="00712B16">
        <w:t xml:space="preserve"> </w:t>
      </w:r>
      <w:r w:rsidR="006A5F05" w:rsidRPr="00712B16">
        <w:t>commitment</w:t>
      </w:r>
      <w:r w:rsidRPr="00712B16">
        <w:t xml:space="preserve"> at the </w:t>
      </w:r>
      <w:r w:rsidR="006E4770" w:rsidRPr="00712B16">
        <w:t>country level</w:t>
      </w:r>
      <w:r w:rsidRPr="00712B16">
        <w:t xml:space="preserve">. This variable is coded one </w:t>
      </w:r>
      <w:r w:rsidRPr="00712B16">
        <w:rPr>
          <w:bCs/>
          <w:iCs/>
          <w:lang w:val="en-AU"/>
        </w:rPr>
        <w:t xml:space="preserve">if a country has </w:t>
      </w:r>
      <w:r w:rsidR="00510E73" w:rsidRPr="00712B16">
        <w:rPr>
          <w:bCs/>
          <w:iCs/>
          <w:lang w:val="en-AU"/>
        </w:rPr>
        <w:t>committed to</w:t>
      </w:r>
      <w:r w:rsidRPr="00712B16">
        <w:rPr>
          <w:bCs/>
          <w:iCs/>
          <w:lang w:val="en-AU"/>
        </w:rPr>
        <w:t xml:space="preserve"> </w:t>
      </w:r>
      <w:r w:rsidR="00FC39AF" w:rsidRPr="00712B16">
        <w:rPr>
          <w:bCs/>
          <w:iCs/>
          <w:lang w:val="en-AU"/>
        </w:rPr>
        <w:t xml:space="preserve">net zero targets </w:t>
      </w:r>
      <w:r w:rsidRPr="00712B16">
        <w:rPr>
          <w:bCs/>
          <w:iCs/>
          <w:lang w:val="en-AU"/>
        </w:rPr>
        <w:t xml:space="preserve">either </w:t>
      </w:r>
      <w:proofErr w:type="spellStart"/>
      <w:r w:rsidRPr="00712B16">
        <w:rPr>
          <w:bCs/>
          <w:iCs/>
          <w:lang w:val="en-AU"/>
        </w:rPr>
        <w:t>i</w:t>
      </w:r>
      <w:proofErr w:type="spellEnd"/>
      <w:r w:rsidRPr="00712B16">
        <w:rPr>
          <w:bCs/>
          <w:iCs/>
          <w:lang w:val="en-AU"/>
        </w:rPr>
        <w:t xml:space="preserve">) in law, or ii) in an official policy document, or iii) is in declaration/pledge, or iv) proposed/in discussion, and zero otherwise. </w:t>
      </w:r>
    </w:p>
    <w:p w14:paraId="300E8BBE" w14:textId="3C63F7D9" w:rsidR="009D6CBC" w:rsidRPr="00712B16" w:rsidRDefault="009D6CBC">
      <w:pPr>
        <w:pStyle w:val="1"/>
        <w:spacing w:before="0" w:beforeAutospacing="0" w:after="0" w:line="480" w:lineRule="auto"/>
        <w:ind w:firstLine="720"/>
        <w:jc w:val="both"/>
        <w:rPr>
          <w:bCs/>
          <w:iCs/>
          <w:lang w:val="en-AU"/>
        </w:rPr>
      </w:pPr>
      <w:r w:rsidRPr="00712B16">
        <w:t xml:space="preserve">In addition, </w:t>
      </w:r>
      <w:r w:rsidRPr="00712B16">
        <w:rPr>
          <w:bCs/>
          <w:iCs/>
          <w:lang w:val="en-AU"/>
        </w:rPr>
        <w:t xml:space="preserve">we measure the intensity of the </w:t>
      </w:r>
      <w:r w:rsidR="005832CF" w:rsidRPr="00712B16">
        <w:rPr>
          <w:bCs/>
          <w:iCs/>
          <w:lang w:val="en-AU"/>
        </w:rPr>
        <w:t>net zero</w:t>
      </w:r>
      <w:r w:rsidR="00090DC8" w:rsidRPr="00712B16">
        <w:rPr>
          <w:bCs/>
          <w:iCs/>
          <w:lang w:val="en-AU"/>
        </w:rPr>
        <w:t xml:space="preserve"> target</w:t>
      </w:r>
      <w:r w:rsidRPr="00712B16">
        <w:rPr>
          <w:bCs/>
          <w:iCs/>
          <w:lang w:val="en-AU"/>
        </w:rPr>
        <w:t xml:space="preserve"> </w:t>
      </w:r>
      <w:r w:rsidR="006A5F05" w:rsidRPr="00712B16">
        <w:rPr>
          <w:bCs/>
          <w:iCs/>
          <w:lang w:val="en-AU"/>
        </w:rPr>
        <w:t>commitment</w:t>
      </w:r>
      <w:r w:rsidRPr="00712B16">
        <w:rPr>
          <w:bCs/>
          <w:iCs/>
          <w:lang w:val="en-AU"/>
        </w:rPr>
        <w:t xml:space="preserve"> based on the level of commitment. Our main underlying assumption is that the intensity of the regulatory change related to the </w:t>
      </w:r>
      <w:r w:rsidR="005832CF" w:rsidRPr="00712B16">
        <w:rPr>
          <w:bCs/>
          <w:iCs/>
          <w:lang w:val="en-AU"/>
        </w:rPr>
        <w:t>net zero</w:t>
      </w:r>
      <w:r w:rsidR="00090DC8" w:rsidRPr="00712B16">
        <w:rPr>
          <w:bCs/>
          <w:iCs/>
          <w:lang w:val="en-AU"/>
        </w:rPr>
        <w:t xml:space="preserve"> target</w:t>
      </w:r>
      <w:r w:rsidRPr="00712B16">
        <w:rPr>
          <w:bCs/>
          <w:iCs/>
          <w:lang w:val="en-AU"/>
        </w:rPr>
        <w:t xml:space="preserve"> </w:t>
      </w:r>
      <w:r w:rsidR="006A5F05" w:rsidRPr="00712B16">
        <w:rPr>
          <w:bCs/>
          <w:iCs/>
          <w:lang w:val="en-AU"/>
        </w:rPr>
        <w:t>commitment</w:t>
      </w:r>
      <w:r w:rsidRPr="00712B16">
        <w:rPr>
          <w:bCs/>
          <w:iCs/>
          <w:lang w:val="en-AU"/>
        </w:rPr>
        <w:t xml:space="preserve"> is higher for countries that have enacted the </w:t>
      </w:r>
      <w:r w:rsidR="005832CF" w:rsidRPr="00712B16">
        <w:rPr>
          <w:bCs/>
          <w:iCs/>
          <w:lang w:val="en-AU"/>
        </w:rPr>
        <w:t>net zero</w:t>
      </w:r>
      <w:r w:rsidRPr="00712B16">
        <w:rPr>
          <w:bCs/>
          <w:iCs/>
          <w:lang w:val="en-AU"/>
        </w:rPr>
        <w:t xml:space="preserve"> targets in law compared to those in declaration/pledge. To operationalise this concept, we first code the four commitment levels as 4 (in law), 3 </w:t>
      </w:r>
      <w:r w:rsidRPr="00712B16">
        <w:rPr>
          <w:bCs/>
          <w:iCs/>
          <w:lang w:val="en-AU"/>
        </w:rPr>
        <w:lastRenderedPageBreak/>
        <w:t xml:space="preserve">(policy document), 2 (declaration/pledge), and 1 (proposed/in discussion). </w:t>
      </w:r>
      <w:r w:rsidR="00B27F8B" w:rsidRPr="00712B16">
        <w:t>Supplementary Material B</w:t>
      </w:r>
      <w:r w:rsidR="00861FF6" w:rsidRPr="00712B16">
        <w:rPr>
          <w:bCs/>
          <w:iCs/>
          <w:lang w:val="en-US"/>
        </w:rPr>
        <w:t xml:space="preserve"> provides a detailed explanation of the coding of the intensity variable. </w:t>
      </w:r>
      <w:r w:rsidRPr="00712B16">
        <w:rPr>
          <w:bCs/>
          <w:iCs/>
          <w:lang w:val="en-US"/>
        </w:rPr>
        <w:t>Next, we use the square of these scores (i.e., 16, 9, 4, 1 for in law, policy document, declaration/pledge, and proposed/in discussion, respectively) of commitment as a proxy for the intensity of net zero</w:t>
      </w:r>
      <w:r w:rsidR="00090DC8" w:rsidRPr="00712B16">
        <w:rPr>
          <w:bCs/>
          <w:iCs/>
          <w:lang w:val="en-US"/>
        </w:rPr>
        <w:t xml:space="preserve"> target</w:t>
      </w:r>
      <w:r w:rsidRPr="00712B16">
        <w:rPr>
          <w:bCs/>
          <w:iCs/>
          <w:lang w:val="en-US"/>
        </w:rPr>
        <w:t xml:space="preserve"> </w:t>
      </w:r>
      <w:r w:rsidR="006A5F05" w:rsidRPr="00712B16">
        <w:rPr>
          <w:bCs/>
          <w:iCs/>
          <w:lang w:val="en-US"/>
        </w:rPr>
        <w:t>commitment</w:t>
      </w:r>
      <w:r w:rsidRPr="00712B16">
        <w:rPr>
          <w:bCs/>
          <w:iCs/>
          <w:lang w:val="en-US"/>
        </w:rPr>
        <w:t xml:space="preserve"> on the firm (</w:t>
      </w:r>
      <w:r w:rsidRPr="00712B16">
        <w:rPr>
          <w:bCs/>
          <w:i/>
          <w:iCs/>
          <w:lang w:val="en-US"/>
        </w:rPr>
        <w:t>INTENSITY_NETZERO</w:t>
      </w:r>
      <w:r w:rsidR="00282F6A" w:rsidRPr="00712B16">
        <w:rPr>
          <w:bCs/>
          <w:i/>
          <w:iCs/>
          <w:lang w:val="en-US"/>
        </w:rPr>
        <w:t>_SQUARE</w:t>
      </w:r>
      <w:r w:rsidRPr="00712B16">
        <w:rPr>
          <w:bCs/>
          <w:iCs/>
          <w:lang w:val="en-US"/>
        </w:rPr>
        <w:t>).</w:t>
      </w:r>
      <w:r w:rsidR="00CD7315" w:rsidRPr="00712B16">
        <w:rPr>
          <w:rStyle w:val="FootnoteReference"/>
          <w:bCs/>
          <w:iCs/>
          <w:lang w:val="en-US"/>
        </w:rPr>
        <w:footnoteReference w:id="8"/>
      </w:r>
      <w:r w:rsidRPr="00712B16">
        <w:rPr>
          <w:bCs/>
          <w:iCs/>
          <w:lang w:val="en-US"/>
        </w:rPr>
        <w:t xml:space="preserve"> </w:t>
      </w:r>
    </w:p>
    <w:p w14:paraId="3F9896F3" w14:textId="77777777" w:rsidR="0091275C" w:rsidRPr="00712B16" w:rsidRDefault="0091275C" w:rsidP="00723823">
      <w:pPr>
        <w:pStyle w:val="1"/>
        <w:spacing w:before="0" w:beforeAutospacing="0" w:after="0" w:line="480" w:lineRule="auto"/>
        <w:jc w:val="both"/>
      </w:pPr>
    </w:p>
    <w:p w14:paraId="63BD6E63" w14:textId="097FF1F8" w:rsidR="009032E8" w:rsidRPr="00712B16" w:rsidRDefault="00183F61">
      <w:pPr>
        <w:pStyle w:val="Heading2"/>
        <w:spacing w:line="480" w:lineRule="auto"/>
        <w:jc w:val="both"/>
        <w:rPr>
          <w:rFonts w:cs="Times New Roman"/>
          <w:b w:val="0"/>
          <w:bCs/>
          <w:i/>
          <w:szCs w:val="24"/>
        </w:rPr>
      </w:pPr>
      <w:bookmarkStart w:id="34" w:name="_Toc118466039"/>
      <w:bookmarkStart w:id="35" w:name="_Hlk118978003"/>
      <w:r w:rsidRPr="00712B16">
        <w:rPr>
          <w:rFonts w:cs="Times New Roman"/>
          <w:b w:val="0"/>
          <w:bCs/>
          <w:i/>
          <w:szCs w:val="24"/>
        </w:rPr>
        <w:t>3.5 Control variables</w:t>
      </w:r>
      <w:bookmarkEnd w:id="34"/>
    </w:p>
    <w:p w14:paraId="503632B1" w14:textId="1CD98FEE" w:rsidR="009032E8" w:rsidRPr="00712B16" w:rsidRDefault="00183F61">
      <w:pPr>
        <w:pStyle w:val="Heading3"/>
        <w:spacing w:line="480" w:lineRule="auto"/>
        <w:jc w:val="both"/>
        <w:rPr>
          <w:rFonts w:ascii="Times New Roman" w:hAnsi="Times New Roman" w:cs="Times New Roman"/>
          <w:i/>
          <w:iCs/>
          <w:color w:val="auto"/>
        </w:rPr>
      </w:pPr>
      <w:bookmarkStart w:id="36" w:name="_Toc118466040"/>
      <w:bookmarkStart w:id="37" w:name="_Hlk118978011"/>
      <w:bookmarkEnd w:id="35"/>
      <w:r w:rsidRPr="00712B16">
        <w:rPr>
          <w:rFonts w:ascii="Times New Roman" w:hAnsi="Times New Roman" w:cs="Times New Roman"/>
          <w:i/>
          <w:iCs/>
          <w:color w:val="auto"/>
        </w:rPr>
        <w:t>3.5.1 Country-level control variables</w:t>
      </w:r>
      <w:bookmarkEnd w:id="36"/>
    </w:p>
    <w:bookmarkEnd w:id="37"/>
    <w:p w14:paraId="4A438E09" w14:textId="5495E520" w:rsidR="009032E8" w:rsidRPr="00712B16" w:rsidRDefault="00E051A3">
      <w:pPr>
        <w:pStyle w:val="1"/>
        <w:spacing w:before="0" w:beforeAutospacing="0" w:after="0" w:line="480" w:lineRule="auto"/>
        <w:jc w:val="both"/>
      </w:pPr>
      <w:r w:rsidRPr="00712B16">
        <w:rPr>
          <w:iCs/>
        </w:rPr>
        <w:t xml:space="preserve">The country-level financial control variables include </w:t>
      </w:r>
      <w:r w:rsidRPr="00712B16">
        <w:rPr>
          <w:i/>
          <w:iCs/>
          <w:lang w:val="en-US"/>
        </w:rPr>
        <w:t xml:space="preserve">GDP_GROWTH </w:t>
      </w:r>
      <w:r w:rsidRPr="00712B16">
        <w:rPr>
          <w:iCs/>
          <w:lang w:val="en-US"/>
        </w:rPr>
        <w:t>and</w:t>
      </w:r>
      <w:r w:rsidRPr="00712B16">
        <w:rPr>
          <w:i/>
          <w:iCs/>
          <w:lang w:val="en-US"/>
        </w:rPr>
        <w:t xml:space="preserve"> GDP_PER_CAPITA </w:t>
      </w:r>
      <w:r w:rsidRPr="00712B16">
        <w:rPr>
          <w:lang w:val="en-US"/>
        </w:rPr>
        <w:t>to control the level of economic development. In addition</w:t>
      </w:r>
      <w:r w:rsidR="00D7421E" w:rsidRPr="00712B16">
        <w:rPr>
          <w:lang w:val="en-US"/>
        </w:rPr>
        <w:t xml:space="preserve">, </w:t>
      </w:r>
      <w:r w:rsidR="004E3EDA" w:rsidRPr="00712B16">
        <w:rPr>
          <w:lang w:val="en-US"/>
        </w:rPr>
        <w:t>we include</w:t>
      </w:r>
      <w:r w:rsidRPr="00712B16">
        <w:rPr>
          <w:iCs/>
        </w:rPr>
        <w:t xml:space="preserve"> country-level corporate tax rate (</w:t>
      </w:r>
      <w:r w:rsidRPr="00712B16">
        <w:rPr>
          <w:i/>
          <w:iCs/>
        </w:rPr>
        <w:t>CTR</w:t>
      </w:r>
      <w:r w:rsidRPr="00712B16">
        <w:rPr>
          <w:iCs/>
        </w:rPr>
        <w:t>) to control for corporate tax rate legislated in each of the countries</w:t>
      </w:r>
      <w:r w:rsidR="006E4770" w:rsidRPr="00712B16">
        <w:rPr>
          <w:iCs/>
        </w:rPr>
        <w:t>,</w:t>
      </w:r>
      <w:r w:rsidRPr="00712B16">
        <w:rPr>
          <w:iCs/>
        </w:rPr>
        <w:t xml:space="preserve"> as </w:t>
      </w:r>
      <w:r w:rsidR="006E4770" w:rsidRPr="00712B16">
        <w:rPr>
          <w:iCs/>
        </w:rPr>
        <w:t xml:space="preserve">a </w:t>
      </w:r>
      <w:r w:rsidRPr="00712B16">
        <w:rPr>
          <w:iCs/>
        </w:rPr>
        <w:t xml:space="preserve">higher (lower) statutory corporate tax rate is projected to have more (less) negative impact on the cash flows for firms headquartered in countries that </w:t>
      </w:r>
      <w:r w:rsidR="00510E73" w:rsidRPr="00712B16">
        <w:rPr>
          <w:iCs/>
        </w:rPr>
        <w:t>commit to</w:t>
      </w:r>
      <w:r w:rsidRPr="00712B16">
        <w:rPr>
          <w:iCs/>
        </w:rPr>
        <w:t xml:space="preserve"> </w:t>
      </w:r>
      <w:r w:rsidR="0091275C" w:rsidRPr="00712B16">
        <w:rPr>
          <w:iCs/>
        </w:rPr>
        <w:t xml:space="preserve">the </w:t>
      </w:r>
      <w:r w:rsidR="005832CF" w:rsidRPr="00712B16">
        <w:rPr>
          <w:iCs/>
        </w:rPr>
        <w:t>net zero</w:t>
      </w:r>
      <w:r w:rsidRPr="00712B16">
        <w:rPr>
          <w:iCs/>
        </w:rPr>
        <w:t xml:space="preserve"> target</w:t>
      </w:r>
      <w:r w:rsidR="0091275C" w:rsidRPr="00712B16">
        <w:rPr>
          <w:iCs/>
        </w:rPr>
        <w:t>s</w:t>
      </w:r>
      <w:r w:rsidRPr="00712B16">
        <w:rPr>
          <w:iCs/>
        </w:rPr>
        <w:t>.</w:t>
      </w:r>
      <w:r w:rsidRPr="00712B16">
        <w:rPr>
          <w:lang w:val="en-US"/>
        </w:rPr>
        <w:t xml:space="preserve"> </w:t>
      </w:r>
      <w:r w:rsidR="005022D7" w:rsidRPr="00712B16">
        <w:rPr>
          <w:lang w:val="en-US"/>
        </w:rPr>
        <w:t>Following Montenegro (2021), we include a number of n</w:t>
      </w:r>
      <w:r w:rsidRPr="00712B16">
        <w:rPr>
          <w:lang w:val="en-US"/>
        </w:rPr>
        <w:t xml:space="preserve">ational governance indicators </w:t>
      </w:r>
      <w:r w:rsidR="005022D7" w:rsidRPr="00712B16">
        <w:rPr>
          <w:lang w:val="en-US"/>
        </w:rPr>
        <w:t>such as</w:t>
      </w:r>
      <w:r w:rsidRPr="00712B16">
        <w:rPr>
          <w:iCs/>
        </w:rPr>
        <w:t xml:space="preserve"> corruption control (</w:t>
      </w:r>
      <w:r w:rsidRPr="00712B16">
        <w:rPr>
          <w:i/>
        </w:rPr>
        <w:t>CORRUPT_CONTROL</w:t>
      </w:r>
      <w:r w:rsidRPr="00712B16">
        <w:rPr>
          <w:iCs/>
        </w:rPr>
        <w:t>),</w:t>
      </w:r>
      <w:r w:rsidRPr="00712B16">
        <w:rPr>
          <w:i/>
        </w:rPr>
        <w:t xml:space="preserve"> </w:t>
      </w:r>
      <w:r w:rsidRPr="00712B16">
        <w:rPr>
          <w:iCs/>
        </w:rPr>
        <w:t>government effectiveness</w:t>
      </w:r>
      <w:r w:rsidRPr="00712B16">
        <w:rPr>
          <w:i/>
        </w:rPr>
        <w:t xml:space="preserve"> </w:t>
      </w:r>
      <w:r w:rsidRPr="00712B16">
        <w:rPr>
          <w:iCs/>
        </w:rPr>
        <w:t>(</w:t>
      </w:r>
      <w:r w:rsidRPr="00712B16">
        <w:rPr>
          <w:i/>
        </w:rPr>
        <w:t>GOV_EFFECT</w:t>
      </w:r>
      <w:r w:rsidRPr="00712B16">
        <w:rPr>
          <w:iCs/>
        </w:rPr>
        <w:t>), political stability and absence of violence/terrorism</w:t>
      </w:r>
      <w:r w:rsidRPr="00712B16">
        <w:rPr>
          <w:i/>
        </w:rPr>
        <w:t xml:space="preserve"> </w:t>
      </w:r>
      <w:r w:rsidRPr="00712B16">
        <w:rPr>
          <w:iCs/>
        </w:rPr>
        <w:t>(</w:t>
      </w:r>
      <w:r w:rsidRPr="00712B16">
        <w:rPr>
          <w:i/>
        </w:rPr>
        <w:t>POL_STABILITY</w:t>
      </w:r>
      <w:r w:rsidRPr="00712B16">
        <w:rPr>
          <w:iCs/>
        </w:rPr>
        <w:t>)</w:t>
      </w:r>
      <w:r w:rsidRPr="00712B16">
        <w:rPr>
          <w:i/>
        </w:rPr>
        <w:t xml:space="preserve">, </w:t>
      </w:r>
      <w:r w:rsidRPr="00712B16">
        <w:rPr>
          <w:iCs/>
        </w:rPr>
        <w:t>regulatory quality (</w:t>
      </w:r>
      <w:r w:rsidRPr="00712B16">
        <w:rPr>
          <w:i/>
        </w:rPr>
        <w:t>REGULATE_QUAL</w:t>
      </w:r>
      <w:r w:rsidRPr="00712B16">
        <w:rPr>
          <w:iCs/>
        </w:rPr>
        <w:t>),</w:t>
      </w:r>
      <w:r w:rsidRPr="00712B16">
        <w:rPr>
          <w:i/>
        </w:rPr>
        <w:t xml:space="preserve"> </w:t>
      </w:r>
      <w:r w:rsidRPr="00712B16">
        <w:rPr>
          <w:iCs/>
        </w:rPr>
        <w:t>rule of law</w:t>
      </w:r>
      <w:r w:rsidRPr="00712B16">
        <w:rPr>
          <w:i/>
        </w:rPr>
        <w:t xml:space="preserve"> </w:t>
      </w:r>
      <w:r w:rsidRPr="00712B16">
        <w:rPr>
          <w:iCs/>
        </w:rPr>
        <w:t>(</w:t>
      </w:r>
      <w:r w:rsidRPr="00712B16">
        <w:rPr>
          <w:i/>
        </w:rPr>
        <w:t>RULE_LAW</w:t>
      </w:r>
      <w:r w:rsidRPr="00712B16">
        <w:rPr>
          <w:iCs/>
        </w:rPr>
        <w:t>), and</w:t>
      </w:r>
      <w:r w:rsidRPr="00712B16">
        <w:rPr>
          <w:i/>
        </w:rPr>
        <w:t xml:space="preserve"> </w:t>
      </w:r>
      <w:r w:rsidRPr="00712B16">
        <w:rPr>
          <w:iCs/>
        </w:rPr>
        <w:t>voice and accountability</w:t>
      </w:r>
      <w:r w:rsidRPr="00712B16">
        <w:rPr>
          <w:i/>
        </w:rPr>
        <w:t xml:space="preserve"> </w:t>
      </w:r>
      <w:r w:rsidRPr="00712B16">
        <w:rPr>
          <w:iCs/>
        </w:rPr>
        <w:t>(</w:t>
      </w:r>
      <w:r w:rsidRPr="00712B16">
        <w:rPr>
          <w:i/>
        </w:rPr>
        <w:t>VOICE_ACCOUNT</w:t>
      </w:r>
      <w:r w:rsidRPr="00712B16">
        <w:rPr>
          <w:iCs/>
        </w:rPr>
        <w:t>)</w:t>
      </w:r>
      <w:r w:rsidRPr="00712B16">
        <w:rPr>
          <w:i/>
        </w:rPr>
        <w:t>.</w:t>
      </w:r>
      <w:r w:rsidRPr="00712B16">
        <w:t xml:space="preserve"> </w:t>
      </w:r>
      <w:r w:rsidRPr="00712B16">
        <w:rPr>
          <w:iCs/>
        </w:rPr>
        <w:t xml:space="preserve">The models also </w:t>
      </w:r>
      <w:r w:rsidRPr="00712B16">
        <w:rPr>
          <w:lang w:val="en-US"/>
        </w:rPr>
        <w:t>control for climate risk (</w:t>
      </w:r>
      <w:r w:rsidRPr="00712B16">
        <w:rPr>
          <w:i/>
          <w:iCs/>
        </w:rPr>
        <w:t xml:space="preserve">CLIMATE_RISK) </w:t>
      </w:r>
      <w:r w:rsidRPr="00712B16">
        <w:rPr>
          <w:iCs/>
        </w:rPr>
        <w:t>and CO2 emission per capita (</w:t>
      </w:r>
      <w:r w:rsidRPr="00712B16">
        <w:rPr>
          <w:i/>
          <w:iCs/>
        </w:rPr>
        <w:t>CO2_PER_CAPITA</w:t>
      </w:r>
      <w:r w:rsidRPr="00712B16">
        <w:rPr>
          <w:iCs/>
        </w:rPr>
        <w:t>)</w:t>
      </w:r>
      <w:r w:rsidRPr="00712B16">
        <w:rPr>
          <w:i/>
          <w:iCs/>
        </w:rPr>
        <w:t>.</w:t>
      </w:r>
      <w:r w:rsidRPr="00712B16">
        <w:t xml:space="preserve"> To control for the effect of</w:t>
      </w:r>
      <w:r w:rsidR="0091275C" w:rsidRPr="00712B16">
        <w:t xml:space="preserve"> </w:t>
      </w:r>
      <w:r w:rsidRPr="00712B16">
        <w:t xml:space="preserve">COVID-19, </w:t>
      </w:r>
      <w:r w:rsidR="00126AFB" w:rsidRPr="00712B16">
        <w:t>we employ</w:t>
      </w:r>
      <w:r w:rsidRPr="00712B16">
        <w:t xml:space="preserve"> a categorical </w:t>
      </w:r>
      <w:r w:rsidRPr="00712B16">
        <w:lastRenderedPageBreak/>
        <w:t xml:space="preserve">variable </w:t>
      </w:r>
      <w:r w:rsidRPr="00712B16">
        <w:rPr>
          <w:i/>
          <w:iCs/>
        </w:rPr>
        <w:t>COVID19</w:t>
      </w:r>
      <w:r w:rsidRPr="00712B16">
        <w:t xml:space="preserve">, coded 1 if the financial year of observation is 2020 or 2021, and 0 otherwise. All variables are defined </w:t>
      </w:r>
      <w:r w:rsidR="00B27F8B" w:rsidRPr="00712B16">
        <w:t>in Supplementary Material A</w:t>
      </w:r>
      <w:r w:rsidRPr="00712B16">
        <w:t>.</w:t>
      </w:r>
    </w:p>
    <w:p w14:paraId="2A033C87" w14:textId="77777777" w:rsidR="00E87FA8" w:rsidRPr="00712B16" w:rsidRDefault="00E87FA8">
      <w:pPr>
        <w:pStyle w:val="1"/>
        <w:spacing w:before="0" w:beforeAutospacing="0" w:after="0" w:line="480" w:lineRule="auto"/>
        <w:jc w:val="both"/>
      </w:pPr>
    </w:p>
    <w:p w14:paraId="1CACD207" w14:textId="2008F7F5" w:rsidR="009032E8" w:rsidRPr="00712B16" w:rsidRDefault="00183F61">
      <w:pPr>
        <w:pStyle w:val="Heading3"/>
        <w:spacing w:line="480" w:lineRule="auto"/>
        <w:jc w:val="both"/>
        <w:rPr>
          <w:rFonts w:ascii="Times New Roman" w:hAnsi="Times New Roman" w:cs="Times New Roman"/>
          <w:i/>
          <w:iCs/>
          <w:color w:val="auto"/>
        </w:rPr>
      </w:pPr>
      <w:bookmarkStart w:id="38" w:name="_Toc118466041"/>
      <w:bookmarkStart w:id="39" w:name="_Hlk118978019"/>
      <w:r w:rsidRPr="00712B16">
        <w:rPr>
          <w:rFonts w:ascii="Times New Roman" w:hAnsi="Times New Roman" w:cs="Times New Roman"/>
          <w:i/>
          <w:iCs/>
          <w:color w:val="auto"/>
        </w:rPr>
        <w:t>3.5.2 Firm-level control variables</w:t>
      </w:r>
      <w:bookmarkEnd w:id="38"/>
    </w:p>
    <w:p w14:paraId="2F225E9C" w14:textId="00FD7FEB" w:rsidR="00322F55" w:rsidRPr="00712B16" w:rsidRDefault="00322F55" w:rsidP="005E073B">
      <w:pPr>
        <w:pStyle w:val="1"/>
        <w:spacing w:before="0" w:beforeAutospacing="0" w:after="0" w:line="480" w:lineRule="auto"/>
        <w:jc w:val="both"/>
      </w:pPr>
      <w:bookmarkStart w:id="40" w:name="_Hlk118978026"/>
      <w:bookmarkEnd w:id="39"/>
      <w:r w:rsidRPr="00712B16">
        <w:rPr>
          <w:iCs/>
        </w:rPr>
        <w:t xml:space="preserve">We control the regression model with firm-level variables. </w:t>
      </w:r>
      <w:r w:rsidR="00F45CDC" w:rsidRPr="00712B16">
        <w:rPr>
          <w:iCs/>
        </w:rPr>
        <w:t>Following</w:t>
      </w:r>
      <w:r w:rsidRPr="00712B16">
        <w:rPr>
          <w:iCs/>
        </w:rPr>
        <w:t xml:space="preserve"> </w:t>
      </w:r>
      <w:r w:rsidRPr="00712B16">
        <w:t xml:space="preserve">Achleitner </w:t>
      </w:r>
      <w:r w:rsidRPr="00712B16">
        <w:rPr>
          <w:i/>
        </w:rPr>
        <w:t>et al</w:t>
      </w:r>
      <w:r w:rsidRPr="00712B16">
        <w:t>. (2014) and</w:t>
      </w:r>
      <w:r w:rsidRPr="00712B16">
        <w:rPr>
          <w:iCs/>
        </w:rPr>
        <w:t xml:space="preserve"> Ahmed </w:t>
      </w:r>
      <w:r w:rsidRPr="00712B16">
        <w:rPr>
          <w:i/>
          <w:iCs/>
        </w:rPr>
        <w:t>et al</w:t>
      </w:r>
      <w:r w:rsidRPr="00712B16">
        <w:rPr>
          <w:iCs/>
        </w:rPr>
        <w:t xml:space="preserve">. (2022), we include </w:t>
      </w:r>
      <w:r w:rsidR="006E4770" w:rsidRPr="00712B16">
        <w:rPr>
          <w:iCs/>
        </w:rPr>
        <w:t xml:space="preserve">the </w:t>
      </w:r>
      <w:r w:rsidRPr="00712B16">
        <w:t>log of total assets</w:t>
      </w:r>
      <w:r w:rsidRPr="00712B16">
        <w:rPr>
          <w:i/>
          <w:iCs/>
        </w:rPr>
        <w:t xml:space="preserve"> </w:t>
      </w:r>
      <w:r w:rsidRPr="00712B16">
        <w:t>(</w:t>
      </w:r>
      <w:r w:rsidRPr="00712B16">
        <w:rPr>
          <w:i/>
          <w:iCs/>
        </w:rPr>
        <w:t>SIZE</w:t>
      </w:r>
      <w:r w:rsidRPr="00712B16">
        <w:t>), leverage</w:t>
      </w:r>
      <w:r w:rsidRPr="00712B16">
        <w:rPr>
          <w:i/>
          <w:iCs/>
        </w:rPr>
        <w:t xml:space="preserve"> </w:t>
      </w:r>
      <w:r w:rsidRPr="00712B16">
        <w:t>(</w:t>
      </w:r>
      <w:r w:rsidRPr="00712B16">
        <w:rPr>
          <w:i/>
          <w:iCs/>
        </w:rPr>
        <w:t>LEV</w:t>
      </w:r>
      <w:r w:rsidRPr="00712B16">
        <w:t>)</w:t>
      </w:r>
      <w:r w:rsidR="006E4770" w:rsidRPr="00712B16">
        <w:t>,</w:t>
      </w:r>
      <w:r w:rsidRPr="00712B16">
        <w:t xml:space="preserve"> and return on assets</w:t>
      </w:r>
      <w:r w:rsidRPr="00712B16">
        <w:rPr>
          <w:i/>
          <w:iCs/>
        </w:rPr>
        <w:t xml:space="preserve"> </w:t>
      </w:r>
      <w:r w:rsidRPr="00712B16">
        <w:t>(</w:t>
      </w:r>
      <w:r w:rsidRPr="00712B16">
        <w:rPr>
          <w:i/>
          <w:iCs/>
        </w:rPr>
        <w:t>ROA</w:t>
      </w:r>
      <w:r w:rsidRPr="00712B16">
        <w:t xml:space="preserve">) as control variables. We also include other control variables that </w:t>
      </w:r>
      <w:r w:rsidRPr="00712B16">
        <w:rPr>
          <w:iCs/>
        </w:rPr>
        <w:t xml:space="preserve">may affect the association between the independent variables of interest and the dependent variables </w:t>
      </w:r>
      <w:r w:rsidRPr="00712B16">
        <w:t>such as cash and cash equivalents</w:t>
      </w:r>
      <w:r w:rsidRPr="00712B16">
        <w:rPr>
          <w:i/>
          <w:iCs/>
        </w:rPr>
        <w:t xml:space="preserve"> </w:t>
      </w:r>
      <w:r w:rsidRPr="00712B16">
        <w:t>(</w:t>
      </w:r>
      <w:r w:rsidRPr="00712B16">
        <w:rPr>
          <w:i/>
          <w:iCs/>
        </w:rPr>
        <w:t>CASH</w:t>
      </w:r>
      <w:r w:rsidRPr="00712B16">
        <w:t>), intangible assets</w:t>
      </w:r>
      <w:r w:rsidRPr="00712B16">
        <w:rPr>
          <w:i/>
          <w:iCs/>
        </w:rPr>
        <w:t xml:space="preserve"> </w:t>
      </w:r>
      <w:r w:rsidRPr="00712B16">
        <w:t>(</w:t>
      </w:r>
      <w:r w:rsidRPr="00712B16">
        <w:rPr>
          <w:i/>
          <w:iCs/>
        </w:rPr>
        <w:t>INTANG</w:t>
      </w:r>
      <w:r w:rsidRPr="00712B16">
        <w:t xml:space="preserve">), whether </w:t>
      </w:r>
      <w:r w:rsidR="0091275C" w:rsidRPr="00712B16">
        <w:t xml:space="preserve">a </w:t>
      </w:r>
      <w:r w:rsidRPr="00712B16">
        <w:t>firm ha</w:t>
      </w:r>
      <w:r w:rsidR="0091275C" w:rsidRPr="00712B16">
        <w:t>s</w:t>
      </w:r>
      <w:r w:rsidRPr="00712B16">
        <w:t xml:space="preserve"> foreign exchange transactions </w:t>
      </w:r>
      <w:r w:rsidRPr="00712B16">
        <w:rPr>
          <w:iCs/>
        </w:rPr>
        <w:t>(</w:t>
      </w:r>
      <w:r w:rsidRPr="00712B16">
        <w:rPr>
          <w:i/>
          <w:iCs/>
        </w:rPr>
        <w:t>FOREIGN</w:t>
      </w:r>
      <w:r w:rsidRPr="00712B16">
        <w:rPr>
          <w:iCs/>
        </w:rPr>
        <w:t>)</w:t>
      </w:r>
      <w:r w:rsidRPr="00712B16">
        <w:rPr>
          <w:i/>
          <w:iCs/>
        </w:rPr>
        <w:t>,</w:t>
      </w:r>
      <w:r w:rsidRPr="00712B16">
        <w:t xml:space="preserve"> property, plant, and equipment (</w:t>
      </w:r>
      <w:r w:rsidRPr="00712B16">
        <w:rPr>
          <w:i/>
        </w:rPr>
        <w:t>PPE</w:t>
      </w:r>
      <w:r w:rsidRPr="00712B16">
        <w:t>),</w:t>
      </w:r>
      <w:r w:rsidRPr="00712B16">
        <w:rPr>
          <w:i/>
          <w:iCs/>
        </w:rPr>
        <w:t xml:space="preserve"> </w:t>
      </w:r>
      <w:r w:rsidRPr="00712B16">
        <w:t>research and development expense (</w:t>
      </w:r>
      <w:r w:rsidRPr="00712B16">
        <w:rPr>
          <w:i/>
          <w:iCs/>
        </w:rPr>
        <w:t>R&amp;D</w:t>
      </w:r>
      <w:r w:rsidRPr="00712B16">
        <w:t>), selling, general, and administrative expenses</w:t>
      </w:r>
      <w:r w:rsidRPr="00712B16">
        <w:rPr>
          <w:i/>
          <w:iCs/>
        </w:rPr>
        <w:t xml:space="preserve"> </w:t>
      </w:r>
      <w:r w:rsidRPr="00712B16">
        <w:t>(</w:t>
      </w:r>
      <w:r w:rsidRPr="00712B16">
        <w:rPr>
          <w:i/>
          <w:iCs/>
        </w:rPr>
        <w:t>SGA</w:t>
      </w:r>
      <w:r w:rsidRPr="00712B16">
        <w:t>), and capital expenditures</w:t>
      </w:r>
      <w:r w:rsidRPr="00712B16">
        <w:rPr>
          <w:i/>
          <w:iCs/>
        </w:rPr>
        <w:t xml:space="preserve"> </w:t>
      </w:r>
      <w:r w:rsidRPr="00712B16">
        <w:t>(</w:t>
      </w:r>
      <w:r w:rsidRPr="00712B16">
        <w:rPr>
          <w:i/>
          <w:iCs/>
        </w:rPr>
        <w:t>CAPEX</w:t>
      </w:r>
      <w:r w:rsidRPr="00712B16">
        <w:t xml:space="preserve">). We define all these variables </w:t>
      </w:r>
      <w:r w:rsidR="00B27F8B" w:rsidRPr="00712B16">
        <w:t>in Supplementary Material A</w:t>
      </w:r>
      <w:r w:rsidRPr="00712B16">
        <w:t>.</w:t>
      </w:r>
    </w:p>
    <w:p w14:paraId="2E6DC850" w14:textId="77777777" w:rsidR="005E073B" w:rsidRPr="00712B16" w:rsidRDefault="005E073B" w:rsidP="005E073B">
      <w:pPr>
        <w:pStyle w:val="1"/>
        <w:spacing w:before="0" w:beforeAutospacing="0" w:after="0" w:line="480" w:lineRule="auto"/>
        <w:jc w:val="both"/>
      </w:pPr>
    </w:p>
    <w:p w14:paraId="449758D9" w14:textId="618F81B5" w:rsidR="009032E8" w:rsidRPr="00712B16" w:rsidRDefault="00183F61" w:rsidP="005E073B">
      <w:pPr>
        <w:pStyle w:val="Heading1"/>
        <w:spacing w:before="0" w:line="480" w:lineRule="auto"/>
        <w:rPr>
          <w:rFonts w:ascii="Times New Roman" w:hAnsi="Times New Roman" w:cs="Times New Roman"/>
          <w:b/>
          <w:bCs/>
          <w:color w:val="auto"/>
          <w:sz w:val="24"/>
          <w:szCs w:val="24"/>
        </w:rPr>
      </w:pPr>
      <w:r w:rsidRPr="00712B16">
        <w:rPr>
          <w:rFonts w:ascii="Times New Roman" w:hAnsi="Times New Roman" w:cs="Times New Roman"/>
          <w:b/>
          <w:bCs/>
          <w:color w:val="auto"/>
          <w:sz w:val="24"/>
          <w:szCs w:val="24"/>
        </w:rPr>
        <w:t xml:space="preserve">4. Empirical results </w:t>
      </w:r>
    </w:p>
    <w:p w14:paraId="7D385146" w14:textId="3279F78A" w:rsidR="009032E8" w:rsidRPr="00712B16" w:rsidRDefault="00183F61" w:rsidP="005E073B">
      <w:pPr>
        <w:pStyle w:val="Heading2"/>
        <w:spacing w:before="0" w:line="480" w:lineRule="auto"/>
        <w:jc w:val="both"/>
        <w:rPr>
          <w:rFonts w:cs="Times New Roman"/>
          <w:b w:val="0"/>
          <w:bCs/>
          <w:i/>
          <w:iCs/>
          <w:szCs w:val="24"/>
        </w:rPr>
      </w:pPr>
      <w:r w:rsidRPr="00712B16">
        <w:rPr>
          <w:rFonts w:cs="Times New Roman"/>
          <w:b w:val="0"/>
          <w:bCs/>
          <w:i/>
          <w:iCs/>
          <w:szCs w:val="24"/>
        </w:rPr>
        <w:t>4.1 Descriptive statistics</w:t>
      </w:r>
    </w:p>
    <w:bookmarkEnd w:id="40"/>
    <w:p w14:paraId="7492DF77" w14:textId="0D850EDD" w:rsidR="009032E8" w:rsidRPr="00712B16" w:rsidRDefault="00E051A3" w:rsidP="005E073B">
      <w:pPr>
        <w:spacing w:after="0" w:line="480" w:lineRule="auto"/>
        <w:jc w:val="both"/>
        <w:rPr>
          <w:rFonts w:ascii="Times New Roman" w:hAnsi="Times New Roman" w:cs="Times New Roman"/>
          <w:sz w:val="24"/>
          <w:szCs w:val="24"/>
        </w:rPr>
      </w:pPr>
      <w:r w:rsidRPr="00712B16">
        <w:rPr>
          <w:rFonts w:ascii="Times New Roman" w:hAnsi="Times New Roman" w:cs="Times New Roman"/>
          <w:sz w:val="24"/>
          <w:szCs w:val="24"/>
        </w:rPr>
        <w:t>Table 2 presents the descriptive statistics for the REM model based on the full sample. The mean value for country</w:t>
      </w:r>
      <w:r w:rsidR="007B0360" w:rsidRPr="00712B16">
        <w:rPr>
          <w:rFonts w:ascii="Times New Roman" w:hAnsi="Times New Roman" w:cs="Times New Roman"/>
          <w:sz w:val="24"/>
          <w:szCs w:val="24"/>
        </w:rPr>
        <w:t>-</w:t>
      </w:r>
      <w:r w:rsidRPr="00712B16">
        <w:rPr>
          <w:rFonts w:ascii="Times New Roman" w:hAnsi="Times New Roman" w:cs="Times New Roman"/>
          <w:sz w:val="24"/>
          <w:szCs w:val="24"/>
        </w:rPr>
        <w:t xml:space="preserve">level target </w:t>
      </w:r>
      <w:r w:rsidR="006A5F05" w:rsidRPr="00712B16">
        <w:rPr>
          <w:rFonts w:ascii="Times New Roman" w:hAnsi="Times New Roman" w:cs="Times New Roman"/>
          <w:sz w:val="24"/>
          <w:szCs w:val="24"/>
        </w:rPr>
        <w:t>commitment</w:t>
      </w:r>
      <w:r w:rsidRPr="00712B16">
        <w:rPr>
          <w:rFonts w:ascii="Times New Roman" w:hAnsi="Times New Roman" w:cs="Times New Roman"/>
          <w:sz w:val="24"/>
          <w:szCs w:val="24"/>
        </w:rPr>
        <w:t xml:space="preserve"> (</w:t>
      </w:r>
      <w:r w:rsidRPr="00712B16">
        <w:rPr>
          <w:rFonts w:ascii="Times New Roman" w:hAnsi="Times New Roman" w:cs="Times New Roman"/>
          <w:i/>
          <w:iCs/>
          <w:sz w:val="24"/>
          <w:szCs w:val="24"/>
        </w:rPr>
        <w:t>COUNTRY_NETZERO</w:t>
      </w:r>
      <w:r w:rsidRPr="00712B16">
        <w:rPr>
          <w:rFonts w:ascii="Times New Roman" w:hAnsi="Times New Roman" w:cs="Times New Roman"/>
          <w:sz w:val="24"/>
          <w:szCs w:val="24"/>
        </w:rPr>
        <w:t xml:space="preserve">) is 0.15, suggesting </w:t>
      </w:r>
      <w:r w:rsidR="009A5F29" w:rsidRPr="00712B16">
        <w:rPr>
          <w:rFonts w:ascii="Times New Roman" w:hAnsi="Times New Roman" w:cs="Times New Roman"/>
          <w:sz w:val="24"/>
          <w:szCs w:val="24"/>
        </w:rPr>
        <w:t xml:space="preserve">that </w:t>
      </w:r>
      <w:r w:rsidRPr="00712B16">
        <w:rPr>
          <w:rFonts w:ascii="Times New Roman" w:hAnsi="Times New Roman" w:cs="Times New Roman"/>
          <w:sz w:val="24"/>
          <w:szCs w:val="24"/>
        </w:rPr>
        <w:t xml:space="preserve">15% </w:t>
      </w:r>
      <w:r w:rsidR="009A5F29" w:rsidRPr="00712B16">
        <w:rPr>
          <w:rFonts w:ascii="Times New Roman" w:hAnsi="Times New Roman" w:cs="Times New Roman"/>
          <w:sz w:val="24"/>
          <w:szCs w:val="24"/>
        </w:rPr>
        <w:t xml:space="preserve">of </w:t>
      </w:r>
      <w:r w:rsidRPr="00712B16">
        <w:rPr>
          <w:rFonts w:ascii="Times New Roman" w:hAnsi="Times New Roman" w:cs="Times New Roman"/>
          <w:sz w:val="24"/>
          <w:szCs w:val="24"/>
        </w:rPr>
        <w:t xml:space="preserve">observations in the sample are headquartered in a country that </w:t>
      </w:r>
      <w:r w:rsidR="00510E73" w:rsidRPr="00712B16">
        <w:rPr>
          <w:rFonts w:ascii="Times New Roman" w:hAnsi="Times New Roman" w:cs="Times New Roman"/>
          <w:sz w:val="24"/>
          <w:szCs w:val="24"/>
        </w:rPr>
        <w:t>committed to</w:t>
      </w:r>
      <w:r w:rsidRPr="00712B16">
        <w:rPr>
          <w:rFonts w:ascii="Times New Roman" w:hAnsi="Times New Roman" w:cs="Times New Roman"/>
          <w:sz w:val="24"/>
          <w:szCs w:val="24"/>
        </w:rPr>
        <w:t xml:space="preserve"> </w:t>
      </w:r>
      <w:r w:rsidR="009A5F29" w:rsidRPr="00712B16">
        <w:rPr>
          <w:rFonts w:ascii="Times New Roman" w:hAnsi="Times New Roman" w:cs="Times New Roman"/>
          <w:sz w:val="24"/>
          <w:szCs w:val="24"/>
        </w:rPr>
        <w:t xml:space="preserve">a </w:t>
      </w:r>
      <w:r w:rsidR="005832CF" w:rsidRPr="00712B16">
        <w:rPr>
          <w:rFonts w:ascii="Times New Roman" w:hAnsi="Times New Roman" w:cs="Times New Roman"/>
          <w:sz w:val="24"/>
          <w:szCs w:val="24"/>
        </w:rPr>
        <w:t>net zero</w:t>
      </w:r>
      <w:r w:rsidRPr="00712B16">
        <w:rPr>
          <w:rFonts w:ascii="Times New Roman" w:hAnsi="Times New Roman" w:cs="Times New Roman"/>
          <w:sz w:val="24"/>
          <w:szCs w:val="24"/>
        </w:rPr>
        <w:t xml:space="preserve"> target. The mean (median) value for </w:t>
      </w:r>
      <w:r w:rsidRPr="00712B16">
        <w:rPr>
          <w:rFonts w:ascii="Times New Roman" w:hAnsi="Times New Roman" w:cs="Times New Roman"/>
          <w:i/>
          <w:iCs/>
          <w:sz w:val="24"/>
          <w:szCs w:val="24"/>
        </w:rPr>
        <w:t>REM_CFO</w:t>
      </w:r>
      <w:r w:rsidRPr="00712B16">
        <w:rPr>
          <w:rFonts w:ascii="Times New Roman" w:hAnsi="Times New Roman" w:cs="Times New Roman"/>
          <w:sz w:val="24"/>
          <w:szCs w:val="24"/>
        </w:rPr>
        <w:t xml:space="preserve"> is 0.142 (0.077), for </w:t>
      </w:r>
      <w:r w:rsidRPr="00712B16">
        <w:rPr>
          <w:rFonts w:ascii="Times New Roman" w:hAnsi="Times New Roman" w:cs="Times New Roman"/>
          <w:i/>
          <w:iCs/>
          <w:sz w:val="24"/>
          <w:szCs w:val="24"/>
        </w:rPr>
        <w:t>REM_DISEXP</w:t>
      </w:r>
      <w:r w:rsidRPr="00712B16">
        <w:rPr>
          <w:rFonts w:ascii="Times New Roman" w:hAnsi="Times New Roman" w:cs="Times New Roman"/>
          <w:sz w:val="24"/>
          <w:szCs w:val="24"/>
        </w:rPr>
        <w:t xml:space="preserve"> is 0.146 (0.080), and for </w:t>
      </w:r>
      <w:r w:rsidRPr="00712B16">
        <w:rPr>
          <w:rFonts w:ascii="Times New Roman" w:hAnsi="Times New Roman" w:cs="Times New Roman"/>
          <w:i/>
          <w:iCs/>
          <w:sz w:val="24"/>
          <w:szCs w:val="24"/>
        </w:rPr>
        <w:t xml:space="preserve">REM_PRODCOST </w:t>
      </w:r>
      <w:r w:rsidRPr="00712B16">
        <w:rPr>
          <w:rFonts w:ascii="Times New Roman" w:hAnsi="Times New Roman" w:cs="Times New Roman"/>
          <w:sz w:val="24"/>
          <w:szCs w:val="24"/>
        </w:rPr>
        <w:t xml:space="preserve">is 0.138 (0.089). Further, the mean (median) value of </w:t>
      </w:r>
      <w:r w:rsidRPr="00712B16">
        <w:rPr>
          <w:rFonts w:ascii="Times New Roman" w:hAnsi="Times New Roman" w:cs="Times New Roman"/>
          <w:i/>
          <w:iCs/>
          <w:sz w:val="24"/>
          <w:szCs w:val="24"/>
        </w:rPr>
        <w:t xml:space="preserve">REM_SUM, </w:t>
      </w:r>
      <w:r w:rsidRPr="00712B16">
        <w:rPr>
          <w:rFonts w:ascii="Times New Roman" w:hAnsi="Times New Roman" w:cs="Times New Roman"/>
          <w:iCs/>
          <w:sz w:val="24"/>
          <w:szCs w:val="24"/>
        </w:rPr>
        <w:t>the sum of three individual measures of REM,</w:t>
      </w:r>
      <w:r w:rsidRPr="00712B16">
        <w:rPr>
          <w:rFonts w:ascii="Times New Roman" w:hAnsi="Times New Roman" w:cs="Times New Roman"/>
          <w:sz w:val="24"/>
          <w:szCs w:val="24"/>
        </w:rPr>
        <w:t xml:space="preserve"> is 0.427 (0.299).</w:t>
      </w:r>
      <w:r w:rsidR="004A0825" w:rsidRPr="00712B16">
        <w:rPr>
          <w:rStyle w:val="FootnoteReference"/>
          <w:rFonts w:ascii="Times New Roman" w:hAnsi="Times New Roman" w:cs="Times New Roman"/>
          <w:sz w:val="24"/>
          <w:szCs w:val="24"/>
        </w:rPr>
        <w:footnoteReference w:id="9"/>
      </w:r>
    </w:p>
    <w:p w14:paraId="4193CDF1" w14:textId="6281C879" w:rsidR="009032E8" w:rsidRPr="00712B16" w:rsidRDefault="00E051A3">
      <w:pPr>
        <w:spacing w:after="0" w:line="480" w:lineRule="auto"/>
        <w:jc w:val="center"/>
        <w:rPr>
          <w:rFonts w:ascii="Times New Roman" w:hAnsi="Times New Roman" w:cs="Times New Roman"/>
          <w:sz w:val="24"/>
          <w:szCs w:val="24"/>
        </w:rPr>
      </w:pPr>
      <w:r w:rsidRPr="00712B16">
        <w:rPr>
          <w:rFonts w:ascii="Times New Roman" w:hAnsi="Times New Roman" w:cs="Times New Roman"/>
          <w:sz w:val="24"/>
          <w:szCs w:val="24"/>
        </w:rPr>
        <w:lastRenderedPageBreak/>
        <w:t>[Insert Table 2 about here]</w:t>
      </w:r>
    </w:p>
    <w:p w14:paraId="6309F5F0" w14:textId="77777777" w:rsidR="00E87FA8" w:rsidRPr="00712B16" w:rsidRDefault="00E87FA8">
      <w:pPr>
        <w:spacing w:after="0" w:line="480" w:lineRule="auto"/>
        <w:jc w:val="center"/>
        <w:rPr>
          <w:rFonts w:ascii="Times New Roman" w:hAnsi="Times New Roman" w:cs="Times New Roman"/>
          <w:sz w:val="24"/>
          <w:szCs w:val="24"/>
        </w:rPr>
      </w:pPr>
    </w:p>
    <w:p w14:paraId="36D332DD" w14:textId="12D9DFBA" w:rsidR="009032E8" w:rsidRPr="00712B16" w:rsidRDefault="00183F61">
      <w:pPr>
        <w:pStyle w:val="Heading2"/>
        <w:spacing w:after="240"/>
        <w:jc w:val="both"/>
        <w:rPr>
          <w:rFonts w:cs="Times New Roman"/>
          <w:b w:val="0"/>
          <w:bCs/>
          <w:i/>
          <w:szCs w:val="24"/>
        </w:rPr>
      </w:pPr>
      <w:bookmarkStart w:id="41" w:name="_Toc118466044"/>
      <w:bookmarkStart w:id="42" w:name="_Hlk118978042"/>
      <w:r w:rsidRPr="00712B16">
        <w:rPr>
          <w:rFonts w:cs="Times New Roman"/>
          <w:b w:val="0"/>
          <w:bCs/>
          <w:i/>
          <w:szCs w:val="24"/>
        </w:rPr>
        <w:t>4.</w:t>
      </w:r>
      <w:r w:rsidR="006A10ED" w:rsidRPr="00712B16">
        <w:rPr>
          <w:rFonts w:cs="Times New Roman"/>
          <w:b w:val="0"/>
          <w:bCs/>
          <w:i/>
          <w:szCs w:val="24"/>
        </w:rPr>
        <w:t>2</w:t>
      </w:r>
      <w:r w:rsidRPr="00712B16">
        <w:rPr>
          <w:rFonts w:cs="Times New Roman"/>
          <w:b w:val="0"/>
          <w:bCs/>
          <w:i/>
          <w:szCs w:val="24"/>
        </w:rPr>
        <w:t xml:space="preserve"> Correlation analyses</w:t>
      </w:r>
      <w:bookmarkEnd w:id="41"/>
    </w:p>
    <w:bookmarkEnd w:id="42"/>
    <w:p w14:paraId="5F53183B" w14:textId="00706003" w:rsidR="009032E8" w:rsidRPr="00712B16" w:rsidRDefault="00E051A3">
      <w:pPr>
        <w:spacing w:after="0" w:line="480" w:lineRule="auto"/>
        <w:jc w:val="both"/>
        <w:rPr>
          <w:rFonts w:ascii="Times New Roman" w:hAnsi="Times New Roman" w:cs="Times New Roman"/>
          <w:sz w:val="24"/>
          <w:szCs w:val="24"/>
        </w:rPr>
      </w:pPr>
      <w:r w:rsidRPr="00712B16">
        <w:rPr>
          <w:rFonts w:ascii="Times New Roman" w:hAnsi="Times New Roman" w:cs="Times New Roman"/>
          <w:sz w:val="24"/>
          <w:szCs w:val="24"/>
        </w:rPr>
        <w:t xml:space="preserve">Table </w:t>
      </w:r>
      <w:r w:rsidR="006271C1" w:rsidRPr="00712B16">
        <w:rPr>
          <w:rFonts w:ascii="Times New Roman" w:hAnsi="Times New Roman" w:cs="Times New Roman"/>
          <w:sz w:val="24"/>
          <w:szCs w:val="24"/>
        </w:rPr>
        <w:t>3</w:t>
      </w:r>
      <w:r w:rsidRPr="00712B16">
        <w:rPr>
          <w:rFonts w:ascii="Times New Roman" w:hAnsi="Times New Roman" w:cs="Times New Roman"/>
          <w:sz w:val="24"/>
          <w:szCs w:val="24"/>
        </w:rPr>
        <w:t xml:space="preserve"> presents the Pearson correlation matrix based on </w:t>
      </w:r>
      <w:r w:rsidR="006E4770" w:rsidRPr="00712B16">
        <w:rPr>
          <w:rFonts w:ascii="Times New Roman" w:hAnsi="Times New Roman" w:cs="Times New Roman"/>
          <w:sz w:val="24"/>
          <w:szCs w:val="24"/>
        </w:rPr>
        <w:t xml:space="preserve">the </w:t>
      </w:r>
      <w:r w:rsidRPr="00712B16">
        <w:rPr>
          <w:rFonts w:ascii="Times New Roman" w:hAnsi="Times New Roman" w:cs="Times New Roman"/>
          <w:sz w:val="24"/>
          <w:szCs w:val="24"/>
        </w:rPr>
        <w:t xml:space="preserve">REM model. </w:t>
      </w:r>
      <w:r w:rsidRPr="00712B16">
        <w:rPr>
          <w:rFonts w:ascii="Times New Roman" w:hAnsi="Times New Roman" w:cs="Times New Roman"/>
          <w:i/>
          <w:iCs/>
          <w:sz w:val="24"/>
          <w:szCs w:val="24"/>
        </w:rPr>
        <w:t>COUNTRY_NETZERO</w:t>
      </w:r>
      <w:r w:rsidRPr="00712B16">
        <w:rPr>
          <w:rFonts w:ascii="Times New Roman" w:hAnsi="Times New Roman" w:cs="Times New Roman"/>
          <w:sz w:val="24"/>
          <w:szCs w:val="24"/>
        </w:rPr>
        <w:t xml:space="preserve"> is significantly positively correlated with </w:t>
      </w:r>
      <w:r w:rsidRPr="00712B16">
        <w:rPr>
          <w:rFonts w:ascii="Times New Roman" w:hAnsi="Times New Roman" w:cs="Times New Roman"/>
          <w:i/>
          <w:iCs/>
          <w:sz w:val="24"/>
          <w:szCs w:val="24"/>
        </w:rPr>
        <w:t>REM_DISEX</w:t>
      </w:r>
      <w:r w:rsidRPr="00712B16">
        <w:rPr>
          <w:rFonts w:ascii="Times New Roman" w:hAnsi="Times New Roman" w:cs="Times New Roman"/>
          <w:sz w:val="24"/>
          <w:szCs w:val="24"/>
        </w:rPr>
        <w:t xml:space="preserve">P (coefficient=0.06, p-value&lt;0.001), </w:t>
      </w:r>
      <w:r w:rsidRPr="00712B16">
        <w:rPr>
          <w:rFonts w:ascii="Times New Roman" w:hAnsi="Times New Roman" w:cs="Times New Roman"/>
          <w:i/>
          <w:iCs/>
          <w:sz w:val="24"/>
          <w:szCs w:val="24"/>
        </w:rPr>
        <w:t>REM_PRODCOST</w:t>
      </w:r>
      <w:r w:rsidRPr="00712B16">
        <w:rPr>
          <w:rFonts w:ascii="Times New Roman" w:hAnsi="Times New Roman" w:cs="Times New Roman"/>
          <w:sz w:val="24"/>
          <w:szCs w:val="24"/>
        </w:rPr>
        <w:t xml:space="preserve"> (coefficient=0.02, p-value&lt;0.001), and </w:t>
      </w:r>
      <w:r w:rsidRPr="00712B16">
        <w:rPr>
          <w:rFonts w:ascii="Times New Roman" w:hAnsi="Times New Roman" w:cs="Times New Roman"/>
          <w:i/>
          <w:iCs/>
          <w:sz w:val="24"/>
          <w:szCs w:val="24"/>
        </w:rPr>
        <w:t>REM_SUM</w:t>
      </w:r>
      <w:r w:rsidRPr="00712B16">
        <w:rPr>
          <w:rFonts w:ascii="Times New Roman" w:hAnsi="Times New Roman" w:cs="Times New Roman"/>
          <w:sz w:val="24"/>
          <w:szCs w:val="24"/>
        </w:rPr>
        <w:t xml:space="preserve"> (coefficient=0.02, p-value&lt;0.001).</w:t>
      </w:r>
    </w:p>
    <w:p w14:paraId="11D5885F" w14:textId="7F489971" w:rsidR="009032E8" w:rsidRPr="00712B16" w:rsidRDefault="00E051A3">
      <w:pPr>
        <w:spacing w:after="0" w:line="480" w:lineRule="auto"/>
        <w:jc w:val="center"/>
        <w:rPr>
          <w:rFonts w:ascii="Times New Roman" w:hAnsi="Times New Roman" w:cs="Times New Roman"/>
          <w:sz w:val="24"/>
          <w:szCs w:val="24"/>
        </w:rPr>
      </w:pPr>
      <w:r w:rsidRPr="00712B16">
        <w:rPr>
          <w:rFonts w:ascii="Times New Roman" w:hAnsi="Times New Roman" w:cs="Times New Roman"/>
          <w:sz w:val="24"/>
          <w:szCs w:val="24"/>
        </w:rPr>
        <w:t xml:space="preserve">[Insert Table </w:t>
      </w:r>
      <w:r w:rsidR="006271C1" w:rsidRPr="00712B16">
        <w:rPr>
          <w:rFonts w:ascii="Times New Roman" w:hAnsi="Times New Roman" w:cs="Times New Roman"/>
          <w:sz w:val="24"/>
          <w:szCs w:val="24"/>
        </w:rPr>
        <w:t>3</w:t>
      </w:r>
      <w:r w:rsidRPr="00712B16">
        <w:rPr>
          <w:rFonts w:ascii="Times New Roman" w:hAnsi="Times New Roman" w:cs="Times New Roman"/>
          <w:sz w:val="24"/>
          <w:szCs w:val="24"/>
        </w:rPr>
        <w:t xml:space="preserve"> about here]</w:t>
      </w:r>
    </w:p>
    <w:p w14:paraId="1F3372F2" w14:textId="77777777" w:rsidR="00B667D4" w:rsidRPr="00712B16" w:rsidRDefault="00B667D4">
      <w:pPr>
        <w:spacing w:after="0" w:line="480" w:lineRule="auto"/>
        <w:jc w:val="center"/>
        <w:rPr>
          <w:rFonts w:ascii="Times New Roman" w:hAnsi="Times New Roman" w:cs="Times New Roman"/>
          <w:sz w:val="24"/>
          <w:szCs w:val="24"/>
        </w:rPr>
      </w:pPr>
    </w:p>
    <w:p w14:paraId="47DD5E6E" w14:textId="18195F2A" w:rsidR="009032E8" w:rsidRPr="00712B16" w:rsidRDefault="00183F61">
      <w:pPr>
        <w:pStyle w:val="Heading2"/>
        <w:spacing w:after="240"/>
        <w:jc w:val="both"/>
        <w:rPr>
          <w:rFonts w:cs="Times New Roman"/>
          <w:b w:val="0"/>
          <w:bCs/>
          <w:i/>
          <w:szCs w:val="24"/>
        </w:rPr>
      </w:pPr>
      <w:bookmarkStart w:id="43" w:name="_Toc118466045"/>
      <w:bookmarkStart w:id="44" w:name="_Hlk118978057"/>
      <w:r w:rsidRPr="00712B16">
        <w:rPr>
          <w:rFonts w:cs="Times New Roman"/>
          <w:b w:val="0"/>
          <w:bCs/>
          <w:i/>
          <w:szCs w:val="24"/>
        </w:rPr>
        <w:t>4.</w:t>
      </w:r>
      <w:r w:rsidR="006A10ED" w:rsidRPr="00712B16">
        <w:rPr>
          <w:rFonts w:cs="Times New Roman"/>
          <w:b w:val="0"/>
          <w:bCs/>
          <w:i/>
          <w:szCs w:val="24"/>
        </w:rPr>
        <w:t>3</w:t>
      </w:r>
      <w:r w:rsidRPr="00712B16">
        <w:rPr>
          <w:rFonts w:cs="Times New Roman"/>
          <w:b w:val="0"/>
          <w:bCs/>
          <w:i/>
          <w:szCs w:val="24"/>
        </w:rPr>
        <w:t xml:space="preserve"> </w:t>
      </w:r>
      <w:bookmarkEnd w:id="43"/>
      <w:r w:rsidRPr="00712B16">
        <w:rPr>
          <w:rFonts w:cs="Times New Roman"/>
          <w:b w:val="0"/>
          <w:bCs/>
          <w:i/>
          <w:szCs w:val="24"/>
        </w:rPr>
        <w:t xml:space="preserve">Effect of </w:t>
      </w:r>
      <w:r w:rsidR="00C27BF1" w:rsidRPr="00712B16">
        <w:rPr>
          <w:rFonts w:cs="Times New Roman"/>
          <w:b w:val="0"/>
          <w:bCs/>
          <w:i/>
          <w:szCs w:val="24"/>
        </w:rPr>
        <w:t xml:space="preserve">the </w:t>
      </w:r>
      <w:r w:rsidR="005832CF" w:rsidRPr="00712B16">
        <w:rPr>
          <w:rFonts w:cs="Times New Roman"/>
          <w:b w:val="0"/>
          <w:bCs/>
          <w:i/>
          <w:szCs w:val="24"/>
        </w:rPr>
        <w:t>net zero</w:t>
      </w:r>
      <w:r w:rsidR="00090DC8" w:rsidRPr="00712B16">
        <w:rPr>
          <w:rFonts w:cs="Times New Roman"/>
          <w:b w:val="0"/>
          <w:bCs/>
          <w:i/>
          <w:szCs w:val="24"/>
        </w:rPr>
        <w:t xml:space="preserve"> target</w:t>
      </w:r>
      <w:r w:rsidRPr="00712B16">
        <w:rPr>
          <w:rFonts w:cs="Times New Roman"/>
          <w:b w:val="0"/>
          <w:bCs/>
          <w:i/>
          <w:szCs w:val="24"/>
        </w:rPr>
        <w:t xml:space="preserve"> </w:t>
      </w:r>
      <w:r w:rsidR="006A5F05" w:rsidRPr="00712B16">
        <w:rPr>
          <w:rFonts w:cs="Times New Roman"/>
          <w:b w:val="0"/>
          <w:bCs/>
          <w:i/>
          <w:szCs w:val="24"/>
        </w:rPr>
        <w:t>commitment</w:t>
      </w:r>
      <w:r w:rsidRPr="00712B16">
        <w:rPr>
          <w:rFonts w:cs="Times New Roman"/>
          <w:b w:val="0"/>
          <w:bCs/>
          <w:i/>
          <w:szCs w:val="24"/>
        </w:rPr>
        <w:t xml:space="preserve"> on </w:t>
      </w:r>
      <w:r w:rsidR="009A0AA3" w:rsidRPr="00712B16">
        <w:rPr>
          <w:rFonts w:cs="Times New Roman"/>
          <w:b w:val="0"/>
          <w:bCs/>
          <w:i/>
          <w:szCs w:val="24"/>
        </w:rPr>
        <w:t>REM</w:t>
      </w:r>
      <w:r w:rsidRPr="00712B16">
        <w:rPr>
          <w:rFonts w:cs="Times New Roman"/>
          <w:b w:val="0"/>
          <w:bCs/>
          <w:i/>
          <w:szCs w:val="24"/>
        </w:rPr>
        <w:t xml:space="preserve"> </w:t>
      </w:r>
    </w:p>
    <w:bookmarkEnd w:id="44"/>
    <w:p w14:paraId="5EA8F707" w14:textId="664EE194" w:rsidR="00AE13FE" w:rsidRPr="00712B16" w:rsidRDefault="00E051A3" w:rsidP="00946C6D">
      <w:pPr>
        <w:spacing w:after="0" w:line="480" w:lineRule="auto"/>
        <w:jc w:val="both"/>
        <w:rPr>
          <w:rFonts w:ascii="Times New Roman" w:hAnsi="Times New Roman" w:cs="Times New Roman"/>
          <w:sz w:val="24"/>
          <w:szCs w:val="24"/>
          <w:lang w:val="en-AU"/>
        </w:rPr>
      </w:pPr>
      <w:r w:rsidRPr="00712B16">
        <w:rPr>
          <w:rFonts w:ascii="Times New Roman" w:hAnsi="Times New Roman" w:cs="Times New Roman"/>
          <w:sz w:val="24"/>
          <w:szCs w:val="24"/>
        </w:rPr>
        <w:t xml:space="preserve">Table </w:t>
      </w:r>
      <w:r w:rsidR="006271C1" w:rsidRPr="00712B16">
        <w:rPr>
          <w:rFonts w:ascii="Times New Roman" w:hAnsi="Times New Roman" w:cs="Times New Roman"/>
          <w:sz w:val="24"/>
          <w:szCs w:val="24"/>
        </w:rPr>
        <w:t>4</w:t>
      </w:r>
      <w:r w:rsidR="005B7D0E" w:rsidRPr="00712B16">
        <w:rPr>
          <w:rFonts w:ascii="Times New Roman" w:hAnsi="Times New Roman" w:cs="Times New Roman"/>
          <w:sz w:val="24"/>
          <w:szCs w:val="24"/>
        </w:rPr>
        <w:t xml:space="preserve"> reports the regression results on the relation between </w:t>
      </w:r>
      <w:r w:rsidR="005832CF" w:rsidRPr="00712B16">
        <w:rPr>
          <w:rFonts w:ascii="Times New Roman" w:hAnsi="Times New Roman" w:cs="Times New Roman"/>
          <w:sz w:val="24"/>
          <w:szCs w:val="24"/>
        </w:rPr>
        <w:t>net zero</w:t>
      </w:r>
      <w:r w:rsidR="00090DC8" w:rsidRPr="00712B16">
        <w:rPr>
          <w:rFonts w:ascii="Times New Roman" w:hAnsi="Times New Roman" w:cs="Times New Roman"/>
          <w:sz w:val="24"/>
          <w:szCs w:val="24"/>
        </w:rPr>
        <w:t xml:space="preserve"> target</w:t>
      </w:r>
      <w:r w:rsidR="005B7D0E" w:rsidRPr="00712B16">
        <w:rPr>
          <w:rFonts w:ascii="Times New Roman" w:hAnsi="Times New Roman" w:cs="Times New Roman"/>
          <w:sz w:val="24"/>
          <w:szCs w:val="24"/>
        </w:rPr>
        <w:t xml:space="preserve"> </w:t>
      </w:r>
      <w:r w:rsidR="006A5F05" w:rsidRPr="00712B16">
        <w:rPr>
          <w:rFonts w:ascii="Times New Roman" w:hAnsi="Times New Roman" w:cs="Times New Roman"/>
          <w:sz w:val="24"/>
          <w:szCs w:val="24"/>
        </w:rPr>
        <w:t>commitment</w:t>
      </w:r>
      <w:r w:rsidR="005B7D0E" w:rsidRPr="00712B16">
        <w:rPr>
          <w:rFonts w:ascii="Times New Roman" w:hAnsi="Times New Roman" w:cs="Times New Roman"/>
          <w:sz w:val="24"/>
          <w:szCs w:val="24"/>
        </w:rPr>
        <w:t xml:space="preserve"> and </w:t>
      </w:r>
      <w:r w:rsidR="00EF40F3" w:rsidRPr="00712B16">
        <w:rPr>
          <w:rFonts w:ascii="Times New Roman" w:hAnsi="Times New Roman" w:cs="Times New Roman"/>
          <w:sz w:val="24"/>
          <w:szCs w:val="24"/>
        </w:rPr>
        <w:t>REM</w:t>
      </w:r>
      <w:r w:rsidR="005B7D0E" w:rsidRPr="00712B16">
        <w:rPr>
          <w:rFonts w:ascii="Times New Roman" w:hAnsi="Times New Roman" w:cs="Times New Roman"/>
          <w:sz w:val="24"/>
          <w:szCs w:val="24"/>
        </w:rPr>
        <w:t>. The results show that</w:t>
      </w:r>
      <w:r w:rsidRPr="00712B16">
        <w:rPr>
          <w:rFonts w:ascii="Times New Roman" w:hAnsi="Times New Roman" w:cs="Times New Roman"/>
          <w:sz w:val="24"/>
          <w:szCs w:val="24"/>
        </w:rPr>
        <w:t xml:space="preserve"> </w:t>
      </w:r>
      <w:r w:rsidRPr="00712B16">
        <w:rPr>
          <w:rFonts w:ascii="Times New Roman" w:hAnsi="Times New Roman" w:cs="Times New Roman"/>
          <w:i/>
          <w:iCs/>
          <w:sz w:val="24"/>
          <w:szCs w:val="24"/>
        </w:rPr>
        <w:t>COUNTRY_NETZERO</w:t>
      </w:r>
      <w:r w:rsidRPr="00712B16">
        <w:rPr>
          <w:rFonts w:ascii="Times New Roman" w:hAnsi="Times New Roman" w:cs="Times New Roman"/>
          <w:sz w:val="24"/>
          <w:szCs w:val="24"/>
        </w:rPr>
        <w:t xml:space="preserve"> is positively associated with all four measures of </w:t>
      </w:r>
      <w:r w:rsidRPr="00712B16">
        <w:rPr>
          <w:rFonts w:ascii="Times New Roman" w:hAnsi="Times New Roman" w:cs="Times New Roman"/>
          <w:i/>
          <w:iCs/>
          <w:sz w:val="24"/>
          <w:szCs w:val="24"/>
        </w:rPr>
        <w:t>REM</w:t>
      </w:r>
      <w:r w:rsidRPr="00712B16">
        <w:rPr>
          <w:rFonts w:ascii="Times New Roman" w:hAnsi="Times New Roman" w:cs="Times New Roman"/>
          <w:sz w:val="24"/>
          <w:szCs w:val="24"/>
        </w:rPr>
        <w:t xml:space="preserve"> and is statistically significant at the 1% level (</w:t>
      </w:r>
      <w:r w:rsidRPr="00712B16">
        <w:rPr>
          <w:rFonts w:ascii="Times New Roman" w:hAnsi="Times New Roman" w:cs="Times New Roman"/>
          <w:i/>
          <w:iCs/>
          <w:sz w:val="24"/>
          <w:szCs w:val="24"/>
        </w:rPr>
        <w:t>REM_CFO</w:t>
      </w:r>
      <w:r w:rsidRPr="00712B16">
        <w:rPr>
          <w:rFonts w:ascii="Times New Roman" w:hAnsi="Times New Roman" w:cs="Times New Roman"/>
          <w:sz w:val="24"/>
          <w:szCs w:val="24"/>
        </w:rPr>
        <w:t xml:space="preserve">: coefficient=0.014, p-value&lt;0.01; </w:t>
      </w:r>
      <w:r w:rsidRPr="00712B16">
        <w:rPr>
          <w:rFonts w:ascii="Times New Roman" w:hAnsi="Times New Roman" w:cs="Times New Roman"/>
          <w:i/>
          <w:iCs/>
          <w:sz w:val="24"/>
          <w:szCs w:val="24"/>
        </w:rPr>
        <w:t>REM_DISEXP:</w:t>
      </w:r>
      <w:r w:rsidRPr="00712B16">
        <w:rPr>
          <w:rFonts w:ascii="Times New Roman" w:hAnsi="Times New Roman" w:cs="Times New Roman"/>
          <w:sz w:val="24"/>
          <w:szCs w:val="24"/>
        </w:rPr>
        <w:t xml:space="preserve"> coefficient=0.011, p-value&lt;0.01; </w:t>
      </w:r>
      <w:r w:rsidRPr="00712B16">
        <w:rPr>
          <w:rFonts w:ascii="Times New Roman" w:hAnsi="Times New Roman" w:cs="Times New Roman"/>
          <w:i/>
          <w:iCs/>
          <w:sz w:val="24"/>
          <w:szCs w:val="24"/>
        </w:rPr>
        <w:t>REM_PRODCOST</w:t>
      </w:r>
      <w:r w:rsidRPr="00712B16">
        <w:rPr>
          <w:rFonts w:ascii="Times New Roman" w:hAnsi="Times New Roman" w:cs="Times New Roman"/>
          <w:sz w:val="24"/>
          <w:szCs w:val="24"/>
        </w:rPr>
        <w:t xml:space="preserve">: coefficient=0.007, p-value&lt;0.01; </w:t>
      </w:r>
      <w:r w:rsidRPr="00712B16">
        <w:rPr>
          <w:rFonts w:ascii="Times New Roman" w:hAnsi="Times New Roman" w:cs="Times New Roman"/>
          <w:i/>
          <w:iCs/>
          <w:sz w:val="24"/>
          <w:szCs w:val="24"/>
        </w:rPr>
        <w:t>REM_SUM:</w:t>
      </w:r>
      <w:r w:rsidRPr="00712B16">
        <w:rPr>
          <w:rFonts w:ascii="Times New Roman" w:hAnsi="Times New Roman" w:cs="Times New Roman"/>
          <w:sz w:val="24"/>
          <w:szCs w:val="24"/>
        </w:rPr>
        <w:t xml:space="preserve"> coefficient=0.032, p-value&lt;0.01).</w:t>
      </w:r>
      <w:r w:rsidR="008B0777" w:rsidRPr="00712B16">
        <w:rPr>
          <w:rStyle w:val="FootnoteReference"/>
          <w:rFonts w:ascii="Times New Roman" w:hAnsi="Times New Roman" w:cs="Times New Roman"/>
          <w:sz w:val="24"/>
          <w:szCs w:val="24"/>
        </w:rPr>
        <w:footnoteReference w:id="10"/>
      </w:r>
      <w:r w:rsidRPr="00712B16">
        <w:rPr>
          <w:rFonts w:ascii="Times New Roman" w:hAnsi="Times New Roman" w:cs="Times New Roman"/>
          <w:sz w:val="24"/>
          <w:szCs w:val="24"/>
        </w:rPr>
        <w:t xml:space="preserve"> Collectively, the results provide support </w:t>
      </w:r>
      <w:r w:rsidR="006E4770" w:rsidRPr="00712B16">
        <w:rPr>
          <w:rFonts w:ascii="Times New Roman" w:hAnsi="Times New Roman" w:cs="Times New Roman"/>
          <w:sz w:val="24"/>
          <w:szCs w:val="24"/>
        </w:rPr>
        <w:t xml:space="preserve">for </w:t>
      </w:r>
      <w:r w:rsidRPr="00712B16">
        <w:rPr>
          <w:rFonts w:ascii="Times New Roman" w:hAnsi="Times New Roman" w:cs="Times New Roman"/>
          <w:sz w:val="24"/>
          <w:szCs w:val="24"/>
        </w:rPr>
        <w:t xml:space="preserve">hypothesis 1 that firms headquartered in countries with </w:t>
      </w:r>
      <w:r w:rsidR="00126B7F" w:rsidRPr="00712B16">
        <w:rPr>
          <w:rFonts w:ascii="Times New Roman" w:hAnsi="Times New Roman" w:cs="Times New Roman"/>
          <w:sz w:val="24"/>
          <w:szCs w:val="24"/>
        </w:rPr>
        <w:t xml:space="preserve">the </w:t>
      </w:r>
      <w:r w:rsidR="005832CF" w:rsidRPr="00712B16">
        <w:rPr>
          <w:rFonts w:ascii="Times New Roman" w:hAnsi="Times New Roman" w:cs="Times New Roman"/>
          <w:sz w:val="24"/>
          <w:szCs w:val="24"/>
        </w:rPr>
        <w:t>net zero</w:t>
      </w:r>
      <w:r w:rsidRPr="00712B16">
        <w:rPr>
          <w:rFonts w:ascii="Times New Roman" w:hAnsi="Times New Roman" w:cs="Times New Roman"/>
          <w:sz w:val="24"/>
          <w:szCs w:val="24"/>
        </w:rPr>
        <w:t xml:space="preserve"> target</w:t>
      </w:r>
      <w:r w:rsidR="005754DD" w:rsidRPr="00712B16">
        <w:rPr>
          <w:rFonts w:ascii="Times New Roman" w:hAnsi="Times New Roman" w:cs="Times New Roman"/>
          <w:sz w:val="24"/>
          <w:szCs w:val="24"/>
        </w:rPr>
        <w:t xml:space="preserve"> </w:t>
      </w:r>
      <w:r w:rsidR="006A5F05" w:rsidRPr="00712B16">
        <w:rPr>
          <w:rFonts w:ascii="Times New Roman" w:hAnsi="Times New Roman" w:cs="Times New Roman"/>
          <w:sz w:val="24"/>
          <w:szCs w:val="24"/>
        </w:rPr>
        <w:t>commitment</w:t>
      </w:r>
      <w:r w:rsidRPr="00712B16">
        <w:rPr>
          <w:rFonts w:ascii="Times New Roman" w:hAnsi="Times New Roman" w:cs="Times New Roman"/>
          <w:sz w:val="24"/>
          <w:szCs w:val="24"/>
        </w:rPr>
        <w:t xml:space="preserve"> have </w:t>
      </w:r>
      <w:r w:rsidR="00DD4EB3" w:rsidRPr="00712B16">
        <w:rPr>
          <w:rFonts w:ascii="Times New Roman" w:hAnsi="Times New Roman" w:cs="Times New Roman"/>
          <w:sz w:val="24"/>
          <w:szCs w:val="24"/>
        </w:rPr>
        <w:t xml:space="preserve">a </w:t>
      </w:r>
      <w:r w:rsidRPr="00712B16">
        <w:rPr>
          <w:rFonts w:ascii="Times New Roman" w:hAnsi="Times New Roman" w:cs="Times New Roman"/>
          <w:sz w:val="24"/>
          <w:szCs w:val="24"/>
        </w:rPr>
        <w:t>higher likel</w:t>
      </w:r>
      <w:r w:rsidR="004B2521" w:rsidRPr="00712B16">
        <w:rPr>
          <w:rFonts w:ascii="Times New Roman" w:hAnsi="Times New Roman" w:cs="Times New Roman"/>
          <w:sz w:val="24"/>
          <w:szCs w:val="24"/>
        </w:rPr>
        <w:t>ihood</w:t>
      </w:r>
      <w:r w:rsidRPr="00712B16">
        <w:rPr>
          <w:rFonts w:ascii="Times New Roman" w:hAnsi="Times New Roman" w:cs="Times New Roman"/>
          <w:sz w:val="24"/>
          <w:szCs w:val="24"/>
        </w:rPr>
        <w:t xml:space="preserve"> </w:t>
      </w:r>
      <w:r w:rsidR="00756075" w:rsidRPr="00712B16">
        <w:rPr>
          <w:rFonts w:ascii="Times New Roman" w:hAnsi="Times New Roman" w:cs="Times New Roman"/>
          <w:sz w:val="24"/>
          <w:szCs w:val="24"/>
        </w:rPr>
        <w:t>of</w:t>
      </w:r>
      <w:r w:rsidRPr="00712B16">
        <w:rPr>
          <w:rFonts w:ascii="Times New Roman" w:hAnsi="Times New Roman" w:cs="Times New Roman"/>
          <w:sz w:val="24"/>
          <w:szCs w:val="24"/>
        </w:rPr>
        <w:t xml:space="preserve"> manag</w:t>
      </w:r>
      <w:r w:rsidR="00756075" w:rsidRPr="00712B16">
        <w:rPr>
          <w:rFonts w:ascii="Times New Roman" w:hAnsi="Times New Roman" w:cs="Times New Roman"/>
          <w:sz w:val="24"/>
          <w:szCs w:val="24"/>
        </w:rPr>
        <w:t>ing</w:t>
      </w:r>
      <w:r w:rsidRPr="00712B16">
        <w:rPr>
          <w:rFonts w:ascii="Times New Roman" w:hAnsi="Times New Roman" w:cs="Times New Roman"/>
          <w:sz w:val="24"/>
          <w:szCs w:val="24"/>
        </w:rPr>
        <w:t xml:space="preserve"> earnings through real activities.</w:t>
      </w:r>
      <w:r w:rsidR="00784FEB" w:rsidRPr="00712B16">
        <w:rPr>
          <w:rStyle w:val="FootnoteReference"/>
          <w:rFonts w:ascii="Times New Roman" w:hAnsi="Times New Roman" w:cs="Times New Roman"/>
          <w:sz w:val="24"/>
          <w:szCs w:val="24"/>
        </w:rPr>
        <w:footnoteReference w:id="11"/>
      </w:r>
      <w:r w:rsidRPr="00712B16">
        <w:rPr>
          <w:rFonts w:ascii="Times New Roman" w:hAnsi="Times New Roman" w:cs="Times New Roman"/>
          <w:sz w:val="24"/>
          <w:szCs w:val="24"/>
        </w:rPr>
        <w:t xml:space="preserve"> </w:t>
      </w:r>
      <w:r w:rsidR="00AE13FE" w:rsidRPr="00712B16">
        <w:rPr>
          <w:rFonts w:ascii="Times New Roman" w:hAnsi="Times New Roman" w:cs="Times New Roman"/>
          <w:sz w:val="24"/>
          <w:szCs w:val="24"/>
          <w:lang w:val="en-AU"/>
        </w:rPr>
        <w:t xml:space="preserve">The findings </w:t>
      </w:r>
      <w:r w:rsidR="00AE13FE" w:rsidRPr="00712B16">
        <w:rPr>
          <w:rFonts w:ascii="Times New Roman" w:hAnsi="Times New Roman" w:cs="Times New Roman"/>
          <w:sz w:val="24"/>
          <w:szCs w:val="24"/>
          <w:lang w:val="en-AU"/>
        </w:rPr>
        <w:lastRenderedPageBreak/>
        <w:t xml:space="preserve">suggest that in transitioning towards the </w:t>
      </w:r>
      <w:r w:rsidR="005832CF" w:rsidRPr="00712B16">
        <w:rPr>
          <w:rFonts w:ascii="Times New Roman" w:hAnsi="Times New Roman" w:cs="Times New Roman"/>
          <w:sz w:val="24"/>
          <w:szCs w:val="24"/>
          <w:lang w:val="en-AU"/>
        </w:rPr>
        <w:t>net zero</w:t>
      </w:r>
      <w:r w:rsidR="00AE13FE" w:rsidRPr="00712B16">
        <w:rPr>
          <w:rFonts w:ascii="Times New Roman" w:hAnsi="Times New Roman" w:cs="Times New Roman"/>
          <w:sz w:val="24"/>
          <w:szCs w:val="24"/>
          <w:lang w:val="en-AU"/>
        </w:rPr>
        <w:t xml:space="preserve"> targets, firms’ managers record higher earnings via REM by reducing current capital expenditures and/or R&amp;D</w:t>
      </w:r>
      <w:r w:rsidR="006E4770" w:rsidRPr="00712B16">
        <w:rPr>
          <w:rFonts w:ascii="Times New Roman" w:hAnsi="Times New Roman" w:cs="Times New Roman"/>
          <w:sz w:val="24"/>
          <w:szCs w:val="24"/>
          <w:lang w:val="en-AU"/>
        </w:rPr>
        <w:t>,</w:t>
      </w:r>
      <w:r w:rsidR="00AE13FE" w:rsidRPr="00712B16">
        <w:rPr>
          <w:rFonts w:ascii="Times New Roman" w:hAnsi="Times New Roman" w:cs="Times New Roman"/>
          <w:sz w:val="24"/>
          <w:szCs w:val="24"/>
          <w:lang w:val="en-AU"/>
        </w:rPr>
        <w:t xml:space="preserve"> which </w:t>
      </w:r>
      <w:r w:rsidR="006E4770" w:rsidRPr="00712B16">
        <w:rPr>
          <w:rFonts w:ascii="Times New Roman" w:hAnsi="Times New Roman" w:cs="Times New Roman"/>
          <w:sz w:val="24"/>
          <w:szCs w:val="24"/>
          <w:lang w:val="en-AU"/>
        </w:rPr>
        <w:t xml:space="preserve">has </w:t>
      </w:r>
      <w:r w:rsidR="00AE13FE" w:rsidRPr="00712B16">
        <w:rPr>
          <w:rFonts w:ascii="Times New Roman" w:hAnsi="Times New Roman" w:cs="Times New Roman"/>
          <w:sz w:val="24"/>
          <w:szCs w:val="24"/>
          <w:lang w:val="en-AU"/>
        </w:rPr>
        <w:t xml:space="preserve">less impact on reducing carbon emissions. This REM strategy has provided potential </w:t>
      </w:r>
      <w:r w:rsidR="006E4770" w:rsidRPr="00712B16">
        <w:rPr>
          <w:rFonts w:ascii="Times New Roman" w:hAnsi="Times New Roman" w:cs="Times New Roman"/>
          <w:sz w:val="24"/>
          <w:szCs w:val="24"/>
          <w:lang w:val="en-AU"/>
        </w:rPr>
        <w:t xml:space="preserve">for </w:t>
      </w:r>
      <w:r w:rsidR="00AE13FE" w:rsidRPr="00712B16">
        <w:rPr>
          <w:rFonts w:ascii="Times New Roman" w:hAnsi="Times New Roman" w:cs="Times New Roman"/>
          <w:sz w:val="24"/>
          <w:szCs w:val="24"/>
          <w:lang w:val="en-AU"/>
        </w:rPr>
        <w:t>higher cash availability in preparing firms to invest in new technologies and infrastructure systems in the coming years</w:t>
      </w:r>
      <w:r w:rsidR="006E4770" w:rsidRPr="00712B16">
        <w:rPr>
          <w:rFonts w:ascii="Times New Roman" w:hAnsi="Times New Roman" w:cs="Times New Roman"/>
          <w:sz w:val="24"/>
          <w:szCs w:val="24"/>
          <w:lang w:val="en-AU"/>
        </w:rPr>
        <w:t>,</w:t>
      </w:r>
      <w:r w:rsidR="00AE13FE" w:rsidRPr="00712B16">
        <w:rPr>
          <w:rFonts w:ascii="Times New Roman" w:hAnsi="Times New Roman" w:cs="Times New Roman"/>
          <w:sz w:val="24"/>
          <w:szCs w:val="24"/>
          <w:lang w:val="en-AU"/>
        </w:rPr>
        <w:t xml:space="preserve"> which would help firms to reduce carbon emissions in the future in meeting the </w:t>
      </w:r>
      <w:r w:rsidR="005832CF" w:rsidRPr="00712B16">
        <w:rPr>
          <w:rFonts w:ascii="Times New Roman" w:hAnsi="Times New Roman" w:cs="Times New Roman"/>
          <w:sz w:val="24"/>
          <w:szCs w:val="24"/>
          <w:lang w:val="en-AU"/>
        </w:rPr>
        <w:t>net zero</w:t>
      </w:r>
      <w:r w:rsidR="00AE13FE" w:rsidRPr="00712B16">
        <w:rPr>
          <w:rFonts w:ascii="Times New Roman" w:hAnsi="Times New Roman" w:cs="Times New Roman"/>
          <w:sz w:val="24"/>
          <w:szCs w:val="24"/>
          <w:lang w:val="en-AU"/>
        </w:rPr>
        <w:t xml:space="preserve"> targets.</w:t>
      </w:r>
    </w:p>
    <w:p w14:paraId="121A7355" w14:textId="1F4F4B89" w:rsidR="006271C1" w:rsidRPr="00712B16" w:rsidRDefault="006271C1" w:rsidP="006271C1">
      <w:pPr>
        <w:spacing w:after="0" w:line="480" w:lineRule="auto"/>
        <w:jc w:val="center"/>
        <w:rPr>
          <w:rFonts w:ascii="Times New Roman" w:hAnsi="Times New Roman" w:cs="Times New Roman"/>
          <w:sz w:val="24"/>
          <w:szCs w:val="24"/>
        </w:rPr>
      </w:pPr>
      <w:r w:rsidRPr="00712B16">
        <w:rPr>
          <w:rFonts w:ascii="Times New Roman" w:hAnsi="Times New Roman" w:cs="Times New Roman"/>
          <w:sz w:val="24"/>
          <w:szCs w:val="24"/>
        </w:rPr>
        <w:t xml:space="preserve">[Insert Table </w:t>
      </w:r>
      <w:r w:rsidR="00155CA9" w:rsidRPr="00712B16">
        <w:rPr>
          <w:rFonts w:ascii="Times New Roman" w:hAnsi="Times New Roman" w:cs="Times New Roman"/>
          <w:sz w:val="24"/>
          <w:szCs w:val="24"/>
        </w:rPr>
        <w:t>4</w:t>
      </w:r>
      <w:r w:rsidRPr="00712B16">
        <w:rPr>
          <w:rFonts w:ascii="Times New Roman" w:hAnsi="Times New Roman" w:cs="Times New Roman"/>
          <w:sz w:val="24"/>
          <w:szCs w:val="24"/>
        </w:rPr>
        <w:t xml:space="preserve"> about here]</w:t>
      </w:r>
    </w:p>
    <w:p w14:paraId="4EFEFE1D" w14:textId="6C20C16E" w:rsidR="009032E8" w:rsidRPr="00712B16" w:rsidRDefault="00E051A3" w:rsidP="00AE13FE">
      <w:pPr>
        <w:spacing w:after="0" w:line="480" w:lineRule="auto"/>
        <w:ind w:firstLine="720"/>
        <w:jc w:val="both"/>
        <w:rPr>
          <w:rFonts w:ascii="Times New Roman" w:hAnsi="Times New Roman" w:cs="Times New Roman"/>
          <w:sz w:val="20"/>
          <w:szCs w:val="20"/>
        </w:rPr>
      </w:pPr>
      <w:r w:rsidRPr="00712B16">
        <w:rPr>
          <w:rFonts w:ascii="Times New Roman" w:hAnsi="Times New Roman" w:cs="Times New Roman"/>
          <w:sz w:val="24"/>
          <w:szCs w:val="24"/>
        </w:rPr>
        <w:t xml:space="preserve">In relation to the control variables, the </w:t>
      </w:r>
      <w:r w:rsidR="00756075" w:rsidRPr="00712B16">
        <w:rPr>
          <w:rFonts w:ascii="Times New Roman" w:hAnsi="Times New Roman" w:cs="Times New Roman"/>
          <w:sz w:val="24"/>
          <w:szCs w:val="24"/>
        </w:rPr>
        <w:t xml:space="preserve">results </w:t>
      </w:r>
      <w:r w:rsidRPr="00712B16">
        <w:rPr>
          <w:rFonts w:ascii="Times New Roman" w:hAnsi="Times New Roman" w:cs="Times New Roman"/>
          <w:sz w:val="24"/>
          <w:szCs w:val="24"/>
        </w:rPr>
        <w:t xml:space="preserve">indicate that larger firms </w:t>
      </w:r>
      <w:r w:rsidRPr="00712B16">
        <w:rPr>
          <w:rFonts w:ascii="Times New Roman" w:eastAsia="SimSun" w:hAnsi="Times New Roman" w:cs="Times New Roman"/>
          <w:sz w:val="24"/>
          <w:szCs w:val="24"/>
        </w:rPr>
        <w:t>(</w:t>
      </w:r>
      <w:r w:rsidRPr="00712B16">
        <w:rPr>
          <w:rFonts w:ascii="Times New Roman" w:eastAsia="SimSun" w:hAnsi="Times New Roman" w:cs="Times New Roman"/>
          <w:i/>
          <w:sz w:val="24"/>
          <w:szCs w:val="24"/>
        </w:rPr>
        <w:t>SIZE</w:t>
      </w:r>
      <w:r w:rsidRPr="00712B16">
        <w:rPr>
          <w:rFonts w:ascii="Times New Roman" w:eastAsia="SimSun" w:hAnsi="Times New Roman" w:cs="Times New Roman"/>
          <w:sz w:val="24"/>
          <w:szCs w:val="24"/>
        </w:rPr>
        <w:t>)</w:t>
      </w:r>
      <w:r w:rsidRPr="00712B16">
        <w:rPr>
          <w:rFonts w:ascii="Times New Roman" w:hAnsi="Times New Roman" w:cs="Times New Roman"/>
          <w:sz w:val="24"/>
          <w:szCs w:val="24"/>
        </w:rPr>
        <w:t xml:space="preserve"> and firms with more property, </w:t>
      </w:r>
      <w:r w:rsidRPr="00712B16">
        <w:rPr>
          <w:rFonts w:ascii="Times New Roman" w:eastAsia="SimSun" w:hAnsi="Times New Roman" w:cs="Times New Roman"/>
          <w:sz w:val="24"/>
          <w:szCs w:val="24"/>
        </w:rPr>
        <w:t>plant, and equipment (</w:t>
      </w:r>
      <w:r w:rsidRPr="00712B16">
        <w:rPr>
          <w:rFonts w:ascii="Times New Roman" w:eastAsia="SimSun" w:hAnsi="Times New Roman" w:cs="Times New Roman"/>
          <w:i/>
          <w:iCs/>
          <w:sz w:val="24"/>
          <w:szCs w:val="24"/>
        </w:rPr>
        <w:t>PPE</w:t>
      </w:r>
      <w:r w:rsidRPr="00712B16">
        <w:rPr>
          <w:rFonts w:ascii="Times New Roman" w:eastAsia="SimSun" w:hAnsi="Times New Roman" w:cs="Times New Roman"/>
          <w:sz w:val="24"/>
          <w:szCs w:val="24"/>
        </w:rPr>
        <w:t>) and intangible assets (</w:t>
      </w:r>
      <w:r w:rsidRPr="00712B16">
        <w:rPr>
          <w:rFonts w:ascii="Times New Roman" w:eastAsia="SimSun" w:hAnsi="Times New Roman" w:cs="Times New Roman"/>
          <w:i/>
          <w:iCs/>
          <w:sz w:val="24"/>
          <w:szCs w:val="24"/>
        </w:rPr>
        <w:t>INTANG)</w:t>
      </w:r>
      <w:r w:rsidRPr="00712B16">
        <w:rPr>
          <w:rFonts w:ascii="Times New Roman" w:eastAsia="SimSun" w:hAnsi="Times New Roman" w:cs="Times New Roman"/>
          <w:sz w:val="24"/>
          <w:szCs w:val="24"/>
        </w:rPr>
        <w:t xml:space="preserve"> have </w:t>
      </w:r>
      <w:r w:rsidR="006E4770" w:rsidRPr="00712B16">
        <w:rPr>
          <w:rFonts w:ascii="Times New Roman" w:eastAsia="SimSun" w:hAnsi="Times New Roman" w:cs="Times New Roman"/>
          <w:sz w:val="24"/>
          <w:szCs w:val="24"/>
        </w:rPr>
        <w:t xml:space="preserve">a </w:t>
      </w:r>
      <w:r w:rsidRPr="00712B16">
        <w:rPr>
          <w:rFonts w:ascii="Times New Roman" w:eastAsia="SimSun" w:hAnsi="Times New Roman" w:cs="Times New Roman"/>
          <w:sz w:val="24"/>
          <w:szCs w:val="24"/>
        </w:rPr>
        <w:t xml:space="preserve">lower possibility </w:t>
      </w:r>
      <w:r w:rsidR="006E4770" w:rsidRPr="00712B16">
        <w:rPr>
          <w:rFonts w:ascii="Times New Roman" w:eastAsia="SimSun" w:hAnsi="Times New Roman" w:cs="Times New Roman"/>
          <w:sz w:val="24"/>
          <w:szCs w:val="24"/>
        </w:rPr>
        <w:t xml:space="preserve">of </w:t>
      </w:r>
      <w:r w:rsidR="00B06E60" w:rsidRPr="00712B16">
        <w:rPr>
          <w:rFonts w:ascii="Times New Roman" w:eastAsia="SimSun" w:hAnsi="Times New Roman" w:cs="Times New Roman"/>
          <w:sz w:val="24"/>
          <w:szCs w:val="24"/>
        </w:rPr>
        <w:t>engaging in</w:t>
      </w:r>
      <w:r w:rsidRPr="00712B16">
        <w:rPr>
          <w:rFonts w:ascii="Times New Roman" w:eastAsia="SimSun" w:hAnsi="Times New Roman" w:cs="Times New Roman"/>
          <w:sz w:val="24"/>
          <w:szCs w:val="24"/>
        </w:rPr>
        <w:t xml:space="preserve"> REM. </w:t>
      </w:r>
      <w:r w:rsidR="00B66C49" w:rsidRPr="00712B16">
        <w:rPr>
          <w:rFonts w:ascii="Times New Roman" w:eastAsia="SimSun" w:hAnsi="Times New Roman" w:cs="Times New Roman"/>
          <w:sz w:val="24"/>
          <w:szCs w:val="24"/>
        </w:rPr>
        <w:t>In addition</w:t>
      </w:r>
      <w:r w:rsidRPr="00712B16">
        <w:rPr>
          <w:rFonts w:ascii="Times New Roman" w:eastAsia="SimSun" w:hAnsi="Times New Roman" w:cs="Times New Roman"/>
          <w:sz w:val="24"/>
          <w:szCs w:val="24"/>
        </w:rPr>
        <w:t>, firms with higher leverage (</w:t>
      </w:r>
      <w:r w:rsidRPr="00712B16">
        <w:rPr>
          <w:rFonts w:ascii="Times New Roman" w:eastAsia="SimSun" w:hAnsi="Times New Roman" w:cs="Times New Roman"/>
          <w:i/>
          <w:iCs/>
          <w:sz w:val="24"/>
          <w:szCs w:val="24"/>
        </w:rPr>
        <w:t>LEV</w:t>
      </w:r>
      <w:r w:rsidRPr="00712B16">
        <w:rPr>
          <w:rFonts w:ascii="Times New Roman" w:eastAsia="SimSun" w:hAnsi="Times New Roman" w:cs="Times New Roman"/>
          <w:sz w:val="24"/>
          <w:szCs w:val="24"/>
        </w:rPr>
        <w:t>), cash (</w:t>
      </w:r>
      <w:r w:rsidRPr="00712B16">
        <w:rPr>
          <w:rFonts w:ascii="Times New Roman" w:eastAsia="SimSun" w:hAnsi="Times New Roman" w:cs="Times New Roman"/>
          <w:i/>
          <w:sz w:val="24"/>
          <w:szCs w:val="24"/>
        </w:rPr>
        <w:t>CASH</w:t>
      </w:r>
      <w:r w:rsidRPr="00712B16">
        <w:rPr>
          <w:rFonts w:ascii="Times New Roman" w:eastAsia="SimSun" w:hAnsi="Times New Roman" w:cs="Times New Roman"/>
          <w:sz w:val="24"/>
          <w:szCs w:val="24"/>
        </w:rPr>
        <w:t>), research and development expenses (</w:t>
      </w:r>
      <w:r w:rsidRPr="00712B16">
        <w:rPr>
          <w:rFonts w:ascii="Times New Roman" w:eastAsia="SimSun" w:hAnsi="Times New Roman" w:cs="Times New Roman"/>
          <w:i/>
          <w:iCs/>
          <w:sz w:val="24"/>
          <w:szCs w:val="24"/>
        </w:rPr>
        <w:t>R&amp;D</w:t>
      </w:r>
      <w:r w:rsidRPr="00712B16">
        <w:rPr>
          <w:rFonts w:ascii="Times New Roman" w:eastAsia="SimSun" w:hAnsi="Times New Roman" w:cs="Times New Roman"/>
          <w:sz w:val="24"/>
          <w:szCs w:val="24"/>
        </w:rPr>
        <w:t>)</w:t>
      </w:r>
      <w:r w:rsidR="006E4770" w:rsidRPr="00712B16">
        <w:rPr>
          <w:rFonts w:ascii="Times New Roman" w:eastAsia="SimSun" w:hAnsi="Times New Roman" w:cs="Times New Roman"/>
          <w:sz w:val="24"/>
          <w:szCs w:val="24"/>
        </w:rPr>
        <w:t>,</w:t>
      </w:r>
      <w:r w:rsidRPr="00712B16">
        <w:rPr>
          <w:rFonts w:ascii="Times New Roman" w:eastAsia="SimSun" w:hAnsi="Times New Roman" w:cs="Times New Roman"/>
          <w:sz w:val="24"/>
          <w:szCs w:val="24"/>
        </w:rPr>
        <w:t xml:space="preserve"> and capital expenditures (</w:t>
      </w:r>
      <w:r w:rsidRPr="00712B16">
        <w:rPr>
          <w:rFonts w:ascii="Times New Roman" w:eastAsia="SimSun" w:hAnsi="Times New Roman" w:cs="Times New Roman"/>
          <w:i/>
          <w:sz w:val="24"/>
          <w:szCs w:val="24"/>
        </w:rPr>
        <w:t>CAPEX</w:t>
      </w:r>
      <w:r w:rsidRPr="00712B16">
        <w:rPr>
          <w:rFonts w:ascii="Times New Roman" w:eastAsia="SimSun" w:hAnsi="Times New Roman" w:cs="Times New Roman"/>
          <w:sz w:val="24"/>
          <w:szCs w:val="24"/>
        </w:rPr>
        <w:t xml:space="preserve">) </w:t>
      </w:r>
      <w:r w:rsidR="00B66C49" w:rsidRPr="00712B16">
        <w:rPr>
          <w:rFonts w:ascii="Times New Roman" w:eastAsia="SimSun" w:hAnsi="Times New Roman" w:cs="Times New Roman"/>
          <w:sz w:val="24"/>
          <w:szCs w:val="24"/>
        </w:rPr>
        <w:t>exhibit</w:t>
      </w:r>
      <w:r w:rsidRPr="00712B16">
        <w:rPr>
          <w:rFonts w:ascii="Times New Roman" w:eastAsia="SimSun" w:hAnsi="Times New Roman" w:cs="Times New Roman"/>
          <w:sz w:val="24"/>
          <w:szCs w:val="24"/>
        </w:rPr>
        <w:t xml:space="preserve"> more </w:t>
      </w:r>
      <w:r w:rsidRPr="00712B16">
        <w:rPr>
          <w:rFonts w:ascii="Times New Roman" w:eastAsia="SimSun" w:hAnsi="Times New Roman" w:cs="Times New Roman"/>
          <w:i/>
          <w:iCs/>
          <w:sz w:val="24"/>
          <w:szCs w:val="24"/>
        </w:rPr>
        <w:t>REM</w:t>
      </w:r>
      <w:r w:rsidRPr="00712B16">
        <w:rPr>
          <w:rFonts w:ascii="Times New Roman" w:eastAsia="SimSun" w:hAnsi="Times New Roman" w:cs="Times New Roman"/>
          <w:sz w:val="24"/>
          <w:szCs w:val="24"/>
        </w:rPr>
        <w:t>.</w:t>
      </w:r>
      <w:r w:rsidRPr="00712B16">
        <w:rPr>
          <w:rStyle w:val="FootnoteReference"/>
          <w:rFonts w:ascii="Times New Roman" w:eastAsia="SimSun" w:hAnsi="Times New Roman" w:cs="Times New Roman"/>
          <w:sz w:val="24"/>
          <w:szCs w:val="24"/>
        </w:rPr>
        <w:footnoteReference w:id="12"/>
      </w:r>
    </w:p>
    <w:p w14:paraId="2A4545B4" w14:textId="77777777" w:rsidR="00756075" w:rsidRPr="00712B16" w:rsidRDefault="00756075">
      <w:pPr>
        <w:spacing w:after="0" w:line="480" w:lineRule="auto"/>
        <w:jc w:val="center"/>
        <w:rPr>
          <w:rFonts w:ascii="Times New Roman" w:hAnsi="Times New Roman" w:cs="Times New Roman"/>
          <w:i/>
          <w:sz w:val="24"/>
          <w:szCs w:val="24"/>
        </w:rPr>
      </w:pPr>
    </w:p>
    <w:p w14:paraId="48038F8C" w14:textId="7B30E0C6" w:rsidR="009032E8" w:rsidRPr="00712B16" w:rsidRDefault="00183F61" w:rsidP="00BE7767">
      <w:pPr>
        <w:pStyle w:val="Heading2"/>
        <w:spacing w:line="480" w:lineRule="auto"/>
        <w:jc w:val="both"/>
        <w:rPr>
          <w:rFonts w:cs="Times New Roman"/>
          <w:b w:val="0"/>
          <w:bCs/>
          <w:i/>
          <w:szCs w:val="24"/>
        </w:rPr>
      </w:pPr>
      <w:bookmarkStart w:id="45" w:name="_Hlk118978079"/>
      <w:r w:rsidRPr="00712B16">
        <w:rPr>
          <w:rFonts w:cs="Times New Roman"/>
          <w:b w:val="0"/>
          <w:bCs/>
          <w:i/>
          <w:szCs w:val="24"/>
        </w:rPr>
        <w:t>4.</w:t>
      </w:r>
      <w:r w:rsidR="006A10ED" w:rsidRPr="00712B16">
        <w:rPr>
          <w:rFonts w:cs="Times New Roman"/>
          <w:b w:val="0"/>
          <w:bCs/>
          <w:i/>
          <w:szCs w:val="24"/>
        </w:rPr>
        <w:t>4</w:t>
      </w:r>
      <w:r w:rsidRPr="00712B16">
        <w:rPr>
          <w:rFonts w:cs="Times New Roman"/>
          <w:b w:val="0"/>
          <w:bCs/>
          <w:i/>
          <w:szCs w:val="24"/>
        </w:rPr>
        <w:t xml:space="preserve"> Effect of CSR on the relation between </w:t>
      </w:r>
      <w:r w:rsidR="00C27BF1" w:rsidRPr="00712B16">
        <w:rPr>
          <w:rFonts w:cs="Times New Roman"/>
          <w:b w:val="0"/>
          <w:bCs/>
          <w:i/>
          <w:szCs w:val="24"/>
        </w:rPr>
        <w:t xml:space="preserve">the </w:t>
      </w:r>
      <w:r w:rsidR="005832CF" w:rsidRPr="00712B16">
        <w:rPr>
          <w:rFonts w:cs="Times New Roman"/>
          <w:b w:val="0"/>
          <w:bCs/>
          <w:i/>
          <w:szCs w:val="24"/>
        </w:rPr>
        <w:t>net zero</w:t>
      </w:r>
      <w:r w:rsidRPr="00712B16">
        <w:rPr>
          <w:rFonts w:cs="Times New Roman"/>
          <w:b w:val="0"/>
          <w:bCs/>
          <w:i/>
          <w:szCs w:val="24"/>
        </w:rPr>
        <w:t xml:space="preserve"> target </w:t>
      </w:r>
      <w:r w:rsidR="006A5F05" w:rsidRPr="00712B16">
        <w:rPr>
          <w:rFonts w:cs="Times New Roman"/>
          <w:b w:val="0"/>
          <w:bCs/>
          <w:i/>
          <w:szCs w:val="24"/>
        </w:rPr>
        <w:t>commitment</w:t>
      </w:r>
      <w:r w:rsidRPr="00712B16">
        <w:rPr>
          <w:rFonts w:cs="Times New Roman"/>
          <w:b w:val="0"/>
          <w:bCs/>
          <w:i/>
          <w:szCs w:val="24"/>
        </w:rPr>
        <w:t xml:space="preserve"> and </w:t>
      </w:r>
      <w:r w:rsidR="009A0AA3" w:rsidRPr="00712B16">
        <w:rPr>
          <w:rFonts w:cs="Times New Roman"/>
          <w:b w:val="0"/>
          <w:bCs/>
          <w:i/>
          <w:szCs w:val="24"/>
        </w:rPr>
        <w:t>REM</w:t>
      </w:r>
      <w:r w:rsidRPr="00712B16">
        <w:rPr>
          <w:rFonts w:cs="Times New Roman"/>
          <w:b w:val="0"/>
          <w:bCs/>
          <w:i/>
          <w:szCs w:val="24"/>
        </w:rPr>
        <w:t xml:space="preserve"> </w:t>
      </w:r>
    </w:p>
    <w:bookmarkEnd w:id="45"/>
    <w:p w14:paraId="6DC27493" w14:textId="198B707C" w:rsidR="00AE13FE" w:rsidRPr="00712B16" w:rsidRDefault="00E051A3" w:rsidP="009B474E">
      <w:pPr>
        <w:spacing w:after="0" w:line="480" w:lineRule="auto"/>
        <w:jc w:val="both"/>
        <w:rPr>
          <w:rFonts w:ascii="Times New Roman" w:hAnsi="Times New Roman" w:cs="Times New Roman"/>
          <w:sz w:val="24"/>
          <w:szCs w:val="24"/>
        </w:rPr>
      </w:pPr>
      <w:r w:rsidRPr="00712B16">
        <w:rPr>
          <w:rFonts w:ascii="Times New Roman" w:hAnsi="Times New Roman" w:cs="Times New Roman"/>
          <w:sz w:val="24"/>
          <w:szCs w:val="24"/>
        </w:rPr>
        <w:t xml:space="preserve">Table </w:t>
      </w:r>
      <w:r w:rsidR="00AE4D48" w:rsidRPr="00712B16">
        <w:rPr>
          <w:rFonts w:ascii="Times New Roman" w:hAnsi="Times New Roman" w:cs="Times New Roman"/>
          <w:sz w:val="24"/>
          <w:szCs w:val="24"/>
        </w:rPr>
        <w:t>5</w:t>
      </w:r>
      <w:r w:rsidRPr="00712B16">
        <w:rPr>
          <w:rFonts w:ascii="Times New Roman" w:hAnsi="Times New Roman" w:cs="Times New Roman"/>
          <w:sz w:val="24"/>
          <w:szCs w:val="24"/>
        </w:rPr>
        <w:t xml:space="preserve"> presents the regression results of hypothesis </w:t>
      </w:r>
      <w:r w:rsidR="00BE7767" w:rsidRPr="00712B16">
        <w:rPr>
          <w:rFonts w:ascii="Times New Roman" w:hAnsi="Times New Roman" w:cs="Times New Roman"/>
          <w:sz w:val="24"/>
          <w:szCs w:val="24"/>
        </w:rPr>
        <w:t>2</w:t>
      </w:r>
      <w:r w:rsidR="006E4770" w:rsidRPr="00712B16">
        <w:rPr>
          <w:rFonts w:ascii="Times New Roman" w:hAnsi="Times New Roman" w:cs="Times New Roman"/>
          <w:sz w:val="24"/>
          <w:szCs w:val="24"/>
        </w:rPr>
        <w:t>,</w:t>
      </w:r>
      <w:r w:rsidRPr="00712B16">
        <w:rPr>
          <w:rFonts w:ascii="Times New Roman" w:hAnsi="Times New Roman" w:cs="Times New Roman"/>
          <w:sz w:val="24"/>
          <w:szCs w:val="24"/>
        </w:rPr>
        <w:t xml:space="preserve"> which examines the effect of a </w:t>
      </w:r>
      <w:r w:rsidR="006E4770" w:rsidRPr="00712B16">
        <w:rPr>
          <w:rFonts w:ascii="Times New Roman" w:hAnsi="Times New Roman" w:cs="Times New Roman"/>
          <w:sz w:val="24"/>
          <w:szCs w:val="24"/>
        </w:rPr>
        <w:t xml:space="preserve">firm’s </w:t>
      </w:r>
      <w:r w:rsidRPr="00712B16">
        <w:rPr>
          <w:rFonts w:ascii="Times New Roman" w:hAnsi="Times New Roman" w:cs="Times New Roman"/>
          <w:sz w:val="24"/>
          <w:szCs w:val="24"/>
        </w:rPr>
        <w:t xml:space="preserve">CSR on the interaction between </w:t>
      </w:r>
      <w:r w:rsidR="00126B7F" w:rsidRPr="00712B16">
        <w:rPr>
          <w:rFonts w:ascii="Times New Roman" w:hAnsi="Times New Roman" w:cs="Times New Roman"/>
          <w:sz w:val="24"/>
          <w:szCs w:val="24"/>
        </w:rPr>
        <w:t xml:space="preserve">the </w:t>
      </w:r>
      <w:r w:rsidR="005832CF" w:rsidRPr="00712B16">
        <w:rPr>
          <w:rFonts w:ascii="Times New Roman" w:hAnsi="Times New Roman" w:cs="Times New Roman"/>
          <w:sz w:val="24"/>
          <w:szCs w:val="24"/>
        </w:rPr>
        <w:t>net zero</w:t>
      </w:r>
      <w:r w:rsidRPr="00712B16">
        <w:rPr>
          <w:rFonts w:ascii="Times New Roman" w:hAnsi="Times New Roman" w:cs="Times New Roman"/>
          <w:sz w:val="24"/>
          <w:szCs w:val="24"/>
        </w:rPr>
        <w:t xml:space="preserve"> target </w:t>
      </w:r>
      <w:r w:rsidR="006A5F05" w:rsidRPr="00712B16">
        <w:rPr>
          <w:rFonts w:ascii="Times New Roman" w:hAnsi="Times New Roman" w:cs="Times New Roman"/>
          <w:sz w:val="24"/>
          <w:szCs w:val="24"/>
        </w:rPr>
        <w:t>commitment</w:t>
      </w:r>
      <w:r w:rsidRPr="00712B16">
        <w:rPr>
          <w:rFonts w:ascii="Times New Roman" w:hAnsi="Times New Roman" w:cs="Times New Roman"/>
          <w:sz w:val="24"/>
          <w:szCs w:val="24"/>
        </w:rPr>
        <w:t xml:space="preserve"> and REM activities. The coefficient estimates on the interaction between country-level </w:t>
      </w:r>
      <w:r w:rsidR="005832CF" w:rsidRPr="00712B16">
        <w:rPr>
          <w:rFonts w:ascii="Times New Roman" w:hAnsi="Times New Roman" w:cs="Times New Roman"/>
          <w:sz w:val="24"/>
          <w:szCs w:val="24"/>
        </w:rPr>
        <w:t>net zero</w:t>
      </w:r>
      <w:r w:rsidRPr="00712B16">
        <w:rPr>
          <w:rFonts w:ascii="Times New Roman" w:hAnsi="Times New Roman" w:cs="Times New Roman"/>
          <w:sz w:val="24"/>
          <w:szCs w:val="24"/>
        </w:rPr>
        <w:t xml:space="preserve"> </w:t>
      </w:r>
      <w:r w:rsidR="00090DC8" w:rsidRPr="00712B16">
        <w:rPr>
          <w:rFonts w:ascii="Times New Roman" w:hAnsi="Times New Roman" w:cs="Times New Roman"/>
          <w:sz w:val="24"/>
          <w:szCs w:val="24"/>
        </w:rPr>
        <w:t xml:space="preserve">target </w:t>
      </w:r>
      <w:r w:rsidR="006A5F05" w:rsidRPr="00712B16">
        <w:rPr>
          <w:rFonts w:ascii="Times New Roman" w:hAnsi="Times New Roman" w:cs="Times New Roman"/>
          <w:sz w:val="24"/>
          <w:szCs w:val="24"/>
        </w:rPr>
        <w:t>commitment</w:t>
      </w:r>
      <w:r w:rsidRPr="00712B16">
        <w:rPr>
          <w:rFonts w:ascii="Times New Roman" w:hAnsi="Times New Roman" w:cs="Times New Roman"/>
          <w:sz w:val="24"/>
          <w:szCs w:val="24"/>
        </w:rPr>
        <w:t xml:space="preserve"> and CSR (</w:t>
      </w:r>
      <w:r w:rsidRPr="00712B16">
        <w:rPr>
          <w:rFonts w:ascii="Times New Roman" w:hAnsi="Times New Roman" w:cs="Times New Roman"/>
          <w:i/>
          <w:iCs/>
          <w:sz w:val="24"/>
          <w:szCs w:val="24"/>
        </w:rPr>
        <w:t>COUNTRY_NETZERO*CSR</w:t>
      </w:r>
      <w:r w:rsidRPr="00712B16">
        <w:rPr>
          <w:rFonts w:ascii="Times New Roman" w:hAnsi="Times New Roman" w:cs="Times New Roman"/>
          <w:sz w:val="24"/>
          <w:szCs w:val="24"/>
        </w:rPr>
        <w:t xml:space="preserve">) are negative and </w:t>
      </w:r>
      <w:r w:rsidR="0039074B" w:rsidRPr="00712B16">
        <w:rPr>
          <w:rFonts w:ascii="Times New Roman" w:hAnsi="Times New Roman" w:cs="Times New Roman"/>
          <w:sz w:val="24"/>
          <w:szCs w:val="24"/>
        </w:rPr>
        <w:t xml:space="preserve">statistically </w:t>
      </w:r>
      <w:r w:rsidRPr="00712B16">
        <w:rPr>
          <w:rFonts w:ascii="Times New Roman" w:hAnsi="Times New Roman" w:cs="Times New Roman"/>
          <w:sz w:val="24"/>
          <w:szCs w:val="24"/>
        </w:rPr>
        <w:t xml:space="preserve">significant for three of the four measures of </w:t>
      </w:r>
      <w:r w:rsidRPr="00712B16">
        <w:rPr>
          <w:rFonts w:ascii="Times New Roman" w:hAnsi="Times New Roman" w:cs="Times New Roman"/>
          <w:iCs/>
          <w:sz w:val="24"/>
          <w:szCs w:val="24"/>
        </w:rPr>
        <w:t>REM</w:t>
      </w:r>
      <w:r w:rsidRPr="00712B16">
        <w:rPr>
          <w:rFonts w:ascii="Times New Roman" w:hAnsi="Times New Roman" w:cs="Times New Roman"/>
          <w:sz w:val="24"/>
          <w:szCs w:val="24"/>
        </w:rPr>
        <w:t xml:space="preserve"> (</w:t>
      </w:r>
      <w:r w:rsidRPr="00712B16">
        <w:rPr>
          <w:rFonts w:ascii="Times New Roman" w:hAnsi="Times New Roman" w:cs="Times New Roman"/>
          <w:i/>
          <w:iCs/>
          <w:sz w:val="24"/>
          <w:szCs w:val="24"/>
        </w:rPr>
        <w:t>REM_CFO</w:t>
      </w:r>
      <w:r w:rsidRPr="00712B16">
        <w:rPr>
          <w:rFonts w:ascii="Times New Roman" w:hAnsi="Times New Roman" w:cs="Times New Roman"/>
          <w:sz w:val="24"/>
          <w:szCs w:val="24"/>
        </w:rPr>
        <w:t xml:space="preserve">: coefficient=-0.034, p-value&lt;0.01; </w:t>
      </w:r>
      <w:r w:rsidRPr="00712B16">
        <w:rPr>
          <w:rFonts w:ascii="Times New Roman" w:hAnsi="Times New Roman" w:cs="Times New Roman"/>
          <w:i/>
          <w:iCs/>
          <w:sz w:val="24"/>
          <w:szCs w:val="24"/>
        </w:rPr>
        <w:t>REM_DISEXP</w:t>
      </w:r>
      <w:r w:rsidRPr="00712B16">
        <w:rPr>
          <w:rFonts w:ascii="Times New Roman" w:hAnsi="Times New Roman" w:cs="Times New Roman"/>
          <w:sz w:val="24"/>
          <w:szCs w:val="24"/>
        </w:rPr>
        <w:t xml:space="preserve">: coefficient=-0.032, p-value&lt;0.01; </w:t>
      </w:r>
      <w:r w:rsidRPr="00712B16">
        <w:rPr>
          <w:rFonts w:ascii="Times New Roman" w:hAnsi="Times New Roman" w:cs="Times New Roman"/>
          <w:i/>
          <w:iCs/>
          <w:sz w:val="24"/>
          <w:szCs w:val="24"/>
        </w:rPr>
        <w:t>REM_SUM</w:t>
      </w:r>
      <w:r w:rsidRPr="00712B16">
        <w:rPr>
          <w:rFonts w:ascii="Times New Roman" w:hAnsi="Times New Roman" w:cs="Times New Roman"/>
          <w:sz w:val="24"/>
          <w:szCs w:val="24"/>
        </w:rPr>
        <w:t>: coefficient=-0.071, p-value&lt;0.01).</w:t>
      </w:r>
    </w:p>
    <w:p w14:paraId="11EACF25" w14:textId="6112CD6D" w:rsidR="009B474E" w:rsidRPr="00712B16" w:rsidRDefault="00AE13FE" w:rsidP="00AE13FE">
      <w:pPr>
        <w:spacing w:after="0" w:line="480" w:lineRule="auto"/>
        <w:jc w:val="center"/>
        <w:rPr>
          <w:rFonts w:ascii="Times New Roman" w:hAnsi="Times New Roman" w:cs="Times New Roman"/>
          <w:sz w:val="24"/>
          <w:szCs w:val="24"/>
        </w:rPr>
      </w:pPr>
      <w:r w:rsidRPr="00712B16">
        <w:rPr>
          <w:rFonts w:ascii="Times New Roman" w:hAnsi="Times New Roman" w:cs="Times New Roman"/>
          <w:sz w:val="24"/>
          <w:szCs w:val="24"/>
        </w:rPr>
        <w:t xml:space="preserve">[Insert Table </w:t>
      </w:r>
      <w:r w:rsidR="00AE4D48" w:rsidRPr="00712B16">
        <w:rPr>
          <w:rFonts w:ascii="Times New Roman" w:hAnsi="Times New Roman" w:cs="Times New Roman"/>
          <w:sz w:val="24"/>
          <w:szCs w:val="24"/>
        </w:rPr>
        <w:t>5</w:t>
      </w:r>
      <w:r w:rsidRPr="00712B16">
        <w:rPr>
          <w:rFonts w:ascii="Times New Roman" w:hAnsi="Times New Roman" w:cs="Times New Roman"/>
          <w:sz w:val="24"/>
          <w:szCs w:val="24"/>
        </w:rPr>
        <w:t xml:space="preserve"> about here]</w:t>
      </w:r>
    </w:p>
    <w:p w14:paraId="3C917BE4" w14:textId="3F7141D7" w:rsidR="009B474E" w:rsidRPr="00712B16" w:rsidRDefault="009B474E" w:rsidP="00B36EBF">
      <w:pPr>
        <w:spacing w:after="0" w:line="480" w:lineRule="auto"/>
        <w:ind w:firstLine="720"/>
        <w:jc w:val="both"/>
        <w:rPr>
          <w:rFonts w:ascii="Times New Roman" w:hAnsi="Times New Roman" w:cs="Times New Roman"/>
          <w:sz w:val="24"/>
          <w:szCs w:val="24"/>
        </w:rPr>
      </w:pPr>
      <w:r w:rsidRPr="00712B16">
        <w:rPr>
          <w:rFonts w:ascii="Times New Roman" w:hAnsi="Times New Roman" w:cs="Times New Roman"/>
          <w:sz w:val="24"/>
          <w:szCs w:val="24"/>
        </w:rPr>
        <w:lastRenderedPageBreak/>
        <w:t xml:space="preserve">The findings from this analysis suggest that the CSR performance of firms plays a significant role in mitigating the positive association between </w:t>
      </w:r>
      <w:r w:rsidR="00126B7F" w:rsidRPr="00712B16">
        <w:rPr>
          <w:rFonts w:ascii="Times New Roman" w:hAnsi="Times New Roman" w:cs="Times New Roman"/>
          <w:sz w:val="24"/>
          <w:szCs w:val="24"/>
        </w:rPr>
        <w:t xml:space="preserve">the </w:t>
      </w:r>
      <w:r w:rsidR="005832CF" w:rsidRPr="00712B16">
        <w:rPr>
          <w:rFonts w:ascii="Times New Roman" w:hAnsi="Times New Roman" w:cs="Times New Roman"/>
          <w:sz w:val="24"/>
          <w:szCs w:val="24"/>
        </w:rPr>
        <w:t>net zero</w:t>
      </w:r>
      <w:r w:rsidRPr="00712B16">
        <w:rPr>
          <w:rFonts w:ascii="Times New Roman" w:hAnsi="Times New Roman" w:cs="Times New Roman"/>
          <w:sz w:val="24"/>
          <w:szCs w:val="24"/>
        </w:rPr>
        <w:t xml:space="preserve"> target </w:t>
      </w:r>
      <w:r w:rsidR="006A5F05" w:rsidRPr="00712B16">
        <w:rPr>
          <w:rFonts w:ascii="Times New Roman" w:hAnsi="Times New Roman" w:cs="Times New Roman"/>
          <w:sz w:val="24"/>
          <w:szCs w:val="24"/>
        </w:rPr>
        <w:t>commitment</w:t>
      </w:r>
      <w:r w:rsidRPr="00712B16">
        <w:rPr>
          <w:rFonts w:ascii="Times New Roman" w:hAnsi="Times New Roman" w:cs="Times New Roman"/>
          <w:sz w:val="24"/>
          <w:szCs w:val="24"/>
        </w:rPr>
        <w:t xml:space="preserve"> and REM activities. In other words, firms with higher CSR performance are better equipped to handle the </w:t>
      </w:r>
      <w:r w:rsidR="00C746FE" w:rsidRPr="00712B16">
        <w:rPr>
          <w:rFonts w:ascii="Times New Roman" w:hAnsi="Times New Roman" w:cs="Times New Roman"/>
          <w:sz w:val="24"/>
          <w:szCs w:val="24"/>
        </w:rPr>
        <w:t xml:space="preserve">regulatory </w:t>
      </w:r>
      <w:r w:rsidR="00007674" w:rsidRPr="00712B16">
        <w:rPr>
          <w:rFonts w:ascii="Times New Roman" w:hAnsi="Times New Roman" w:cs="Times New Roman"/>
          <w:sz w:val="24"/>
          <w:szCs w:val="24"/>
        </w:rPr>
        <w:t>shock</w:t>
      </w:r>
      <w:r w:rsidRPr="00712B16">
        <w:rPr>
          <w:rFonts w:ascii="Times New Roman" w:hAnsi="Times New Roman" w:cs="Times New Roman"/>
          <w:sz w:val="24"/>
          <w:szCs w:val="24"/>
        </w:rPr>
        <w:t xml:space="preserve"> of </w:t>
      </w:r>
      <w:r w:rsidR="005832CF" w:rsidRPr="00712B16">
        <w:rPr>
          <w:rFonts w:ascii="Times New Roman" w:hAnsi="Times New Roman" w:cs="Times New Roman"/>
          <w:sz w:val="24"/>
          <w:szCs w:val="24"/>
        </w:rPr>
        <w:t>net zero</w:t>
      </w:r>
      <w:r w:rsidR="00126B7F" w:rsidRPr="00712B16">
        <w:rPr>
          <w:rFonts w:ascii="Times New Roman" w:hAnsi="Times New Roman" w:cs="Times New Roman"/>
          <w:sz w:val="24"/>
          <w:szCs w:val="24"/>
        </w:rPr>
        <w:t xml:space="preserve"> targets</w:t>
      </w:r>
      <w:r w:rsidRPr="00712B16">
        <w:rPr>
          <w:rFonts w:ascii="Times New Roman" w:hAnsi="Times New Roman" w:cs="Times New Roman"/>
          <w:sz w:val="24"/>
          <w:szCs w:val="24"/>
        </w:rPr>
        <w:t xml:space="preserve"> in their home country, leading to a reduced likelihood of engaging in </w:t>
      </w:r>
      <w:r w:rsidR="00D71377" w:rsidRPr="00712B16">
        <w:rPr>
          <w:rFonts w:ascii="Times New Roman" w:hAnsi="Times New Roman" w:cs="Times New Roman"/>
          <w:sz w:val="24"/>
          <w:szCs w:val="24"/>
        </w:rPr>
        <w:t>REM</w:t>
      </w:r>
      <w:r w:rsidRPr="00712B16">
        <w:rPr>
          <w:rFonts w:ascii="Times New Roman" w:hAnsi="Times New Roman" w:cs="Times New Roman"/>
          <w:sz w:val="24"/>
          <w:szCs w:val="24"/>
        </w:rPr>
        <w:t xml:space="preserve"> practices.</w:t>
      </w:r>
    </w:p>
    <w:p w14:paraId="4BA6C527" w14:textId="58B5D7BA" w:rsidR="009032E8" w:rsidRPr="00712B16" w:rsidRDefault="009B474E" w:rsidP="005E073B">
      <w:pPr>
        <w:spacing w:after="0" w:line="480" w:lineRule="auto"/>
        <w:ind w:firstLine="720"/>
        <w:jc w:val="both"/>
        <w:rPr>
          <w:rFonts w:ascii="Times New Roman" w:hAnsi="Times New Roman" w:cs="Times New Roman"/>
          <w:sz w:val="24"/>
          <w:szCs w:val="24"/>
        </w:rPr>
      </w:pPr>
      <w:r w:rsidRPr="00712B16">
        <w:rPr>
          <w:rFonts w:ascii="Times New Roman" w:hAnsi="Times New Roman" w:cs="Times New Roman"/>
          <w:sz w:val="24"/>
          <w:szCs w:val="24"/>
        </w:rPr>
        <w:t xml:space="preserve">The comprehensive CSR score </w:t>
      </w:r>
      <w:r w:rsidR="00A338D1" w:rsidRPr="00712B16">
        <w:rPr>
          <w:rFonts w:ascii="Times New Roman" w:hAnsi="Times New Roman" w:cs="Times New Roman"/>
          <w:sz w:val="24"/>
          <w:szCs w:val="24"/>
        </w:rPr>
        <w:t>comprises</w:t>
      </w:r>
      <w:r w:rsidRPr="00712B16">
        <w:rPr>
          <w:rFonts w:ascii="Times New Roman" w:hAnsi="Times New Roman" w:cs="Times New Roman"/>
          <w:sz w:val="24"/>
          <w:szCs w:val="24"/>
        </w:rPr>
        <w:t xml:space="preserve"> three key components of performance: environmental, social, and corporate governance. Each of these measures, both individually and collectively, contributes to the firm's readiness and willingness to align with the objectives associated with</w:t>
      </w:r>
      <w:r w:rsidR="00C27BF1" w:rsidRPr="00712B16">
        <w:rPr>
          <w:rFonts w:ascii="Times New Roman" w:hAnsi="Times New Roman" w:cs="Times New Roman"/>
          <w:sz w:val="24"/>
          <w:szCs w:val="24"/>
        </w:rPr>
        <w:t xml:space="preserve"> the</w:t>
      </w:r>
      <w:r w:rsidRPr="00712B16">
        <w:rPr>
          <w:rFonts w:ascii="Times New Roman" w:hAnsi="Times New Roman" w:cs="Times New Roman"/>
          <w:sz w:val="24"/>
          <w:szCs w:val="24"/>
        </w:rPr>
        <w:t xml:space="preserve"> </w:t>
      </w:r>
      <w:r w:rsidR="005832CF" w:rsidRPr="00712B16">
        <w:rPr>
          <w:rFonts w:ascii="Times New Roman" w:hAnsi="Times New Roman" w:cs="Times New Roman"/>
          <w:sz w:val="24"/>
          <w:szCs w:val="24"/>
        </w:rPr>
        <w:t>net zero</w:t>
      </w:r>
      <w:r w:rsidR="00090DC8" w:rsidRPr="00712B16">
        <w:rPr>
          <w:rFonts w:ascii="Times New Roman" w:hAnsi="Times New Roman" w:cs="Times New Roman"/>
          <w:sz w:val="24"/>
          <w:szCs w:val="24"/>
        </w:rPr>
        <w:t xml:space="preserve"> target</w:t>
      </w:r>
      <w:r w:rsidRPr="00712B16">
        <w:rPr>
          <w:rFonts w:ascii="Times New Roman" w:hAnsi="Times New Roman" w:cs="Times New Roman"/>
          <w:sz w:val="24"/>
          <w:szCs w:val="24"/>
        </w:rPr>
        <w:t xml:space="preserve"> </w:t>
      </w:r>
      <w:r w:rsidR="006A5F05" w:rsidRPr="00712B16">
        <w:rPr>
          <w:rFonts w:ascii="Times New Roman" w:hAnsi="Times New Roman" w:cs="Times New Roman"/>
          <w:sz w:val="24"/>
          <w:szCs w:val="24"/>
        </w:rPr>
        <w:t>commitment</w:t>
      </w:r>
      <w:r w:rsidRPr="00712B16">
        <w:rPr>
          <w:rFonts w:ascii="Times New Roman" w:hAnsi="Times New Roman" w:cs="Times New Roman"/>
          <w:sz w:val="24"/>
          <w:szCs w:val="24"/>
        </w:rPr>
        <w:t xml:space="preserve">. By demonstrating a commitment to sustainability and responsible business practices, these socially responsible firms are better prepared to face the challenges posed by </w:t>
      </w:r>
      <w:r w:rsidR="00126B7F" w:rsidRPr="00712B16">
        <w:rPr>
          <w:rFonts w:ascii="Times New Roman" w:hAnsi="Times New Roman" w:cs="Times New Roman"/>
          <w:sz w:val="24"/>
          <w:szCs w:val="24"/>
        </w:rPr>
        <w:t xml:space="preserve">the </w:t>
      </w:r>
      <w:r w:rsidR="005832CF" w:rsidRPr="00712B16">
        <w:rPr>
          <w:rFonts w:ascii="Times New Roman" w:hAnsi="Times New Roman" w:cs="Times New Roman"/>
          <w:sz w:val="24"/>
          <w:szCs w:val="24"/>
        </w:rPr>
        <w:t>net zero</w:t>
      </w:r>
      <w:r w:rsidRPr="00712B16">
        <w:rPr>
          <w:rFonts w:ascii="Times New Roman" w:hAnsi="Times New Roman" w:cs="Times New Roman"/>
          <w:sz w:val="24"/>
          <w:szCs w:val="24"/>
        </w:rPr>
        <w:t xml:space="preserve"> target </w:t>
      </w:r>
      <w:r w:rsidR="00837CFE" w:rsidRPr="00712B16">
        <w:rPr>
          <w:rFonts w:ascii="Times New Roman" w:hAnsi="Times New Roman" w:cs="Times New Roman"/>
          <w:sz w:val="24"/>
          <w:szCs w:val="24"/>
        </w:rPr>
        <w:t>commitment</w:t>
      </w:r>
      <w:r w:rsidRPr="00712B16">
        <w:rPr>
          <w:rFonts w:ascii="Times New Roman" w:hAnsi="Times New Roman" w:cs="Times New Roman"/>
          <w:sz w:val="24"/>
          <w:szCs w:val="24"/>
        </w:rPr>
        <w:t xml:space="preserve"> and are less inclined to resort to </w:t>
      </w:r>
      <w:r w:rsidR="00AD1830" w:rsidRPr="00712B16">
        <w:rPr>
          <w:rFonts w:ascii="Times New Roman" w:hAnsi="Times New Roman" w:cs="Times New Roman"/>
          <w:sz w:val="24"/>
          <w:szCs w:val="24"/>
        </w:rPr>
        <w:t>REM</w:t>
      </w:r>
      <w:r w:rsidRPr="00712B16">
        <w:rPr>
          <w:rFonts w:ascii="Times New Roman" w:hAnsi="Times New Roman" w:cs="Times New Roman"/>
          <w:sz w:val="24"/>
          <w:szCs w:val="24"/>
        </w:rPr>
        <w:t xml:space="preserve"> as a coping mechanism.</w:t>
      </w:r>
      <w:r w:rsidR="00E051A3" w:rsidRPr="00712B16">
        <w:rPr>
          <w:rStyle w:val="FootnoteReference"/>
          <w:rFonts w:ascii="Times New Roman" w:hAnsi="Times New Roman" w:cs="Times New Roman"/>
          <w:sz w:val="24"/>
          <w:szCs w:val="24"/>
        </w:rPr>
        <w:footnoteReference w:id="13"/>
      </w:r>
    </w:p>
    <w:p w14:paraId="570A2946" w14:textId="3949BD22" w:rsidR="00450A5F" w:rsidRPr="00712B16" w:rsidRDefault="00AE13FE" w:rsidP="00C32631">
      <w:pPr>
        <w:spacing w:after="0" w:line="480" w:lineRule="auto"/>
        <w:ind w:firstLine="720"/>
        <w:jc w:val="both"/>
        <w:rPr>
          <w:rFonts w:ascii="Times New Roman" w:hAnsi="Times New Roman" w:cs="Times New Roman"/>
          <w:bCs/>
          <w:iCs/>
          <w:sz w:val="24"/>
          <w:szCs w:val="24"/>
        </w:rPr>
      </w:pPr>
      <w:r w:rsidRPr="00712B16">
        <w:rPr>
          <w:rFonts w:ascii="Times New Roman" w:hAnsi="Times New Roman" w:cs="Times New Roman"/>
          <w:sz w:val="24"/>
          <w:szCs w:val="24"/>
        </w:rPr>
        <w:t xml:space="preserve">Overall, </w:t>
      </w:r>
      <w:r w:rsidRPr="00712B16">
        <w:rPr>
          <w:rFonts w:ascii="Times New Roman" w:hAnsi="Times New Roman" w:cs="Times New Roman"/>
          <w:bCs/>
          <w:iCs/>
          <w:sz w:val="24"/>
          <w:szCs w:val="24"/>
          <w:lang w:val="en-AU"/>
        </w:rPr>
        <w:t>our results are consistent with the theoretical framework developed by Carroll (1979)</w:t>
      </w:r>
      <w:r w:rsidR="006E4770" w:rsidRPr="00712B16">
        <w:rPr>
          <w:rFonts w:ascii="Times New Roman" w:hAnsi="Times New Roman" w:cs="Times New Roman"/>
          <w:bCs/>
          <w:iCs/>
          <w:sz w:val="24"/>
          <w:szCs w:val="24"/>
          <w:lang w:val="en-AU"/>
        </w:rPr>
        <w:t>,</w:t>
      </w:r>
      <w:r w:rsidRPr="00712B16">
        <w:rPr>
          <w:rFonts w:ascii="Times New Roman" w:hAnsi="Times New Roman" w:cs="Times New Roman"/>
          <w:bCs/>
          <w:iCs/>
          <w:sz w:val="24"/>
          <w:szCs w:val="24"/>
          <w:lang w:val="en-AU"/>
        </w:rPr>
        <w:t xml:space="preserve"> which posits that firms address their obligations to society through economic, legal, ethical, and discretionary performance. In particular, our findings provide support to prior literature in showing that </w:t>
      </w:r>
      <w:r w:rsidRPr="00712B16">
        <w:rPr>
          <w:rFonts w:ascii="Times New Roman" w:hAnsi="Times New Roman" w:cs="Times New Roman"/>
          <w:bCs/>
          <w:iCs/>
          <w:sz w:val="24"/>
          <w:szCs w:val="24"/>
        </w:rPr>
        <w:t>CSR-oriented firms appear to reduce or avoid earnings management through real activities manipulations.</w:t>
      </w:r>
      <w:bookmarkStart w:id="46" w:name="_Toc118466046"/>
      <w:bookmarkStart w:id="47" w:name="_Hlk118978112"/>
    </w:p>
    <w:p w14:paraId="5CE9860F" w14:textId="77777777" w:rsidR="00C32631" w:rsidRPr="00712B16" w:rsidRDefault="00C32631" w:rsidP="00C32631">
      <w:pPr>
        <w:spacing w:after="0" w:line="480" w:lineRule="auto"/>
        <w:ind w:firstLine="720"/>
        <w:jc w:val="both"/>
        <w:rPr>
          <w:rFonts w:ascii="Times New Roman" w:hAnsi="Times New Roman" w:cs="Times New Roman"/>
          <w:b/>
          <w:bCs/>
          <w:sz w:val="24"/>
          <w:szCs w:val="24"/>
        </w:rPr>
      </w:pPr>
    </w:p>
    <w:p w14:paraId="3459C24A" w14:textId="0A115C2F" w:rsidR="009032E8" w:rsidRPr="00712B16" w:rsidRDefault="00183F61" w:rsidP="005E073B">
      <w:pPr>
        <w:pStyle w:val="Heading1"/>
        <w:spacing w:before="0" w:line="480" w:lineRule="auto"/>
        <w:rPr>
          <w:rFonts w:ascii="Times New Roman" w:hAnsi="Times New Roman" w:cs="Times New Roman"/>
          <w:b/>
          <w:bCs/>
          <w:color w:val="auto"/>
          <w:sz w:val="24"/>
          <w:szCs w:val="24"/>
        </w:rPr>
      </w:pPr>
      <w:r w:rsidRPr="00712B16">
        <w:rPr>
          <w:rFonts w:ascii="Times New Roman" w:hAnsi="Times New Roman" w:cs="Times New Roman"/>
          <w:b/>
          <w:bCs/>
          <w:color w:val="auto"/>
          <w:sz w:val="24"/>
          <w:szCs w:val="24"/>
        </w:rPr>
        <w:lastRenderedPageBreak/>
        <w:t>5. Robustness checks and additional analyses</w:t>
      </w:r>
      <w:bookmarkEnd w:id="46"/>
    </w:p>
    <w:p w14:paraId="727F66E6" w14:textId="152CB504" w:rsidR="009032E8" w:rsidRPr="00712B16" w:rsidRDefault="00183F61" w:rsidP="005E073B">
      <w:pPr>
        <w:pStyle w:val="Heading2"/>
        <w:spacing w:before="0" w:line="480" w:lineRule="auto"/>
        <w:rPr>
          <w:b w:val="0"/>
          <w:i/>
        </w:rPr>
      </w:pPr>
      <w:bookmarkStart w:id="48" w:name="_Toc118466047"/>
      <w:r w:rsidRPr="00712B16">
        <w:rPr>
          <w:b w:val="0"/>
          <w:i/>
        </w:rPr>
        <w:t>5.1 Propensity score matching (PSM)</w:t>
      </w:r>
      <w:bookmarkEnd w:id="48"/>
    </w:p>
    <w:bookmarkEnd w:id="47"/>
    <w:p w14:paraId="6EFA3AC0" w14:textId="3204A104" w:rsidR="007E5873" w:rsidRPr="00712B16" w:rsidRDefault="007E5873" w:rsidP="007E5873">
      <w:pPr>
        <w:spacing w:after="0" w:line="480" w:lineRule="auto"/>
        <w:jc w:val="both"/>
        <w:rPr>
          <w:rFonts w:ascii="Times New Roman" w:hAnsi="Times New Roman" w:cs="Times New Roman"/>
          <w:sz w:val="24"/>
          <w:szCs w:val="24"/>
        </w:rPr>
      </w:pPr>
      <w:r w:rsidRPr="00712B16">
        <w:rPr>
          <w:rFonts w:ascii="Times New Roman" w:hAnsi="Times New Roman" w:cs="Times New Roman"/>
          <w:sz w:val="24"/>
          <w:szCs w:val="24"/>
        </w:rPr>
        <w:t xml:space="preserve">To address endogeneity concerns, we employ </w:t>
      </w:r>
      <w:r w:rsidR="006E4770" w:rsidRPr="00712B16">
        <w:rPr>
          <w:rFonts w:ascii="Times New Roman" w:hAnsi="Times New Roman" w:cs="Times New Roman"/>
          <w:sz w:val="24"/>
          <w:szCs w:val="24"/>
        </w:rPr>
        <w:t xml:space="preserve">the </w:t>
      </w:r>
      <w:r w:rsidRPr="00712B16">
        <w:rPr>
          <w:rFonts w:ascii="Times New Roman" w:hAnsi="Times New Roman" w:cs="Times New Roman"/>
          <w:sz w:val="24"/>
          <w:szCs w:val="24"/>
        </w:rPr>
        <w:t xml:space="preserve">propensity score matching (PSM) methodology. In the PSM approach, each observation in the subsample from countries with </w:t>
      </w:r>
      <w:r w:rsidR="00C27BF1" w:rsidRPr="00712B16">
        <w:rPr>
          <w:rFonts w:ascii="Times New Roman" w:hAnsi="Times New Roman" w:cs="Times New Roman"/>
          <w:sz w:val="24"/>
          <w:szCs w:val="24"/>
        </w:rPr>
        <w:t xml:space="preserve">the </w:t>
      </w:r>
      <w:r w:rsidR="005832CF" w:rsidRPr="00712B16">
        <w:rPr>
          <w:rFonts w:ascii="Times New Roman" w:hAnsi="Times New Roman" w:cs="Times New Roman"/>
          <w:sz w:val="24"/>
          <w:szCs w:val="24"/>
        </w:rPr>
        <w:t>net zero</w:t>
      </w:r>
      <w:r w:rsidRPr="00712B16">
        <w:rPr>
          <w:rFonts w:ascii="Times New Roman" w:hAnsi="Times New Roman" w:cs="Times New Roman"/>
          <w:sz w:val="24"/>
          <w:szCs w:val="24"/>
        </w:rPr>
        <w:t xml:space="preserve"> targets is matched with an observation from countries without </w:t>
      </w:r>
      <w:r w:rsidR="008A7794" w:rsidRPr="00712B16">
        <w:rPr>
          <w:rFonts w:ascii="Times New Roman" w:hAnsi="Times New Roman" w:cs="Times New Roman"/>
          <w:sz w:val="24"/>
          <w:szCs w:val="24"/>
        </w:rPr>
        <w:t xml:space="preserve">the </w:t>
      </w:r>
      <w:r w:rsidR="005832CF" w:rsidRPr="00712B16">
        <w:rPr>
          <w:rFonts w:ascii="Times New Roman" w:hAnsi="Times New Roman" w:cs="Times New Roman"/>
          <w:sz w:val="24"/>
          <w:szCs w:val="24"/>
        </w:rPr>
        <w:t>net zero</w:t>
      </w:r>
      <w:r w:rsidRPr="00712B16">
        <w:rPr>
          <w:rFonts w:ascii="Times New Roman" w:hAnsi="Times New Roman" w:cs="Times New Roman"/>
          <w:sz w:val="24"/>
          <w:szCs w:val="24"/>
        </w:rPr>
        <w:t xml:space="preserve"> targets, based on their closest propensity score within a caliper of 0.10, </w:t>
      </w:r>
      <w:r w:rsidR="00D67298" w:rsidRPr="00712B16">
        <w:rPr>
          <w:rFonts w:ascii="Times New Roman" w:hAnsi="Times New Roman" w:cs="Times New Roman"/>
          <w:sz w:val="24"/>
          <w:szCs w:val="24"/>
        </w:rPr>
        <w:t>considering</w:t>
      </w:r>
      <w:r w:rsidRPr="00712B16">
        <w:rPr>
          <w:rFonts w:ascii="Times New Roman" w:hAnsi="Times New Roman" w:cs="Times New Roman"/>
          <w:sz w:val="24"/>
          <w:szCs w:val="24"/>
        </w:rPr>
        <w:t xml:space="preserve"> all control variables. The matched observations from both subsamples are then pooled to create the matched sample.</w:t>
      </w:r>
    </w:p>
    <w:p w14:paraId="7486BDFB" w14:textId="5321D60F" w:rsidR="001A450F" w:rsidRPr="00712B16" w:rsidRDefault="007E5873" w:rsidP="00723823">
      <w:pPr>
        <w:spacing w:after="0" w:line="480" w:lineRule="auto"/>
        <w:ind w:firstLine="720"/>
        <w:jc w:val="both"/>
        <w:rPr>
          <w:rFonts w:ascii="Times New Roman" w:hAnsi="Times New Roman" w:cs="Times New Roman"/>
          <w:sz w:val="24"/>
          <w:szCs w:val="24"/>
        </w:rPr>
      </w:pPr>
      <w:r w:rsidRPr="00712B16">
        <w:rPr>
          <w:rFonts w:ascii="Times New Roman" w:hAnsi="Times New Roman" w:cs="Times New Roman"/>
          <w:sz w:val="24"/>
          <w:szCs w:val="24"/>
        </w:rPr>
        <w:t xml:space="preserve">Table </w:t>
      </w:r>
      <w:r w:rsidR="00AE4D48" w:rsidRPr="00712B16">
        <w:rPr>
          <w:rFonts w:ascii="Times New Roman" w:hAnsi="Times New Roman" w:cs="Times New Roman"/>
          <w:sz w:val="24"/>
          <w:szCs w:val="24"/>
        </w:rPr>
        <w:t>6</w:t>
      </w:r>
      <w:r w:rsidRPr="00712B16">
        <w:rPr>
          <w:rFonts w:ascii="Times New Roman" w:hAnsi="Times New Roman" w:cs="Times New Roman"/>
          <w:sz w:val="24"/>
          <w:szCs w:val="24"/>
        </w:rPr>
        <w:t xml:space="preserve"> presents the regression results for the matched sample, using the same dependent and independent variables as in the </w:t>
      </w:r>
      <w:r w:rsidR="00952CB8" w:rsidRPr="00712B16">
        <w:rPr>
          <w:rFonts w:ascii="Times New Roman" w:hAnsi="Times New Roman" w:cs="Times New Roman"/>
          <w:iCs/>
          <w:sz w:val="24"/>
          <w:szCs w:val="24"/>
        </w:rPr>
        <w:t xml:space="preserve">main </w:t>
      </w:r>
      <w:r w:rsidRPr="00712B16">
        <w:rPr>
          <w:rFonts w:ascii="Times New Roman" w:hAnsi="Times New Roman" w:cs="Times New Roman"/>
          <w:sz w:val="24"/>
          <w:szCs w:val="24"/>
        </w:rPr>
        <w:t xml:space="preserve">model. The findings from the PSM sample, which includes 65,037 observations, are consistent with the main results. Specifically, </w:t>
      </w:r>
      <w:r w:rsidRPr="00712B16">
        <w:rPr>
          <w:rFonts w:ascii="Times New Roman" w:hAnsi="Times New Roman" w:cs="Times New Roman"/>
          <w:i/>
          <w:sz w:val="24"/>
          <w:szCs w:val="24"/>
        </w:rPr>
        <w:t>COUNTRY_NETZERO</w:t>
      </w:r>
      <w:r w:rsidRPr="00712B16">
        <w:rPr>
          <w:rFonts w:ascii="Times New Roman" w:hAnsi="Times New Roman" w:cs="Times New Roman"/>
          <w:sz w:val="24"/>
          <w:szCs w:val="24"/>
        </w:rPr>
        <w:t xml:space="preserve"> is positively associated with all four measures of </w:t>
      </w:r>
      <w:r w:rsidRPr="00712B16">
        <w:rPr>
          <w:rFonts w:ascii="Times New Roman" w:hAnsi="Times New Roman" w:cs="Times New Roman"/>
          <w:i/>
          <w:sz w:val="24"/>
          <w:szCs w:val="24"/>
        </w:rPr>
        <w:t>REM</w:t>
      </w:r>
      <w:r w:rsidRPr="00712B16">
        <w:rPr>
          <w:rFonts w:ascii="Times New Roman" w:hAnsi="Times New Roman" w:cs="Times New Roman"/>
          <w:sz w:val="24"/>
          <w:szCs w:val="24"/>
        </w:rPr>
        <w:t xml:space="preserve"> and is statistically significant when </w:t>
      </w:r>
      <w:r w:rsidRPr="00712B16">
        <w:rPr>
          <w:rFonts w:ascii="Times New Roman" w:hAnsi="Times New Roman" w:cs="Times New Roman"/>
          <w:i/>
          <w:sz w:val="24"/>
          <w:szCs w:val="24"/>
        </w:rPr>
        <w:t>REM_CFO</w:t>
      </w:r>
      <w:r w:rsidRPr="00712B16">
        <w:rPr>
          <w:rFonts w:ascii="Times New Roman" w:hAnsi="Times New Roman" w:cs="Times New Roman"/>
          <w:sz w:val="24"/>
          <w:szCs w:val="24"/>
        </w:rPr>
        <w:t xml:space="preserve"> is used as the dependent variable (coefficient=0.031). Similarly, for </w:t>
      </w:r>
      <w:r w:rsidRPr="00712B16">
        <w:rPr>
          <w:rFonts w:ascii="Times New Roman" w:hAnsi="Times New Roman" w:cs="Times New Roman"/>
          <w:i/>
          <w:sz w:val="24"/>
          <w:szCs w:val="24"/>
        </w:rPr>
        <w:t>REM_DISEXP</w:t>
      </w:r>
      <w:r w:rsidRPr="00712B16">
        <w:rPr>
          <w:rFonts w:ascii="Times New Roman" w:hAnsi="Times New Roman" w:cs="Times New Roman"/>
          <w:sz w:val="24"/>
          <w:szCs w:val="24"/>
        </w:rPr>
        <w:t xml:space="preserve">, </w:t>
      </w:r>
      <w:r w:rsidRPr="00712B16">
        <w:rPr>
          <w:rFonts w:ascii="Times New Roman" w:hAnsi="Times New Roman" w:cs="Times New Roman"/>
          <w:i/>
          <w:sz w:val="24"/>
          <w:szCs w:val="24"/>
        </w:rPr>
        <w:t>REM_PRODCOST</w:t>
      </w:r>
      <w:r w:rsidRPr="00712B16">
        <w:rPr>
          <w:rFonts w:ascii="Times New Roman" w:hAnsi="Times New Roman" w:cs="Times New Roman"/>
          <w:sz w:val="24"/>
          <w:szCs w:val="24"/>
        </w:rPr>
        <w:t xml:space="preserve">, and </w:t>
      </w:r>
      <w:r w:rsidRPr="00712B16">
        <w:rPr>
          <w:rFonts w:ascii="Times New Roman" w:hAnsi="Times New Roman" w:cs="Times New Roman"/>
          <w:i/>
          <w:sz w:val="24"/>
          <w:szCs w:val="24"/>
        </w:rPr>
        <w:t>REM_SUM</w:t>
      </w:r>
      <w:r w:rsidRPr="00712B16">
        <w:rPr>
          <w:rFonts w:ascii="Times New Roman" w:hAnsi="Times New Roman" w:cs="Times New Roman"/>
          <w:sz w:val="24"/>
          <w:szCs w:val="24"/>
        </w:rPr>
        <w:t xml:space="preserve">, the coefficients are 0.022, 0.017, and 0.074, respectively, and are </w:t>
      </w:r>
      <w:r w:rsidR="00C62257" w:rsidRPr="00712B16">
        <w:rPr>
          <w:rFonts w:ascii="Times New Roman" w:hAnsi="Times New Roman" w:cs="Times New Roman"/>
          <w:sz w:val="24"/>
          <w:szCs w:val="24"/>
        </w:rPr>
        <w:t xml:space="preserve">statistically </w:t>
      </w:r>
      <w:r w:rsidRPr="00712B16">
        <w:rPr>
          <w:rFonts w:ascii="Times New Roman" w:hAnsi="Times New Roman" w:cs="Times New Roman"/>
          <w:sz w:val="24"/>
          <w:szCs w:val="24"/>
        </w:rPr>
        <w:t>significant at the 1 percent level.</w:t>
      </w:r>
      <w:r w:rsidR="00952CB8" w:rsidRPr="00712B16">
        <w:rPr>
          <w:rFonts w:ascii="Times New Roman" w:hAnsi="Times New Roman" w:cs="Times New Roman"/>
          <w:sz w:val="24"/>
          <w:szCs w:val="24"/>
        </w:rPr>
        <w:t xml:space="preserve"> </w:t>
      </w:r>
      <w:r w:rsidRPr="00712B16">
        <w:rPr>
          <w:rFonts w:ascii="Times New Roman" w:hAnsi="Times New Roman" w:cs="Times New Roman"/>
          <w:sz w:val="24"/>
          <w:szCs w:val="24"/>
        </w:rPr>
        <w:t xml:space="preserve">Overall, the results from the propensity score matching analysis provide further support to the main findings, reinforcing the positive association between the </w:t>
      </w:r>
      <w:r w:rsidR="00837CFE" w:rsidRPr="00712B16">
        <w:rPr>
          <w:rFonts w:ascii="Times New Roman" w:hAnsi="Times New Roman" w:cs="Times New Roman"/>
          <w:sz w:val="24"/>
          <w:szCs w:val="24"/>
        </w:rPr>
        <w:t>commitment to the</w:t>
      </w:r>
      <w:r w:rsidR="008A7794" w:rsidRPr="00712B16">
        <w:rPr>
          <w:rFonts w:ascii="Times New Roman" w:hAnsi="Times New Roman" w:cs="Times New Roman"/>
          <w:sz w:val="24"/>
          <w:szCs w:val="24"/>
        </w:rPr>
        <w:t xml:space="preserve"> </w:t>
      </w:r>
      <w:r w:rsidR="005832CF" w:rsidRPr="00712B16">
        <w:rPr>
          <w:rFonts w:ascii="Times New Roman" w:hAnsi="Times New Roman" w:cs="Times New Roman"/>
          <w:sz w:val="24"/>
          <w:szCs w:val="24"/>
        </w:rPr>
        <w:t>net zero</w:t>
      </w:r>
      <w:r w:rsidRPr="00712B16">
        <w:rPr>
          <w:rFonts w:ascii="Times New Roman" w:hAnsi="Times New Roman" w:cs="Times New Roman"/>
          <w:sz w:val="24"/>
          <w:szCs w:val="24"/>
        </w:rPr>
        <w:t xml:space="preserve"> targets by countries and firms' engagement in </w:t>
      </w:r>
      <w:r w:rsidR="00952CB8" w:rsidRPr="00712B16">
        <w:rPr>
          <w:rFonts w:ascii="Times New Roman" w:hAnsi="Times New Roman" w:cs="Times New Roman"/>
          <w:sz w:val="24"/>
          <w:szCs w:val="24"/>
        </w:rPr>
        <w:t>REM</w:t>
      </w:r>
      <w:r w:rsidRPr="00712B16">
        <w:rPr>
          <w:rFonts w:ascii="Times New Roman" w:hAnsi="Times New Roman" w:cs="Times New Roman"/>
          <w:sz w:val="24"/>
          <w:szCs w:val="24"/>
        </w:rPr>
        <w:t xml:space="preserve"> activities.</w:t>
      </w:r>
      <w:r w:rsidRPr="00712B16" w:rsidDel="007E5873">
        <w:rPr>
          <w:rFonts w:ascii="Times New Roman" w:hAnsi="Times New Roman" w:cs="Times New Roman"/>
          <w:sz w:val="24"/>
          <w:szCs w:val="24"/>
        </w:rPr>
        <w:t xml:space="preserve"> </w:t>
      </w:r>
    </w:p>
    <w:p w14:paraId="12A9D4C8" w14:textId="03C22C8A" w:rsidR="009032E8" w:rsidRPr="00712B16" w:rsidRDefault="00E051A3">
      <w:pPr>
        <w:spacing w:after="0" w:line="480" w:lineRule="auto"/>
        <w:jc w:val="center"/>
        <w:rPr>
          <w:rFonts w:ascii="Times New Roman" w:hAnsi="Times New Roman" w:cs="Times New Roman"/>
          <w:sz w:val="24"/>
          <w:szCs w:val="24"/>
        </w:rPr>
      </w:pPr>
      <w:r w:rsidRPr="00712B16">
        <w:rPr>
          <w:rFonts w:ascii="Times New Roman" w:hAnsi="Times New Roman" w:cs="Times New Roman"/>
          <w:sz w:val="24"/>
          <w:szCs w:val="24"/>
        </w:rPr>
        <w:t xml:space="preserve">[Insert Table </w:t>
      </w:r>
      <w:r w:rsidR="00AE4D48" w:rsidRPr="00712B16">
        <w:rPr>
          <w:rFonts w:ascii="Times New Roman" w:hAnsi="Times New Roman" w:cs="Times New Roman"/>
          <w:sz w:val="24"/>
          <w:szCs w:val="24"/>
        </w:rPr>
        <w:t>6</w:t>
      </w:r>
      <w:r w:rsidRPr="00712B16">
        <w:rPr>
          <w:rFonts w:ascii="Times New Roman" w:hAnsi="Times New Roman" w:cs="Times New Roman"/>
          <w:sz w:val="24"/>
          <w:szCs w:val="24"/>
        </w:rPr>
        <w:t xml:space="preserve"> about here]</w:t>
      </w:r>
    </w:p>
    <w:p w14:paraId="61A8C1F3" w14:textId="77777777" w:rsidR="00B36EBF" w:rsidRPr="00712B16" w:rsidRDefault="00B36EBF">
      <w:pPr>
        <w:spacing w:after="0" w:line="480" w:lineRule="auto"/>
        <w:jc w:val="center"/>
        <w:rPr>
          <w:rFonts w:ascii="Times New Roman" w:hAnsi="Times New Roman" w:cs="Times New Roman"/>
          <w:i/>
          <w:sz w:val="24"/>
          <w:szCs w:val="24"/>
        </w:rPr>
      </w:pPr>
    </w:p>
    <w:p w14:paraId="1854BEBF" w14:textId="541DCEF8" w:rsidR="009032E8" w:rsidRPr="00712B16" w:rsidRDefault="00183F61">
      <w:pPr>
        <w:pStyle w:val="Heading2"/>
        <w:spacing w:line="480" w:lineRule="auto"/>
        <w:rPr>
          <w:b w:val="0"/>
          <w:i/>
        </w:rPr>
      </w:pPr>
      <w:bookmarkStart w:id="49" w:name="_Toc118466048"/>
      <w:bookmarkStart w:id="50" w:name="_Hlk118978123"/>
      <w:r w:rsidRPr="00712B16">
        <w:rPr>
          <w:b w:val="0"/>
          <w:i/>
        </w:rPr>
        <w:t xml:space="preserve">5.2 </w:t>
      </w:r>
      <w:r w:rsidR="00446B2F" w:rsidRPr="00712B16">
        <w:rPr>
          <w:b w:val="0"/>
          <w:i/>
        </w:rPr>
        <w:t xml:space="preserve">Intensity </w:t>
      </w:r>
      <w:r w:rsidRPr="00712B16">
        <w:rPr>
          <w:b w:val="0"/>
          <w:i/>
        </w:rPr>
        <w:t xml:space="preserve">of </w:t>
      </w:r>
      <w:r w:rsidR="00065A17" w:rsidRPr="00712B16">
        <w:rPr>
          <w:b w:val="0"/>
          <w:i/>
        </w:rPr>
        <w:t xml:space="preserve">the </w:t>
      </w:r>
      <w:r w:rsidR="005832CF" w:rsidRPr="00712B16">
        <w:rPr>
          <w:b w:val="0"/>
          <w:i/>
        </w:rPr>
        <w:t>net zero</w:t>
      </w:r>
      <w:r w:rsidR="00065A17" w:rsidRPr="00712B16">
        <w:rPr>
          <w:b w:val="0"/>
          <w:i/>
        </w:rPr>
        <w:t xml:space="preserve"> target</w:t>
      </w:r>
      <w:r w:rsidRPr="00712B16">
        <w:rPr>
          <w:b w:val="0"/>
          <w:i/>
        </w:rPr>
        <w:t xml:space="preserve"> </w:t>
      </w:r>
      <w:r w:rsidR="00837CFE" w:rsidRPr="00712B16">
        <w:rPr>
          <w:b w:val="0"/>
          <w:i/>
        </w:rPr>
        <w:t>commitment</w:t>
      </w:r>
      <w:bookmarkEnd w:id="49"/>
    </w:p>
    <w:bookmarkEnd w:id="50"/>
    <w:p w14:paraId="12FFC878" w14:textId="6CD27627" w:rsidR="00446B2F" w:rsidRPr="00712B16" w:rsidRDefault="00446B2F" w:rsidP="00861F8D">
      <w:pPr>
        <w:spacing w:after="0" w:line="480" w:lineRule="auto"/>
        <w:jc w:val="both"/>
        <w:rPr>
          <w:rFonts w:ascii="Times New Roman" w:hAnsi="Times New Roman" w:cs="Times New Roman"/>
          <w:sz w:val="24"/>
          <w:szCs w:val="24"/>
        </w:rPr>
      </w:pPr>
      <w:r w:rsidRPr="00712B16">
        <w:rPr>
          <w:rFonts w:ascii="Times New Roman" w:hAnsi="Times New Roman" w:cs="Times New Roman"/>
          <w:sz w:val="24"/>
          <w:szCs w:val="24"/>
        </w:rPr>
        <w:t xml:space="preserve">Table </w:t>
      </w:r>
      <w:r w:rsidR="00AE4D48" w:rsidRPr="00712B16">
        <w:rPr>
          <w:rFonts w:ascii="Times New Roman" w:hAnsi="Times New Roman" w:cs="Times New Roman"/>
          <w:sz w:val="24"/>
          <w:szCs w:val="24"/>
        </w:rPr>
        <w:t>7</w:t>
      </w:r>
      <w:r w:rsidRPr="00712B16">
        <w:rPr>
          <w:rFonts w:ascii="Times New Roman" w:hAnsi="Times New Roman" w:cs="Times New Roman"/>
          <w:sz w:val="24"/>
          <w:szCs w:val="24"/>
        </w:rPr>
        <w:t xml:space="preserve"> presents the results of the</w:t>
      </w:r>
      <w:r w:rsidR="00CA165B" w:rsidRPr="00712B16">
        <w:rPr>
          <w:rFonts w:ascii="Times New Roman" w:hAnsi="Times New Roman" w:cs="Times New Roman"/>
          <w:sz w:val="24"/>
          <w:szCs w:val="24"/>
        </w:rPr>
        <w:t xml:space="preserve"> analysis using the</w:t>
      </w:r>
      <w:r w:rsidRPr="00712B16">
        <w:rPr>
          <w:rFonts w:ascii="Times New Roman" w:hAnsi="Times New Roman" w:cs="Times New Roman"/>
          <w:sz w:val="24"/>
          <w:szCs w:val="24"/>
        </w:rPr>
        <w:t xml:space="preserve"> </w:t>
      </w:r>
      <w:r w:rsidR="00ED3FA5" w:rsidRPr="00712B16">
        <w:rPr>
          <w:rFonts w:ascii="Times New Roman" w:hAnsi="Times New Roman" w:cs="Times New Roman"/>
          <w:sz w:val="24"/>
          <w:szCs w:val="24"/>
        </w:rPr>
        <w:t xml:space="preserve">intensity </w:t>
      </w:r>
      <w:r w:rsidRPr="00712B16">
        <w:rPr>
          <w:rFonts w:ascii="Times New Roman" w:hAnsi="Times New Roman" w:cs="Times New Roman"/>
          <w:sz w:val="24"/>
          <w:szCs w:val="24"/>
        </w:rPr>
        <w:t xml:space="preserve">of country-level </w:t>
      </w:r>
      <w:r w:rsidR="005832CF" w:rsidRPr="00712B16">
        <w:rPr>
          <w:rFonts w:ascii="Times New Roman" w:hAnsi="Times New Roman" w:cs="Times New Roman"/>
          <w:sz w:val="24"/>
          <w:szCs w:val="24"/>
        </w:rPr>
        <w:t>net zero</w:t>
      </w:r>
      <w:r w:rsidRPr="00712B16">
        <w:rPr>
          <w:rFonts w:ascii="Times New Roman" w:hAnsi="Times New Roman" w:cs="Times New Roman"/>
          <w:sz w:val="24"/>
          <w:szCs w:val="24"/>
        </w:rPr>
        <w:t xml:space="preserve"> targets</w:t>
      </w:r>
      <w:r w:rsidR="00CA165B" w:rsidRPr="00712B16">
        <w:rPr>
          <w:rFonts w:ascii="Times New Roman" w:hAnsi="Times New Roman" w:cs="Times New Roman"/>
          <w:sz w:val="24"/>
          <w:szCs w:val="24"/>
        </w:rPr>
        <w:t xml:space="preserve">, which </w:t>
      </w:r>
      <w:r w:rsidR="00CA165B" w:rsidRPr="00712B16">
        <w:rPr>
          <w:rFonts w:ascii="Times New Roman" w:hAnsi="Times New Roman" w:cs="Times New Roman"/>
          <w:sz w:val="24"/>
          <w:szCs w:val="24"/>
          <w:lang w:val="en-AU"/>
        </w:rPr>
        <w:t xml:space="preserve">captures not only whether a country has </w:t>
      </w:r>
      <w:r w:rsidR="000A40B7" w:rsidRPr="00712B16">
        <w:rPr>
          <w:rFonts w:ascii="Times New Roman" w:hAnsi="Times New Roman" w:cs="Times New Roman"/>
          <w:sz w:val="24"/>
          <w:szCs w:val="24"/>
          <w:lang w:val="en-AU"/>
        </w:rPr>
        <w:t>committed to</w:t>
      </w:r>
      <w:r w:rsidR="00CA165B" w:rsidRPr="00712B16">
        <w:rPr>
          <w:rFonts w:ascii="Times New Roman" w:hAnsi="Times New Roman" w:cs="Times New Roman"/>
          <w:sz w:val="24"/>
          <w:szCs w:val="24"/>
          <w:lang w:val="en-AU"/>
        </w:rPr>
        <w:t xml:space="preserve"> a target but also the strength of its </w:t>
      </w:r>
      <w:r w:rsidR="00837CFE" w:rsidRPr="00712B16">
        <w:rPr>
          <w:rFonts w:ascii="Times New Roman" w:hAnsi="Times New Roman" w:cs="Times New Roman"/>
          <w:sz w:val="24"/>
          <w:szCs w:val="24"/>
          <w:lang w:val="en-AU"/>
        </w:rPr>
        <w:t>commitment</w:t>
      </w:r>
      <w:r w:rsidR="00CA165B" w:rsidRPr="00712B16">
        <w:rPr>
          <w:rFonts w:ascii="Times New Roman" w:hAnsi="Times New Roman" w:cs="Times New Roman"/>
          <w:sz w:val="24"/>
          <w:szCs w:val="24"/>
          <w:lang w:val="en-AU"/>
        </w:rPr>
        <w:t xml:space="preserve"> (law, policy, pledge, or proposal). This allows us to </w:t>
      </w:r>
      <w:r w:rsidR="00CA165B" w:rsidRPr="00712B16">
        <w:rPr>
          <w:rFonts w:ascii="Times New Roman" w:hAnsi="Times New Roman" w:cs="Times New Roman"/>
          <w:sz w:val="24"/>
          <w:szCs w:val="24"/>
          <w:lang w:val="en-AU"/>
        </w:rPr>
        <w:lastRenderedPageBreak/>
        <w:t xml:space="preserve">empirically differentiate between “symbolic” </w:t>
      </w:r>
      <w:r w:rsidR="00837CFE" w:rsidRPr="00712B16">
        <w:rPr>
          <w:rFonts w:ascii="Times New Roman" w:hAnsi="Times New Roman" w:cs="Times New Roman"/>
          <w:sz w:val="24"/>
          <w:szCs w:val="24"/>
          <w:lang w:val="en-AU"/>
        </w:rPr>
        <w:t>commitment</w:t>
      </w:r>
      <w:r w:rsidR="00CA165B" w:rsidRPr="00712B16">
        <w:rPr>
          <w:rFonts w:ascii="Times New Roman" w:hAnsi="Times New Roman" w:cs="Times New Roman"/>
          <w:sz w:val="24"/>
          <w:szCs w:val="24"/>
          <w:lang w:val="en-AU"/>
        </w:rPr>
        <w:t xml:space="preserve"> and “substantive” </w:t>
      </w:r>
      <w:r w:rsidR="00837CFE" w:rsidRPr="00712B16">
        <w:rPr>
          <w:rFonts w:ascii="Times New Roman" w:hAnsi="Times New Roman" w:cs="Times New Roman"/>
          <w:sz w:val="24"/>
          <w:szCs w:val="24"/>
          <w:lang w:val="en-AU"/>
        </w:rPr>
        <w:t>commitment</w:t>
      </w:r>
      <w:r w:rsidR="00CA165B" w:rsidRPr="00712B16">
        <w:rPr>
          <w:rFonts w:ascii="Times New Roman" w:hAnsi="Times New Roman" w:cs="Times New Roman"/>
          <w:sz w:val="24"/>
          <w:szCs w:val="24"/>
          <w:lang w:val="en-AU"/>
        </w:rPr>
        <w:t>, providing richer evidence than a binary treatment indicator often employed in the literature.</w:t>
      </w:r>
      <w:r w:rsidRPr="00712B16">
        <w:rPr>
          <w:rFonts w:ascii="Times New Roman" w:hAnsi="Times New Roman" w:cs="Times New Roman"/>
          <w:sz w:val="24"/>
          <w:szCs w:val="24"/>
        </w:rPr>
        <w:t xml:space="preserve"> The findings indicate that firms headquartered in countries with higher commitment levels to </w:t>
      </w:r>
      <w:r w:rsidR="00C417A2" w:rsidRPr="00712B16">
        <w:rPr>
          <w:rFonts w:ascii="Times New Roman" w:hAnsi="Times New Roman" w:cs="Times New Roman"/>
          <w:sz w:val="24"/>
          <w:szCs w:val="24"/>
        </w:rPr>
        <w:t>a</w:t>
      </w:r>
      <w:r w:rsidR="00823FBB" w:rsidRPr="00712B16">
        <w:rPr>
          <w:rFonts w:ascii="Times New Roman" w:hAnsi="Times New Roman" w:cs="Times New Roman"/>
          <w:sz w:val="24"/>
          <w:szCs w:val="24"/>
        </w:rPr>
        <w:t xml:space="preserve"> </w:t>
      </w:r>
      <w:r w:rsidR="005832CF" w:rsidRPr="00712B16">
        <w:rPr>
          <w:rFonts w:ascii="Times New Roman" w:hAnsi="Times New Roman" w:cs="Times New Roman"/>
          <w:sz w:val="24"/>
          <w:szCs w:val="24"/>
        </w:rPr>
        <w:t>net zero</w:t>
      </w:r>
      <w:r w:rsidRPr="00712B16">
        <w:rPr>
          <w:rFonts w:ascii="Times New Roman" w:hAnsi="Times New Roman" w:cs="Times New Roman"/>
          <w:sz w:val="24"/>
          <w:szCs w:val="24"/>
        </w:rPr>
        <w:t xml:space="preserve"> target are more likely to engage in </w:t>
      </w:r>
      <w:r w:rsidRPr="00712B16">
        <w:rPr>
          <w:rFonts w:ascii="Times New Roman" w:hAnsi="Times New Roman" w:cs="Times New Roman"/>
          <w:i/>
          <w:sz w:val="24"/>
          <w:szCs w:val="24"/>
        </w:rPr>
        <w:t>REM</w:t>
      </w:r>
      <w:r w:rsidRPr="00712B16">
        <w:rPr>
          <w:rFonts w:ascii="Times New Roman" w:hAnsi="Times New Roman" w:cs="Times New Roman"/>
          <w:sz w:val="24"/>
          <w:szCs w:val="24"/>
        </w:rPr>
        <w:t xml:space="preserve"> activities. These results are consistent across all four measures of </w:t>
      </w:r>
      <w:r w:rsidRPr="00712B16">
        <w:rPr>
          <w:rFonts w:ascii="Times New Roman" w:hAnsi="Times New Roman" w:cs="Times New Roman"/>
          <w:i/>
          <w:sz w:val="24"/>
          <w:szCs w:val="24"/>
        </w:rPr>
        <w:t>REM</w:t>
      </w:r>
      <w:r w:rsidRPr="00712B16">
        <w:rPr>
          <w:rFonts w:ascii="Times New Roman" w:hAnsi="Times New Roman" w:cs="Times New Roman"/>
          <w:sz w:val="24"/>
          <w:szCs w:val="24"/>
        </w:rPr>
        <w:t xml:space="preserve"> (</w:t>
      </w:r>
      <w:r w:rsidRPr="00712B16">
        <w:rPr>
          <w:rFonts w:ascii="Times New Roman" w:hAnsi="Times New Roman" w:cs="Times New Roman"/>
          <w:i/>
          <w:sz w:val="24"/>
          <w:szCs w:val="24"/>
        </w:rPr>
        <w:t>REM_CFO</w:t>
      </w:r>
      <w:r w:rsidRPr="00712B16">
        <w:rPr>
          <w:rFonts w:ascii="Times New Roman" w:hAnsi="Times New Roman" w:cs="Times New Roman"/>
          <w:sz w:val="24"/>
          <w:szCs w:val="24"/>
        </w:rPr>
        <w:t xml:space="preserve">: coefficient=0.001, </w:t>
      </w:r>
      <w:r w:rsidRPr="00712B16">
        <w:rPr>
          <w:rFonts w:ascii="Times New Roman" w:hAnsi="Times New Roman" w:cs="Times New Roman"/>
          <w:i/>
          <w:sz w:val="24"/>
          <w:szCs w:val="24"/>
        </w:rPr>
        <w:t>p</w:t>
      </w:r>
      <w:r w:rsidRPr="00712B16">
        <w:rPr>
          <w:rFonts w:ascii="Times New Roman" w:hAnsi="Times New Roman" w:cs="Times New Roman"/>
          <w:sz w:val="24"/>
          <w:szCs w:val="24"/>
        </w:rPr>
        <w:t xml:space="preserve">-value&lt;0.01; </w:t>
      </w:r>
      <w:r w:rsidRPr="00712B16">
        <w:rPr>
          <w:rFonts w:ascii="Times New Roman" w:hAnsi="Times New Roman" w:cs="Times New Roman"/>
          <w:i/>
          <w:sz w:val="24"/>
          <w:szCs w:val="24"/>
        </w:rPr>
        <w:t>REM_DISEXP</w:t>
      </w:r>
      <w:r w:rsidRPr="00712B16">
        <w:rPr>
          <w:rFonts w:ascii="Times New Roman" w:hAnsi="Times New Roman" w:cs="Times New Roman"/>
          <w:sz w:val="24"/>
          <w:szCs w:val="24"/>
        </w:rPr>
        <w:t xml:space="preserve">: coefficient=0.001, </w:t>
      </w:r>
      <w:r w:rsidRPr="00712B16">
        <w:rPr>
          <w:rFonts w:ascii="Times New Roman" w:hAnsi="Times New Roman" w:cs="Times New Roman"/>
          <w:i/>
          <w:sz w:val="24"/>
          <w:szCs w:val="24"/>
        </w:rPr>
        <w:t>p</w:t>
      </w:r>
      <w:r w:rsidRPr="00712B16">
        <w:rPr>
          <w:rFonts w:ascii="Times New Roman" w:hAnsi="Times New Roman" w:cs="Times New Roman"/>
          <w:sz w:val="24"/>
          <w:szCs w:val="24"/>
        </w:rPr>
        <w:t xml:space="preserve">-value&lt;0.01; </w:t>
      </w:r>
      <w:r w:rsidRPr="00712B16">
        <w:rPr>
          <w:rFonts w:ascii="Times New Roman" w:hAnsi="Times New Roman" w:cs="Times New Roman"/>
          <w:i/>
          <w:sz w:val="24"/>
          <w:szCs w:val="24"/>
        </w:rPr>
        <w:t>REM_PRODCOST</w:t>
      </w:r>
      <w:r w:rsidRPr="00712B16">
        <w:rPr>
          <w:rFonts w:ascii="Times New Roman" w:hAnsi="Times New Roman" w:cs="Times New Roman"/>
          <w:sz w:val="24"/>
          <w:szCs w:val="24"/>
        </w:rPr>
        <w:t xml:space="preserve">: coefficient=0.001, </w:t>
      </w:r>
      <w:r w:rsidRPr="00712B16">
        <w:rPr>
          <w:rFonts w:ascii="Times New Roman" w:hAnsi="Times New Roman" w:cs="Times New Roman"/>
          <w:i/>
          <w:sz w:val="24"/>
          <w:szCs w:val="24"/>
        </w:rPr>
        <w:t>p</w:t>
      </w:r>
      <w:r w:rsidRPr="00712B16">
        <w:rPr>
          <w:rFonts w:ascii="Times New Roman" w:hAnsi="Times New Roman" w:cs="Times New Roman"/>
          <w:sz w:val="24"/>
          <w:szCs w:val="24"/>
        </w:rPr>
        <w:t xml:space="preserve">-value&lt;0.01; </w:t>
      </w:r>
      <w:r w:rsidRPr="00712B16">
        <w:rPr>
          <w:rFonts w:ascii="Times New Roman" w:hAnsi="Times New Roman" w:cs="Times New Roman"/>
          <w:i/>
          <w:sz w:val="24"/>
          <w:szCs w:val="24"/>
        </w:rPr>
        <w:t>REM_SUM</w:t>
      </w:r>
      <w:r w:rsidRPr="00712B16">
        <w:rPr>
          <w:rFonts w:ascii="Times New Roman" w:hAnsi="Times New Roman" w:cs="Times New Roman"/>
          <w:sz w:val="24"/>
          <w:szCs w:val="24"/>
        </w:rPr>
        <w:t xml:space="preserve">: coefficient=0.002, </w:t>
      </w:r>
      <w:r w:rsidRPr="00712B16">
        <w:rPr>
          <w:rFonts w:ascii="Times New Roman" w:hAnsi="Times New Roman" w:cs="Times New Roman"/>
          <w:i/>
          <w:sz w:val="24"/>
          <w:szCs w:val="24"/>
        </w:rPr>
        <w:t>p</w:t>
      </w:r>
      <w:r w:rsidRPr="00712B16">
        <w:rPr>
          <w:rFonts w:ascii="Times New Roman" w:hAnsi="Times New Roman" w:cs="Times New Roman"/>
          <w:sz w:val="24"/>
          <w:szCs w:val="24"/>
        </w:rPr>
        <w:t>-value&lt;0.01).</w:t>
      </w:r>
    </w:p>
    <w:p w14:paraId="2090DF03" w14:textId="70C83CAB" w:rsidR="00AE4D48" w:rsidRPr="00712B16" w:rsidRDefault="00AE4D48" w:rsidP="00AE4D48">
      <w:pPr>
        <w:spacing w:after="0" w:line="480" w:lineRule="auto"/>
        <w:jc w:val="center"/>
        <w:rPr>
          <w:rFonts w:ascii="Times New Roman" w:hAnsi="Times New Roman" w:cs="Times New Roman"/>
          <w:sz w:val="24"/>
          <w:szCs w:val="24"/>
        </w:rPr>
      </w:pPr>
      <w:r w:rsidRPr="00712B16">
        <w:rPr>
          <w:rFonts w:ascii="Times New Roman" w:hAnsi="Times New Roman" w:cs="Times New Roman"/>
          <w:sz w:val="24"/>
          <w:szCs w:val="24"/>
        </w:rPr>
        <w:t>[Insert Table 7 about here]</w:t>
      </w:r>
    </w:p>
    <w:p w14:paraId="2231C656" w14:textId="018A2C32" w:rsidR="007D192F" w:rsidRPr="00712B16" w:rsidRDefault="00446B2F" w:rsidP="00B36EBF">
      <w:pPr>
        <w:spacing w:after="0" w:line="480" w:lineRule="auto"/>
        <w:ind w:firstLine="720"/>
        <w:jc w:val="both"/>
        <w:rPr>
          <w:rFonts w:ascii="Times New Roman" w:hAnsi="Times New Roman" w:cs="Times New Roman"/>
          <w:sz w:val="24"/>
          <w:szCs w:val="24"/>
        </w:rPr>
      </w:pPr>
      <w:r w:rsidRPr="00712B16">
        <w:rPr>
          <w:rFonts w:ascii="Times New Roman" w:hAnsi="Times New Roman" w:cs="Times New Roman"/>
          <w:sz w:val="24"/>
          <w:szCs w:val="24"/>
        </w:rPr>
        <w:t xml:space="preserve">Overall, the results suggest that as the </w:t>
      </w:r>
      <w:r w:rsidR="00ED3FA5" w:rsidRPr="00712B16">
        <w:rPr>
          <w:rFonts w:ascii="Times New Roman" w:hAnsi="Times New Roman" w:cs="Times New Roman"/>
          <w:sz w:val="24"/>
          <w:szCs w:val="24"/>
        </w:rPr>
        <w:t xml:space="preserve">intensity </w:t>
      </w:r>
      <w:r w:rsidRPr="00712B16">
        <w:rPr>
          <w:rFonts w:ascii="Times New Roman" w:hAnsi="Times New Roman" w:cs="Times New Roman"/>
          <w:sz w:val="24"/>
          <w:szCs w:val="24"/>
        </w:rPr>
        <w:t xml:space="preserve">of </w:t>
      </w:r>
      <w:r w:rsidR="00823FBB" w:rsidRPr="00712B16">
        <w:rPr>
          <w:rFonts w:ascii="Times New Roman" w:hAnsi="Times New Roman" w:cs="Times New Roman"/>
          <w:sz w:val="24"/>
          <w:szCs w:val="24"/>
        </w:rPr>
        <w:t xml:space="preserve">the </w:t>
      </w:r>
      <w:r w:rsidR="005832CF" w:rsidRPr="00712B16">
        <w:rPr>
          <w:rFonts w:ascii="Times New Roman" w:hAnsi="Times New Roman" w:cs="Times New Roman"/>
          <w:sz w:val="24"/>
          <w:szCs w:val="24"/>
        </w:rPr>
        <w:t>net zero</w:t>
      </w:r>
      <w:r w:rsidR="003A180D" w:rsidRPr="00712B16">
        <w:rPr>
          <w:rFonts w:ascii="Times New Roman" w:hAnsi="Times New Roman" w:cs="Times New Roman"/>
          <w:sz w:val="24"/>
          <w:szCs w:val="24"/>
        </w:rPr>
        <w:t xml:space="preserve"> </w:t>
      </w:r>
      <w:r w:rsidR="00837CFE" w:rsidRPr="00712B16">
        <w:rPr>
          <w:rFonts w:ascii="Times New Roman" w:hAnsi="Times New Roman" w:cs="Times New Roman"/>
          <w:sz w:val="24"/>
          <w:szCs w:val="24"/>
        </w:rPr>
        <w:t>target</w:t>
      </w:r>
      <w:r w:rsidRPr="00712B16">
        <w:rPr>
          <w:rFonts w:ascii="Times New Roman" w:hAnsi="Times New Roman" w:cs="Times New Roman"/>
          <w:sz w:val="24"/>
          <w:szCs w:val="24"/>
        </w:rPr>
        <w:t xml:space="preserve"> commitment increases, firms in those countries are more inclined to use </w:t>
      </w:r>
      <w:r w:rsidRPr="00712B16">
        <w:rPr>
          <w:rFonts w:ascii="Times New Roman" w:hAnsi="Times New Roman" w:cs="Times New Roman"/>
          <w:iCs/>
          <w:sz w:val="24"/>
          <w:szCs w:val="24"/>
        </w:rPr>
        <w:t>REM</w:t>
      </w:r>
      <w:r w:rsidRPr="00712B16">
        <w:rPr>
          <w:rFonts w:ascii="Times New Roman" w:hAnsi="Times New Roman" w:cs="Times New Roman"/>
          <w:sz w:val="24"/>
          <w:szCs w:val="24"/>
        </w:rPr>
        <w:t xml:space="preserve"> as a strategy, possibly to cope with the financial burden of operational transformation required to achieve </w:t>
      </w:r>
      <w:r w:rsidR="003A180D" w:rsidRPr="00712B16">
        <w:rPr>
          <w:rFonts w:ascii="Times New Roman" w:hAnsi="Times New Roman" w:cs="Times New Roman"/>
          <w:sz w:val="24"/>
          <w:szCs w:val="24"/>
        </w:rPr>
        <w:t xml:space="preserve">the </w:t>
      </w:r>
      <w:r w:rsidR="005832CF" w:rsidRPr="00712B16">
        <w:rPr>
          <w:rFonts w:ascii="Times New Roman" w:hAnsi="Times New Roman" w:cs="Times New Roman"/>
          <w:sz w:val="24"/>
          <w:szCs w:val="24"/>
        </w:rPr>
        <w:t>net zero</w:t>
      </w:r>
      <w:r w:rsidRPr="00712B16">
        <w:rPr>
          <w:rFonts w:ascii="Times New Roman" w:hAnsi="Times New Roman" w:cs="Times New Roman"/>
          <w:sz w:val="24"/>
          <w:szCs w:val="24"/>
        </w:rPr>
        <w:t xml:space="preserve"> targets.</w:t>
      </w:r>
      <w:r w:rsidRPr="00712B16" w:rsidDel="00446B2F">
        <w:rPr>
          <w:rFonts w:ascii="Times New Roman" w:hAnsi="Times New Roman" w:cs="Times New Roman"/>
          <w:sz w:val="24"/>
          <w:szCs w:val="24"/>
        </w:rPr>
        <w:t xml:space="preserve"> </w:t>
      </w:r>
    </w:p>
    <w:p w14:paraId="61828E2A" w14:textId="77777777" w:rsidR="00B36EBF" w:rsidRPr="00712B16" w:rsidRDefault="00B36EBF" w:rsidP="007D192F">
      <w:pPr>
        <w:spacing w:after="0" w:line="480" w:lineRule="auto"/>
        <w:jc w:val="center"/>
        <w:rPr>
          <w:rFonts w:ascii="Times New Roman" w:hAnsi="Times New Roman" w:cs="Times New Roman"/>
          <w:sz w:val="24"/>
          <w:szCs w:val="24"/>
        </w:rPr>
      </w:pPr>
    </w:p>
    <w:p w14:paraId="409653CE" w14:textId="7865D429" w:rsidR="009032E8" w:rsidRPr="00712B16" w:rsidRDefault="00183F61">
      <w:pPr>
        <w:pStyle w:val="Heading2"/>
        <w:spacing w:line="480" w:lineRule="auto"/>
        <w:rPr>
          <w:b w:val="0"/>
          <w:i/>
        </w:rPr>
      </w:pPr>
      <w:bookmarkStart w:id="51" w:name="_Toc118466049"/>
      <w:bookmarkStart w:id="52" w:name="_Hlk118978133"/>
      <w:r w:rsidRPr="00712B16">
        <w:rPr>
          <w:b w:val="0"/>
          <w:i/>
        </w:rPr>
        <w:t>5.3 Separate analysis of components of CSR performance</w:t>
      </w:r>
      <w:bookmarkEnd w:id="51"/>
    </w:p>
    <w:p w14:paraId="546CA792" w14:textId="0C01B570" w:rsidR="00446B2F" w:rsidRPr="00712B16" w:rsidRDefault="00446B2F" w:rsidP="00446B2F">
      <w:pPr>
        <w:spacing w:after="0" w:line="480" w:lineRule="auto"/>
        <w:jc w:val="both"/>
        <w:rPr>
          <w:rFonts w:ascii="Times New Roman" w:hAnsi="Times New Roman" w:cs="Times New Roman"/>
          <w:sz w:val="24"/>
          <w:szCs w:val="24"/>
        </w:rPr>
      </w:pPr>
      <w:bookmarkStart w:id="53" w:name="_Hlk117078376"/>
      <w:bookmarkEnd w:id="52"/>
      <w:r w:rsidRPr="00712B16">
        <w:rPr>
          <w:rFonts w:ascii="Times New Roman" w:hAnsi="Times New Roman" w:cs="Times New Roman"/>
          <w:sz w:val="24"/>
          <w:szCs w:val="24"/>
        </w:rPr>
        <w:t xml:space="preserve">The various dimensions of CSR are expected to have different interactions with earnings management activities. Prior literature (e.g., </w:t>
      </w:r>
      <w:r w:rsidR="00155B44" w:rsidRPr="00712B16">
        <w:rPr>
          <w:rFonts w:ascii="Times New Roman" w:hAnsi="Times New Roman" w:cs="Times New Roman"/>
          <w:sz w:val="24"/>
          <w:szCs w:val="24"/>
        </w:rPr>
        <w:t>Bozzolan</w:t>
      </w:r>
      <w:r w:rsidR="00B662BA" w:rsidRPr="00712B16">
        <w:rPr>
          <w:rFonts w:ascii="Times New Roman" w:hAnsi="Times New Roman" w:cs="Times New Roman"/>
          <w:sz w:val="24"/>
          <w:szCs w:val="24"/>
        </w:rPr>
        <w:t xml:space="preserve"> </w:t>
      </w:r>
      <w:r w:rsidR="00B662BA" w:rsidRPr="00712B16">
        <w:rPr>
          <w:rFonts w:ascii="Times New Roman" w:hAnsi="Times New Roman" w:cs="Times New Roman"/>
          <w:i/>
          <w:sz w:val="24"/>
          <w:szCs w:val="24"/>
        </w:rPr>
        <w:t>et al</w:t>
      </w:r>
      <w:r w:rsidR="00B662BA" w:rsidRPr="00712B16">
        <w:rPr>
          <w:rFonts w:ascii="Times New Roman" w:hAnsi="Times New Roman" w:cs="Times New Roman"/>
          <w:sz w:val="24"/>
          <w:szCs w:val="24"/>
        </w:rPr>
        <w:t>.</w:t>
      </w:r>
      <w:r w:rsidR="00155B44" w:rsidRPr="00712B16">
        <w:rPr>
          <w:rFonts w:ascii="Times New Roman" w:hAnsi="Times New Roman" w:cs="Times New Roman"/>
          <w:sz w:val="24"/>
          <w:szCs w:val="24"/>
        </w:rPr>
        <w:t>, 2015</w:t>
      </w:r>
      <w:r w:rsidRPr="00712B16">
        <w:rPr>
          <w:rFonts w:ascii="Times New Roman" w:hAnsi="Times New Roman" w:cs="Times New Roman"/>
          <w:sz w:val="24"/>
          <w:szCs w:val="24"/>
        </w:rPr>
        <w:t xml:space="preserve">; </w:t>
      </w:r>
      <w:r w:rsidR="00BA1138" w:rsidRPr="00712B16">
        <w:rPr>
          <w:rFonts w:ascii="Times New Roman" w:hAnsi="Times New Roman" w:cs="Times New Roman"/>
          <w:noProof/>
          <w:sz w:val="24"/>
          <w:szCs w:val="24"/>
        </w:rPr>
        <w:t>Martinez-Ferrero</w:t>
      </w:r>
      <w:r w:rsidR="005C7D43" w:rsidRPr="00712B16">
        <w:rPr>
          <w:rFonts w:ascii="Times New Roman" w:hAnsi="Times New Roman" w:cs="Times New Roman"/>
          <w:noProof/>
          <w:sz w:val="24"/>
          <w:szCs w:val="24"/>
        </w:rPr>
        <w:t xml:space="preserve"> </w:t>
      </w:r>
      <w:r w:rsidR="005C7D43" w:rsidRPr="00712B16">
        <w:rPr>
          <w:rFonts w:ascii="Times New Roman" w:hAnsi="Times New Roman" w:cs="Times New Roman"/>
          <w:i/>
          <w:sz w:val="24"/>
          <w:szCs w:val="24"/>
        </w:rPr>
        <w:t>et al</w:t>
      </w:r>
      <w:r w:rsidR="005C7D43" w:rsidRPr="00712B16">
        <w:rPr>
          <w:rFonts w:ascii="Times New Roman" w:hAnsi="Times New Roman" w:cs="Times New Roman"/>
          <w:sz w:val="24"/>
          <w:szCs w:val="24"/>
        </w:rPr>
        <w:t>.</w:t>
      </w:r>
      <w:r w:rsidR="00BA1138" w:rsidRPr="00712B16">
        <w:rPr>
          <w:rFonts w:ascii="Times New Roman" w:hAnsi="Times New Roman" w:cs="Times New Roman"/>
          <w:noProof/>
          <w:sz w:val="24"/>
          <w:szCs w:val="24"/>
        </w:rPr>
        <w:t>, 2016</w:t>
      </w:r>
      <w:r w:rsidRPr="00712B16">
        <w:rPr>
          <w:rFonts w:ascii="Times New Roman" w:hAnsi="Times New Roman" w:cs="Times New Roman"/>
          <w:sz w:val="24"/>
          <w:szCs w:val="24"/>
        </w:rPr>
        <w:t xml:space="preserve">) </w:t>
      </w:r>
      <w:r w:rsidR="006E4770" w:rsidRPr="00712B16">
        <w:rPr>
          <w:rFonts w:ascii="Times New Roman" w:hAnsi="Times New Roman" w:cs="Times New Roman"/>
          <w:sz w:val="24"/>
          <w:szCs w:val="24"/>
        </w:rPr>
        <w:t xml:space="preserve">discusses </w:t>
      </w:r>
      <w:r w:rsidRPr="00712B16">
        <w:rPr>
          <w:rFonts w:ascii="Times New Roman" w:hAnsi="Times New Roman" w:cs="Times New Roman"/>
          <w:sz w:val="24"/>
          <w:szCs w:val="24"/>
        </w:rPr>
        <w:t xml:space="preserve">the use of an overall CSR score on earnings management. To further investigate the impact of CSR performance on REM activities, we follow the approach of previous studies (Chollet </w:t>
      </w:r>
      <w:r w:rsidR="00BA1138" w:rsidRPr="00712B16">
        <w:rPr>
          <w:rFonts w:ascii="Times New Roman" w:hAnsi="Times New Roman" w:cs="Times New Roman"/>
          <w:sz w:val="24"/>
          <w:szCs w:val="24"/>
        </w:rPr>
        <w:t xml:space="preserve">&amp; </w:t>
      </w:r>
      <w:r w:rsidRPr="00712B16">
        <w:rPr>
          <w:rFonts w:ascii="Times New Roman" w:hAnsi="Times New Roman" w:cs="Times New Roman"/>
          <w:sz w:val="24"/>
          <w:szCs w:val="24"/>
        </w:rPr>
        <w:t>Sandwidi</w:t>
      </w:r>
      <w:r w:rsidR="00BA1138" w:rsidRPr="00712B16">
        <w:rPr>
          <w:rFonts w:ascii="Times New Roman" w:hAnsi="Times New Roman" w:cs="Times New Roman"/>
          <w:sz w:val="24"/>
          <w:szCs w:val="24"/>
        </w:rPr>
        <w:t>,</w:t>
      </w:r>
      <w:r w:rsidRPr="00712B16">
        <w:rPr>
          <w:rFonts w:ascii="Times New Roman" w:hAnsi="Times New Roman" w:cs="Times New Roman"/>
          <w:sz w:val="24"/>
          <w:szCs w:val="24"/>
        </w:rPr>
        <w:t xml:space="preserve"> 2018; </w:t>
      </w:r>
      <w:r w:rsidR="00BA1138" w:rsidRPr="00712B16">
        <w:rPr>
          <w:rFonts w:ascii="Times New Roman" w:hAnsi="Times New Roman" w:cs="Times New Roman"/>
          <w:noProof/>
          <w:sz w:val="24"/>
          <w:szCs w:val="24"/>
        </w:rPr>
        <w:t>Shakil</w:t>
      </w:r>
      <w:r w:rsidR="00AD15B3" w:rsidRPr="00712B16">
        <w:rPr>
          <w:rFonts w:ascii="Times New Roman" w:hAnsi="Times New Roman" w:cs="Times New Roman"/>
          <w:noProof/>
          <w:sz w:val="24"/>
          <w:szCs w:val="24"/>
        </w:rPr>
        <w:t xml:space="preserve"> </w:t>
      </w:r>
      <w:r w:rsidR="00AD15B3" w:rsidRPr="00712B16">
        <w:rPr>
          <w:rFonts w:ascii="Times New Roman" w:hAnsi="Times New Roman" w:cs="Times New Roman"/>
          <w:i/>
          <w:sz w:val="24"/>
          <w:szCs w:val="24"/>
        </w:rPr>
        <w:t>et al</w:t>
      </w:r>
      <w:r w:rsidR="00AD15B3" w:rsidRPr="00712B16">
        <w:rPr>
          <w:rFonts w:ascii="Times New Roman" w:hAnsi="Times New Roman" w:cs="Times New Roman"/>
          <w:sz w:val="24"/>
          <w:szCs w:val="24"/>
        </w:rPr>
        <w:t>.</w:t>
      </w:r>
      <w:r w:rsidR="00BA1138" w:rsidRPr="00712B16">
        <w:rPr>
          <w:rFonts w:ascii="Times New Roman" w:hAnsi="Times New Roman" w:cs="Times New Roman"/>
          <w:noProof/>
          <w:sz w:val="24"/>
          <w:szCs w:val="24"/>
        </w:rPr>
        <w:t>, 2019</w:t>
      </w:r>
      <w:r w:rsidRPr="00712B16">
        <w:rPr>
          <w:rFonts w:ascii="Times New Roman" w:hAnsi="Times New Roman" w:cs="Times New Roman"/>
          <w:sz w:val="24"/>
          <w:szCs w:val="24"/>
        </w:rPr>
        <w:t xml:space="preserve">) and separately examine three measures of CSR: environment, social responsibility, and corporate governance. </w:t>
      </w:r>
    </w:p>
    <w:p w14:paraId="3AF078A8" w14:textId="12B1E77E" w:rsidR="00446B2F" w:rsidRPr="00712B16" w:rsidRDefault="00446B2F" w:rsidP="00A43043">
      <w:pPr>
        <w:spacing w:after="0" w:line="480" w:lineRule="auto"/>
        <w:ind w:firstLine="720"/>
        <w:jc w:val="both"/>
        <w:rPr>
          <w:rFonts w:ascii="Times New Roman" w:hAnsi="Times New Roman" w:cs="Times New Roman"/>
          <w:sz w:val="24"/>
          <w:szCs w:val="24"/>
        </w:rPr>
      </w:pPr>
      <w:r w:rsidRPr="00712B16">
        <w:rPr>
          <w:rFonts w:ascii="Times New Roman" w:hAnsi="Times New Roman" w:cs="Times New Roman"/>
          <w:sz w:val="24"/>
          <w:szCs w:val="24"/>
        </w:rPr>
        <w:t>The</w:t>
      </w:r>
      <w:r w:rsidR="002E1E4D" w:rsidRPr="00712B16">
        <w:rPr>
          <w:rFonts w:ascii="Times New Roman" w:hAnsi="Times New Roman" w:cs="Times New Roman"/>
          <w:sz w:val="24"/>
          <w:szCs w:val="24"/>
        </w:rPr>
        <w:t xml:space="preserve"> </w:t>
      </w:r>
      <w:r w:rsidRPr="00712B16">
        <w:rPr>
          <w:rFonts w:ascii="Times New Roman" w:hAnsi="Times New Roman" w:cs="Times New Roman"/>
          <w:sz w:val="24"/>
          <w:szCs w:val="24"/>
        </w:rPr>
        <w:t>results</w:t>
      </w:r>
      <w:r w:rsidR="002E1E4D" w:rsidRPr="00712B16">
        <w:rPr>
          <w:rFonts w:ascii="Times New Roman" w:hAnsi="Times New Roman" w:cs="Times New Roman"/>
          <w:sz w:val="24"/>
          <w:szCs w:val="24"/>
        </w:rPr>
        <w:t xml:space="preserve"> (</w:t>
      </w:r>
      <w:proofErr w:type="spellStart"/>
      <w:r w:rsidR="002E1E4D" w:rsidRPr="00712B16">
        <w:rPr>
          <w:rFonts w:ascii="Times New Roman" w:hAnsi="Times New Roman" w:cs="Times New Roman"/>
          <w:sz w:val="24"/>
          <w:szCs w:val="24"/>
        </w:rPr>
        <w:t>untabulated</w:t>
      </w:r>
      <w:proofErr w:type="spellEnd"/>
      <w:r w:rsidR="002E1E4D" w:rsidRPr="00712B16">
        <w:rPr>
          <w:rFonts w:ascii="Times New Roman" w:hAnsi="Times New Roman" w:cs="Times New Roman"/>
          <w:sz w:val="24"/>
          <w:szCs w:val="24"/>
        </w:rPr>
        <w:t xml:space="preserve">) </w:t>
      </w:r>
      <w:r w:rsidRPr="00712B16">
        <w:rPr>
          <w:rFonts w:ascii="Times New Roman" w:hAnsi="Times New Roman" w:cs="Times New Roman"/>
          <w:sz w:val="24"/>
          <w:szCs w:val="24"/>
        </w:rPr>
        <w:t xml:space="preserve">indicate that the coefficients for </w:t>
      </w:r>
      <w:r w:rsidRPr="00712B16">
        <w:rPr>
          <w:rFonts w:ascii="Times New Roman" w:hAnsi="Times New Roman" w:cs="Times New Roman"/>
          <w:i/>
          <w:sz w:val="24"/>
          <w:szCs w:val="24"/>
        </w:rPr>
        <w:t>COUNTRY_NETZERO</w:t>
      </w:r>
      <w:r w:rsidR="007745C8" w:rsidRPr="00712B16">
        <w:rPr>
          <w:rFonts w:ascii="Times New Roman" w:hAnsi="Times New Roman" w:cs="Times New Roman"/>
          <w:i/>
          <w:sz w:val="24"/>
          <w:szCs w:val="24"/>
        </w:rPr>
        <w:t>*</w:t>
      </w:r>
      <w:r w:rsidRPr="00712B16">
        <w:rPr>
          <w:rFonts w:ascii="Times New Roman" w:hAnsi="Times New Roman" w:cs="Times New Roman"/>
          <w:i/>
          <w:sz w:val="24"/>
          <w:szCs w:val="24"/>
        </w:rPr>
        <w:t>SOCIAL_SCORE</w:t>
      </w:r>
      <w:r w:rsidRPr="00712B16">
        <w:rPr>
          <w:rFonts w:ascii="Times New Roman" w:hAnsi="Times New Roman" w:cs="Times New Roman"/>
          <w:sz w:val="24"/>
          <w:szCs w:val="24"/>
        </w:rPr>
        <w:t xml:space="preserve"> are negative and</w:t>
      </w:r>
      <w:r w:rsidR="00A43043" w:rsidRPr="00712B16">
        <w:rPr>
          <w:rFonts w:ascii="Times New Roman" w:hAnsi="Times New Roman" w:cs="Times New Roman"/>
          <w:sz w:val="24"/>
          <w:szCs w:val="24"/>
        </w:rPr>
        <w:t xml:space="preserve"> statistically</w:t>
      </w:r>
      <w:r w:rsidRPr="00712B16">
        <w:rPr>
          <w:rFonts w:ascii="Times New Roman" w:hAnsi="Times New Roman" w:cs="Times New Roman"/>
          <w:sz w:val="24"/>
          <w:szCs w:val="24"/>
        </w:rPr>
        <w:t xml:space="preserve"> significant for </w:t>
      </w:r>
      <w:r w:rsidRPr="00712B16">
        <w:rPr>
          <w:rFonts w:ascii="Times New Roman" w:hAnsi="Times New Roman" w:cs="Times New Roman"/>
          <w:i/>
          <w:sz w:val="24"/>
          <w:szCs w:val="24"/>
        </w:rPr>
        <w:t>REM_CFO</w:t>
      </w:r>
      <w:r w:rsidRPr="00712B16">
        <w:rPr>
          <w:rFonts w:ascii="Times New Roman" w:hAnsi="Times New Roman" w:cs="Times New Roman"/>
          <w:sz w:val="24"/>
          <w:szCs w:val="24"/>
        </w:rPr>
        <w:t xml:space="preserve">, </w:t>
      </w:r>
      <w:r w:rsidRPr="00712B16">
        <w:rPr>
          <w:rFonts w:ascii="Times New Roman" w:hAnsi="Times New Roman" w:cs="Times New Roman"/>
          <w:i/>
          <w:sz w:val="24"/>
          <w:szCs w:val="24"/>
        </w:rPr>
        <w:t>REM_DISEXP</w:t>
      </w:r>
      <w:r w:rsidRPr="00712B16">
        <w:rPr>
          <w:rFonts w:ascii="Times New Roman" w:hAnsi="Times New Roman" w:cs="Times New Roman"/>
          <w:sz w:val="24"/>
          <w:szCs w:val="24"/>
        </w:rPr>
        <w:t xml:space="preserve">, and </w:t>
      </w:r>
      <w:r w:rsidRPr="00712B16">
        <w:rPr>
          <w:rFonts w:ascii="Times New Roman" w:hAnsi="Times New Roman" w:cs="Times New Roman"/>
          <w:i/>
          <w:sz w:val="24"/>
          <w:szCs w:val="24"/>
        </w:rPr>
        <w:t>REM_SUM</w:t>
      </w:r>
      <w:r w:rsidRPr="00712B16">
        <w:rPr>
          <w:rFonts w:ascii="Times New Roman" w:hAnsi="Times New Roman" w:cs="Times New Roman"/>
          <w:sz w:val="24"/>
          <w:szCs w:val="24"/>
        </w:rPr>
        <w:t>.</w:t>
      </w:r>
      <w:r w:rsidR="00A43043" w:rsidRPr="00712B16">
        <w:rPr>
          <w:rFonts w:ascii="Times New Roman" w:hAnsi="Times New Roman" w:cs="Times New Roman"/>
          <w:sz w:val="24"/>
          <w:szCs w:val="24"/>
        </w:rPr>
        <w:t xml:space="preserve"> However, </w:t>
      </w:r>
      <w:r w:rsidRPr="00712B16">
        <w:rPr>
          <w:rFonts w:ascii="Times New Roman" w:hAnsi="Times New Roman" w:cs="Times New Roman"/>
          <w:sz w:val="24"/>
          <w:szCs w:val="24"/>
        </w:rPr>
        <w:t>the coefficients</w:t>
      </w:r>
      <w:r w:rsidR="00A43043" w:rsidRPr="00712B16">
        <w:rPr>
          <w:rFonts w:ascii="Times New Roman" w:hAnsi="Times New Roman" w:cs="Times New Roman"/>
          <w:sz w:val="24"/>
          <w:szCs w:val="24"/>
        </w:rPr>
        <w:t xml:space="preserve"> </w:t>
      </w:r>
      <w:r w:rsidRPr="00712B16">
        <w:rPr>
          <w:rFonts w:ascii="Times New Roman" w:hAnsi="Times New Roman" w:cs="Times New Roman"/>
          <w:sz w:val="24"/>
          <w:szCs w:val="24"/>
        </w:rPr>
        <w:t xml:space="preserve">for </w:t>
      </w:r>
      <w:r w:rsidRPr="00712B16">
        <w:rPr>
          <w:rFonts w:ascii="Times New Roman" w:hAnsi="Times New Roman" w:cs="Times New Roman"/>
          <w:i/>
          <w:sz w:val="24"/>
          <w:szCs w:val="24"/>
        </w:rPr>
        <w:lastRenderedPageBreak/>
        <w:t>COUNTRY_NETZERO</w:t>
      </w:r>
      <w:r w:rsidR="00AE5A0C" w:rsidRPr="00712B16">
        <w:rPr>
          <w:rFonts w:ascii="Times New Roman" w:hAnsi="Times New Roman" w:cs="Times New Roman"/>
          <w:i/>
          <w:sz w:val="24"/>
          <w:szCs w:val="24"/>
        </w:rPr>
        <w:t>*</w:t>
      </w:r>
      <w:r w:rsidRPr="00712B16">
        <w:rPr>
          <w:rFonts w:ascii="Times New Roman" w:hAnsi="Times New Roman" w:cs="Times New Roman"/>
          <w:i/>
          <w:sz w:val="24"/>
          <w:szCs w:val="24"/>
        </w:rPr>
        <w:t>ENVRN_SCORE</w:t>
      </w:r>
      <w:r w:rsidR="00EF1CA3" w:rsidRPr="00712B16">
        <w:rPr>
          <w:rFonts w:ascii="Times New Roman" w:hAnsi="Times New Roman" w:cs="Times New Roman"/>
          <w:i/>
          <w:sz w:val="24"/>
          <w:szCs w:val="24"/>
        </w:rPr>
        <w:t xml:space="preserve"> </w:t>
      </w:r>
      <w:r w:rsidRPr="00712B16">
        <w:rPr>
          <w:rFonts w:ascii="Times New Roman" w:hAnsi="Times New Roman" w:cs="Times New Roman"/>
          <w:sz w:val="24"/>
          <w:szCs w:val="24"/>
        </w:rPr>
        <w:t xml:space="preserve">and </w:t>
      </w:r>
      <w:r w:rsidRPr="00712B16">
        <w:rPr>
          <w:rFonts w:ascii="Times New Roman" w:hAnsi="Times New Roman" w:cs="Times New Roman"/>
          <w:i/>
          <w:sz w:val="24"/>
          <w:szCs w:val="24"/>
        </w:rPr>
        <w:t>COUNTRY_NETZERO</w:t>
      </w:r>
      <w:r w:rsidR="00522C14" w:rsidRPr="00712B16">
        <w:rPr>
          <w:rFonts w:ascii="Times New Roman" w:hAnsi="Times New Roman" w:cs="Times New Roman"/>
          <w:i/>
          <w:sz w:val="24"/>
          <w:szCs w:val="24"/>
        </w:rPr>
        <w:t>*</w:t>
      </w:r>
      <w:r w:rsidRPr="00712B16">
        <w:rPr>
          <w:rFonts w:ascii="Times New Roman" w:hAnsi="Times New Roman" w:cs="Times New Roman"/>
          <w:i/>
          <w:sz w:val="24"/>
          <w:szCs w:val="24"/>
        </w:rPr>
        <w:t>CORPGOV_SCORE</w:t>
      </w:r>
      <w:r w:rsidRPr="00712B16">
        <w:rPr>
          <w:rFonts w:ascii="Times New Roman" w:hAnsi="Times New Roman" w:cs="Times New Roman"/>
          <w:sz w:val="24"/>
          <w:szCs w:val="24"/>
        </w:rPr>
        <w:t xml:space="preserve"> are statistically insignificant. These findings suggest that the main results of hypothesis 2, which show a negative relation between </w:t>
      </w:r>
      <w:r w:rsidRPr="00712B16">
        <w:rPr>
          <w:rFonts w:ascii="Times New Roman" w:hAnsi="Times New Roman" w:cs="Times New Roman"/>
          <w:i/>
          <w:sz w:val="24"/>
          <w:szCs w:val="24"/>
        </w:rPr>
        <w:t>COUNTRY_NETZERO</w:t>
      </w:r>
      <w:r w:rsidR="00522C14" w:rsidRPr="00712B16">
        <w:rPr>
          <w:rFonts w:ascii="Times New Roman" w:hAnsi="Times New Roman" w:cs="Times New Roman"/>
          <w:i/>
          <w:sz w:val="24"/>
          <w:szCs w:val="24"/>
        </w:rPr>
        <w:t>*</w:t>
      </w:r>
      <w:r w:rsidRPr="00712B16">
        <w:rPr>
          <w:rFonts w:ascii="Times New Roman" w:hAnsi="Times New Roman" w:cs="Times New Roman"/>
          <w:i/>
          <w:sz w:val="24"/>
          <w:szCs w:val="24"/>
        </w:rPr>
        <w:t>CSR</w:t>
      </w:r>
      <w:r w:rsidRPr="00712B16">
        <w:rPr>
          <w:rFonts w:ascii="Times New Roman" w:hAnsi="Times New Roman" w:cs="Times New Roman"/>
          <w:sz w:val="24"/>
          <w:szCs w:val="24"/>
        </w:rPr>
        <w:t xml:space="preserve"> and </w:t>
      </w:r>
      <w:r w:rsidRPr="00712B16">
        <w:rPr>
          <w:rFonts w:ascii="Times New Roman" w:hAnsi="Times New Roman" w:cs="Times New Roman"/>
          <w:i/>
          <w:sz w:val="24"/>
          <w:szCs w:val="24"/>
        </w:rPr>
        <w:t>REM</w:t>
      </w:r>
      <w:r w:rsidRPr="00712B16">
        <w:rPr>
          <w:rFonts w:ascii="Times New Roman" w:hAnsi="Times New Roman" w:cs="Times New Roman"/>
          <w:sz w:val="24"/>
          <w:szCs w:val="24"/>
        </w:rPr>
        <w:t xml:space="preserve"> activities, are primarily driven by higher social score</w:t>
      </w:r>
      <w:r w:rsidR="005754DD" w:rsidRPr="00712B16">
        <w:rPr>
          <w:rFonts w:ascii="Times New Roman" w:hAnsi="Times New Roman" w:cs="Times New Roman"/>
          <w:sz w:val="24"/>
          <w:szCs w:val="24"/>
        </w:rPr>
        <w:t>s</w:t>
      </w:r>
      <w:r w:rsidRPr="00712B16">
        <w:rPr>
          <w:rFonts w:ascii="Times New Roman" w:hAnsi="Times New Roman" w:cs="Times New Roman"/>
          <w:sz w:val="24"/>
          <w:szCs w:val="24"/>
        </w:rPr>
        <w:t>, indicating a greater societal concern.</w:t>
      </w:r>
    </w:p>
    <w:p w14:paraId="0BA5294D" w14:textId="4502F256" w:rsidR="00271519" w:rsidRPr="00712B16" w:rsidRDefault="00446B2F" w:rsidP="00B36EBF">
      <w:pPr>
        <w:spacing w:after="0" w:line="480" w:lineRule="auto"/>
        <w:ind w:firstLine="720"/>
        <w:jc w:val="both"/>
        <w:rPr>
          <w:rFonts w:ascii="Times New Roman" w:hAnsi="Times New Roman" w:cs="Times New Roman"/>
          <w:sz w:val="24"/>
          <w:szCs w:val="24"/>
        </w:rPr>
      </w:pPr>
      <w:r w:rsidRPr="00712B16">
        <w:rPr>
          <w:rFonts w:ascii="Times New Roman" w:hAnsi="Times New Roman" w:cs="Times New Roman"/>
          <w:sz w:val="24"/>
          <w:szCs w:val="24"/>
        </w:rPr>
        <w:t xml:space="preserve">In conclusion, although firms affected by country-level </w:t>
      </w:r>
      <w:r w:rsidR="005832CF" w:rsidRPr="00712B16">
        <w:rPr>
          <w:rFonts w:ascii="Times New Roman" w:hAnsi="Times New Roman" w:cs="Times New Roman"/>
          <w:sz w:val="24"/>
          <w:szCs w:val="24"/>
        </w:rPr>
        <w:t>net zero</w:t>
      </w:r>
      <w:r w:rsidRPr="00712B16">
        <w:rPr>
          <w:rFonts w:ascii="Times New Roman" w:hAnsi="Times New Roman" w:cs="Times New Roman"/>
          <w:sz w:val="24"/>
          <w:szCs w:val="24"/>
        </w:rPr>
        <w:t xml:space="preserve"> target </w:t>
      </w:r>
      <w:r w:rsidR="00837CFE" w:rsidRPr="00712B16">
        <w:rPr>
          <w:rFonts w:ascii="Times New Roman" w:hAnsi="Times New Roman" w:cs="Times New Roman"/>
          <w:sz w:val="24"/>
          <w:szCs w:val="24"/>
        </w:rPr>
        <w:t>commitment</w:t>
      </w:r>
      <w:r w:rsidRPr="00712B16">
        <w:rPr>
          <w:rFonts w:ascii="Times New Roman" w:hAnsi="Times New Roman" w:cs="Times New Roman"/>
          <w:sz w:val="24"/>
          <w:szCs w:val="24"/>
        </w:rPr>
        <w:t xml:space="preserve"> may have incentives to engage in </w:t>
      </w:r>
      <w:r w:rsidRPr="00712B16">
        <w:rPr>
          <w:rFonts w:ascii="Times New Roman" w:hAnsi="Times New Roman" w:cs="Times New Roman"/>
          <w:iCs/>
          <w:sz w:val="24"/>
          <w:szCs w:val="24"/>
        </w:rPr>
        <w:t>REM</w:t>
      </w:r>
      <w:r w:rsidRPr="00712B16">
        <w:rPr>
          <w:rFonts w:ascii="Times New Roman" w:hAnsi="Times New Roman" w:cs="Times New Roman"/>
          <w:sz w:val="24"/>
          <w:szCs w:val="24"/>
        </w:rPr>
        <w:t xml:space="preserve"> to transition and finance required investments, the results provide evidence that socially responsible firms are less likely to engage in REM activities. This suggests that firms voluntarily adopting more socially responsible practices are better prepared to commit to the headquarter country’s </w:t>
      </w:r>
      <w:r w:rsidR="005832CF" w:rsidRPr="00712B16">
        <w:rPr>
          <w:rFonts w:ascii="Times New Roman" w:hAnsi="Times New Roman" w:cs="Times New Roman"/>
          <w:sz w:val="24"/>
          <w:szCs w:val="24"/>
        </w:rPr>
        <w:t>net zero</w:t>
      </w:r>
      <w:r w:rsidRPr="00712B16">
        <w:rPr>
          <w:rFonts w:ascii="Times New Roman" w:hAnsi="Times New Roman" w:cs="Times New Roman"/>
          <w:sz w:val="24"/>
          <w:szCs w:val="24"/>
        </w:rPr>
        <w:t xml:space="preserve"> </w:t>
      </w:r>
      <w:r w:rsidR="003A180D" w:rsidRPr="00712B16">
        <w:rPr>
          <w:rFonts w:ascii="Times New Roman" w:hAnsi="Times New Roman" w:cs="Times New Roman"/>
          <w:sz w:val="24"/>
          <w:szCs w:val="24"/>
        </w:rPr>
        <w:t xml:space="preserve">target </w:t>
      </w:r>
      <w:r w:rsidR="00837CFE" w:rsidRPr="00712B16">
        <w:rPr>
          <w:rFonts w:ascii="Times New Roman" w:hAnsi="Times New Roman" w:cs="Times New Roman"/>
          <w:sz w:val="24"/>
          <w:szCs w:val="24"/>
        </w:rPr>
        <w:t>commitment</w:t>
      </w:r>
      <w:r w:rsidRPr="00712B16">
        <w:rPr>
          <w:rFonts w:ascii="Times New Roman" w:hAnsi="Times New Roman" w:cs="Times New Roman"/>
          <w:sz w:val="24"/>
          <w:szCs w:val="24"/>
        </w:rPr>
        <w:t xml:space="preserve"> and are less inclined to engage in questionable corporate practices such as earnings management.</w:t>
      </w:r>
      <w:r w:rsidRPr="00712B16" w:rsidDel="00446B2F">
        <w:rPr>
          <w:rFonts w:ascii="Times New Roman" w:hAnsi="Times New Roman" w:cs="Times New Roman"/>
          <w:sz w:val="24"/>
          <w:szCs w:val="24"/>
        </w:rPr>
        <w:t xml:space="preserve"> </w:t>
      </w:r>
      <w:bookmarkEnd w:id="53"/>
    </w:p>
    <w:p w14:paraId="5DC8BC4B" w14:textId="77777777" w:rsidR="004D5470" w:rsidRPr="00712B16" w:rsidRDefault="004D5470" w:rsidP="00271519">
      <w:pPr>
        <w:spacing w:after="0" w:line="480" w:lineRule="auto"/>
        <w:jc w:val="center"/>
        <w:rPr>
          <w:rFonts w:ascii="Times New Roman" w:hAnsi="Times New Roman" w:cs="Times New Roman"/>
          <w:i/>
          <w:sz w:val="24"/>
          <w:szCs w:val="24"/>
        </w:rPr>
      </w:pPr>
    </w:p>
    <w:p w14:paraId="656F45FB" w14:textId="738B9BB2" w:rsidR="009032E8" w:rsidRPr="00712B16" w:rsidRDefault="00183F61">
      <w:pPr>
        <w:pStyle w:val="Heading2"/>
        <w:spacing w:line="480" w:lineRule="auto"/>
        <w:rPr>
          <w:b w:val="0"/>
          <w:i/>
        </w:rPr>
      </w:pPr>
      <w:bookmarkStart w:id="54" w:name="_Toc118466051"/>
      <w:bookmarkStart w:id="55" w:name="_Hlk118978150"/>
      <w:r w:rsidRPr="00712B16">
        <w:rPr>
          <w:b w:val="0"/>
          <w:i/>
        </w:rPr>
        <w:t>5.</w:t>
      </w:r>
      <w:r w:rsidR="006D6D7B" w:rsidRPr="00712B16">
        <w:rPr>
          <w:b w:val="0"/>
          <w:i/>
        </w:rPr>
        <w:t>4</w:t>
      </w:r>
      <w:r w:rsidRPr="00712B16">
        <w:rPr>
          <w:b w:val="0"/>
          <w:i/>
        </w:rPr>
        <w:t xml:space="preserve"> Firm-level </w:t>
      </w:r>
      <w:r w:rsidR="005832CF" w:rsidRPr="00712B16">
        <w:rPr>
          <w:b w:val="0"/>
          <w:i/>
        </w:rPr>
        <w:t>net zero</w:t>
      </w:r>
      <w:r w:rsidRPr="00712B16">
        <w:rPr>
          <w:b w:val="0"/>
          <w:i/>
        </w:rPr>
        <w:t xml:space="preserve"> target </w:t>
      </w:r>
      <w:r w:rsidR="00837CFE" w:rsidRPr="00712B16">
        <w:rPr>
          <w:b w:val="0"/>
          <w:i/>
        </w:rPr>
        <w:t>commitment</w:t>
      </w:r>
      <w:bookmarkEnd w:id="54"/>
    </w:p>
    <w:bookmarkEnd w:id="55"/>
    <w:p w14:paraId="78DC9AFA" w14:textId="3C61B6C4" w:rsidR="009032E8" w:rsidRPr="00712B16" w:rsidRDefault="00337BB8">
      <w:pPr>
        <w:pStyle w:val="1"/>
        <w:spacing w:before="0" w:beforeAutospacing="0" w:after="0" w:line="480" w:lineRule="auto"/>
        <w:jc w:val="both"/>
        <w:rPr>
          <w:iCs/>
        </w:rPr>
      </w:pPr>
      <w:r w:rsidRPr="00712B16">
        <w:t>In relation to</w:t>
      </w:r>
      <w:r w:rsidR="00E051A3" w:rsidRPr="00712B16">
        <w:t xml:space="preserve"> firm-level </w:t>
      </w:r>
      <w:r w:rsidR="005832CF" w:rsidRPr="00712B16">
        <w:t>net zero</w:t>
      </w:r>
      <w:r w:rsidR="00E051A3" w:rsidRPr="00712B16">
        <w:t xml:space="preserve"> target </w:t>
      </w:r>
      <w:r w:rsidR="00837CFE" w:rsidRPr="00712B16">
        <w:t>commitment</w:t>
      </w:r>
      <w:r w:rsidR="00E051A3" w:rsidRPr="00712B16">
        <w:t xml:space="preserve">, </w:t>
      </w:r>
      <w:r w:rsidR="00FF1C7E" w:rsidRPr="00712B16">
        <w:t>w</w:t>
      </w:r>
      <w:r w:rsidRPr="00712B16">
        <w:t>e</w:t>
      </w:r>
      <w:r w:rsidR="00E051A3" w:rsidRPr="00712B16">
        <w:t xml:space="preserve"> manually collect </w:t>
      </w:r>
      <w:r w:rsidR="00C27BF1" w:rsidRPr="00712B16">
        <w:t xml:space="preserve">the </w:t>
      </w:r>
      <w:r w:rsidR="005832CF" w:rsidRPr="00712B16">
        <w:t>net zero</w:t>
      </w:r>
      <w:r w:rsidR="00E051A3" w:rsidRPr="00712B16">
        <w:t xml:space="preserve"> target data from </w:t>
      </w:r>
      <w:r w:rsidR="006847AE" w:rsidRPr="00712B16">
        <w:t xml:space="preserve">the </w:t>
      </w:r>
      <w:r w:rsidR="003A4032" w:rsidRPr="00712B16">
        <w:t>websites</w:t>
      </w:r>
      <w:r w:rsidR="00E051A3" w:rsidRPr="00712B16">
        <w:t xml:space="preserve"> of </w:t>
      </w:r>
      <w:r w:rsidR="006847AE" w:rsidRPr="00712B16">
        <w:t xml:space="preserve">the </w:t>
      </w:r>
      <w:r w:rsidR="00E051A3" w:rsidRPr="00712B16">
        <w:t>top 2,000 firms in the world based on their market capitalizations</w:t>
      </w:r>
      <w:r w:rsidR="0048166B" w:rsidRPr="00712B16">
        <w:t xml:space="preserve"> (Kim, 2024)</w:t>
      </w:r>
      <w:r w:rsidR="00E051A3" w:rsidRPr="00712B16">
        <w:t xml:space="preserve">. </w:t>
      </w:r>
      <w:r w:rsidR="003A4032" w:rsidRPr="00712B16">
        <w:t>The sample</w:t>
      </w:r>
      <w:r w:rsidR="00E051A3" w:rsidRPr="00712B16">
        <w:t xml:space="preserve"> period covers 2011 to 2021</w:t>
      </w:r>
      <w:r w:rsidR="006847AE" w:rsidRPr="00712B16">
        <w:t>,</w:t>
      </w:r>
      <w:r w:rsidR="00E051A3" w:rsidRPr="00712B16">
        <w:t xml:space="preserve"> and </w:t>
      </w:r>
      <w:r w:rsidR="001C107F" w:rsidRPr="00712B16">
        <w:t>we</w:t>
      </w:r>
      <w:r w:rsidR="00E051A3" w:rsidRPr="00712B16">
        <w:t xml:space="preserve"> exclude the US firms </w:t>
      </w:r>
      <w:r w:rsidR="00293266" w:rsidRPr="00712B16">
        <w:t>from our main analysis</w:t>
      </w:r>
      <w:r w:rsidR="00E051A3" w:rsidRPr="00712B16">
        <w:t xml:space="preserve"> because of </w:t>
      </w:r>
      <w:r w:rsidR="003A4032" w:rsidRPr="00712B16">
        <w:t xml:space="preserve">the </w:t>
      </w:r>
      <w:r w:rsidR="00E051A3" w:rsidRPr="00712B16">
        <w:t>dominance of the US-listed firms in the sample of this global study.</w:t>
      </w:r>
      <w:r w:rsidR="00E051A3" w:rsidRPr="00712B16">
        <w:rPr>
          <w:rStyle w:val="FootnoteReference"/>
        </w:rPr>
        <w:footnoteReference w:id="14"/>
      </w:r>
      <w:r w:rsidR="00E051A3" w:rsidRPr="00712B16">
        <w:t xml:space="preserve"> The </w:t>
      </w:r>
      <w:r w:rsidR="00E051A3" w:rsidRPr="00712B16">
        <w:rPr>
          <w:iCs/>
        </w:rPr>
        <w:t>variable of interest (</w:t>
      </w:r>
      <w:r w:rsidR="00E051A3" w:rsidRPr="00712B16">
        <w:rPr>
          <w:i/>
        </w:rPr>
        <w:t>FIRM_NETZERO</w:t>
      </w:r>
      <w:r w:rsidR="00E051A3" w:rsidRPr="00712B16">
        <w:rPr>
          <w:iCs/>
        </w:rPr>
        <w:t xml:space="preserve">) is coded as 1 if </w:t>
      </w:r>
      <w:r w:rsidR="003A4032" w:rsidRPr="00712B16">
        <w:rPr>
          <w:iCs/>
        </w:rPr>
        <w:t xml:space="preserve">a </w:t>
      </w:r>
      <w:r w:rsidR="00E051A3" w:rsidRPr="00712B16">
        <w:rPr>
          <w:iCs/>
        </w:rPr>
        <w:t xml:space="preserve">firm has voluntarily </w:t>
      </w:r>
      <w:r w:rsidR="000A40B7" w:rsidRPr="00712B16">
        <w:rPr>
          <w:iCs/>
        </w:rPr>
        <w:t>committed to</w:t>
      </w:r>
      <w:r w:rsidR="00E051A3" w:rsidRPr="00712B16">
        <w:rPr>
          <w:iCs/>
        </w:rPr>
        <w:t xml:space="preserve"> </w:t>
      </w:r>
      <w:r w:rsidR="003A180D" w:rsidRPr="00712B16">
        <w:rPr>
          <w:iCs/>
        </w:rPr>
        <w:t xml:space="preserve">the </w:t>
      </w:r>
      <w:r w:rsidR="005832CF" w:rsidRPr="00712B16">
        <w:rPr>
          <w:iCs/>
        </w:rPr>
        <w:t>net zero</w:t>
      </w:r>
      <w:r w:rsidR="00E051A3" w:rsidRPr="00712B16">
        <w:rPr>
          <w:iCs/>
        </w:rPr>
        <w:t xml:space="preserve"> target</w:t>
      </w:r>
      <w:r w:rsidR="003A180D" w:rsidRPr="00712B16">
        <w:rPr>
          <w:iCs/>
        </w:rPr>
        <w:t>s</w:t>
      </w:r>
      <w:r w:rsidR="00E051A3" w:rsidRPr="00712B16">
        <w:rPr>
          <w:iCs/>
        </w:rPr>
        <w:t xml:space="preserve">, and 0 otherwise. If a firm has voluntarily </w:t>
      </w:r>
      <w:r w:rsidR="000A40B7" w:rsidRPr="00712B16">
        <w:rPr>
          <w:iCs/>
        </w:rPr>
        <w:t>committed to</w:t>
      </w:r>
      <w:r w:rsidR="00E051A3" w:rsidRPr="00712B16">
        <w:rPr>
          <w:iCs/>
        </w:rPr>
        <w:t xml:space="preserve"> </w:t>
      </w:r>
      <w:r w:rsidR="003A180D" w:rsidRPr="00712B16">
        <w:rPr>
          <w:iCs/>
        </w:rPr>
        <w:t xml:space="preserve">the </w:t>
      </w:r>
      <w:r w:rsidR="005832CF" w:rsidRPr="00712B16">
        <w:rPr>
          <w:iCs/>
        </w:rPr>
        <w:t>net zero</w:t>
      </w:r>
      <w:r w:rsidR="00E051A3" w:rsidRPr="00712B16">
        <w:rPr>
          <w:iCs/>
        </w:rPr>
        <w:t xml:space="preserve"> target</w:t>
      </w:r>
      <w:r w:rsidR="003A180D" w:rsidRPr="00712B16">
        <w:rPr>
          <w:iCs/>
        </w:rPr>
        <w:t>s</w:t>
      </w:r>
      <w:r w:rsidR="00E051A3" w:rsidRPr="00712B16">
        <w:rPr>
          <w:iCs/>
        </w:rPr>
        <w:t xml:space="preserve">, it is highly likely that such </w:t>
      </w:r>
      <w:r w:rsidR="006E4770" w:rsidRPr="00712B16">
        <w:rPr>
          <w:iCs/>
        </w:rPr>
        <w:t xml:space="preserve">a </w:t>
      </w:r>
      <w:r w:rsidR="00E051A3" w:rsidRPr="00712B16">
        <w:rPr>
          <w:iCs/>
        </w:rPr>
        <w:t xml:space="preserve">firm is either capable of reducing its carbon footprint and/or will be able to achieve the target without having to </w:t>
      </w:r>
      <w:r w:rsidR="001C107F" w:rsidRPr="00712B16">
        <w:rPr>
          <w:iCs/>
        </w:rPr>
        <w:t>engage</w:t>
      </w:r>
      <w:r w:rsidR="00E051A3" w:rsidRPr="00712B16">
        <w:rPr>
          <w:iCs/>
        </w:rPr>
        <w:t xml:space="preserve"> in more earnings management. </w:t>
      </w:r>
      <w:r w:rsidR="00F03F02" w:rsidRPr="00712B16">
        <w:rPr>
          <w:iCs/>
        </w:rPr>
        <w:t xml:space="preserve">As reported in Table </w:t>
      </w:r>
      <w:r w:rsidR="006D6D7B" w:rsidRPr="00712B16">
        <w:rPr>
          <w:iCs/>
        </w:rPr>
        <w:t>8</w:t>
      </w:r>
      <w:r w:rsidR="00F03F02" w:rsidRPr="00712B16">
        <w:rPr>
          <w:iCs/>
        </w:rPr>
        <w:t xml:space="preserve">, </w:t>
      </w:r>
      <w:r w:rsidR="00F03F02" w:rsidRPr="00712B16">
        <w:rPr>
          <w:iCs/>
        </w:rPr>
        <w:lastRenderedPageBreak/>
        <w:t>we do not document any</w:t>
      </w:r>
      <w:r w:rsidR="00C62257" w:rsidRPr="00712B16">
        <w:rPr>
          <w:iCs/>
        </w:rPr>
        <w:t xml:space="preserve"> statistically</w:t>
      </w:r>
      <w:r w:rsidR="00F03F02" w:rsidRPr="00712B16">
        <w:rPr>
          <w:iCs/>
        </w:rPr>
        <w:t xml:space="preserve"> significant association between </w:t>
      </w:r>
      <w:r w:rsidR="00F03F02" w:rsidRPr="00712B16">
        <w:rPr>
          <w:i/>
          <w:iCs/>
        </w:rPr>
        <w:t xml:space="preserve">FIRM_NETZERO </w:t>
      </w:r>
      <w:r w:rsidR="00F03F02" w:rsidRPr="00712B16">
        <w:rPr>
          <w:iCs/>
        </w:rPr>
        <w:t xml:space="preserve">and each of </w:t>
      </w:r>
      <w:r w:rsidR="006E4770" w:rsidRPr="00712B16">
        <w:rPr>
          <w:iCs/>
        </w:rPr>
        <w:t xml:space="preserve">the </w:t>
      </w:r>
      <w:r w:rsidR="00F03F02" w:rsidRPr="00712B16">
        <w:rPr>
          <w:iCs/>
        </w:rPr>
        <w:t xml:space="preserve">four measures of REM. These results provide support </w:t>
      </w:r>
      <w:r w:rsidR="006E4770" w:rsidRPr="00712B16">
        <w:rPr>
          <w:iCs/>
        </w:rPr>
        <w:t xml:space="preserve">for </w:t>
      </w:r>
      <w:r w:rsidR="00F03F02" w:rsidRPr="00712B16">
        <w:rPr>
          <w:iCs/>
        </w:rPr>
        <w:t xml:space="preserve">the proposition that firms </w:t>
      </w:r>
      <w:r w:rsidR="00FE48A8" w:rsidRPr="00712B16">
        <w:rPr>
          <w:iCs/>
        </w:rPr>
        <w:t xml:space="preserve">that </w:t>
      </w:r>
      <w:r w:rsidR="00F03F02" w:rsidRPr="00712B16">
        <w:rPr>
          <w:iCs/>
        </w:rPr>
        <w:t xml:space="preserve">voluntarily </w:t>
      </w:r>
      <w:r w:rsidR="000A40B7" w:rsidRPr="00712B16">
        <w:rPr>
          <w:iCs/>
        </w:rPr>
        <w:t>commit to</w:t>
      </w:r>
      <w:r w:rsidR="00F03F02" w:rsidRPr="00712B16">
        <w:rPr>
          <w:iCs/>
        </w:rPr>
        <w:t xml:space="preserve"> </w:t>
      </w:r>
      <w:r w:rsidR="003A180D" w:rsidRPr="00712B16">
        <w:rPr>
          <w:iCs/>
        </w:rPr>
        <w:t xml:space="preserve">the </w:t>
      </w:r>
      <w:r w:rsidR="005832CF" w:rsidRPr="00712B16">
        <w:rPr>
          <w:iCs/>
        </w:rPr>
        <w:t>net zero</w:t>
      </w:r>
      <w:r w:rsidR="00F03F02" w:rsidRPr="00712B16">
        <w:rPr>
          <w:iCs/>
        </w:rPr>
        <w:t xml:space="preserve"> target</w:t>
      </w:r>
      <w:r w:rsidR="003A180D" w:rsidRPr="00712B16">
        <w:rPr>
          <w:iCs/>
        </w:rPr>
        <w:t>s</w:t>
      </w:r>
      <w:r w:rsidR="00F03F02" w:rsidRPr="00712B16">
        <w:rPr>
          <w:iCs/>
        </w:rPr>
        <w:t xml:space="preserve"> do not exhibit higher REM</w:t>
      </w:r>
      <w:r w:rsidR="006E4770" w:rsidRPr="00712B16">
        <w:rPr>
          <w:iCs/>
        </w:rPr>
        <w:t>,</w:t>
      </w:r>
      <w:r w:rsidR="00BF4FFA" w:rsidRPr="00712B16">
        <w:rPr>
          <w:iCs/>
        </w:rPr>
        <w:t xml:space="preserve"> consistent with the notion that such firms are better prepared to deal with the </w:t>
      </w:r>
      <w:r w:rsidR="00C746FE" w:rsidRPr="00712B16">
        <w:rPr>
          <w:iCs/>
        </w:rPr>
        <w:t>regulatory</w:t>
      </w:r>
      <w:r w:rsidR="00BF4FFA" w:rsidRPr="00712B16">
        <w:rPr>
          <w:iCs/>
        </w:rPr>
        <w:t xml:space="preserve"> changes imposed by the country where they are headquartered</w:t>
      </w:r>
      <w:r w:rsidR="00F03F02" w:rsidRPr="00712B16">
        <w:rPr>
          <w:iCs/>
        </w:rPr>
        <w:t>.</w:t>
      </w:r>
      <w:r w:rsidR="00E051A3" w:rsidRPr="00712B16">
        <w:rPr>
          <w:rStyle w:val="FootnoteReference"/>
        </w:rPr>
        <w:footnoteReference w:id="15"/>
      </w:r>
    </w:p>
    <w:p w14:paraId="2420B6E4" w14:textId="15979FA9" w:rsidR="009032E8" w:rsidRPr="00712B16" w:rsidRDefault="00E051A3" w:rsidP="001A6116">
      <w:pPr>
        <w:spacing w:after="0" w:line="480" w:lineRule="auto"/>
        <w:jc w:val="center"/>
        <w:rPr>
          <w:rFonts w:ascii="Times New Roman" w:hAnsi="Times New Roman" w:cs="Times New Roman"/>
          <w:sz w:val="24"/>
          <w:szCs w:val="24"/>
        </w:rPr>
      </w:pPr>
      <w:r w:rsidRPr="00712B16">
        <w:rPr>
          <w:rFonts w:ascii="Times New Roman" w:hAnsi="Times New Roman" w:cs="Times New Roman"/>
          <w:sz w:val="24"/>
          <w:szCs w:val="24"/>
        </w:rPr>
        <w:t xml:space="preserve">[Insert Table </w:t>
      </w:r>
      <w:r w:rsidR="006D6D7B" w:rsidRPr="00712B16">
        <w:rPr>
          <w:rFonts w:ascii="Times New Roman" w:hAnsi="Times New Roman" w:cs="Times New Roman"/>
          <w:sz w:val="24"/>
          <w:szCs w:val="24"/>
        </w:rPr>
        <w:t>8</w:t>
      </w:r>
      <w:r w:rsidRPr="00712B16">
        <w:rPr>
          <w:rFonts w:ascii="Times New Roman" w:hAnsi="Times New Roman" w:cs="Times New Roman"/>
          <w:sz w:val="24"/>
          <w:szCs w:val="24"/>
        </w:rPr>
        <w:t xml:space="preserve"> about here]</w:t>
      </w:r>
    </w:p>
    <w:p w14:paraId="3AAA8DC7" w14:textId="1D17B5C5" w:rsidR="001A6116" w:rsidRPr="00712B16" w:rsidRDefault="001A6116" w:rsidP="001A6116">
      <w:pPr>
        <w:spacing w:after="0" w:line="480" w:lineRule="auto"/>
        <w:jc w:val="both"/>
        <w:rPr>
          <w:rFonts w:ascii="Times New Roman" w:hAnsi="Times New Roman" w:cs="Times New Roman"/>
          <w:bCs/>
          <w:iCs/>
          <w:sz w:val="24"/>
          <w:szCs w:val="24"/>
          <w:lang w:val="en-NZ"/>
        </w:rPr>
      </w:pPr>
      <w:r w:rsidRPr="00712B16">
        <w:rPr>
          <w:rFonts w:ascii="Times New Roman" w:hAnsi="Times New Roman" w:cs="Times New Roman"/>
          <w:sz w:val="24"/>
          <w:szCs w:val="24"/>
        </w:rPr>
        <w:tab/>
      </w:r>
      <w:r w:rsidRPr="00712B16">
        <w:rPr>
          <w:rFonts w:ascii="Times New Roman" w:hAnsi="Times New Roman" w:cs="Times New Roman"/>
          <w:bCs/>
          <w:iCs/>
          <w:sz w:val="24"/>
          <w:szCs w:val="24"/>
          <w:lang w:val="en-NZ"/>
        </w:rPr>
        <w:t xml:space="preserve">While a country’s net zero target </w:t>
      </w:r>
      <w:r w:rsidR="00837CFE" w:rsidRPr="00712B16">
        <w:rPr>
          <w:rFonts w:ascii="Times New Roman" w:hAnsi="Times New Roman" w:cs="Times New Roman"/>
          <w:bCs/>
          <w:iCs/>
          <w:sz w:val="24"/>
          <w:szCs w:val="24"/>
          <w:lang w:val="en-NZ"/>
        </w:rPr>
        <w:t>commitment</w:t>
      </w:r>
      <w:r w:rsidRPr="00712B16">
        <w:rPr>
          <w:rFonts w:ascii="Times New Roman" w:hAnsi="Times New Roman" w:cs="Times New Roman"/>
          <w:bCs/>
          <w:iCs/>
          <w:sz w:val="24"/>
          <w:szCs w:val="24"/>
          <w:lang w:val="en-NZ"/>
        </w:rPr>
        <w:t xml:space="preserve"> serves as an exogenous regulatory shock for </w:t>
      </w:r>
      <w:r w:rsidR="0042384D" w:rsidRPr="00712B16">
        <w:rPr>
          <w:rFonts w:ascii="Times New Roman" w:hAnsi="Times New Roman" w:cs="Times New Roman"/>
          <w:bCs/>
          <w:iCs/>
          <w:sz w:val="24"/>
          <w:szCs w:val="24"/>
          <w:lang w:val="en-NZ"/>
        </w:rPr>
        <w:t>f</w:t>
      </w:r>
      <w:r w:rsidRPr="00712B16">
        <w:rPr>
          <w:rFonts w:ascii="Times New Roman" w:hAnsi="Times New Roman" w:cs="Times New Roman"/>
          <w:bCs/>
          <w:iCs/>
          <w:sz w:val="24"/>
          <w:szCs w:val="24"/>
          <w:lang w:val="en-NZ"/>
        </w:rPr>
        <w:t xml:space="preserve">irms headquartered in the country, firms can also voluntarily </w:t>
      </w:r>
      <w:r w:rsidR="000A40B7" w:rsidRPr="00712B16">
        <w:rPr>
          <w:rFonts w:ascii="Times New Roman" w:hAnsi="Times New Roman" w:cs="Times New Roman"/>
          <w:bCs/>
          <w:iCs/>
          <w:sz w:val="24"/>
          <w:szCs w:val="24"/>
          <w:lang w:val="en-NZ"/>
        </w:rPr>
        <w:t>commit to</w:t>
      </w:r>
      <w:r w:rsidRPr="00712B16">
        <w:rPr>
          <w:rFonts w:ascii="Times New Roman" w:hAnsi="Times New Roman" w:cs="Times New Roman"/>
          <w:bCs/>
          <w:iCs/>
          <w:sz w:val="24"/>
          <w:szCs w:val="24"/>
          <w:lang w:val="en-NZ"/>
        </w:rPr>
        <w:t xml:space="preserve"> the </w:t>
      </w:r>
      <w:r w:rsidR="005832CF" w:rsidRPr="00712B16">
        <w:rPr>
          <w:rFonts w:ascii="Times New Roman" w:hAnsi="Times New Roman" w:cs="Times New Roman"/>
          <w:bCs/>
          <w:iCs/>
          <w:sz w:val="24"/>
          <w:szCs w:val="24"/>
          <w:lang w:val="en-NZ"/>
        </w:rPr>
        <w:t>net zero</w:t>
      </w:r>
      <w:r w:rsidRPr="00712B16">
        <w:rPr>
          <w:rFonts w:ascii="Times New Roman" w:hAnsi="Times New Roman" w:cs="Times New Roman"/>
          <w:bCs/>
          <w:iCs/>
          <w:sz w:val="24"/>
          <w:szCs w:val="24"/>
          <w:lang w:val="en-NZ"/>
        </w:rPr>
        <w:t xml:space="preserve"> targets. To address the identification issue and mitigate </w:t>
      </w:r>
      <w:r w:rsidR="006E4770" w:rsidRPr="00712B16">
        <w:rPr>
          <w:rFonts w:ascii="Times New Roman" w:hAnsi="Times New Roman" w:cs="Times New Roman"/>
          <w:bCs/>
          <w:iCs/>
          <w:sz w:val="24"/>
          <w:szCs w:val="24"/>
          <w:lang w:val="en-NZ"/>
        </w:rPr>
        <w:t xml:space="preserve">the </w:t>
      </w:r>
      <w:r w:rsidRPr="00712B16">
        <w:rPr>
          <w:rFonts w:ascii="Times New Roman" w:hAnsi="Times New Roman" w:cs="Times New Roman"/>
          <w:bCs/>
          <w:iCs/>
          <w:sz w:val="24"/>
          <w:szCs w:val="24"/>
          <w:lang w:val="en-NZ"/>
        </w:rPr>
        <w:t xml:space="preserve">potential endogeneity problem, </w:t>
      </w:r>
      <w:r w:rsidRPr="00712B16">
        <w:rPr>
          <w:rFonts w:ascii="Times New Roman" w:hAnsi="Times New Roman" w:cs="Times New Roman"/>
          <w:bCs/>
          <w:iCs/>
          <w:sz w:val="24"/>
          <w:szCs w:val="24"/>
          <w:lang w:val="en-AU"/>
        </w:rPr>
        <w:t xml:space="preserve">we exclude firm-year observations that voluntarily </w:t>
      </w:r>
      <w:r w:rsidR="000A40B7" w:rsidRPr="00712B16">
        <w:rPr>
          <w:rFonts w:ascii="Times New Roman" w:hAnsi="Times New Roman" w:cs="Times New Roman"/>
          <w:bCs/>
          <w:iCs/>
          <w:sz w:val="24"/>
          <w:szCs w:val="24"/>
          <w:lang w:val="en-AU"/>
        </w:rPr>
        <w:t>committed to</w:t>
      </w:r>
      <w:r w:rsidRPr="00712B16">
        <w:rPr>
          <w:rFonts w:ascii="Times New Roman" w:hAnsi="Times New Roman" w:cs="Times New Roman"/>
          <w:bCs/>
          <w:iCs/>
          <w:sz w:val="24"/>
          <w:szCs w:val="24"/>
          <w:lang w:val="en-AU"/>
        </w:rPr>
        <w:t xml:space="preserve"> </w:t>
      </w:r>
      <w:r w:rsidR="006E4770" w:rsidRPr="00712B16">
        <w:rPr>
          <w:rFonts w:ascii="Times New Roman" w:hAnsi="Times New Roman" w:cs="Times New Roman"/>
          <w:bCs/>
          <w:iCs/>
          <w:sz w:val="24"/>
          <w:szCs w:val="24"/>
          <w:lang w:val="en-AU"/>
        </w:rPr>
        <w:t xml:space="preserve">a </w:t>
      </w:r>
      <w:r w:rsidR="005832CF" w:rsidRPr="00712B16">
        <w:rPr>
          <w:rFonts w:ascii="Times New Roman" w:hAnsi="Times New Roman" w:cs="Times New Roman"/>
          <w:bCs/>
          <w:iCs/>
          <w:sz w:val="24"/>
          <w:szCs w:val="24"/>
          <w:lang w:val="en-AU"/>
        </w:rPr>
        <w:t>net zero</w:t>
      </w:r>
      <w:r w:rsidRPr="00712B16">
        <w:rPr>
          <w:rFonts w:ascii="Times New Roman" w:hAnsi="Times New Roman" w:cs="Times New Roman"/>
          <w:bCs/>
          <w:iCs/>
          <w:sz w:val="24"/>
          <w:szCs w:val="24"/>
          <w:lang w:val="en-AU"/>
        </w:rPr>
        <w:t xml:space="preserve"> target from our main sample and re-run our analysis. The number of such firms only accounts for 0.5% of the 2,000 firms for which we hand-collected the firm-level voluntary </w:t>
      </w:r>
      <w:r w:rsidR="00837CFE" w:rsidRPr="00712B16">
        <w:rPr>
          <w:rFonts w:ascii="Times New Roman" w:hAnsi="Times New Roman" w:cs="Times New Roman"/>
          <w:bCs/>
          <w:iCs/>
          <w:sz w:val="24"/>
          <w:szCs w:val="24"/>
          <w:lang w:val="en-AU"/>
        </w:rPr>
        <w:t>commitment</w:t>
      </w:r>
      <w:r w:rsidRPr="00712B16">
        <w:rPr>
          <w:rFonts w:ascii="Times New Roman" w:hAnsi="Times New Roman" w:cs="Times New Roman"/>
          <w:bCs/>
          <w:iCs/>
          <w:sz w:val="24"/>
          <w:szCs w:val="24"/>
          <w:lang w:val="en-AU"/>
        </w:rPr>
        <w:t xml:space="preserve"> data. Our results (</w:t>
      </w:r>
      <w:proofErr w:type="spellStart"/>
      <w:r w:rsidRPr="00712B16">
        <w:rPr>
          <w:rFonts w:ascii="Times New Roman" w:hAnsi="Times New Roman" w:cs="Times New Roman"/>
          <w:bCs/>
          <w:iCs/>
          <w:sz w:val="24"/>
          <w:szCs w:val="24"/>
          <w:lang w:val="en-AU"/>
        </w:rPr>
        <w:t>untabulated</w:t>
      </w:r>
      <w:proofErr w:type="spellEnd"/>
      <w:r w:rsidRPr="00712B16">
        <w:rPr>
          <w:rFonts w:ascii="Times New Roman" w:hAnsi="Times New Roman" w:cs="Times New Roman"/>
          <w:bCs/>
          <w:iCs/>
          <w:sz w:val="24"/>
          <w:szCs w:val="24"/>
          <w:lang w:val="en-AU"/>
        </w:rPr>
        <w:t xml:space="preserve">) remain consistent with our main findings after the exclusion of these observations in that the coefficient on </w:t>
      </w:r>
      <w:r w:rsidRPr="00712B16">
        <w:rPr>
          <w:rFonts w:ascii="Times New Roman" w:hAnsi="Times New Roman" w:cs="Times New Roman"/>
          <w:bCs/>
          <w:i/>
          <w:sz w:val="24"/>
          <w:szCs w:val="24"/>
          <w:lang w:val="en-AU"/>
        </w:rPr>
        <w:t xml:space="preserve">COUNTRY_NETZERO </w:t>
      </w:r>
      <w:r w:rsidRPr="00712B16">
        <w:rPr>
          <w:rFonts w:ascii="Times New Roman" w:hAnsi="Times New Roman" w:cs="Times New Roman"/>
          <w:bCs/>
          <w:iCs/>
          <w:sz w:val="24"/>
          <w:szCs w:val="24"/>
          <w:lang w:val="en-AU"/>
        </w:rPr>
        <w:t>remains positive and statistically significant across all REM measures.</w:t>
      </w:r>
      <w:r w:rsidRPr="00712B16">
        <w:rPr>
          <w:rStyle w:val="FootnoteReference"/>
          <w:rFonts w:ascii="Times New Roman" w:hAnsi="Times New Roman" w:cs="Times New Roman"/>
          <w:bCs/>
          <w:iCs/>
          <w:sz w:val="24"/>
          <w:szCs w:val="24"/>
          <w:lang w:val="en-AU"/>
        </w:rPr>
        <w:footnoteReference w:id="16"/>
      </w:r>
    </w:p>
    <w:p w14:paraId="217F78C0" w14:textId="237394A0" w:rsidR="005E073B" w:rsidRPr="00712B16" w:rsidRDefault="001A6116" w:rsidP="006951A6">
      <w:pPr>
        <w:spacing w:after="0" w:line="480" w:lineRule="auto"/>
        <w:ind w:firstLine="720"/>
        <w:jc w:val="both"/>
        <w:rPr>
          <w:rFonts w:ascii="Times New Roman" w:hAnsi="Times New Roman" w:cs="Times New Roman"/>
          <w:bCs/>
          <w:iCs/>
          <w:sz w:val="24"/>
          <w:szCs w:val="24"/>
          <w:lang w:val="en-AU"/>
        </w:rPr>
      </w:pPr>
      <w:r w:rsidRPr="00712B16">
        <w:rPr>
          <w:rFonts w:ascii="Times New Roman" w:hAnsi="Times New Roman" w:cs="Times New Roman"/>
          <w:bCs/>
          <w:iCs/>
          <w:sz w:val="24"/>
          <w:szCs w:val="24"/>
          <w:lang w:val="en-AU"/>
        </w:rPr>
        <w:t xml:space="preserve">Overall, these findings, combined with the results reported in Table </w:t>
      </w:r>
      <w:r w:rsidR="006D6D7B" w:rsidRPr="00712B16">
        <w:rPr>
          <w:rFonts w:ascii="Times New Roman" w:hAnsi="Times New Roman" w:cs="Times New Roman"/>
          <w:bCs/>
          <w:iCs/>
          <w:sz w:val="24"/>
          <w:szCs w:val="24"/>
          <w:lang w:val="en-AU"/>
        </w:rPr>
        <w:t>8</w:t>
      </w:r>
      <w:r w:rsidRPr="00712B16">
        <w:rPr>
          <w:rFonts w:ascii="Times New Roman" w:hAnsi="Times New Roman" w:cs="Times New Roman"/>
          <w:bCs/>
          <w:iCs/>
          <w:sz w:val="24"/>
          <w:szCs w:val="24"/>
          <w:lang w:val="en-AU"/>
        </w:rPr>
        <w:t xml:space="preserve"> that show </w:t>
      </w:r>
      <w:r w:rsidR="006E4770" w:rsidRPr="00712B16">
        <w:rPr>
          <w:rFonts w:ascii="Times New Roman" w:hAnsi="Times New Roman" w:cs="Times New Roman"/>
          <w:bCs/>
          <w:iCs/>
          <w:sz w:val="24"/>
          <w:szCs w:val="24"/>
          <w:lang w:val="en-AU"/>
        </w:rPr>
        <w:t xml:space="preserve">an </w:t>
      </w:r>
      <w:r w:rsidRPr="00712B16">
        <w:rPr>
          <w:rFonts w:ascii="Times New Roman" w:hAnsi="Times New Roman" w:cs="Times New Roman"/>
          <w:bCs/>
          <w:iCs/>
          <w:sz w:val="24"/>
          <w:szCs w:val="24"/>
          <w:lang w:val="en-AU"/>
        </w:rPr>
        <w:t xml:space="preserve">insignificant relation between firm-level voluntary </w:t>
      </w:r>
      <w:r w:rsidR="00837CFE" w:rsidRPr="00712B16">
        <w:rPr>
          <w:rFonts w:ascii="Times New Roman" w:hAnsi="Times New Roman" w:cs="Times New Roman"/>
          <w:bCs/>
          <w:iCs/>
          <w:sz w:val="24"/>
          <w:szCs w:val="24"/>
          <w:lang w:val="en-AU"/>
        </w:rPr>
        <w:t>commitment</w:t>
      </w:r>
      <w:r w:rsidRPr="00712B16">
        <w:rPr>
          <w:rFonts w:ascii="Times New Roman" w:hAnsi="Times New Roman" w:cs="Times New Roman"/>
          <w:bCs/>
          <w:iCs/>
          <w:sz w:val="24"/>
          <w:szCs w:val="24"/>
          <w:lang w:val="en-AU"/>
        </w:rPr>
        <w:t xml:space="preserve"> and REM, provide </w:t>
      </w:r>
      <w:r w:rsidRPr="00712B16">
        <w:rPr>
          <w:rFonts w:ascii="Times New Roman" w:hAnsi="Times New Roman" w:cs="Times New Roman"/>
          <w:bCs/>
          <w:iCs/>
          <w:sz w:val="24"/>
          <w:szCs w:val="24"/>
          <w:lang w:val="en-AU"/>
        </w:rPr>
        <w:lastRenderedPageBreak/>
        <w:t>evidence that</w:t>
      </w:r>
      <w:r w:rsidR="006E4770" w:rsidRPr="00712B16">
        <w:rPr>
          <w:rFonts w:ascii="Times New Roman" w:hAnsi="Times New Roman" w:cs="Times New Roman"/>
          <w:bCs/>
          <w:iCs/>
          <w:sz w:val="24"/>
          <w:szCs w:val="24"/>
          <w:lang w:val="en-AU"/>
        </w:rPr>
        <w:t>,</w:t>
      </w:r>
      <w:r w:rsidRPr="00712B16">
        <w:rPr>
          <w:rFonts w:ascii="Times New Roman" w:hAnsi="Times New Roman" w:cs="Times New Roman"/>
          <w:bCs/>
          <w:iCs/>
          <w:sz w:val="24"/>
          <w:szCs w:val="24"/>
          <w:lang w:val="en-AU"/>
        </w:rPr>
        <w:t xml:space="preserve"> irrespective of whether firms voluntarily </w:t>
      </w:r>
      <w:r w:rsidR="000A40B7" w:rsidRPr="00712B16">
        <w:rPr>
          <w:rFonts w:ascii="Times New Roman" w:hAnsi="Times New Roman" w:cs="Times New Roman"/>
          <w:bCs/>
          <w:iCs/>
          <w:sz w:val="24"/>
          <w:szCs w:val="24"/>
          <w:lang w:val="en-AU"/>
        </w:rPr>
        <w:t>commit to the</w:t>
      </w:r>
      <w:r w:rsidRPr="00712B16">
        <w:rPr>
          <w:rFonts w:ascii="Times New Roman" w:hAnsi="Times New Roman" w:cs="Times New Roman"/>
          <w:bCs/>
          <w:iCs/>
          <w:sz w:val="24"/>
          <w:szCs w:val="24"/>
          <w:lang w:val="en-AU"/>
        </w:rPr>
        <w:t xml:space="preserve"> </w:t>
      </w:r>
      <w:r w:rsidR="005832CF" w:rsidRPr="00712B16">
        <w:rPr>
          <w:rFonts w:ascii="Times New Roman" w:hAnsi="Times New Roman" w:cs="Times New Roman"/>
          <w:bCs/>
          <w:iCs/>
          <w:sz w:val="24"/>
          <w:szCs w:val="24"/>
          <w:lang w:val="en-AU"/>
        </w:rPr>
        <w:t>net zero</w:t>
      </w:r>
      <w:r w:rsidRPr="00712B16">
        <w:rPr>
          <w:rFonts w:ascii="Times New Roman" w:hAnsi="Times New Roman" w:cs="Times New Roman"/>
          <w:bCs/>
          <w:iCs/>
          <w:sz w:val="24"/>
          <w:szCs w:val="24"/>
          <w:lang w:val="en-AU"/>
        </w:rPr>
        <w:t xml:space="preserve"> targets or not, the country-level </w:t>
      </w:r>
      <w:r w:rsidR="00837CFE" w:rsidRPr="00712B16">
        <w:rPr>
          <w:rFonts w:ascii="Times New Roman" w:hAnsi="Times New Roman" w:cs="Times New Roman"/>
          <w:bCs/>
          <w:iCs/>
          <w:sz w:val="24"/>
          <w:szCs w:val="24"/>
          <w:lang w:val="en-AU"/>
        </w:rPr>
        <w:t>commitment</w:t>
      </w:r>
      <w:r w:rsidRPr="00712B16">
        <w:rPr>
          <w:rFonts w:ascii="Times New Roman" w:hAnsi="Times New Roman" w:cs="Times New Roman"/>
          <w:bCs/>
          <w:iCs/>
          <w:sz w:val="24"/>
          <w:szCs w:val="24"/>
          <w:lang w:val="en-AU"/>
        </w:rPr>
        <w:t xml:space="preserve"> of net zero drives </w:t>
      </w:r>
      <w:r w:rsidR="00D71377" w:rsidRPr="00712B16">
        <w:rPr>
          <w:rFonts w:ascii="Times New Roman" w:hAnsi="Times New Roman" w:cs="Times New Roman"/>
          <w:bCs/>
          <w:iCs/>
          <w:sz w:val="24"/>
          <w:szCs w:val="24"/>
          <w:lang w:val="en-AU"/>
        </w:rPr>
        <w:t>REM</w:t>
      </w:r>
      <w:r w:rsidRPr="00712B16">
        <w:rPr>
          <w:rFonts w:ascii="Times New Roman" w:hAnsi="Times New Roman" w:cs="Times New Roman"/>
          <w:bCs/>
          <w:iCs/>
          <w:sz w:val="24"/>
          <w:szCs w:val="24"/>
          <w:lang w:val="en-AU"/>
        </w:rPr>
        <w:t xml:space="preserve"> among firms headquartered in those countries. Importantly, these results suggest that our main findings are less likely to be affected by endogeneity </w:t>
      </w:r>
      <w:r w:rsidR="006E4770" w:rsidRPr="00712B16">
        <w:rPr>
          <w:rFonts w:ascii="Times New Roman" w:hAnsi="Times New Roman" w:cs="Times New Roman"/>
          <w:bCs/>
          <w:iCs/>
          <w:sz w:val="24"/>
          <w:szCs w:val="24"/>
          <w:lang w:val="en-AU"/>
        </w:rPr>
        <w:t>concerns</w:t>
      </w:r>
      <w:r w:rsidRPr="00712B16">
        <w:rPr>
          <w:rFonts w:ascii="Times New Roman" w:hAnsi="Times New Roman" w:cs="Times New Roman"/>
          <w:bCs/>
          <w:iCs/>
          <w:sz w:val="24"/>
          <w:szCs w:val="24"/>
          <w:lang w:val="en-AU"/>
        </w:rPr>
        <w:t>.</w:t>
      </w:r>
    </w:p>
    <w:p w14:paraId="578219D3" w14:textId="2F04A340" w:rsidR="005443AD" w:rsidRPr="00712B16" w:rsidRDefault="005443AD" w:rsidP="006951A6">
      <w:pPr>
        <w:spacing w:after="0" w:line="480" w:lineRule="auto"/>
        <w:ind w:firstLine="720"/>
        <w:jc w:val="both"/>
        <w:rPr>
          <w:rFonts w:ascii="Times New Roman" w:hAnsi="Times New Roman" w:cs="Times New Roman"/>
          <w:bCs/>
          <w:iCs/>
          <w:sz w:val="24"/>
          <w:szCs w:val="24"/>
          <w:lang w:val="en-AU"/>
        </w:rPr>
      </w:pPr>
    </w:p>
    <w:p w14:paraId="34B09FEA" w14:textId="241976FF" w:rsidR="00045300" w:rsidRPr="00712B16" w:rsidRDefault="00045300" w:rsidP="00045300">
      <w:pPr>
        <w:spacing w:after="0" w:line="480" w:lineRule="auto"/>
        <w:jc w:val="both"/>
        <w:rPr>
          <w:rFonts w:ascii="Times New Roman" w:hAnsi="Times New Roman" w:cs="Times New Roman"/>
          <w:i/>
          <w:sz w:val="24"/>
          <w:szCs w:val="24"/>
          <w:lang w:eastAsia="en-US"/>
        </w:rPr>
      </w:pPr>
      <w:bookmarkStart w:id="56" w:name="_Toc118466052"/>
      <w:r w:rsidRPr="00712B16">
        <w:rPr>
          <w:rFonts w:ascii="Times New Roman" w:hAnsi="Times New Roman" w:cs="Times New Roman"/>
          <w:i/>
          <w:sz w:val="24"/>
          <w:szCs w:val="24"/>
          <w:lang w:eastAsia="en-US"/>
        </w:rPr>
        <w:t>5.</w:t>
      </w:r>
      <w:r w:rsidR="00317203" w:rsidRPr="00712B16">
        <w:rPr>
          <w:rFonts w:ascii="Times New Roman" w:hAnsi="Times New Roman" w:cs="Times New Roman"/>
          <w:i/>
          <w:sz w:val="24"/>
          <w:szCs w:val="24"/>
          <w:lang w:eastAsia="en-US"/>
        </w:rPr>
        <w:t>5</w:t>
      </w:r>
      <w:r w:rsidRPr="00712B16">
        <w:rPr>
          <w:rFonts w:ascii="Times New Roman" w:hAnsi="Times New Roman" w:cs="Times New Roman"/>
          <w:i/>
          <w:sz w:val="24"/>
          <w:szCs w:val="24"/>
          <w:lang w:eastAsia="en-US"/>
        </w:rPr>
        <w:t xml:space="preserve"> Additional analyses using alternative definitions of net zero variable</w:t>
      </w:r>
    </w:p>
    <w:p w14:paraId="76F3AEBE" w14:textId="3CC09B9C" w:rsidR="00045300" w:rsidRPr="00712B16" w:rsidRDefault="00045300" w:rsidP="00045300">
      <w:pPr>
        <w:spacing w:after="0" w:line="480" w:lineRule="auto"/>
        <w:jc w:val="both"/>
        <w:rPr>
          <w:rFonts w:ascii="Times New Roman" w:hAnsi="Times New Roman" w:cs="Times New Roman"/>
          <w:sz w:val="24"/>
          <w:szCs w:val="24"/>
        </w:rPr>
      </w:pPr>
      <w:r w:rsidRPr="00712B16">
        <w:rPr>
          <w:rFonts w:ascii="Times New Roman" w:hAnsi="Times New Roman" w:cs="Times New Roman"/>
          <w:iCs/>
          <w:sz w:val="24"/>
          <w:szCs w:val="24"/>
          <w:lang w:eastAsia="en-US"/>
        </w:rPr>
        <w:t xml:space="preserve">We conduct a number of additional analyses. First, </w:t>
      </w:r>
      <w:r w:rsidRPr="00712B16">
        <w:rPr>
          <w:rFonts w:ascii="Times New Roman" w:hAnsi="Times New Roman" w:cs="Times New Roman"/>
          <w:sz w:val="24"/>
          <w:szCs w:val="24"/>
          <w:lang w:val="en-AU"/>
        </w:rPr>
        <w:t xml:space="preserve">we redo the main analysis with an alternative definition of the net zero variable. Using the full sample used in our main analysis, we re-code the net zero variable </w:t>
      </w:r>
      <w:r w:rsidRPr="00712B16">
        <w:rPr>
          <w:rFonts w:ascii="Times New Roman" w:hAnsi="Times New Roman" w:cs="Times New Roman"/>
          <w:i/>
          <w:iCs/>
          <w:sz w:val="24"/>
          <w:szCs w:val="24"/>
          <w:lang w:val="en-AU"/>
        </w:rPr>
        <w:t xml:space="preserve">LAW/POLICY_1 </w:t>
      </w:r>
      <w:r w:rsidRPr="00712B16">
        <w:rPr>
          <w:rFonts w:ascii="Times New Roman" w:hAnsi="Times New Roman" w:cs="Times New Roman"/>
          <w:sz w:val="24"/>
          <w:szCs w:val="24"/>
          <w:lang w:val="en-AU"/>
        </w:rPr>
        <w:t>as one if the net zero commitment of a particular country is either in law or in the official policy document, and zero otherwise (including either declaration/pledge or discussion/proposal or no commitment to net zero transition). Our</w:t>
      </w:r>
      <w:r w:rsidR="006D6D7B" w:rsidRPr="00712B16">
        <w:rPr>
          <w:rFonts w:ascii="Times New Roman" w:hAnsi="Times New Roman" w:cs="Times New Roman"/>
          <w:sz w:val="24"/>
          <w:szCs w:val="24"/>
          <w:lang w:val="en-AU"/>
        </w:rPr>
        <w:t xml:space="preserve"> </w:t>
      </w:r>
      <w:r w:rsidR="002E1E4D" w:rsidRPr="00712B16">
        <w:rPr>
          <w:rFonts w:ascii="Times New Roman" w:hAnsi="Times New Roman" w:cs="Times New Roman"/>
          <w:sz w:val="24"/>
          <w:szCs w:val="24"/>
        </w:rPr>
        <w:t>results (</w:t>
      </w:r>
      <w:proofErr w:type="spellStart"/>
      <w:r w:rsidR="002E1E4D" w:rsidRPr="00712B16">
        <w:rPr>
          <w:rFonts w:ascii="Times New Roman" w:hAnsi="Times New Roman" w:cs="Times New Roman"/>
          <w:sz w:val="24"/>
          <w:szCs w:val="24"/>
        </w:rPr>
        <w:t>untabulated</w:t>
      </w:r>
      <w:proofErr w:type="spellEnd"/>
      <w:r w:rsidR="002E1E4D" w:rsidRPr="00712B16">
        <w:rPr>
          <w:rFonts w:ascii="Times New Roman" w:hAnsi="Times New Roman" w:cs="Times New Roman"/>
          <w:sz w:val="24"/>
          <w:szCs w:val="24"/>
        </w:rPr>
        <w:t xml:space="preserve">) </w:t>
      </w:r>
      <w:r w:rsidRPr="00712B16">
        <w:rPr>
          <w:rFonts w:ascii="Times New Roman" w:hAnsi="Times New Roman" w:cs="Times New Roman"/>
          <w:sz w:val="24"/>
          <w:szCs w:val="24"/>
          <w:lang w:val="en-AU"/>
        </w:rPr>
        <w:t xml:space="preserve">provide support to our main findings in showing that the variable </w:t>
      </w:r>
      <w:r w:rsidRPr="00712B16">
        <w:rPr>
          <w:rFonts w:ascii="Times New Roman" w:hAnsi="Times New Roman" w:cs="Times New Roman"/>
          <w:i/>
          <w:iCs/>
          <w:sz w:val="24"/>
          <w:szCs w:val="24"/>
          <w:lang w:val="en-AU"/>
        </w:rPr>
        <w:t xml:space="preserve">LAW/POLICY_1 </w:t>
      </w:r>
      <w:r w:rsidRPr="00712B16">
        <w:rPr>
          <w:rFonts w:ascii="Times New Roman" w:hAnsi="Times New Roman" w:cs="Times New Roman"/>
          <w:sz w:val="24"/>
          <w:szCs w:val="24"/>
          <w:lang w:val="en-AU"/>
        </w:rPr>
        <w:t xml:space="preserve">is positively and significantly associated with three measures of </w:t>
      </w:r>
      <w:r w:rsidRPr="00712B16">
        <w:rPr>
          <w:rFonts w:ascii="Times New Roman" w:hAnsi="Times New Roman" w:cs="Times New Roman"/>
          <w:i/>
          <w:iCs/>
          <w:sz w:val="24"/>
          <w:szCs w:val="24"/>
          <w:lang w:val="en-AU"/>
        </w:rPr>
        <w:t>REM (</w:t>
      </w:r>
      <w:r w:rsidRPr="00712B16">
        <w:rPr>
          <w:rFonts w:ascii="Times New Roman" w:hAnsi="Times New Roman" w:cs="Times New Roman"/>
          <w:i/>
          <w:iCs/>
          <w:sz w:val="24"/>
          <w:szCs w:val="24"/>
        </w:rPr>
        <w:t>REM_CFO</w:t>
      </w:r>
      <w:r w:rsidRPr="00712B16">
        <w:rPr>
          <w:rFonts w:ascii="Times New Roman" w:hAnsi="Times New Roman" w:cs="Times New Roman"/>
          <w:sz w:val="24"/>
          <w:szCs w:val="24"/>
        </w:rPr>
        <w:t xml:space="preserve">: coefficient=0.016, p-value&lt;0.01; </w:t>
      </w:r>
      <w:r w:rsidRPr="00712B16">
        <w:rPr>
          <w:rFonts w:ascii="Times New Roman" w:hAnsi="Times New Roman" w:cs="Times New Roman"/>
          <w:i/>
          <w:iCs/>
          <w:sz w:val="24"/>
          <w:szCs w:val="24"/>
        </w:rPr>
        <w:t>REM_DISEXP:</w:t>
      </w:r>
      <w:r w:rsidRPr="00712B16">
        <w:rPr>
          <w:rFonts w:ascii="Times New Roman" w:hAnsi="Times New Roman" w:cs="Times New Roman"/>
          <w:sz w:val="24"/>
          <w:szCs w:val="24"/>
        </w:rPr>
        <w:t xml:space="preserve"> coefficient=0.005, p-value&lt;0.10; </w:t>
      </w:r>
      <w:r w:rsidRPr="00712B16">
        <w:rPr>
          <w:rFonts w:ascii="Times New Roman" w:hAnsi="Times New Roman" w:cs="Times New Roman"/>
          <w:i/>
          <w:iCs/>
          <w:sz w:val="24"/>
          <w:szCs w:val="24"/>
        </w:rPr>
        <w:t>REM_SUM:</w:t>
      </w:r>
      <w:r w:rsidRPr="00712B16">
        <w:rPr>
          <w:rFonts w:ascii="Times New Roman" w:hAnsi="Times New Roman" w:cs="Times New Roman"/>
          <w:sz w:val="24"/>
          <w:szCs w:val="24"/>
        </w:rPr>
        <w:t xml:space="preserve"> coefficient=0.020, p-value&lt;0.01).</w:t>
      </w:r>
    </w:p>
    <w:p w14:paraId="3FB53817" w14:textId="76AEF725" w:rsidR="00045300" w:rsidRPr="00712B16" w:rsidRDefault="00045300" w:rsidP="00045300">
      <w:pPr>
        <w:spacing w:after="0" w:line="480" w:lineRule="auto"/>
        <w:ind w:firstLine="720"/>
        <w:jc w:val="both"/>
        <w:rPr>
          <w:rFonts w:ascii="Times New Roman" w:hAnsi="Times New Roman" w:cs="Times New Roman"/>
          <w:sz w:val="24"/>
          <w:szCs w:val="24"/>
        </w:rPr>
      </w:pPr>
      <w:r w:rsidRPr="00712B16">
        <w:rPr>
          <w:rFonts w:ascii="Times New Roman" w:hAnsi="Times New Roman" w:cs="Times New Roman"/>
          <w:sz w:val="24"/>
          <w:szCs w:val="24"/>
        </w:rPr>
        <w:t xml:space="preserve">Second, to complement the above test and further ascertain the robustness of our results, we restrict our sample to only firms located in countries that commit to net zero target (i.e., we remove observations related to firms in countries that do not commit to net zero), and re-code the net zero variable </w:t>
      </w:r>
      <w:r w:rsidRPr="00712B16">
        <w:rPr>
          <w:rFonts w:ascii="Times New Roman" w:hAnsi="Times New Roman" w:cs="Times New Roman"/>
          <w:i/>
          <w:iCs/>
          <w:sz w:val="24"/>
          <w:szCs w:val="24"/>
          <w:lang w:val="en-AU"/>
        </w:rPr>
        <w:t xml:space="preserve">LAW/POLICY_2 </w:t>
      </w:r>
      <w:r w:rsidRPr="00712B16">
        <w:rPr>
          <w:rFonts w:ascii="Times New Roman" w:hAnsi="Times New Roman" w:cs="Times New Roman"/>
          <w:sz w:val="24"/>
          <w:szCs w:val="24"/>
          <w:lang w:val="en-AU"/>
        </w:rPr>
        <w:t xml:space="preserve">as one if the net zero commitment of a particular country is either in law or in the official policy document, and zero if it is in either declaration/pledge or discussion/proposal. We re-run our main analysis with the restricted sample using this alternative definition of the net zero variable. </w:t>
      </w:r>
      <w:r w:rsidR="006D6D7B" w:rsidRPr="00712B16">
        <w:rPr>
          <w:rFonts w:ascii="Times New Roman" w:hAnsi="Times New Roman" w:cs="Times New Roman"/>
          <w:sz w:val="24"/>
          <w:szCs w:val="24"/>
          <w:lang w:val="en-AU"/>
        </w:rPr>
        <w:t xml:space="preserve">Our </w:t>
      </w:r>
      <w:r w:rsidR="002E1E4D" w:rsidRPr="00712B16">
        <w:rPr>
          <w:rFonts w:ascii="Times New Roman" w:hAnsi="Times New Roman" w:cs="Times New Roman"/>
          <w:sz w:val="24"/>
          <w:szCs w:val="24"/>
        </w:rPr>
        <w:t>results (</w:t>
      </w:r>
      <w:proofErr w:type="spellStart"/>
      <w:r w:rsidR="002E1E4D" w:rsidRPr="00712B16">
        <w:rPr>
          <w:rFonts w:ascii="Times New Roman" w:hAnsi="Times New Roman" w:cs="Times New Roman"/>
          <w:sz w:val="24"/>
          <w:szCs w:val="24"/>
        </w:rPr>
        <w:t>untabulated</w:t>
      </w:r>
      <w:proofErr w:type="spellEnd"/>
      <w:r w:rsidR="002E1E4D" w:rsidRPr="00712B16">
        <w:rPr>
          <w:rFonts w:ascii="Times New Roman" w:hAnsi="Times New Roman" w:cs="Times New Roman"/>
          <w:sz w:val="24"/>
          <w:szCs w:val="24"/>
        </w:rPr>
        <w:t xml:space="preserve">) </w:t>
      </w:r>
      <w:r w:rsidRPr="00712B16">
        <w:rPr>
          <w:rFonts w:ascii="Times New Roman" w:hAnsi="Times New Roman" w:cs="Times New Roman"/>
          <w:sz w:val="24"/>
          <w:szCs w:val="24"/>
          <w:lang w:val="en-AU"/>
        </w:rPr>
        <w:t xml:space="preserve">show a positive and statistically significant relation between </w:t>
      </w:r>
      <w:r w:rsidRPr="00712B16">
        <w:rPr>
          <w:rFonts w:ascii="Times New Roman" w:hAnsi="Times New Roman" w:cs="Times New Roman"/>
          <w:i/>
          <w:iCs/>
          <w:sz w:val="24"/>
          <w:szCs w:val="24"/>
          <w:lang w:val="en-AU"/>
        </w:rPr>
        <w:t xml:space="preserve">LAW/POLICY_2 </w:t>
      </w:r>
      <w:r w:rsidRPr="00712B16">
        <w:rPr>
          <w:rFonts w:ascii="Times New Roman" w:hAnsi="Times New Roman" w:cs="Times New Roman"/>
          <w:sz w:val="24"/>
          <w:szCs w:val="24"/>
          <w:lang w:val="en-AU"/>
        </w:rPr>
        <w:t xml:space="preserve">and three measures of </w:t>
      </w:r>
      <w:r w:rsidRPr="00712B16">
        <w:rPr>
          <w:rFonts w:ascii="Times New Roman" w:hAnsi="Times New Roman" w:cs="Times New Roman"/>
          <w:i/>
          <w:iCs/>
          <w:sz w:val="24"/>
          <w:szCs w:val="24"/>
          <w:lang w:val="en-AU"/>
        </w:rPr>
        <w:t>REM (</w:t>
      </w:r>
      <w:r w:rsidRPr="00712B16">
        <w:rPr>
          <w:rFonts w:ascii="Times New Roman" w:hAnsi="Times New Roman" w:cs="Times New Roman"/>
          <w:i/>
          <w:iCs/>
          <w:sz w:val="24"/>
          <w:szCs w:val="24"/>
        </w:rPr>
        <w:t>REM_CFO</w:t>
      </w:r>
      <w:r w:rsidRPr="00712B16">
        <w:rPr>
          <w:rFonts w:ascii="Times New Roman" w:hAnsi="Times New Roman" w:cs="Times New Roman"/>
          <w:sz w:val="24"/>
          <w:szCs w:val="24"/>
        </w:rPr>
        <w:t xml:space="preserve">: coefficient=0.047, </w:t>
      </w:r>
      <w:r w:rsidRPr="00712B16">
        <w:rPr>
          <w:rFonts w:ascii="Times New Roman" w:hAnsi="Times New Roman" w:cs="Times New Roman"/>
          <w:sz w:val="24"/>
          <w:szCs w:val="24"/>
        </w:rPr>
        <w:lastRenderedPageBreak/>
        <w:t xml:space="preserve">p-value&lt;0.05; </w:t>
      </w:r>
      <w:r w:rsidRPr="00712B16">
        <w:rPr>
          <w:rFonts w:ascii="Times New Roman" w:hAnsi="Times New Roman" w:cs="Times New Roman"/>
          <w:i/>
          <w:iCs/>
          <w:sz w:val="24"/>
          <w:szCs w:val="24"/>
        </w:rPr>
        <w:t>REM_DISEXP:</w:t>
      </w:r>
      <w:r w:rsidRPr="00712B16">
        <w:rPr>
          <w:rFonts w:ascii="Times New Roman" w:hAnsi="Times New Roman" w:cs="Times New Roman"/>
          <w:sz w:val="24"/>
          <w:szCs w:val="24"/>
        </w:rPr>
        <w:t xml:space="preserve"> coefficient=0.033, p-value&lt;0.10; </w:t>
      </w:r>
      <w:r w:rsidRPr="00712B16">
        <w:rPr>
          <w:rFonts w:ascii="Times New Roman" w:hAnsi="Times New Roman" w:cs="Times New Roman"/>
          <w:i/>
          <w:iCs/>
          <w:sz w:val="24"/>
          <w:szCs w:val="24"/>
        </w:rPr>
        <w:t>REM_SUM:</w:t>
      </w:r>
      <w:r w:rsidRPr="00712B16">
        <w:rPr>
          <w:rFonts w:ascii="Times New Roman" w:hAnsi="Times New Roman" w:cs="Times New Roman"/>
          <w:sz w:val="24"/>
          <w:szCs w:val="24"/>
        </w:rPr>
        <w:t xml:space="preserve"> coefficient=0.063, p-value&lt;0.05).</w:t>
      </w:r>
    </w:p>
    <w:p w14:paraId="73D1D183" w14:textId="594FBBA3" w:rsidR="00045300" w:rsidRPr="00712B16" w:rsidRDefault="00045300" w:rsidP="00045300">
      <w:pPr>
        <w:spacing w:after="0" w:line="480" w:lineRule="auto"/>
        <w:ind w:firstLine="720"/>
        <w:jc w:val="both"/>
        <w:rPr>
          <w:rFonts w:ascii="Times New Roman" w:hAnsi="Times New Roman" w:cs="Times New Roman"/>
          <w:bCs/>
          <w:iCs/>
          <w:sz w:val="24"/>
          <w:szCs w:val="24"/>
          <w:lang w:val="en-AU" w:eastAsia="en-US"/>
        </w:rPr>
      </w:pPr>
      <w:r w:rsidRPr="00712B16">
        <w:rPr>
          <w:rFonts w:ascii="Times New Roman" w:hAnsi="Times New Roman" w:cs="Times New Roman"/>
          <w:sz w:val="24"/>
          <w:szCs w:val="24"/>
        </w:rPr>
        <w:t xml:space="preserve">Finally, </w:t>
      </w:r>
      <w:r w:rsidRPr="00712B16">
        <w:rPr>
          <w:rFonts w:ascii="Times New Roman" w:hAnsi="Times New Roman" w:cs="Times New Roman"/>
          <w:bCs/>
          <w:iCs/>
          <w:sz w:val="24"/>
          <w:szCs w:val="24"/>
          <w:lang w:val="en-AU" w:eastAsia="en-US"/>
        </w:rPr>
        <w:t>to ascertain the robustness of our results, we re-run our analysis on the intensity of net zero commitment using the raw scores of the commitment levels (</w:t>
      </w:r>
      <w:r w:rsidRPr="00712B16">
        <w:rPr>
          <w:rFonts w:ascii="Times New Roman" w:hAnsi="Times New Roman" w:cs="Times New Roman"/>
          <w:bCs/>
          <w:i/>
          <w:iCs/>
          <w:sz w:val="24"/>
          <w:szCs w:val="24"/>
          <w:lang w:val="en-AU" w:eastAsia="en-US"/>
        </w:rPr>
        <w:t>INTENSITY_NETZERO_RAW</w:t>
      </w:r>
      <w:r w:rsidRPr="00712B16">
        <w:rPr>
          <w:rFonts w:ascii="Times New Roman" w:hAnsi="Times New Roman" w:cs="Times New Roman"/>
          <w:bCs/>
          <w:iCs/>
          <w:sz w:val="24"/>
          <w:szCs w:val="24"/>
          <w:lang w:val="en-AU" w:eastAsia="en-US"/>
        </w:rPr>
        <w:t xml:space="preserve">), i.e., 4 (in law), 3 (policy document), 2 (declaration/pledge), and 1 (proposed/in discussion). Countries that do not commit to the net zero target are coded zero. The </w:t>
      </w:r>
      <w:r w:rsidR="002E1E4D" w:rsidRPr="00712B16">
        <w:rPr>
          <w:rFonts w:ascii="Times New Roman" w:hAnsi="Times New Roman" w:cs="Times New Roman"/>
          <w:sz w:val="24"/>
          <w:szCs w:val="24"/>
        </w:rPr>
        <w:t>results (</w:t>
      </w:r>
      <w:proofErr w:type="spellStart"/>
      <w:r w:rsidR="002E1E4D" w:rsidRPr="00712B16">
        <w:rPr>
          <w:rFonts w:ascii="Times New Roman" w:hAnsi="Times New Roman" w:cs="Times New Roman"/>
          <w:sz w:val="24"/>
          <w:szCs w:val="24"/>
        </w:rPr>
        <w:t>untabulated</w:t>
      </w:r>
      <w:proofErr w:type="spellEnd"/>
      <w:r w:rsidR="002E1E4D" w:rsidRPr="00712B16">
        <w:rPr>
          <w:rFonts w:ascii="Times New Roman" w:hAnsi="Times New Roman" w:cs="Times New Roman"/>
          <w:sz w:val="24"/>
          <w:szCs w:val="24"/>
        </w:rPr>
        <w:t xml:space="preserve">) </w:t>
      </w:r>
      <w:r w:rsidRPr="00712B16">
        <w:rPr>
          <w:rFonts w:ascii="Times New Roman" w:hAnsi="Times New Roman" w:cs="Times New Roman"/>
          <w:bCs/>
          <w:iCs/>
          <w:sz w:val="24"/>
          <w:szCs w:val="24"/>
          <w:lang w:val="en-AU" w:eastAsia="en-US"/>
        </w:rPr>
        <w:t xml:space="preserve">show a positive and significant relation between </w:t>
      </w:r>
      <w:r w:rsidRPr="00712B16">
        <w:rPr>
          <w:rFonts w:ascii="Times New Roman" w:hAnsi="Times New Roman" w:cs="Times New Roman"/>
          <w:bCs/>
          <w:i/>
          <w:iCs/>
          <w:sz w:val="24"/>
          <w:szCs w:val="24"/>
          <w:lang w:val="en-AU" w:eastAsia="en-US"/>
        </w:rPr>
        <w:t>INTENSITY_NETZERO_RAW</w:t>
      </w:r>
      <w:r w:rsidRPr="00712B16">
        <w:rPr>
          <w:rFonts w:ascii="Times New Roman" w:hAnsi="Times New Roman" w:cs="Times New Roman"/>
          <w:bCs/>
          <w:iCs/>
          <w:sz w:val="24"/>
          <w:szCs w:val="24"/>
          <w:lang w:val="en-AU" w:eastAsia="en-US"/>
        </w:rPr>
        <w:t xml:space="preserve"> and all four measures of REM at the 1% level. </w:t>
      </w:r>
    </w:p>
    <w:p w14:paraId="625E44EF" w14:textId="62DE4C61" w:rsidR="00045300" w:rsidRPr="00712B16" w:rsidRDefault="00045300" w:rsidP="00045300">
      <w:pPr>
        <w:spacing w:after="0" w:line="480" w:lineRule="auto"/>
        <w:ind w:firstLine="720"/>
        <w:jc w:val="both"/>
        <w:rPr>
          <w:rFonts w:ascii="Times New Roman" w:hAnsi="Times New Roman" w:cs="Times New Roman"/>
          <w:bCs/>
          <w:iCs/>
          <w:sz w:val="24"/>
          <w:szCs w:val="24"/>
          <w:lang w:val="en-AU" w:eastAsia="en-US"/>
        </w:rPr>
      </w:pPr>
      <w:r w:rsidRPr="00712B16">
        <w:rPr>
          <w:rFonts w:ascii="Times New Roman" w:hAnsi="Times New Roman" w:cs="Times New Roman"/>
          <w:bCs/>
          <w:iCs/>
          <w:sz w:val="24"/>
          <w:szCs w:val="24"/>
          <w:lang w:eastAsia="en-US"/>
        </w:rPr>
        <w:t xml:space="preserve">Collectively, these results provide support </w:t>
      </w:r>
      <w:r w:rsidR="00C613D5" w:rsidRPr="00712B16">
        <w:rPr>
          <w:rFonts w:ascii="Times New Roman" w:hAnsi="Times New Roman" w:cs="Times New Roman"/>
          <w:bCs/>
          <w:iCs/>
          <w:sz w:val="24"/>
          <w:szCs w:val="24"/>
          <w:lang w:eastAsia="en-US"/>
        </w:rPr>
        <w:t>for</w:t>
      </w:r>
      <w:r w:rsidRPr="00712B16">
        <w:rPr>
          <w:rFonts w:ascii="Times New Roman" w:hAnsi="Times New Roman" w:cs="Times New Roman"/>
          <w:bCs/>
          <w:iCs/>
          <w:sz w:val="24"/>
          <w:szCs w:val="24"/>
          <w:lang w:eastAsia="en-US"/>
        </w:rPr>
        <w:t xml:space="preserve"> our main findings in showing that firms headquartered in countries that commit to net zero exhibit higher </w:t>
      </w:r>
      <w:r w:rsidR="00D71377" w:rsidRPr="00712B16">
        <w:rPr>
          <w:rFonts w:ascii="Times New Roman" w:hAnsi="Times New Roman" w:cs="Times New Roman"/>
          <w:bCs/>
          <w:iCs/>
          <w:sz w:val="24"/>
          <w:szCs w:val="24"/>
          <w:lang w:eastAsia="en-US"/>
        </w:rPr>
        <w:t>REM</w:t>
      </w:r>
      <w:r w:rsidRPr="00712B16">
        <w:rPr>
          <w:rFonts w:ascii="Times New Roman" w:hAnsi="Times New Roman" w:cs="Times New Roman"/>
          <w:bCs/>
          <w:iCs/>
          <w:sz w:val="24"/>
          <w:szCs w:val="24"/>
          <w:lang w:eastAsia="en-US"/>
        </w:rPr>
        <w:t>. Importantly, the findings are in line with the proposition that as the intensity of the net zero commitment of a country increases (i.e., if the commitment level is in either in law or in the policy document), firms in those countries are more likely to use REM to cope with the financial burden of operational transformation required to achieve the net zero targets. In addition, these results also indicate that our findings are less likely to be driven by the arbitrary definition of the intensity of net zero commitment.</w:t>
      </w:r>
    </w:p>
    <w:p w14:paraId="4A40D823" w14:textId="77777777" w:rsidR="00045300" w:rsidRPr="00712B16" w:rsidRDefault="00045300">
      <w:pPr>
        <w:pStyle w:val="Heading2"/>
        <w:rPr>
          <w:b w:val="0"/>
          <w:i/>
        </w:rPr>
      </w:pPr>
    </w:p>
    <w:p w14:paraId="161507D9" w14:textId="05252239" w:rsidR="009032E8" w:rsidRPr="00712B16" w:rsidRDefault="00183F61" w:rsidP="005443AD">
      <w:pPr>
        <w:pStyle w:val="Heading2"/>
        <w:spacing w:line="480" w:lineRule="auto"/>
        <w:rPr>
          <w:b w:val="0"/>
          <w:i/>
        </w:rPr>
      </w:pPr>
      <w:r w:rsidRPr="00712B16">
        <w:rPr>
          <w:b w:val="0"/>
          <w:i/>
        </w:rPr>
        <w:t>5.</w:t>
      </w:r>
      <w:r w:rsidR="00317203" w:rsidRPr="00712B16">
        <w:rPr>
          <w:b w:val="0"/>
          <w:i/>
        </w:rPr>
        <w:t>6</w:t>
      </w:r>
      <w:r w:rsidRPr="00712B16">
        <w:rPr>
          <w:b w:val="0"/>
          <w:i/>
        </w:rPr>
        <w:t xml:space="preserve"> Effect of </w:t>
      </w:r>
      <w:r w:rsidR="00C27BF1" w:rsidRPr="00712B16">
        <w:rPr>
          <w:b w:val="0"/>
          <w:i/>
        </w:rPr>
        <w:t xml:space="preserve">the </w:t>
      </w:r>
      <w:r w:rsidR="005832CF" w:rsidRPr="00712B16">
        <w:rPr>
          <w:b w:val="0"/>
          <w:i/>
        </w:rPr>
        <w:t>net zero</w:t>
      </w:r>
      <w:r w:rsidRPr="00712B16">
        <w:rPr>
          <w:b w:val="0"/>
          <w:i/>
        </w:rPr>
        <w:t xml:space="preserve"> target </w:t>
      </w:r>
      <w:r w:rsidR="00837CFE" w:rsidRPr="00712B16">
        <w:rPr>
          <w:b w:val="0"/>
          <w:i/>
        </w:rPr>
        <w:t>commitment</w:t>
      </w:r>
      <w:r w:rsidRPr="00712B16">
        <w:rPr>
          <w:b w:val="0"/>
          <w:i/>
        </w:rPr>
        <w:t xml:space="preserve"> on</w:t>
      </w:r>
      <w:r w:rsidR="00A20230" w:rsidRPr="00712B16">
        <w:rPr>
          <w:b w:val="0"/>
          <w:i/>
        </w:rPr>
        <w:t xml:space="preserve"> accruals-based earnings </w:t>
      </w:r>
      <w:bookmarkEnd w:id="56"/>
      <w:r w:rsidR="00A20230" w:rsidRPr="00712B16">
        <w:rPr>
          <w:b w:val="0"/>
          <w:i/>
        </w:rPr>
        <w:t xml:space="preserve">management </w:t>
      </w:r>
      <w:r w:rsidR="00A20230" w:rsidRPr="00712B16">
        <w:rPr>
          <w:b w:val="0"/>
        </w:rPr>
        <w:t>(</w:t>
      </w:r>
      <w:r w:rsidR="00A20230" w:rsidRPr="00712B16">
        <w:rPr>
          <w:b w:val="0"/>
          <w:i/>
        </w:rPr>
        <w:t>ABEM</w:t>
      </w:r>
      <w:r w:rsidR="00A20230" w:rsidRPr="00712B16">
        <w:rPr>
          <w:b w:val="0"/>
        </w:rPr>
        <w:t>)</w:t>
      </w:r>
    </w:p>
    <w:p w14:paraId="7054D68B" w14:textId="77777777" w:rsidR="00F478F5" w:rsidRPr="00712B16" w:rsidRDefault="00E051A3" w:rsidP="005443AD">
      <w:pPr>
        <w:spacing w:after="0" w:line="480" w:lineRule="auto"/>
        <w:jc w:val="both"/>
        <w:rPr>
          <w:rFonts w:ascii="Times New Roman" w:hAnsi="Times New Roman" w:cs="Times New Roman"/>
          <w:sz w:val="24"/>
          <w:szCs w:val="24"/>
          <w:lang w:val="en-AU"/>
        </w:rPr>
      </w:pPr>
      <w:bookmarkStart w:id="57" w:name="_Hlk215122336"/>
      <w:r w:rsidRPr="00712B16">
        <w:rPr>
          <w:rFonts w:ascii="Times New Roman" w:hAnsi="Times New Roman" w:cs="Times New Roman"/>
          <w:sz w:val="24"/>
          <w:szCs w:val="24"/>
        </w:rPr>
        <w:t xml:space="preserve">As an additional test, </w:t>
      </w:r>
      <w:r w:rsidR="00EF00C6" w:rsidRPr="00712B16">
        <w:rPr>
          <w:rFonts w:ascii="Times New Roman" w:hAnsi="Times New Roman" w:cs="Times New Roman"/>
          <w:sz w:val="24"/>
          <w:szCs w:val="24"/>
        </w:rPr>
        <w:t xml:space="preserve">we explore whether firms resort to accruals-based earnings management (ABEM) when the countries in which they are headquartered </w:t>
      </w:r>
      <w:r w:rsidR="000A40B7" w:rsidRPr="00712B16">
        <w:rPr>
          <w:rFonts w:ascii="Times New Roman" w:hAnsi="Times New Roman" w:cs="Times New Roman"/>
          <w:sz w:val="24"/>
          <w:szCs w:val="24"/>
        </w:rPr>
        <w:t>commit to</w:t>
      </w:r>
      <w:r w:rsidR="00EF00C6" w:rsidRPr="00712B16">
        <w:rPr>
          <w:rFonts w:ascii="Times New Roman" w:hAnsi="Times New Roman" w:cs="Times New Roman"/>
          <w:sz w:val="24"/>
          <w:szCs w:val="24"/>
        </w:rPr>
        <w:t xml:space="preserve"> </w:t>
      </w:r>
      <w:r w:rsidR="00C417A2" w:rsidRPr="00712B16">
        <w:rPr>
          <w:rFonts w:ascii="Times New Roman" w:hAnsi="Times New Roman" w:cs="Times New Roman"/>
          <w:sz w:val="24"/>
          <w:szCs w:val="24"/>
        </w:rPr>
        <w:t>a</w:t>
      </w:r>
      <w:r w:rsidR="003A180D" w:rsidRPr="00712B16">
        <w:rPr>
          <w:rFonts w:ascii="Times New Roman" w:hAnsi="Times New Roman" w:cs="Times New Roman"/>
          <w:sz w:val="24"/>
          <w:szCs w:val="24"/>
        </w:rPr>
        <w:t xml:space="preserve"> </w:t>
      </w:r>
      <w:bookmarkEnd w:id="57"/>
      <w:r w:rsidR="005832CF" w:rsidRPr="00712B16">
        <w:rPr>
          <w:rFonts w:ascii="Times New Roman" w:hAnsi="Times New Roman" w:cs="Times New Roman"/>
          <w:sz w:val="24"/>
          <w:szCs w:val="24"/>
        </w:rPr>
        <w:t>net zero</w:t>
      </w:r>
      <w:r w:rsidR="00EF00C6" w:rsidRPr="00712B16">
        <w:rPr>
          <w:rFonts w:ascii="Times New Roman" w:hAnsi="Times New Roman" w:cs="Times New Roman"/>
          <w:sz w:val="24"/>
          <w:szCs w:val="24"/>
        </w:rPr>
        <w:t xml:space="preserve"> target. Given that the reduction of CO2 emissions necessitates operational transformation and significant investment, we hypothesize that such firms are more likely to seek government financial support to cover the costs of transformation. Firms headquartered in countries that have </w:t>
      </w:r>
      <w:r w:rsidR="000A40B7" w:rsidRPr="00712B16">
        <w:rPr>
          <w:rFonts w:ascii="Times New Roman" w:hAnsi="Times New Roman" w:cs="Times New Roman"/>
          <w:sz w:val="24"/>
          <w:szCs w:val="24"/>
        </w:rPr>
        <w:t>committed to</w:t>
      </w:r>
      <w:r w:rsidR="00EF00C6" w:rsidRPr="00712B16">
        <w:rPr>
          <w:rFonts w:ascii="Times New Roman" w:hAnsi="Times New Roman" w:cs="Times New Roman"/>
          <w:sz w:val="24"/>
          <w:szCs w:val="24"/>
        </w:rPr>
        <w:t xml:space="preserve"> </w:t>
      </w:r>
      <w:r w:rsidR="00C417A2" w:rsidRPr="00712B16">
        <w:rPr>
          <w:rFonts w:ascii="Times New Roman" w:hAnsi="Times New Roman" w:cs="Times New Roman"/>
          <w:sz w:val="24"/>
          <w:szCs w:val="24"/>
        </w:rPr>
        <w:t>a</w:t>
      </w:r>
      <w:r w:rsidR="003A180D" w:rsidRPr="00712B16">
        <w:rPr>
          <w:rFonts w:ascii="Times New Roman" w:hAnsi="Times New Roman" w:cs="Times New Roman"/>
          <w:sz w:val="24"/>
          <w:szCs w:val="24"/>
        </w:rPr>
        <w:t xml:space="preserve"> </w:t>
      </w:r>
      <w:r w:rsidR="005832CF" w:rsidRPr="00712B16">
        <w:rPr>
          <w:rFonts w:ascii="Times New Roman" w:hAnsi="Times New Roman" w:cs="Times New Roman"/>
          <w:sz w:val="24"/>
          <w:szCs w:val="24"/>
        </w:rPr>
        <w:t>net zero</w:t>
      </w:r>
      <w:r w:rsidR="00EF00C6" w:rsidRPr="00712B16">
        <w:rPr>
          <w:rFonts w:ascii="Times New Roman" w:hAnsi="Times New Roman" w:cs="Times New Roman"/>
          <w:sz w:val="24"/>
          <w:szCs w:val="24"/>
        </w:rPr>
        <w:t xml:space="preserve"> target may engage in </w:t>
      </w:r>
      <w:r w:rsidR="00EF00C6" w:rsidRPr="00712B16">
        <w:rPr>
          <w:rFonts w:ascii="Times New Roman" w:hAnsi="Times New Roman" w:cs="Times New Roman"/>
          <w:sz w:val="24"/>
          <w:szCs w:val="24"/>
        </w:rPr>
        <w:lastRenderedPageBreak/>
        <w:t xml:space="preserve">income-decreasing accruals-based earnings management. They may use this accounting technique during the initial years following their home country's </w:t>
      </w:r>
      <w:r w:rsidR="00837CFE" w:rsidRPr="00712B16">
        <w:rPr>
          <w:rFonts w:ascii="Times New Roman" w:hAnsi="Times New Roman" w:cs="Times New Roman"/>
          <w:sz w:val="24"/>
          <w:szCs w:val="24"/>
        </w:rPr>
        <w:t>commitment to</w:t>
      </w:r>
      <w:r w:rsidR="00EF00C6" w:rsidRPr="00712B16">
        <w:rPr>
          <w:rFonts w:ascii="Times New Roman" w:hAnsi="Times New Roman" w:cs="Times New Roman"/>
          <w:sz w:val="24"/>
          <w:szCs w:val="24"/>
        </w:rPr>
        <w:t xml:space="preserve"> </w:t>
      </w:r>
      <w:r w:rsidR="003A180D" w:rsidRPr="00712B16">
        <w:rPr>
          <w:rFonts w:ascii="Times New Roman" w:hAnsi="Times New Roman" w:cs="Times New Roman"/>
          <w:sz w:val="24"/>
          <w:szCs w:val="24"/>
        </w:rPr>
        <w:t xml:space="preserve">the </w:t>
      </w:r>
      <w:r w:rsidR="005832CF" w:rsidRPr="00712B16">
        <w:rPr>
          <w:rFonts w:ascii="Times New Roman" w:hAnsi="Times New Roman" w:cs="Times New Roman"/>
          <w:sz w:val="24"/>
          <w:szCs w:val="24"/>
        </w:rPr>
        <w:t>net zero</w:t>
      </w:r>
      <w:r w:rsidR="00EF00C6" w:rsidRPr="00712B16">
        <w:rPr>
          <w:rFonts w:ascii="Times New Roman" w:hAnsi="Times New Roman" w:cs="Times New Roman"/>
          <w:sz w:val="24"/>
          <w:szCs w:val="24"/>
        </w:rPr>
        <w:t xml:space="preserve"> targets to persuade the government to offer financial support. Following the methodology of </w:t>
      </w:r>
      <w:r w:rsidR="00C85FB5" w:rsidRPr="00712B16">
        <w:rPr>
          <w:rFonts w:ascii="Times New Roman" w:hAnsi="Times New Roman" w:cs="Times New Roman"/>
          <w:noProof/>
          <w:sz w:val="24"/>
          <w:szCs w:val="24"/>
        </w:rPr>
        <w:t xml:space="preserve">Kothari </w:t>
      </w:r>
      <w:r w:rsidR="00235FAE" w:rsidRPr="00712B16">
        <w:rPr>
          <w:rFonts w:ascii="Times New Roman" w:hAnsi="Times New Roman" w:cs="Times New Roman"/>
          <w:i/>
          <w:sz w:val="24"/>
          <w:szCs w:val="24"/>
        </w:rPr>
        <w:t>et al</w:t>
      </w:r>
      <w:r w:rsidR="00235FAE" w:rsidRPr="00712B16">
        <w:rPr>
          <w:rFonts w:ascii="Times New Roman" w:hAnsi="Times New Roman" w:cs="Times New Roman"/>
          <w:sz w:val="24"/>
          <w:szCs w:val="24"/>
        </w:rPr>
        <w:t>.</w:t>
      </w:r>
      <w:r w:rsidR="00235FAE" w:rsidRPr="00712B16">
        <w:rPr>
          <w:rFonts w:ascii="Times New Roman" w:hAnsi="Times New Roman" w:cs="Times New Roman"/>
          <w:noProof/>
          <w:sz w:val="24"/>
          <w:szCs w:val="24"/>
        </w:rPr>
        <w:t xml:space="preserve"> </w:t>
      </w:r>
      <w:r w:rsidR="00C85FB5" w:rsidRPr="00712B16">
        <w:rPr>
          <w:rFonts w:ascii="Times New Roman" w:hAnsi="Times New Roman" w:cs="Times New Roman"/>
          <w:noProof/>
          <w:sz w:val="24"/>
          <w:szCs w:val="24"/>
        </w:rPr>
        <w:t>(2005)</w:t>
      </w:r>
      <w:r w:rsidR="003B5C34" w:rsidRPr="00712B16">
        <w:rPr>
          <w:rFonts w:ascii="Times New Roman" w:hAnsi="Times New Roman" w:cs="Times New Roman"/>
          <w:sz w:val="24"/>
          <w:szCs w:val="24"/>
        </w:rPr>
        <w:t>,</w:t>
      </w:r>
      <w:r w:rsidR="00EF00C6" w:rsidRPr="00712B16">
        <w:rPr>
          <w:rFonts w:ascii="Times New Roman" w:hAnsi="Times New Roman" w:cs="Times New Roman"/>
          <w:sz w:val="24"/>
          <w:szCs w:val="24"/>
        </w:rPr>
        <w:t xml:space="preserve"> </w:t>
      </w:r>
      <w:r w:rsidR="00C85FB5" w:rsidRPr="00712B16">
        <w:rPr>
          <w:rFonts w:ascii="Times New Roman" w:hAnsi="Times New Roman" w:cs="Times New Roman"/>
          <w:noProof/>
          <w:sz w:val="24"/>
          <w:szCs w:val="24"/>
        </w:rPr>
        <w:t>Lai</w:t>
      </w:r>
      <w:r w:rsidR="002F61BE" w:rsidRPr="00712B16">
        <w:rPr>
          <w:rFonts w:ascii="Times New Roman" w:hAnsi="Times New Roman" w:cs="Times New Roman"/>
          <w:noProof/>
          <w:sz w:val="24"/>
          <w:szCs w:val="24"/>
        </w:rPr>
        <w:t xml:space="preserve"> </w:t>
      </w:r>
      <w:r w:rsidR="002F61BE" w:rsidRPr="00712B16">
        <w:rPr>
          <w:rFonts w:ascii="Times New Roman" w:hAnsi="Times New Roman" w:cs="Times New Roman"/>
          <w:i/>
          <w:sz w:val="24"/>
          <w:szCs w:val="24"/>
        </w:rPr>
        <w:t>et al</w:t>
      </w:r>
      <w:r w:rsidR="002F61BE" w:rsidRPr="00712B16">
        <w:rPr>
          <w:rFonts w:ascii="Times New Roman" w:hAnsi="Times New Roman" w:cs="Times New Roman"/>
          <w:sz w:val="24"/>
          <w:szCs w:val="24"/>
        </w:rPr>
        <w:t>.</w:t>
      </w:r>
      <w:r w:rsidR="002F61BE" w:rsidRPr="00712B16">
        <w:rPr>
          <w:rFonts w:ascii="Times New Roman" w:hAnsi="Times New Roman" w:cs="Times New Roman"/>
          <w:noProof/>
          <w:sz w:val="24"/>
          <w:szCs w:val="24"/>
        </w:rPr>
        <w:t xml:space="preserve"> </w:t>
      </w:r>
      <w:r w:rsidR="00C85FB5" w:rsidRPr="00712B16">
        <w:rPr>
          <w:rFonts w:ascii="Times New Roman" w:hAnsi="Times New Roman" w:cs="Times New Roman"/>
          <w:noProof/>
          <w:sz w:val="24"/>
          <w:szCs w:val="24"/>
        </w:rPr>
        <w:t xml:space="preserve">(2018), </w:t>
      </w:r>
      <w:proofErr w:type="spellStart"/>
      <w:r w:rsidR="003B5C34" w:rsidRPr="00712B16">
        <w:rPr>
          <w:rFonts w:ascii="Times New Roman" w:hAnsi="Times New Roman" w:cs="Times New Roman"/>
          <w:sz w:val="24"/>
          <w:szCs w:val="24"/>
          <w:shd w:val="clear" w:color="auto" w:fill="FFFFFF"/>
        </w:rPr>
        <w:t>Peasnell</w:t>
      </w:r>
      <w:proofErr w:type="spellEnd"/>
      <w:r w:rsidR="002F61BE" w:rsidRPr="00712B16">
        <w:rPr>
          <w:rFonts w:ascii="Times New Roman" w:hAnsi="Times New Roman" w:cs="Times New Roman"/>
          <w:sz w:val="24"/>
          <w:szCs w:val="24"/>
          <w:shd w:val="clear" w:color="auto" w:fill="FFFFFF"/>
        </w:rPr>
        <w:t xml:space="preserve"> </w:t>
      </w:r>
      <w:r w:rsidR="002F61BE" w:rsidRPr="00712B16">
        <w:rPr>
          <w:rFonts w:ascii="Times New Roman" w:hAnsi="Times New Roman" w:cs="Times New Roman"/>
          <w:i/>
          <w:sz w:val="24"/>
          <w:szCs w:val="24"/>
        </w:rPr>
        <w:t>et al</w:t>
      </w:r>
      <w:r w:rsidR="002F61BE" w:rsidRPr="00712B16">
        <w:rPr>
          <w:rFonts w:ascii="Times New Roman" w:hAnsi="Times New Roman" w:cs="Times New Roman"/>
          <w:sz w:val="24"/>
          <w:szCs w:val="24"/>
        </w:rPr>
        <w:t>.</w:t>
      </w:r>
      <w:r w:rsidR="003B5C34" w:rsidRPr="00712B16">
        <w:rPr>
          <w:rFonts w:ascii="Times New Roman" w:hAnsi="Times New Roman" w:cs="Times New Roman"/>
          <w:sz w:val="24"/>
          <w:szCs w:val="24"/>
          <w:shd w:val="clear" w:color="auto" w:fill="FFFFFF"/>
        </w:rPr>
        <w:t xml:space="preserve"> (2000)</w:t>
      </w:r>
      <w:r w:rsidR="00FA5874" w:rsidRPr="00712B16">
        <w:rPr>
          <w:rFonts w:ascii="Times New Roman" w:hAnsi="Times New Roman" w:cs="Times New Roman"/>
          <w:sz w:val="24"/>
          <w:szCs w:val="24"/>
          <w:shd w:val="clear" w:color="auto" w:fill="FFFFFF"/>
        </w:rPr>
        <w:t>,</w:t>
      </w:r>
      <w:r w:rsidR="003B5C34" w:rsidRPr="00712B16">
        <w:rPr>
          <w:rFonts w:ascii="Times New Roman" w:hAnsi="Times New Roman" w:cs="Times New Roman"/>
          <w:sz w:val="24"/>
          <w:szCs w:val="24"/>
          <w:shd w:val="clear" w:color="auto" w:fill="FFFFFF"/>
        </w:rPr>
        <w:t xml:space="preserve"> and </w:t>
      </w:r>
      <w:r w:rsidR="003B5C34" w:rsidRPr="00712B16">
        <w:rPr>
          <w:rFonts w:ascii="Times New Roman" w:hAnsi="Times New Roman" w:cs="Times New Roman"/>
          <w:sz w:val="24"/>
          <w:szCs w:val="24"/>
        </w:rPr>
        <w:t xml:space="preserve">Van </w:t>
      </w:r>
      <w:proofErr w:type="spellStart"/>
      <w:r w:rsidR="003B5C34" w:rsidRPr="00712B16">
        <w:rPr>
          <w:rFonts w:ascii="Times New Roman" w:hAnsi="Times New Roman" w:cs="Times New Roman"/>
          <w:sz w:val="24"/>
          <w:szCs w:val="24"/>
        </w:rPr>
        <w:t>Caneghem</w:t>
      </w:r>
      <w:proofErr w:type="spellEnd"/>
      <w:r w:rsidR="003B5C34" w:rsidRPr="00712B16">
        <w:rPr>
          <w:rFonts w:ascii="Times New Roman" w:hAnsi="Times New Roman" w:cs="Times New Roman"/>
          <w:sz w:val="24"/>
          <w:szCs w:val="24"/>
        </w:rPr>
        <w:t xml:space="preserve"> (2002),</w:t>
      </w:r>
      <w:r w:rsidR="003B5C34" w:rsidRPr="00712B16">
        <w:rPr>
          <w:rFonts w:ascii="Times New Roman" w:hAnsi="Times New Roman" w:cs="Times New Roman"/>
          <w:noProof/>
          <w:sz w:val="24"/>
          <w:szCs w:val="24"/>
        </w:rPr>
        <w:t xml:space="preserve"> </w:t>
      </w:r>
      <w:r w:rsidR="00EF00C6" w:rsidRPr="00712B16">
        <w:rPr>
          <w:rFonts w:ascii="Times New Roman" w:hAnsi="Times New Roman" w:cs="Times New Roman"/>
          <w:sz w:val="24"/>
          <w:szCs w:val="24"/>
        </w:rPr>
        <w:t>we employ a performance-adjusted version of the Modified Jones Model (</w:t>
      </w:r>
      <w:r w:rsidR="0022113D" w:rsidRPr="00712B16">
        <w:rPr>
          <w:rFonts w:ascii="Times New Roman" w:hAnsi="Times New Roman" w:cs="Times New Roman"/>
          <w:sz w:val="24"/>
          <w:szCs w:val="24"/>
        </w:rPr>
        <w:t>Dechow</w:t>
      </w:r>
      <w:r w:rsidR="00CE7204" w:rsidRPr="00712B16">
        <w:rPr>
          <w:rFonts w:ascii="Times New Roman" w:hAnsi="Times New Roman" w:cs="Times New Roman"/>
          <w:sz w:val="24"/>
          <w:szCs w:val="24"/>
        </w:rPr>
        <w:t xml:space="preserve"> </w:t>
      </w:r>
      <w:r w:rsidR="00CE7204" w:rsidRPr="00712B16">
        <w:rPr>
          <w:rFonts w:ascii="Times New Roman" w:hAnsi="Times New Roman" w:cs="Times New Roman"/>
          <w:i/>
          <w:sz w:val="24"/>
          <w:szCs w:val="24"/>
        </w:rPr>
        <w:t>et al</w:t>
      </w:r>
      <w:r w:rsidR="00CE7204" w:rsidRPr="00712B16">
        <w:rPr>
          <w:rFonts w:ascii="Times New Roman" w:hAnsi="Times New Roman" w:cs="Times New Roman"/>
          <w:sz w:val="24"/>
          <w:szCs w:val="24"/>
        </w:rPr>
        <w:t>.</w:t>
      </w:r>
      <w:r w:rsidR="0022113D" w:rsidRPr="00712B16">
        <w:rPr>
          <w:rFonts w:ascii="Times New Roman" w:hAnsi="Times New Roman" w:cs="Times New Roman"/>
          <w:sz w:val="24"/>
          <w:szCs w:val="24"/>
        </w:rPr>
        <w:t>, 1995</w:t>
      </w:r>
      <w:r w:rsidR="00EF00C6" w:rsidRPr="00712B16">
        <w:rPr>
          <w:rFonts w:ascii="Times New Roman" w:hAnsi="Times New Roman" w:cs="Times New Roman"/>
          <w:sz w:val="24"/>
          <w:szCs w:val="24"/>
        </w:rPr>
        <w:t>) as the measure of ABEM. To test our hypothesis, we use signed discretionary accruals (</w:t>
      </w:r>
      <w:r w:rsidR="00EF00C6" w:rsidRPr="00712B16">
        <w:rPr>
          <w:rFonts w:ascii="Times New Roman" w:hAnsi="Times New Roman" w:cs="Times New Roman"/>
          <w:i/>
          <w:iCs/>
          <w:sz w:val="24"/>
          <w:szCs w:val="24"/>
        </w:rPr>
        <w:t>DISACC</w:t>
      </w:r>
      <w:r w:rsidR="00EF00C6" w:rsidRPr="00712B16">
        <w:rPr>
          <w:rFonts w:ascii="Times New Roman" w:hAnsi="Times New Roman" w:cs="Times New Roman"/>
          <w:sz w:val="24"/>
          <w:szCs w:val="24"/>
        </w:rPr>
        <w:t xml:space="preserve">) as the dependent variable. </w:t>
      </w:r>
    </w:p>
    <w:p w14:paraId="6E80BCB8" w14:textId="04B6C5BC" w:rsidR="006951A6" w:rsidRPr="00712B16" w:rsidRDefault="00525A7B" w:rsidP="00F478F5">
      <w:pPr>
        <w:spacing w:after="0" w:line="480" w:lineRule="auto"/>
        <w:ind w:firstLine="720"/>
        <w:jc w:val="both"/>
        <w:rPr>
          <w:rFonts w:ascii="Times New Roman" w:hAnsi="Times New Roman" w:cs="Times New Roman"/>
          <w:sz w:val="24"/>
          <w:szCs w:val="24"/>
          <w:lang w:val="en-AU"/>
        </w:rPr>
      </w:pPr>
      <w:r w:rsidRPr="00712B16">
        <w:rPr>
          <w:rFonts w:ascii="Times New Roman" w:hAnsi="Times New Roman" w:cs="Times New Roman"/>
          <w:sz w:val="24"/>
          <w:szCs w:val="24"/>
          <w:lang w:val="en-AU" w:eastAsia="en-US"/>
        </w:rPr>
        <w:t>The descriptive statistics in Table 2 show that the mean (median) for signed values of discretionary accruals (</w:t>
      </w:r>
      <w:r w:rsidRPr="00712B16">
        <w:rPr>
          <w:rFonts w:ascii="Times New Roman" w:hAnsi="Times New Roman" w:cs="Times New Roman"/>
          <w:i/>
          <w:sz w:val="24"/>
          <w:szCs w:val="24"/>
          <w:lang w:val="en-AU" w:eastAsia="en-US"/>
        </w:rPr>
        <w:t>DISACC</w:t>
      </w:r>
      <w:r w:rsidRPr="00712B16">
        <w:rPr>
          <w:rFonts w:ascii="Times New Roman" w:hAnsi="Times New Roman" w:cs="Times New Roman"/>
          <w:sz w:val="24"/>
          <w:szCs w:val="24"/>
          <w:lang w:val="en-AU" w:eastAsia="en-US"/>
        </w:rPr>
        <w:t xml:space="preserve">) is 0.008 (0.006). The two-sample </w:t>
      </w:r>
      <w:r w:rsidRPr="00712B16">
        <w:rPr>
          <w:rFonts w:ascii="Times New Roman" w:hAnsi="Times New Roman" w:cs="Times New Roman"/>
          <w:i/>
          <w:sz w:val="24"/>
          <w:szCs w:val="24"/>
          <w:lang w:val="en-AU" w:eastAsia="en-US"/>
        </w:rPr>
        <w:t>t</w:t>
      </w:r>
      <w:r w:rsidRPr="00712B16">
        <w:rPr>
          <w:rFonts w:ascii="Times New Roman" w:hAnsi="Times New Roman" w:cs="Times New Roman"/>
          <w:sz w:val="24"/>
          <w:szCs w:val="24"/>
          <w:lang w:val="en-AU" w:eastAsia="en-US"/>
        </w:rPr>
        <w:t xml:space="preserve">-test </w:t>
      </w:r>
      <w:r w:rsidR="00952E26" w:rsidRPr="00712B16">
        <w:rPr>
          <w:rFonts w:ascii="Times New Roman" w:hAnsi="Times New Roman" w:cs="Times New Roman"/>
          <w:sz w:val="24"/>
          <w:szCs w:val="24"/>
          <w:lang w:val="en-AU" w:eastAsia="en-US"/>
        </w:rPr>
        <w:t>results (</w:t>
      </w:r>
      <w:proofErr w:type="spellStart"/>
      <w:r w:rsidR="00952E26" w:rsidRPr="00712B16">
        <w:rPr>
          <w:rFonts w:ascii="Times New Roman" w:hAnsi="Times New Roman" w:cs="Times New Roman"/>
          <w:sz w:val="24"/>
          <w:szCs w:val="24"/>
          <w:lang w:val="en-AU" w:eastAsia="en-US"/>
        </w:rPr>
        <w:t>untabulated</w:t>
      </w:r>
      <w:proofErr w:type="spellEnd"/>
      <w:r w:rsidR="00952E26" w:rsidRPr="00712B16">
        <w:rPr>
          <w:rFonts w:ascii="Times New Roman" w:hAnsi="Times New Roman" w:cs="Times New Roman"/>
          <w:sz w:val="24"/>
          <w:szCs w:val="24"/>
          <w:lang w:val="en-AU" w:eastAsia="en-US"/>
        </w:rPr>
        <w:t xml:space="preserve">) </w:t>
      </w:r>
      <w:r w:rsidRPr="00712B16">
        <w:rPr>
          <w:rFonts w:ascii="Times New Roman" w:hAnsi="Times New Roman" w:cs="Times New Roman"/>
          <w:sz w:val="24"/>
          <w:szCs w:val="24"/>
          <w:lang w:val="en-AU" w:eastAsia="en-US"/>
        </w:rPr>
        <w:t>indicate that the mean value for signed discretionary accruals (</w:t>
      </w:r>
      <w:r w:rsidRPr="00712B16">
        <w:rPr>
          <w:rFonts w:ascii="Times New Roman" w:hAnsi="Times New Roman" w:cs="Times New Roman"/>
          <w:i/>
          <w:sz w:val="24"/>
          <w:szCs w:val="24"/>
          <w:lang w:val="en-AU" w:eastAsia="en-US"/>
        </w:rPr>
        <w:t>DISACC</w:t>
      </w:r>
      <w:r w:rsidRPr="00712B16">
        <w:rPr>
          <w:rFonts w:ascii="Times New Roman" w:hAnsi="Times New Roman" w:cs="Times New Roman"/>
          <w:sz w:val="24"/>
          <w:szCs w:val="24"/>
          <w:lang w:val="en-AU" w:eastAsia="en-US"/>
        </w:rPr>
        <w:t xml:space="preserve">) in countries that have </w:t>
      </w:r>
      <w:r w:rsidR="000A40B7" w:rsidRPr="00712B16">
        <w:rPr>
          <w:rFonts w:ascii="Times New Roman" w:hAnsi="Times New Roman" w:cs="Times New Roman"/>
          <w:sz w:val="24"/>
          <w:szCs w:val="24"/>
          <w:lang w:val="en-AU" w:eastAsia="en-US"/>
        </w:rPr>
        <w:t>committed to</w:t>
      </w:r>
      <w:r w:rsidRPr="00712B16">
        <w:rPr>
          <w:rFonts w:ascii="Times New Roman" w:hAnsi="Times New Roman" w:cs="Times New Roman"/>
          <w:sz w:val="24"/>
          <w:szCs w:val="24"/>
          <w:lang w:val="en-AU" w:eastAsia="en-US"/>
        </w:rPr>
        <w:t xml:space="preserve"> </w:t>
      </w:r>
      <w:r w:rsidR="00C417A2" w:rsidRPr="00712B16">
        <w:rPr>
          <w:rFonts w:ascii="Times New Roman" w:hAnsi="Times New Roman" w:cs="Times New Roman"/>
          <w:sz w:val="24"/>
          <w:szCs w:val="24"/>
          <w:lang w:val="en-AU" w:eastAsia="en-US"/>
        </w:rPr>
        <w:t>a</w:t>
      </w:r>
      <w:r w:rsidR="003A180D" w:rsidRPr="00712B16">
        <w:rPr>
          <w:rFonts w:ascii="Times New Roman" w:hAnsi="Times New Roman" w:cs="Times New Roman"/>
          <w:sz w:val="24"/>
          <w:szCs w:val="24"/>
          <w:lang w:val="en-AU" w:eastAsia="en-US"/>
        </w:rPr>
        <w:t xml:space="preserve"> </w:t>
      </w:r>
      <w:r w:rsidR="005832CF" w:rsidRPr="00712B16">
        <w:rPr>
          <w:rFonts w:ascii="Times New Roman" w:hAnsi="Times New Roman" w:cs="Times New Roman"/>
          <w:sz w:val="24"/>
          <w:szCs w:val="24"/>
          <w:lang w:val="en-AU" w:eastAsia="en-US"/>
        </w:rPr>
        <w:t>net zero</w:t>
      </w:r>
      <w:r w:rsidRPr="00712B16">
        <w:rPr>
          <w:rFonts w:ascii="Times New Roman" w:hAnsi="Times New Roman" w:cs="Times New Roman"/>
          <w:sz w:val="24"/>
          <w:szCs w:val="24"/>
          <w:lang w:val="en-AU" w:eastAsia="en-US"/>
        </w:rPr>
        <w:t xml:space="preserve"> target (mean value=-0.0012) is lower than in countries that have not (mean value=0.0092). This suggests that firms impacted by country-level </w:t>
      </w:r>
      <w:r w:rsidR="005832CF" w:rsidRPr="00712B16">
        <w:rPr>
          <w:rFonts w:ascii="Times New Roman" w:hAnsi="Times New Roman" w:cs="Times New Roman"/>
          <w:sz w:val="24"/>
          <w:szCs w:val="24"/>
          <w:lang w:val="en-AU" w:eastAsia="en-US"/>
        </w:rPr>
        <w:t>net zero</w:t>
      </w:r>
      <w:r w:rsidR="003A180D" w:rsidRPr="00712B16">
        <w:rPr>
          <w:rFonts w:ascii="Times New Roman" w:hAnsi="Times New Roman" w:cs="Times New Roman"/>
          <w:sz w:val="24"/>
          <w:szCs w:val="24"/>
          <w:lang w:val="en-AU" w:eastAsia="en-US"/>
        </w:rPr>
        <w:t xml:space="preserve"> </w:t>
      </w:r>
      <w:r w:rsidRPr="00712B16">
        <w:rPr>
          <w:rFonts w:ascii="Times New Roman" w:hAnsi="Times New Roman" w:cs="Times New Roman"/>
          <w:sz w:val="24"/>
          <w:szCs w:val="24"/>
          <w:lang w:val="en-AU" w:eastAsia="en-US"/>
        </w:rPr>
        <w:t xml:space="preserve">target </w:t>
      </w:r>
      <w:r w:rsidR="00837CFE" w:rsidRPr="00712B16">
        <w:rPr>
          <w:rFonts w:ascii="Times New Roman" w:hAnsi="Times New Roman" w:cs="Times New Roman"/>
          <w:sz w:val="24"/>
          <w:szCs w:val="24"/>
          <w:lang w:val="en-AU" w:eastAsia="en-US"/>
        </w:rPr>
        <w:t>commitment</w:t>
      </w:r>
      <w:r w:rsidRPr="00712B16">
        <w:rPr>
          <w:rFonts w:ascii="Times New Roman" w:hAnsi="Times New Roman" w:cs="Times New Roman"/>
          <w:sz w:val="24"/>
          <w:szCs w:val="24"/>
          <w:lang w:val="en-AU" w:eastAsia="en-US"/>
        </w:rPr>
        <w:t xml:space="preserve"> manage earnings downwards through discretionary accruals. Additionally, there is a significant negative correlation at the 1% level between </w:t>
      </w:r>
      <w:r w:rsidRPr="00712B16">
        <w:rPr>
          <w:rFonts w:ascii="Times New Roman" w:hAnsi="Times New Roman" w:cs="Times New Roman"/>
          <w:i/>
          <w:sz w:val="24"/>
          <w:szCs w:val="24"/>
          <w:lang w:val="en-AU" w:eastAsia="en-US"/>
        </w:rPr>
        <w:t>COUNTRY_NETZERO</w:t>
      </w:r>
      <w:r w:rsidRPr="00712B16">
        <w:rPr>
          <w:rFonts w:ascii="Times New Roman" w:hAnsi="Times New Roman" w:cs="Times New Roman"/>
          <w:sz w:val="24"/>
          <w:szCs w:val="24"/>
          <w:lang w:val="en-AU" w:eastAsia="en-US"/>
        </w:rPr>
        <w:t xml:space="preserve"> and </w:t>
      </w:r>
      <w:r w:rsidRPr="00712B16">
        <w:rPr>
          <w:rFonts w:ascii="Times New Roman" w:hAnsi="Times New Roman" w:cs="Times New Roman"/>
          <w:i/>
          <w:sz w:val="24"/>
          <w:szCs w:val="24"/>
          <w:lang w:val="en-AU" w:eastAsia="en-US"/>
        </w:rPr>
        <w:t>DISACC</w:t>
      </w:r>
      <w:r w:rsidRPr="00712B16">
        <w:rPr>
          <w:rFonts w:ascii="Times New Roman" w:hAnsi="Times New Roman" w:cs="Times New Roman"/>
          <w:sz w:val="24"/>
          <w:szCs w:val="24"/>
          <w:lang w:val="en-AU" w:eastAsia="en-US"/>
        </w:rPr>
        <w:t xml:space="preserve">. The regression results presented in Table </w:t>
      </w:r>
      <w:r w:rsidR="00D15C88" w:rsidRPr="00712B16">
        <w:rPr>
          <w:rFonts w:ascii="Times New Roman" w:hAnsi="Times New Roman" w:cs="Times New Roman"/>
          <w:sz w:val="24"/>
          <w:szCs w:val="24"/>
          <w:lang w:val="en-AU" w:eastAsia="en-US"/>
        </w:rPr>
        <w:t>9</w:t>
      </w:r>
      <w:r w:rsidRPr="00712B16">
        <w:rPr>
          <w:rFonts w:ascii="Times New Roman" w:hAnsi="Times New Roman" w:cs="Times New Roman"/>
          <w:sz w:val="24"/>
          <w:szCs w:val="24"/>
          <w:lang w:val="en-AU" w:eastAsia="en-US"/>
        </w:rPr>
        <w:t xml:space="preserve"> show a significant and negative association between </w:t>
      </w:r>
      <w:r w:rsidRPr="00712B16">
        <w:rPr>
          <w:rFonts w:ascii="Times New Roman" w:hAnsi="Times New Roman" w:cs="Times New Roman"/>
          <w:i/>
          <w:sz w:val="24"/>
          <w:szCs w:val="24"/>
          <w:lang w:val="en-AU" w:eastAsia="en-US"/>
        </w:rPr>
        <w:t>COUNTRY_NETZERO</w:t>
      </w:r>
      <w:r w:rsidRPr="00712B16">
        <w:rPr>
          <w:rFonts w:ascii="Times New Roman" w:hAnsi="Times New Roman" w:cs="Times New Roman"/>
          <w:sz w:val="24"/>
          <w:szCs w:val="24"/>
          <w:lang w:val="en-AU" w:eastAsia="en-US"/>
        </w:rPr>
        <w:t xml:space="preserve"> and </w:t>
      </w:r>
      <w:r w:rsidRPr="00712B16">
        <w:rPr>
          <w:rFonts w:ascii="Times New Roman" w:hAnsi="Times New Roman" w:cs="Times New Roman"/>
          <w:i/>
          <w:sz w:val="24"/>
          <w:szCs w:val="24"/>
          <w:lang w:val="en-AU" w:eastAsia="en-US"/>
        </w:rPr>
        <w:t>DISACC</w:t>
      </w:r>
      <w:r w:rsidRPr="00712B16">
        <w:rPr>
          <w:rFonts w:ascii="Times New Roman" w:hAnsi="Times New Roman" w:cs="Times New Roman"/>
          <w:sz w:val="24"/>
          <w:szCs w:val="24"/>
          <w:lang w:val="en-AU" w:eastAsia="en-US"/>
        </w:rPr>
        <w:t xml:space="preserve"> (coefficient=-0.006, </w:t>
      </w:r>
      <w:r w:rsidRPr="00712B16">
        <w:rPr>
          <w:rFonts w:ascii="Times New Roman" w:hAnsi="Times New Roman" w:cs="Times New Roman"/>
          <w:i/>
          <w:sz w:val="24"/>
          <w:szCs w:val="24"/>
          <w:lang w:val="en-AU" w:eastAsia="en-US"/>
        </w:rPr>
        <w:t>p</w:t>
      </w:r>
      <w:r w:rsidRPr="00712B16">
        <w:rPr>
          <w:rFonts w:ascii="Times New Roman" w:hAnsi="Times New Roman" w:cs="Times New Roman"/>
          <w:sz w:val="24"/>
          <w:szCs w:val="24"/>
          <w:lang w:val="en-AU" w:eastAsia="en-US"/>
        </w:rPr>
        <w:t xml:space="preserve">-value&lt;0.01). This supports the </w:t>
      </w:r>
      <w:r w:rsidR="008F5DCC" w:rsidRPr="00712B16">
        <w:rPr>
          <w:rFonts w:ascii="Times New Roman" w:hAnsi="Times New Roman" w:cs="Times New Roman"/>
          <w:sz w:val="24"/>
          <w:szCs w:val="24"/>
          <w:lang w:val="en-AU" w:eastAsia="en-US"/>
        </w:rPr>
        <w:t>postulate</w:t>
      </w:r>
      <w:r w:rsidRPr="00712B16">
        <w:rPr>
          <w:rFonts w:ascii="Times New Roman" w:hAnsi="Times New Roman" w:cs="Times New Roman"/>
          <w:sz w:val="24"/>
          <w:szCs w:val="24"/>
          <w:lang w:val="en-AU" w:eastAsia="en-US"/>
        </w:rPr>
        <w:t xml:space="preserve"> that firms headquartered in countries committed to </w:t>
      </w:r>
      <w:r w:rsidR="00C417A2" w:rsidRPr="00712B16">
        <w:rPr>
          <w:rFonts w:ascii="Times New Roman" w:hAnsi="Times New Roman" w:cs="Times New Roman"/>
          <w:sz w:val="24"/>
          <w:szCs w:val="24"/>
          <w:lang w:val="en-AU" w:eastAsia="en-US"/>
        </w:rPr>
        <w:t>a</w:t>
      </w:r>
      <w:r w:rsidR="003A180D" w:rsidRPr="00712B16">
        <w:rPr>
          <w:rFonts w:ascii="Times New Roman" w:hAnsi="Times New Roman" w:cs="Times New Roman"/>
          <w:sz w:val="24"/>
          <w:szCs w:val="24"/>
          <w:lang w:val="en-AU" w:eastAsia="en-US"/>
        </w:rPr>
        <w:t xml:space="preserve"> </w:t>
      </w:r>
      <w:r w:rsidR="005832CF" w:rsidRPr="00712B16">
        <w:rPr>
          <w:rFonts w:ascii="Times New Roman" w:hAnsi="Times New Roman" w:cs="Times New Roman"/>
          <w:sz w:val="24"/>
          <w:szCs w:val="24"/>
          <w:lang w:val="en-AU" w:eastAsia="en-US"/>
        </w:rPr>
        <w:t>net zero</w:t>
      </w:r>
      <w:r w:rsidR="003A180D" w:rsidRPr="00712B16">
        <w:rPr>
          <w:rFonts w:ascii="Times New Roman" w:hAnsi="Times New Roman" w:cs="Times New Roman"/>
          <w:sz w:val="24"/>
          <w:szCs w:val="24"/>
          <w:lang w:val="en-AU" w:eastAsia="en-US"/>
        </w:rPr>
        <w:t xml:space="preserve"> target</w:t>
      </w:r>
      <w:r w:rsidRPr="00712B16">
        <w:rPr>
          <w:rFonts w:ascii="Times New Roman" w:hAnsi="Times New Roman" w:cs="Times New Roman"/>
          <w:sz w:val="24"/>
          <w:szCs w:val="24"/>
          <w:lang w:val="en-AU" w:eastAsia="en-US"/>
        </w:rPr>
        <w:t xml:space="preserve"> are likely to manage </w:t>
      </w:r>
      <w:r w:rsidR="008F5DCC" w:rsidRPr="00712B16">
        <w:rPr>
          <w:rFonts w:ascii="Times New Roman" w:hAnsi="Times New Roman" w:cs="Times New Roman"/>
          <w:sz w:val="24"/>
          <w:szCs w:val="24"/>
          <w:lang w:val="en-AU" w:eastAsia="en-US"/>
        </w:rPr>
        <w:t xml:space="preserve">accrual </w:t>
      </w:r>
      <w:r w:rsidRPr="00712B16">
        <w:rPr>
          <w:rFonts w:ascii="Times New Roman" w:hAnsi="Times New Roman" w:cs="Times New Roman"/>
          <w:sz w:val="24"/>
          <w:szCs w:val="24"/>
          <w:lang w:val="en-AU" w:eastAsia="en-US"/>
        </w:rPr>
        <w:t>earnings downwards. This could be a strategy to seek financial support from their governments to fund the costs of operational transformation.</w:t>
      </w:r>
    </w:p>
    <w:p w14:paraId="102614DC" w14:textId="2AB2AF36" w:rsidR="009C27E1" w:rsidRPr="00712B16" w:rsidRDefault="006951A6" w:rsidP="006951A6">
      <w:pPr>
        <w:spacing w:after="0" w:line="480" w:lineRule="auto"/>
        <w:jc w:val="center"/>
        <w:rPr>
          <w:rFonts w:ascii="Times New Roman" w:hAnsi="Times New Roman" w:cs="Times New Roman"/>
          <w:sz w:val="24"/>
          <w:szCs w:val="24"/>
          <w:lang w:val="en-AU" w:eastAsia="en-US"/>
        </w:rPr>
      </w:pPr>
      <w:r w:rsidRPr="00712B16">
        <w:rPr>
          <w:rFonts w:ascii="Times New Roman" w:hAnsi="Times New Roman" w:cs="Times New Roman"/>
          <w:sz w:val="24"/>
          <w:szCs w:val="24"/>
        </w:rPr>
        <w:t xml:space="preserve">[Insert Table </w:t>
      </w:r>
      <w:r w:rsidR="00D15C88" w:rsidRPr="00712B16">
        <w:rPr>
          <w:rFonts w:ascii="Times New Roman" w:hAnsi="Times New Roman" w:cs="Times New Roman"/>
          <w:sz w:val="24"/>
          <w:szCs w:val="24"/>
        </w:rPr>
        <w:t>9</w:t>
      </w:r>
      <w:r w:rsidRPr="00712B16">
        <w:rPr>
          <w:rFonts w:ascii="Times New Roman" w:hAnsi="Times New Roman" w:cs="Times New Roman"/>
          <w:sz w:val="24"/>
          <w:szCs w:val="24"/>
        </w:rPr>
        <w:t xml:space="preserve"> about here]</w:t>
      </w:r>
    </w:p>
    <w:p w14:paraId="0F0D9618" w14:textId="77ED825E" w:rsidR="00841EEA" w:rsidRPr="00712B16" w:rsidRDefault="00525A7B" w:rsidP="005E073B">
      <w:pPr>
        <w:spacing w:after="0" w:line="480" w:lineRule="auto"/>
        <w:ind w:firstLine="720"/>
        <w:jc w:val="both"/>
        <w:rPr>
          <w:rFonts w:ascii="Times New Roman" w:hAnsi="Times New Roman" w:cs="Times New Roman"/>
          <w:sz w:val="24"/>
          <w:szCs w:val="24"/>
          <w:lang w:val="en-AU" w:eastAsia="en-US"/>
        </w:rPr>
      </w:pPr>
      <w:r w:rsidRPr="00712B16">
        <w:rPr>
          <w:rFonts w:ascii="Times New Roman" w:hAnsi="Times New Roman" w:cs="Times New Roman"/>
          <w:sz w:val="24"/>
          <w:szCs w:val="24"/>
          <w:lang w:val="en-AU" w:eastAsia="en-US"/>
        </w:rPr>
        <w:t xml:space="preserve">Additionally, we conducted an analysis of firm-level </w:t>
      </w:r>
      <w:r w:rsidR="005832CF" w:rsidRPr="00712B16">
        <w:rPr>
          <w:rFonts w:ascii="Times New Roman" w:hAnsi="Times New Roman" w:cs="Times New Roman"/>
          <w:sz w:val="24"/>
          <w:szCs w:val="24"/>
          <w:lang w:val="en-AU" w:eastAsia="en-US"/>
        </w:rPr>
        <w:t>net zero</w:t>
      </w:r>
      <w:r w:rsidR="00090DC8" w:rsidRPr="00712B16">
        <w:rPr>
          <w:rFonts w:ascii="Times New Roman" w:hAnsi="Times New Roman" w:cs="Times New Roman"/>
          <w:sz w:val="24"/>
          <w:szCs w:val="24"/>
          <w:lang w:val="en-AU" w:eastAsia="en-US"/>
        </w:rPr>
        <w:t xml:space="preserve"> target</w:t>
      </w:r>
      <w:r w:rsidRPr="00712B16">
        <w:rPr>
          <w:rFonts w:ascii="Times New Roman" w:hAnsi="Times New Roman" w:cs="Times New Roman"/>
          <w:sz w:val="24"/>
          <w:szCs w:val="24"/>
          <w:lang w:val="en-AU" w:eastAsia="en-US"/>
        </w:rPr>
        <w:t xml:space="preserve"> </w:t>
      </w:r>
      <w:r w:rsidR="00837CFE" w:rsidRPr="00712B16">
        <w:rPr>
          <w:rFonts w:ascii="Times New Roman" w:hAnsi="Times New Roman" w:cs="Times New Roman"/>
          <w:sz w:val="24"/>
          <w:szCs w:val="24"/>
          <w:lang w:val="en-AU" w:eastAsia="en-US"/>
        </w:rPr>
        <w:t>commitment</w:t>
      </w:r>
      <w:r w:rsidRPr="00712B16">
        <w:rPr>
          <w:rFonts w:ascii="Times New Roman" w:hAnsi="Times New Roman" w:cs="Times New Roman"/>
          <w:sz w:val="24"/>
          <w:szCs w:val="24"/>
          <w:lang w:val="en-AU" w:eastAsia="en-US"/>
        </w:rPr>
        <w:t xml:space="preserve"> using a sample of 5,241 observations. The coefficient on </w:t>
      </w:r>
      <w:r w:rsidRPr="00712B16">
        <w:rPr>
          <w:rFonts w:ascii="Times New Roman" w:hAnsi="Times New Roman" w:cs="Times New Roman"/>
          <w:i/>
          <w:sz w:val="24"/>
          <w:szCs w:val="24"/>
          <w:lang w:val="en-AU" w:eastAsia="en-US"/>
        </w:rPr>
        <w:t>FIRM_NETZERO</w:t>
      </w:r>
      <w:r w:rsidRPr="00712B16">
        <w:rPr>
          <w:rFonts w:ascii="Times New Roman" w:hAnsi="Times New Roman" w:cs="Times New Roman"/>
          <w:sz w:val="24"/>
          <w:szCs w:val="24"/>
          <w:lang w:val="en-AU" w:eastAsia="en-US"/>
        </w:rPr>
        <w:t xml:space="preserve"> is also negative, but not statistically significant. This suggests that firms voluntarily </w:t>
      </w:r>
      <w:r w:rsidR="00282F6A" w:rsidRPr="00712B16">
        <w:rPr>
          <w:rFonts w:ascii="Times New Roman" w:hAnsi="Times New Roman" w:cs="Times New Roman"/>
          <w:sz w:val="24"/>
          <w:szCs w:val="24"/>
          <w:lang w:val="en-AU" w:eastAsia="en-US"/>
        </w:rPr>
        <w:t>committing</w:t>
      </w:r>
      <w:r w:rsidR="000A40B7" w:rsidRPr="00712B16">
        <w:rPr>
          <w:rFonts w:ascii="Times New Roman" w:hAnsi="Times New Roman" w:cs="Times New Roman"/>
          <w:sz w:val="24"/>
          <w:szCs w:val="24"/>
          <w:lang w:val="en-AU" w:eastAsia="en-US"/>
        </w:rPr>
        <w:t xml:space="preserve"> to</w:t>
      </w:r>
      <w:r w:rsidRPr="00712B16">
        <w:rPr>
          <w:rFonts w:ascii="Times New Roman" w:hAnsi="Times New Roman" w:cs="Times New Roman"/>
          <w:sz w:val="24"/>
          <w:szCs w:val="24"/>
          <w:lang w:val="en-AU" w:eastAsia="en-US"/>
        </w:rPr>
        <w:t xml:space="preserve"> </w:t>
      </w:r>
      <w:r w:rsidR="003A180D" w:rsidRPr="00712B16">
        <w:rPr>
          <w:rFonts w:ascii="Times New Roman" w:hAnsi="Times New Roman" w:cs="Times New Roman"/>
          <w:sz w:val="24"/>
          <w:szCs w:val="24"/>
          <w:lang w:val="en-AU" w:eastAsia="en-US"/>
        </w:rPr>
        <w:t xml:space="preserve">the </w:t>
      </w:r>
      <w:r w:rsidR="005832CF" w:rsidRPr="00712B16">
        <w:rPr>
          <w:rFonts w:ascii="Times New Roman" w:hAnsi="Times New Roman" w:cs="Times New Roman"/>
          <w:sz w:val="24"/>
          <w:szCs w:val="24"/>
          <w:lang w:val="en-AU" w:eastAsia="en-US"/>
        </w:rPr>
        <w:t>net zero</w:t>
      </w:r>
      <w:r w:rsidRPr="00712B16">
        <w:rPr>
          <w:rFonts w:ascii="Times New Roman" w:hAnsi="Times New Roman" w:cs="Times New Roman"/>
          <w:sz w:val="24"/>
          <w:szCs w:val="24"/>
          <w:lang w:val="en-AU" w:eastAsia="en-US"/>
        </w:rPr>
        <w:t xml:space="preserve"> targets are more prepared and committed </w:t>
      </w:r>
      <w:r w:rsidRPr="00712B16">
        <w:rPr>
          <w:rFonts w:ascii="Times New Roman" w:hAnsi="Times New Roman" w:cs="Times New Roman"/>
          <w:sz w:val="24"/>
          <w:szCs w:val="24"/>
          <w:lang w:val="en-AU" w:eastAsia="en-US"/>
        </w:rPr>
        <w:lastRenderedPageBreak/>
        <w:t xml:space="preserve">to meeting their headquarter country’s </w:t>
      </w:r>
      <w:r w:rsidR="005832CF" w:rsidRPr="00712B16">
        <w:rPr>
          <w:rFonts w:ascii="Times New Roman" w:hAnsi="Times New Roman" w:cs="Times New Roman"/>
          <w:sz w:val="24"/>
          <w:szCs w:val="24"/>
          <w:lang w:val="en-AU" w:eastAsia="en-US"/>
        </w:rPr>
        <w:t>net zero</w:t>
      </w:r>
      <w:r w:rsidRPr="00712B16">
        <w:rPr>
          <w:rFonts w:ascii="Times New Roman" w:hAnsi="Times New Roman" w:cs="Times New Roman"/>
          <w:sz w:val="24"/>
          <w:szCs w:val="24"/>
          <w:lang w:val="en-AU" w:eastAsia="en-US"/>
        </w:rPr>
        <w:t xml:space="preserve"> target, and do not manipulate their accruals more relative to previous years or compared to other firms.</w:t>
      </w:r>
      <w:r w:rsidRPr="00712B16" w:rsidDel="00525A7B">
        <w:rPr>
          <w:rFonts w:ascii="Times New Roman" w:hAnsi="Times New Roman" w:cs="Times New Roman"/>
          <w:sz w:val="24"/>
          <w:szCs w:val="24"/>
          <w:lang w:val="en-AU" w:eastAsia="en-US"/>
        </w:rPr>
        <w:t xml:space="preserve"> </w:t>
      </w:r>
    </w:p>
    <w:p w14:paraId="577FAF6D" w14:textId="4B21FBBC" w:rsidR="00A451F9" w:rsidRPr="00712B16" w:rsidRDefault="00A451F9" w:rsidP="00A451F9">
      <w:pPr>
        <w:spacing w:after="0" w:line="480" w:lineRule="auto"/>
        <w:jc w:val="both"/>
        <w:rPr>
          <w:rFonts w:ascii="Times New Roman" w:hAnsi="Times New Roman" w:cs="Times New Roman"/>
          <w:sz w:val="24"/>
          <w:szCs w:val="24"/>
          <w:lang w:val="en-AU" w:eastAsia="en-US"/>
        </w:rPr>
      </w:pPr>
      <w:r w:rsidRPr="00712B16">
        <w:rPr>
          <w:rFonts w:ascii="Times New Roman" w:hAnsi="Times New Roman" w:cs="Times New Roman"/>
          <w:sz w:val="24"/>
          <w:szCs w:val="24"/>
        </w:rPr>
        <w:tab/>
        <w:t xml:space="preserve"> </w:t>
      </w:r>
    </w:p>
    <w:p w14:paraId="0F858D8D" w14:textId="082DB641" w:rsidR="009032E8" w:rsidRPr="00712B16" w:rsidRDefault="00183F61" w:rsidP="005E073B">
      <w:pPr>
        <w:pStyle w:val="Heading1"/>
        <w:spacing w:before="0" w:line="480" w:lineRule="auto"/>
        <w:rPr>
          <w:rFonts w:ascii="Times New Roman" w:hAnsi="Times New Roman" w:cs="Times New Roman"/>
          <w:b/>
          <w:bCs/>
          <w:color w:val="auto"/>
          <w:sz w:val="24"/>
          <w:szCs w:val="24"/>
        </w:rPr>
      </w:pPr>
      <w:bookmarkStart w:id="58" w:name="_Hlk118978158"/>
      <w:r w:rsidRPr="00712B16">
        <w:rPr>
          <w:rFonts w:ascii="Times New Roman" w:hAnsi="Times New Roman" w:cs="Times New Roman"/>
          <w:b/>
          <w:bCs/>
          <w:color w:val="auto"/>
          <w:sz w:val="24"/>
          <w:szCs w:val="24"/>
        </w:rPr>
        <w:t>6. Conclusion</w:t>
      </w:r>
    </w:p>
    <w:bookmarkEnd w:id="58"/>
    <w:p w14:paraId="694ED475" w14:textId="2D317F87" w:rsidR="00FA32D1" w:rsidRPr="00712B16" w:rsidRDefault="00FA32D1" w:rsidP="005E073B">
      <w:pPr>
        <w:spacing w:after="0" w:line="480" w:lineRule="auto"/>
        <w:jc w:val="both"/>
        <w:rPr>
          <w:rFonts w:ascii="Times New Roman" w:hAnsi="Times New Roman" w:cs="Times New Roman"/>
          <w:sz w:val="24"/>
          <w:szCs w:val="24"/>
        </w:rPr>
      </w:pPr>
      <w:r w:rsidRPr="00712B16">
        <w:rPr>
          <w:rFonts w:ascii="Times New Roman" w:hAnsi="Times New Roman" w:cs="Times New Roman"/>
          <w:sz w:val="24"/>
          <w:szCs w:val="24"/>
        </w:rPr>
        <w:t xml:space="preserve">This study explores the </w:t>
      </w:r>
      <w:r w:rsidR="008358E6" w:rsidRPr="00712B16">
        <w:rPr>
          <w:rFonts w:ascii="Times New Roman" w:hAnsi="Times New Roman" w:cs="Times New Roman"/>
          <w:sz w:val="24"/>
          <w:szCs w:val="24"/>
        </w:rPr>
        <w:t>financial reporting implications for firms headquartered in</w:t>
      </w:r>
      <w:r w:rsidRPr="00712B16">
        <w:rPr>
          <w:rFonts w:ascii="Times New Roman" w:hAnsi="Times New Roman" w:cs="Times New Roman"/>
          <w:sz w:val="24"/>
          <w:szCs w:val="24"/>
        </w:rPr>
        <w:t xml:space="preserve"> countries</w:t>
      </w:r>
      <w:r w:rsidR="008358E6" w:rsidRPr="00712B16">
        <w:rPr>
          <w:rFonts w:ascii="Times New Roman" w:hAnsi="Times New Roman" w:cs="Times New Roman"/>
          <w:sz w:val="24"/>
          <w:szCs w:val="24"/>
        </w:rPr>
        <w:t xml:space="preserve"> that </w:t>
      </w:r>
      <w:r w:rsidR="000A40B7" w:rsidRPr="00712B16">
        <w:rPr>
          <w:rFonts w:ascii="Times New Roman" w:hAnsi="Times New Roman" w:cs="Times New Roman"/>
          <w:sz w:val="24"/>
          <w:szCs w:val="24"/>
        </w:rPr>
        <w:t>have committed to</w:t>
      </w:r>
      <w:r w:rsidRPr="00712B16">
        <w:rPr>
          <w:rFonts w:ascii="Times New Roman" w:hAnsi="Times New Roman" w:cs="Times New Roman"/>
          <w:sz w:val="24"/>
          <w:szCs w:val="24"/>
        </w:rPr>
        <w:t xml:space="preserve"> </w:t>
      </w:r>
      <w:r w:rsidR="00C417A2" w:rsidRPr="00712B16">
        <w:rPr>
          <w:rFonts w:ascii="Times New Roman" w:hAnsi="Times New Roman" w:cs="Times New Roman"/>
          <w:sz w:val="24"/>
          <w:szCs w:val="24"/>
        </w:rPr>
        <w:t>a</w:t>
      </w:r>
      <w:r w:rsidR="003A180D" w:rsidRPr="00712B16">
        <w:rPr>
          <w:rFonts w:ascii="Times New Roman" w:hAnsi="Times New Roman" w:cs="Times New Roman"/>
          <w:sz w:val="24"/>
          <w:szCs w:val="24"/>
        </w:rPr>
        <w:t xml:space="preserve"> </w:t>
      </w:r>
      <w:r w:rsidR="005832CF" w:rsidRPr="00712B16">
        <w:rPr>
          <w:rFonts w:ascii="Times New Roman" w:hAnsi="Times New Roman" w:cs="Times New Roman"/>
          <w:sz w:val="24"/>
          <w:szCs w:val="24"/>
        </w:rPr>
        <w:t>net zero</w:t>
      </w:r>
      <w:r w:rsidRPr="00712B16">
        <w:rPr>
          <w:rFonts w:ascii="Times New Roman" w:hAnsi="Times New Roman" w:cs="Times New Roman"/>
          <w:sz w:val="24"/>
          <w:szCs w:val="24"/>
        </w:rPr>
        <w:t xml:space="preserve"> target. The </w:t>
      </w:r>
      <w:r w:rsidR="00837CFE" w:rsidRPr="00712B16">
        <w:rPr>
          <w:rFonts w:ascii="Times New Roman" w:hAnsi="Times New Roman" w:cs="Times New Roman"/>
          <w:sz w:val="24"/>
          <w:szCs w:val="24"/>
        </w:rPr>
        <w:t>commitment to</w:t>
      </w:r>
      <w:r w:rsidRPr="00712B16">
        <w:rPr>
          <w:rFonts w:ascii="Times New Roman" w:hAnsi="Times New Roman" w:cs="Times New Roman"/>
          <w:sz w:val="24"/>
          <w:szCs w:val="24"/>
        </w:rPr>
        <w:t xml:space="preserve"> a </w:t>
      </w:r>
      <w:r w:rsidR="005832CF" w:rsidRPr="00712B16">
        <w:rPr>
          <w:rFonts w:ascii="Times New Roman" w:hAnsi="Times New Roman" w:cs="Times New Roman"/>
          <w:sz w:val="24"/>
          <w:szCs w:val="24"/>
        </w:rPr>
        <w:t>net zero</w:t>
      </w:r>
      <w:r w:rsidRPr="00712B16">
        <w:rPr>
          <w:rFonts w:ascii="Times New Roman" w:hAnsi="Times New Roman" w:cs="Times New Roman"/>
          <w:sz w:val="24"/>
          <w:szCs w:val="24"/>
        </w:rPr>
        <w:t xml:space="preserve"> target by a country is a</w:t>
      </w:r>
      <w:r w:rsidR="00C746FE" w:rsidRPr="00712B16">
        <w:rPr>
          <w:rFonts w:ascii="Times New Roman" w:hAnsi="Times New Roman" w:cs="Times New Roman"/>
          <w:sz w:val="24"/>
          <w:szCs w:val="24"/>
        </w:rPr>
        <w:t xml:space="preserve"> regulator</w:t>
      </w:r>
      <w:r w:rsidR="003E3F65" w:rsidRPr="00712B16">
        <w:rPr>
          <w:rFonts w:ascii="Times New Roman" w:hAnsi="Times New Roman" w:cs="Times New Roman"/>
          <w:sz w:val="24"/>
          <w:szCs w:val="24"/>
        </w:rPr>
        <w:t>y</w:t>
      </w:r>
      <w:r w:rsidR="00C746FE" w:rsidRPr="00712B16">
        <w:rPr>
          <w:rFonts w:ascii="Times New Roman" w:hAnsi="Times New Roman" w:cs="Times New Roman"/>
          <w:sz w:val="24"/>
          <w:szCs w:val="24"/>
        </w:rPr>
        <w:t xml:space="preserve"> </w:t>
      </w:r>
      <w:r w:rsidR="00762883" w:rsidRPr="00712B16">
        <w:rPr>
          <w:rFonts w:ascii="Times New Roman" w:hAnsi="Times New Roman" w:cs="Times New Roman"/>
          <w:sz w:val="24"/>
          <w:szCs w:val="24"/>
        </w:rPr>
        <w:t>shock</w:t>
      </w:r>
      <w:r w:rsidRPr="00712B16">
        <w:rPr>
          <w:rFonts w:ascii="Times New Roman" w:hAnsi="Times New Roman" w:cs="Times New Roman"/>
          <w:sz w:val="24"/>
          <w:szCs w:val="24"/>
        </w:rPr>
        <w:t xml:space="preserve"> that is anticipated to have a </w:t>
      </w:r>
      <w:r w:rsidR="00F017D3" w:rsidRPr="00712B16">
        <w:rPr>
          <w:rFonts w:ascii="Times New Roman" w:hAnsi="Times New Roman" w:cs="Times New Roman"/>
          <w:sz w:val="24"/>
          <w:szCs w:val="24"/>
        </w:rPr>
        <w:t xml:space="preserve">financial </w:t>
      </w:r>
      <w:r w:rsidRPr="00712B16">
        <w:rPr>
          <w:rFonts w:ascii="Times New Roman" w:hAnsi="Times New Roman" w:cs="Times New Roman"/>
          <w:sz w:val="24"/>
          <w:szCs w:val="24"/>
        </w:rPr>
        <w:t xml:space="preserve">impact on firms and influence their decisions, particularly those related to REM. To examine the </w:t>
      </w:r>
      <w:r w:rsidR="00C43686" w:rsidRPr="00712B16">
        <w:rPr>
          <w:rFonts w:ascii="Times New Roman" w:hAnsi="Times New Roman" w:cs="Times New Roman"/>
          <w:sz w:val="24"/>
          <w:szCs w:val="24"/>
        </w:rPr>
        <w:t xml:space="preserve">financial </w:t>
      </w:r>
      <w:r w:rsidRPr="00712B16">
        <w:rPr>
          <w:rFonts w:ascii="Times New Roman" w:hAnsi="Times New Roman" w:cs="Times New Roman"/>
          <w:sz w:val="24"/>
          <w:szCs w:val="24"/>
        </w:rPr>
        <w:t xml:space="preserve">impact of country-level </w:t>
      </w:r>
      <w:r w:rsidR="005832CF" w:rsidRPr="00712B16">
        <w:rPr>
          <w:rFonts w:ascii="Times New Roman" w:hAnsi="Times New Roman" w:cs="Times New Roman"/>
          <w:sz w:val="24"/>
          <w:szCs w:val="24"/>
        </w:rPr>
        <w:t>net zero</w:t>
      </w:r>
      <w:r w:rsidR="00090DC8" w:rsidRPr="00712B16">
        <w:rPr>
          <w:rFonts w:ascii="Times New Roman" w:hAnsi="Times New Roman" w:cs="Times New Roman"/>
          <w:sz w:val="24"/>
          <w:szCs w:val="24"/>
        </w:rPr>
        <w:t xml:space="preserve"> target</w:t>
      </w:r>
      <w:r w:rsidRPr="00712B16">
        <w:rPr>
          <w:rFonts w:ascii="Times New Roman" w:hAnsi="Times New Roman" w:cs="Times New Roman"/>
          <w:sz w:val="24"/>
          <w:szCs w:val="24"/>
        </w:rPr>
        <w:t xml:space="preserve"> </w:t>
      </w:r>
      <w:r w:rsidR="00837CFE" w:rsidRPr="00712B16">
        <w:rPr>
          <w:rFonts w:ascii="Times New Roman" w:hAnsi="Times New Roman" w:cs="Times New Roman"/>
          <w:sz w:val="24"/>
          <w:szCs w:val="24"/>
        </w:rPr>
        <w:t>commitment</w:t>
      </w:r>
      <w:r w:rsidRPr="00712B16">
        <w:rPr>
          <w:rFonts w:ascii="Times New Roman" w:hAnsi="Times New Roman" w:cs="Times New Roman"/>
          <w:sz w:val="24"/>
          <w:szCs w:val="24"/>
        </w:rPr>
        <w:t xml:space="preserve">, </w:t>
      </w:r>
      <w:r w:rsidR="000B0A50" w:rsidRPr="00712B16">
        <w:rPr>
          <w:rFonts w:ascii="Times New Roman" w:hAnsi="Times New Roman" w:cs="Times New Roman"/>
          <w:sz w:val="24"/>
          <w:szCs w:val="24"/>
        </w:rPr>
        <w:t xml:space="preserve">we analyze </w:t>
      </w:r>
      <w:r w:rsidRPr="00712B16">
        <w:rPr>
          <w:rFonts w:ascii="Times New Roman" w:hAnsi="Times New Roman" w:cs="Times New Roman"/>
          <w:sz w:val="24"/>
          <w:szCs w:val="24"/>
        </w:rPr>
        <w:t xml:space="preserve">a global sample of publicly listed firms for the period from 2011 to 2021. The findings suggest that firms headquartered in countries that </w:t>
      </w:r>
      <w:r w:rsidR="000A40B7" w:rsidRPr="00712B16">
        <w:rPr>
          <w:rFonts w:ascii="Times New Roman" w:hAnsi="Times New Roman" w:cs="Times New Roman"/>
          <w:sz w:val="24"/>
          <w:szCs w:val="24"/>
        </w:rPr>
        <w:t>have committed to</w:t>
      </w:r>
      <w:r w:rsidRPr="00712B16">
        <w:rPr>
          <w:rFonts w:ascii="Times New Roman" w:hAnsi="Times New Roman" w:cs="Times New Roman"/>
          <w:sz w:val="24"/>
          <w:szCs w:val="24"/>
        </w:rPr>
        <w:t xml:space="preserve"> </w:t>
      </w:r>
      <w:r w:rsidR="00C417A2" w:rsidRPr="00712B16">
        <w:rPr>
          <w:rFonts w:ascii="Times New Roman" w:hAnsi="Times New Roman" w:cs="Times New Roman"/>
          <w:sz w:val="24"/>
          <w:szCs w:val="24"/>
        </w:rPr>
        <w:t>a</w:t>
      </w:r>
      <w:r w:rsidR="003A180D" w:rsidRPr="00712B16">
        <w:rPr>
          <w:rFonts w:ascii="Times New Roman" w:hAnsi="Times New Roman" w:cs="Times New Roman"/>
          <w:sz w:val="24"/>
          <w:szCs w:val="24"/>
        </w:rPr>
        <w:t xml:space="preserve"> </w:t>
      </w:r>
      <w:r w:rsidR="005832CF" w:rsidRPr="00712B16">
        <w:rPr>
          <w:rFonts w:ascii="Times New Roman" w:hAnsi="Times New Roman" w:cs="Times New Roman"/>
          <w:sz w:val="24"/>
          <w:szCs w:val="24"/>
        </w:rPr>
        <w:t>net zero</w:t>
      </w:r>
      <w:r w:rsidRPr="00712B16">
        <w:rPr>
          <w:rFonts w:ascii="Times New Roman" w:hAnsi="Times New Roman" w:cs="Times New Roman"/>
          <w:sz w:val="24"/>
          <w:szCs w:val="24"/>
        </w:rPr>
        <w:t xml:space="preserve"> target are more likely to engage in REM activities.</w:t>
      </w:r>
    </w:p>
    <w:p w14:paraId="09DAD8CF" w14:textId="00AF8793" w:rsidR="00FA32D1" w:rsidRPr="00712B16" w:rsidRDefault="00FA32D1" w:rsidP="006B1158">
      <w:pPr>
        <w:spacing w:after="0" w:line="480" w:lineRule="auto"/>
        <w:ind w:firstLine="720"/>
        <w:jc w:val="both"/>
        <w:rPr>
          <w:rFonts w:ascii="Times New Roman" w:hAnsi="Times New Roman" w:cs="Times New Roman"/>
          <w:sz w:val="24"/>
          <w:szCs w:val="24"/>
        </w:rPr>
      </w:pPr>
      <w:r w:rsidRPr="00712B16">
        <w:rPr>
          <w:rFonts w:ascii="Times New Roman" w:hAnsi="Times New Roman" w:cs="Times New Roman"/>
          <w:sz w:val="24"/>
          <w:szCs w:val="24"/>
        </w:rPr>
        <w:t>The performance of a firm</w:t>
      </w:r>
      <w:r w:rsidR="000E5DEC" w:rsidRPr="00712B16">
        <w:rPr>
          <w:rFonts w:ascii="Times New Roman" w:hAnsi="Times New Roman" w:cs="Times New Roman"/>
          <w:sz w:val="24"/>
          <w:szCs w:val="24"/>
        </w:rPr>
        <w:t>’</w:t>
      </w:r>
      <w:r w:rsidRPr="00712B16">
        <w:rPr>
          <w:rFonts w:ascii="Times New Roman" w:hAnsi="Times New Roman" w:cs="Times New Roman"/>
          <w:sz w:val="24"/>
          <w:szCs w:val="24"/>
        </w:rPr>
        <w:t xml:space="preserve">s </w:t>
      </w:r>
      <w:r w:rsidR="003846AF" w:rsidRPr="00712B16">
        <w:rPr>
          <w:rFonts w:ascii="Times New Roman" w:hAnsi="Times New Roman" w:cs="Times New Roman"/>
          <w:sz w:val="24"/>
          <w:szCs w:val="24"/>
        </w:rPr>
        <w:t>CSR</w:t>
      </w:r>
      <w:r w:rsidRPr="00712B16">
        <w:rPr>
          <w:rFonts w:ascii="Times New Roman" w:hAnsi="Times New Roman" w:cs="Times New Roman"/>
          <w:sz w:val="24"/>
          <w:szCs w:val="24"/>
        </w:rPr>
        <w:t xml:space="preserve"> is expected to influence its decision to engage in REM. Therefore, </w:t>
      </w:r>
      <w:r w:rsidR="008367D8" w:rsidRPr="00712B16">
        <w:rPr>
          <w:rFonts w:ascii="Times New Roman" w:hAnsi="Times New Roman" w:cs="Times New Roman"/>
          <w:sz w:val="24"/>
          <w:szCs w:val="24"/>
        </w:rPr>
        <w:t xml:space="preserve">we employ </w:t>
      </w:r>
      <w:r w:rsidR="00FA5874" w:rsidRPr="00712B16">
        <w:rPr>
          <w:rFonts w:ascii="Times New Roman" w:hAnsi="Times New Roman" w:cs="Times New Roman"/>
          <w:sz w:val="24"/>
          <w:szCs w:val="24"/>
        </w:rPr>
        <w:t xml:space="preserve">the </w:t>
      </w:r>
      <w:r w:rsidRPr="00712B16">
        <w:rPr>
          <w:rFonts w:ascii="Times New Roman" w:hAnsi="Times New Roman" w:cs="Times New Roman"/>
          <w:sz w:val="24"/>
          <w:szCs w:val="24"/>
        </w:rPr>
        <w:t xml:space="preserve">CSR score </w:t>
      </w:r>
      <w:r w:rsidR="00E35416" w:rsidRPr="00712B16">
        <w:rPr>
          <w:rFonts w:ascii="Times New Roman" w:hAnsi="Times New Roman" w:cs="Times New Roman"/>
          <w:sz w:val="24"/>
          <w:szCs w:val="24"/>
        </w:rPr>
        <w:t xml:space="preserve">as a moderating factor in the relation between </w:t>
      </w:r>
      <w:r w:rsidR="003A180D" w:rsidRPr="00712B16">
        <w:rPr>
          <w:rFonts w:ascii="Times New Roman" w:hAnsi="Times New Roman" w:cs="Times New Roman"/>
          <w:sz w:val="24"/>
          <w:szCs w:val="24"/>
        </w:rPr>
        <w:t xml:space="preserve">the </w:t>
      </w:r>
      <w:r w:rsidR="005832CF" w:rsidRPr="00712B16">
        <w:rPr>
          <w:rFonts w:ascii="Times New Roman" w:hAnsi="Times New Roman" w:cs="Times New Roman"/>
          <w:sz w:val="24"/>
          <w:szCs w:val="24"/>
        </w:rPr>
        <w:t>net zero</w:t>
      </w:r>
      <w:r w:rsidR="003A180D" w:rsidRPr="00712B16">
        <w:rPr>
          <w:rFonts w:ascii="Times New Roman" w:hAnsi="Times New Roman" w:cs="Times New Roman"/>
          <w:sz w:val="24"/>
          <w:szCs w:val="24"/>
        </w:rPr>
        <w:t xml:space="preserve"> target</w:t>
      </w:r>
      <w:r w:rsidR="00E35416" w:rsidRPr="00712B16">
        <w:rPr>
          <w:rFonts w:ascii="Times New Roman" w:hAnsi="Times New Roman" w:cs="Times New Roman"/>
          <w:sz w:val="24"/>
          <w:szCs w:val="24"/>
        </w:rPr>
        <w:t xml:space="preserve"> </w:t>
      </w:r>
      <w:r w:rsidR="00837CFE" w:rsidRPr="00712B16">
        <w:rPr>
          <w:rFonts w:ascii="Times New Roman" w:hAnsi="Times New Roman" w:cs="Times New Roman"/>
          <w:sz w:val="24"/>
          <w:szCs w:val="24"/>
        </w:rPr>
        <w:t>commitment</w:t>
      </w:r>
      <w:r w:rsidR="00E35416" w:rsidRPr="00712B16">
        <w:rPr>
          <w:rFonts w:ascii="Times New Roman" w:hAnsi="Times New Roman" w:cs="Times New Roman"/>
          <w:sz w:val="24"/>
          <w:szCs w:val="24"/>
        </w:rPr>
        <w:t xml:space="preserve"> and REM</w:t>
      </w:r>
      <w:r w:rsidRPr="00712B16">
        <w:rPr>
          <w:rFonts w:ascii="Times New Roman" w:hAnsi="Times New Roman" w:cs="Times New Roman"/>
          <w:sz w:val="24"/>
          <w:szCs w:val="24"/>
        </w:rPr>
        <w:t>. The findings</w:t>
      </w:r>
      <w:r w:rsidR="007E61DE" w:rsidRPr="00712B16">
        <w:rPr>
          <w:rFonts w:ascii="Times New Roman" w:hAnsi="Times New Roman" w:cs="Times New Roman"/>
          <w:sz w:val="24"/>
          <w:szCs w:val="24"/>
        </w:rPr>
        <w:t xml:space="preserve"> </w:t>
      </w:r>
      <w:r w:rsidRPr="00712B16">
        <w:rPr>
          <w:rFonts w:ascii="Times New Roman" w:hAnsi="Times New Roman" w:cs="Times New Roman"/>
          <w:sz w:val="24"/>
          <w:szCs w:val="24"/>
        </w:rPr>
        <w:t xml:space="preserve">indicate that CSR performance is negatively related to REM activities. Given that CSR comprises three components - environmental, social, and corporate governance - and each can have a varying effect on REM, </w:t>
      </w:r>
      <w:r w:rsidR="007E61DE" w:rsidRPr="00712B16">
        <w:rPr>
          <w:rFonts w:ascii="Times New Roman" w:hAnsi="Times New Roman" w:cs="Times New Roman"/>
          <w:sz w:val="24"/>
          <w:szCs w:val="24"/>
        </w:rPr>
        <w:t>we conduct</w:t>
      </w:r>
      <w:r w:rsidRPr="00712B16">
        <w:rPr>
          <w:rFonts w:ascii="Times New Roman" w:hAnsi="Times New Roman" w:cs="Times New Roman"/>
          <w:sz w:val="24"/>
          <w:szCs w:val="24"/>
        </w:rPr>
        <w:t xml:space="preserve"> a separate analysis of CSR performance by including these individual components separately in the regression models. </w:t>
      </w:r>
      <w:r w:rsidR="007E61DE" w:rsidRPr="00712B16">
        <w:rPr>
          <w:rFonts w:ascii="Times New Roman" w:hAnsi="Times New Roman" w:cs="Times New Roman"/>
          <w:sz w:val="24"/>
          <w:szCs w:val="24"/>
        </w:rPr>
        <w:t xml:space="preserve">Our </w:t>
      </w:r>
      <w:r w:rsidRPr="00712B16">
        <w:rPr>
          <w:rFonts w:ascii="Times New Roman" w:hAnsi="Times New Roman" w:cs="Times New Roman"/>
          <w:sz w:val="24"/>
          <w:szCs w:val="24"/>
        </w:rPr>
        <w:t>findings suggest that firms with higher social scores engage in less REM. The main findings remain robust when applying the Propensity Score Matching (PSM) methodology to control for differences in firm characteristics.</w:t>
      </w:r>
    </w:p>
    <w:p w14:paraId="702DD14A" w14:textId="68F0C221" w:rsidR="00FA32D1" w:rsidRPr="00712B16" w:rsidRDefault="00B822C6" w:rsidP="006B1158">
      <w:pPr>
        <w:spacing w:after="0" w:line="480" w:lineRule="auto"/>
        <w:ind w:firstLine="567"/>
        <w:jc w:val="both"/>
        <w:rPr>
          <w:rFonts w:ascii="Times New Roman" w:hAnsi="Times New Roman" w:cs="Times New Roman"/>
          <w:sz w:val="24"/>
          <w:szCs w:val="24"/>
        </w:rPr>
      </w:pPr>
      <w:r w:rsidRPr="00712B16">
        <w:rPr>
          <w:rFonts w:ascii="Times New Roman" w:hAnsi="Times New Roman" w:cs="Times New Roman"/>
          <w:sz w:val="24"/>
          <w:szCs w:val="24"/>
        </w:rPr>
        <w:t>We also conduct s</w:t>
      </w:r>
      <w:r w:rsidR="00FA32D1" w:rsidRPr="00712B16">
        <w:rPr>
          <w:rFonts w:ascii="Times New Roman" w:hAnsi="Times New Roman" w:cs="Times New Roman"/>
          <w:sz w:val="24"/>
          <w:szCs w:val="24"/>
        </w:rPr>
        <w:t xml:space="preserve">everal additional analyses to investigate the </w:t>
      </w:r>
      <w:r w:rsidR="00E95921" w:rsidRPr="00712B16">
        <w:rPr>
          <w:rFonts w:ascii="Times New Roman" w:hAnsi="Times New Roman" w:cs="Times New Roman"/>
          <w:sz w:val="24"/>
          <w:szCs w:val="24"/>
        </w:rPr>
        <w:t xml:space="preserve">financial reporting </w:t>
      </w:r>
      <w:r w:rsidR="00FA32D1" w:rsidRPr="00712B16">
        <w:rPr>
          <w:rFonts w:ascii="Times New Roman" w:hAnsi="Times New Roman" w:cs="Times New Roman"/>
          <w:sz w:val="24"/>
          <w:szCs w:val="24"/>
        </w:rPr>
        <w:t>consequences of</w:t>
      </w:r>
      <w:r w:rsidR="003A180D" w:rsidRPr="00712B16">
        <w:rPr>
          <w:rFonts w:ascii="Times New Roman" w:hAnsi="Times New Roman" w:cs="Times New Roman"/>
          <w:sz w:val="24"/>
          <w:szCs w:val="24"/>
        </w:rPr>
        <w:t xml:space="preserve"> </w:t>
      </w:r>
      <w:r w:rsidR="005832CF" w:rsidRPr="00712B16">
        <w:rPr>
          <w:rFonts w:ascii="Times New Roman" w:hAnsi="Times New Roman" w:cs="Times New Roman"/>
          <w:sz w:val="24"/>
          <w:szCs w:val="24"/>
        </w:rPr>
        <w:t>net zero</w:t>
      </w:r>
      <w:r w:rsidR="00FA32D1" w:rsidRPr="00712B16">
        <w:rPr>
          <w:rFonts w:ascii="Times New Roman" w:hAnsi="Times New Roman" w:cs="Times New Roman"/>
          <w:sz w:val="24"/>
          <w:szCs w:val="24"/>
        </w:rPr>
        <w:t xml:space="preserve"> target </w:t>
      </w:r>
      <w:r w:rsidR="00837CFE" w:rsidRPr="00712B16">
        <w:rPr>
          <w:rFonts w:ascii="Times New Roman" w:hAnsi="Times New Roman" w:cs="Times New Roman"/>
          <w:sz w:val="24"/>
          <w:szCs w:val="24"/>
        </w:rPr>
        <w:t>commitment</w:t>
      </w:r>
      <w:r w:rsidR="00FA32D1" w:rsidRPr="00712B16">
        <w:rPr>
          <w:rFonts w:ascii="Times New Roman" w:hAnsi="Times New Roman" w:cs="Times New Roman"/>
          <w:sz w:val="24"/>
          <w:szCs w:val="24"/>
        </w:rPr>
        <w:t xml:space="preserve">. </w:t>
      </w:r>
      <w:r w:rsidR="006B1158" w:rsidRPr="00712B16">
        <w:rPr>
          <w:rFonts w:ascii="Times New Roman" w:hAnsi="Times New Roman" w:cs="Times New Roman"/>
          <w:sz w:val="24"/>
          <w:szCs w:val="24"/>
        </w:rPr>
        <w:t>W</w:t>
      </w:r>
      <w:r w:rsidR="00460451" w:rsidRPr="00712B16">
        <w:rPr>
          <w:rFonts w:ascii="Times New Roman" w:hAnsi="Times New Roman" w:cs="Times New Roman"/>
          <w:sz w:val="24"/>
          <w:szCs w:val="24"/>
        </w:rPr>
        <w:t xml:space="preserve">e introduce </w:t>
      </w:r>
      <w:r w:rsidR="00FA32D1" w:rsidRPr="00712B16">
        <w:rPr>
          <w:rFonts w:ascii="Times New Roman" w:hAnsi="Times New Roman" w:cs="Times New Roman"/>
          <w:sz w:val="24"/>
          <w:szCs w:val="24"/>
        </w:rPr>
        <w:t xml:space="preserve">the </w:t>
      </w:r>
      <w:r w:rsidR="00ED3FA5" w:rsidRPr="00712B16">
        <w:rPr>
          <w:rFonts w:ascii="Times New Roman" w:hAnsi="Times New Roman" w:cs="Times New Roman"/>
          <w:sz w:val="24"/>
          <w:szCs w:val="24"/>
        </w:rPr>
        <w:t xml:space="preserve">intensity </w:t>
      </w:r>
      <w:r w:rsidR="00FA32D1" w:rsidRPr="00712B16">
        <w:rPr>
          <w:rFonts w:ascii="Times New Roman" w:hAnsi="Times New Roman" w:cs="Times New Roman"/>
          <w:sz w:val="24"/>
          <w:szCs w:val="24"/>
        </w:rPr>
        <w:t xml:space="preserve">of </w:t>
      </w:r>
      <w:r w:rsidR="003A180D" w:rsidRPr="00712B16">
        <w:rPr>
          <w:rFonts w:ascii="Times New Roman" w:hAnsi="Times New Roman" w:cs="Times New Roman"/>
          <w:sz w:val="24"/>
          <w:szCs w:val="24"/>
        </w:rPr>
        <w:t xml:space="preserve">the </w:t>
      </w:r>
      <w:r w:rsidR="005832CF" w:rsidRPr="00712B16">
        <w:rPr>
          <w:rFonts w:ascii="Times New Roman" w:hAnsi="Times New Roman" w:cs="Times New Roman"/>
          <w:sz w:val="24"/>
          <w:szCs w:val="24"/>
        </w:rPr>
        <w:t>net zero</w:t>
      </w:r>
      <w:r w:rsidR="00FA32D1" w:rsidRPr="00712B16">
        <w:rPr>
          <w:rFonts w:ascii="Times New Roman" w:hAnsi="Times New Roman" w:cs="Times New Roman"/>
          <w:sz w:val="24"/>
          <w:szCs w:val="24"/>
        </w:rPr>
        <w:t xml:space="preserve"> target commitment </w:t>
      </w:r>
      <w:r w:rsidR="00F843EC" w:rsidRPr="00712B16">
        <w:rPr>
          <w:rFonts w:ascii="Times New Roman" w:hAnsi="Times New Roman" w:cs="Times New Roman"/>
          <w:sz w:val="24"/>
          <w:szCs w:val="24"/>
        </w:rPr>
        <w:t xml:space="preserve">by headquarter countries </w:t>
      </w:r>
      <w:r w:rsidR="00FA32D1" w:rsidRPr="00712B16">
        <w:rPr>
          <w:rFonts w:ascii="Times New Roman" w:hAnsi="Times New Roman" w:cs="Times New Roman"/>
          <w:sz w:val="24"/>
          <w:szCs w:val="24"/>
        </w:rPr>
        <w:t xml:space="preserve">as an additional measure of </w:t>
      </w:r>
      <w:r w:rsidR="00C746FE" w:rsidRPr="00712B16">
        <w:rPr>
          <w:rFonts w:ascii="Times New Roman" w:hAnsi="Times New Roman" w:cs="Times New Roman"/>
          <w:sz w:val="24"/>
          <w:szCs w:val="24"/>
        </w:rPr>
        <w:t xml:space="preserve">regulatory </w:t>
      </w:r>
      <w:r w:rsidR="00762883" w:rsidRPr="00712B16">
        <w:rPr>
          <w:rFonts w:ascii="Times New Roman" w:hAnsi="Times New Roman" w:cs="Times New Roman"/>
          <w:sz w:val="24"/>
          <w:szCs w:val="24"/>
        </w:rPr>
        <w:lastRenderedPageBreak/>
        <w:t>shocks</w:t>
      </w:r>
      <w:r w:rsidR="00FA32D1" w:rsidRPr="00712B16">
        <w:rPr>
          <w:rFonts w:ascii="Times New Roman" w:hAnsi="Times New Roman" w:cs="Times New Roman"/>
          <w:sz w:val="24"/>
          <w:szCs w:val="24"/>
        </w:rPr>
        <w:t xml:space="preserve">. The results indicate that a higher commitment level is positively associated with REM activities. </w:t>
      </w:r>
      <w:r w:rsidR="00460451" w:rsidRPr="00712B16">
        <w:rPr>
          <w:rFonts w:ascii="Times New Roman" w:hAnsi="Times New Roman" w:cs="Times New Roman"/>
          <w:sz w:val="24"/>
          <w:szCs w:val="24"/>
        </w:rPr>
        <w:t xml:space="preserve">In addition, we re-run our main analysis using firm-level </w:t>
      </w:r>
      <w:r w:rsidR="005832CF" w:rsidRPr="00712B16">
        <w:rPr>
          <w:rFonts w:ascii="Times New Roman" w:hAnsi="Times New Roman" w:cs="Times New Roman"/>
          <w:sz w:val="24"/>
          <w:szCs w:val="24"/>
        </w:rPr>
        <w:t>net zero</w:t>
      </w:r>
      <w:r w:rsidR="00460451" w:rsidRPr="00712B16">
        <w:rPr>
          <w:rFonts w:ascii="Times New Roman" w:hAnsi="Times New Roman" w:cs="Times New Roman"/>
          <w:sz w:val="24"/>
          <w:szCs w:val="24"/>
        </w:rPr>
        <w:t xml:space="preserve"> </w:t>
      </w:r>
      <w:r w:rsidR="00090DC8" w:rsidRPr="00712B16">
        <w:rPr>
          <w:rFonts w:ascii="Times New Roman" w:hAnsi="Times New Roman" w:cs="Times New Roman"/>
          <w:sz w:val="24"/>
          <w:szCs w:val="24"/>
        </w:rPr>
        <w:t xml:space="preserve">target </w:t>
      </w:r>
      <w:r w:rsidR="00837CFE" w:rsidRPr="00712B16">
        <w:rPr>
          <w:rFonts w:ascii="Times New Roman" w:hAnsi="Times New Roman" w:cs="Times New Roman"/>
          <w:sz w:val="24"/>
          <w:szCs w:val="24"/>
        </w:rPr>
        <w:t>commitment</w:t>
      </w:r>
      <w:r w:rsidR="00460451" w:rsidRPr="00712B16">
        <w:rPr>
          <w:rFonts w:ascii="Times New Roman" w:hAnsi="Times New Roman" w:cs="Times New Roman"/>
          <w:sz w:val="24"/>
          <w:szCs w:val="24"/>
        </w:rPr>
        <w:t xml:space="preserve"> as the main variable of interest. Given that</w:t>
      </w:r>
      <w:r w:rsidR="00FA32D1" w:rsidRPr="00712B16">
        <w:rPr>
          <w:rFonts w:ascii="Times New Roman" w:hAnsi="Times New Roman" w:cs="Times New Roman"/>
          <w:sz w:val="24"/>
          <w:szCs w:val="24"/>
        </w:rPr>
        <w:t xml:space="preserve"> firm-level </w:t>
      </w:r>
      <w:r w:rsidR="00837CFE" w:rsidRPr="00712B16">
        <w:rPr>
          <w:rFonts w:ascii="Times New Roman" w:hAnsi="Times New Roman" w:cs="Times New Roman"/>
          <w:sz w:val="24"/>
          <w:szCs w:val="24"/>
        </w:rPr>
        <w:t>commitment</w:t>
      </w:r>
      <w:r w:rsidR="00B078D8" w:rsidRPr="00712B16">
        <w:rPr>
          <w:rFonts w:ascii="Times New Roman" w:hAnsi="Times New Roman" w:cs="Times New Roman"/>
          <w:sz w:val="24"/>
          <w:szCs w:val="24"/>
        </w:rPr>
        <w:t xml:space="preserve"> to</w:t>
      </w:r>
      <w:r w:rsidR="00FA32D1" w:rsidRPr="00712B16">
        <w:rPr>
          <w:rFonts w:ascii="Times New Roman" w:hAnsi="Times New Roman" w:cs="Times New Roman"/>
          <w:sz w:val="24"/>
          <w:szCs w:val="24"/>
        </w:rPr>
        <w:t xml:space="preserve"> </w:t>
      </w:r>
      <w:r w:rsidR="00065A17" w:rsidRPr="00712B16">
        <w:rPr>
          <w:rFonts w:ascii="Times New Roman" w:hAnsi="Times New Roman" w:cs="Times New Roman"/>
          <w:sz w:val="24"/>
          <w:szCs w:val="24"/>
        </w:rPr>
        <w:t xml:space="preserve">the </w:t>
      </w:r>
      <w:r w:rsidR="005832CF" w:rsidRPr="00712B16">
        <w:rPr>
          <w:rFonts w:ascii="Times New Roman" w:hAnsi="Times New Roman" w:cs="Times New Roman"/>
          <w:sz w:val="24"/>
          <w:szCs w:val="24"/>
        </w:rPr>
        <w:t>net zero</w:t>
      </w:r>
      <w:r w:rsidR="00065A17" w:rsidRPr="00712B16">
        <w:rPr>
          <w:rFonts w:ascii="Times New Roman" w:hAnsi="Times New Roman" w:cs="Times New Roman"/>
          <w:sz w:val="24"/>
          <w:szCs w:val="24"/>
        </w:rPr>
        <w:t xml:space="preserve"> targets</w:t>
      </w:r>
      <w:r w:rsidR="00FA32D1" w:rsidRPr="00712B16">
        <w:rPr>
          <w:rFonts w:ascii="Times New Roman" w:hAnsi="Times New Roman" w:cs="Times New Roman"/>
          <w:sz w:val="24"/>
          <w:szCs w:val="24"/>
        </w:rPr>
        <w:t xml:space="preserve"> is voluntary, as expected, the results suggest </w:t>
      </w:r>
      <w:r w:rsidR="00FA5874" w:rsidRPr="00712B16">
        <w:rPr>
          <w:rFonts w:ascii="Times New Roman" w:hAnsi="Times New Roman" w:cs="Times New Roman"/>
          <w:sz w:val="24"/>
          <w:szCs w:val="24"/>
        </w:rPr>
        <w:t xml:space="preserve">that </w:t>
      </w:r>
      <w:r w:rsidR="00FA32D1" w:rsidRPr="00712B16">
        <w:rPr>
          <w:rFonts w:ascii="Times New Roman" w:hAnsi="Times New Roman" w:cs="Times New Roman"/>
          <w:sz w:val="24"/>
          <w:szCs w:val="24"/>
        </w:rPr>
        <w:t>such firms are not associated with higher REM activities</w:t>
      </w:r>
      <w:r w:rsidR="00F843EC" w:rsidRPr="00712B16">
        <w:rPr>
          <w:rFonts w:ascii="Times New Roman" w:hAnsi="Times New Roman" w:cs="Times New Roman"/>
          <w:sz w:val="24"/>
          <w:szCs w:val="24"/>
        </w:rPr>
        <w:t xml:space="preserve">, suggesting better preparedness and willingness of such firms to meet </w:t>
      </w:r>
      <w:r w:rsidR="003A180D" w:rsidRPr="00712B16">
        <w:rPr>
          <w:rFonts w:ascii="Times New Roman" w:hAnsi="Times New Roman" w:cs="Times New Roman"/>
          <w:sz w:val="24"/>
          <w:szCs w:val="24"/>
        </w:rPr>
        <w:t xml:space="preserve">the </w:t>
      </w:r>
      <w:r w:rsidR="005832CF" w:rsidRPr="00712B16">
        <w:rPr>
          <w:rFonts w:ascii="Times New Roman" w:hAnsi="Times New Roman" w:cs="Times New Roman"/>
          <w:sz w:val="24"/>
          <w:szCs w:val="24"/>
        </w:rPr>
        <w:t>net zero</w:t>
      </w:r>
      <w:r w:rsidR="00F843EC" w:rsidRPr="00712B16">
        <w:rPr>
          <w:rFonts w:ascii="Times New Roman" w:hAnsi="Times New Roman" w:cs="Times New Roman"/>
          <w:sz w:val="24"/>
          <w:szCs w:val="24"/>
        </w:rPr>
        <w:t xml:space="preserve"> targets</w:t>
      </w:r>
      <w:r w:rsidR="00FA32D1" w:rsidRPr="00712B16">
        <w:rPr>
          <w:rFonts w:ascii="Times New Roman" w:hAnsi="Times New Roman" w:cs="Times New Roman"/>
          <w:sz w:val="24"/>
          <w:szCs w:val="24"/>
        </w:rPr>
        <w:t>.</w:t>
      </w:r>
    </w:p>
    <w:p w14:paraId="22B4B71E" w14:textId="56FB9ED5" w:rsidR="0050577B" w:rsidRPr="00712B16" w:rsidRDefault="00FA32D1" w:rsidP="0050577B">
      <w:pPr>
        <w:spacing w:after="0" w:line="480" w:lineRule="auto"/>
        <w:ind w:firstLine="567"/>
        <w:jc w:val="both"/>
        <w:rPr>
          <w:rFonts w:ascii="Times New Roman" w:hAnsi="Times New Roman" w:cs="Times New Roman"/>
          <w:sz w:val="24"/>
          <w:szCs w:val="24"/>
        </w:rPr>
      </w:pPr>
      <w:r w:rsidRPr="00712B16">
        <w:rPr>
          <w:rFonts w:ascii="Times New Roman" w:hAnsi="Times New Roman" w:cs="Times New Roman"/>
          <w:sz w:val="24"/>
          <w:szCs w:val="24"/>
        </w:rPr>
        <w:t xml:space="preserve">To further test the effect of </w:t>
      </w:r>
      <w:r w:rsidR="005832CF" w:rsidRPr="00712B16">
        <w:rPr>
          <w:rFonts w:ascii="Times New Roman" w:hAnsi="Times New Roman" w:cs="Times New Roman"/>
          <w:sz w:val="24"/>
          <w:szCs w:val="24"/>
        </w:rPr>
        <w:t>net zero</w:t>
      </w:r>
      <w:r w:rsidRPr="00712B16">
        <w:rPr>
          <w:rFonts w:ascii="Times New Roman" w:hAnsi="Times New Roman" w:cs="Times New Roman"/>
          <w:sz w:val="24"/>
          <w:szCs w:val="24"/>
        </w:rPr>
        <w:t xml:space="preserve"> target </w:t>
      </w:r>
      <w:r w:rsidR="00837CFE" w:rsidRPr="00712B16">
        <w:rPr>
          <w:rFonts w:ascii="Times New Roman" w:hAnsi="Times New Roman" w:cs="Times New Roman"/>
          <w:sz w:val="24"/>
          <w:szCs w:val="24"/>
        </w:rPr>
        <w:t>commitment</w:t>
      </w:r>
      <w:r w:rsidRPr="00712B16">
        <w:rPr>
          <w:rFonts w:ascii="Times New Roman" w:hAnsi="Times New Roman" w:cs="Times New Roman"/>
          <w:sz w:val="24"/>
          <w:szCs w:val="24"/>
        </w:rPr>
        <w:t xml:space="preserve"> on earnings management </w:t>
      </w:r>
      <w:r w:rsidR="00A26DB9" w:rsidRPr="00712B16">
        <w:rPr>
          <w:rFonts w:ascii="Times New Roman" w:hAnsi="Times New Roman" w:cs="Times New Roman"/>
          <w:sz w:val="24"/>
          <w:szCs w:val="24"/>
        </w:rPr>
        <w:t>activities, we</w:t>
      </w:r>
      <w:r w:rsidR="00F843EC" w:rsidRPr="00712B16">
        <w:rPr>
          <w:rFonts w:ascii="Times New Roman" w:hAnsi="Times New Roman" w:cs="Times New Roman"/>
          <w:sz w:val="24"/>
          <w:szCs w:val="24"/>
        </w:rPr>
        <w:t xml:space="preserve"> </w:t>
      </w:r>
      <w:r w:rsidRPr="00712B16">
        <w:rPr>
          <w:rFonts w:ascii="Times New Roman" w:hAnsi="Times New Roman" w:cs="Times New Roman"/>
          <w:sz w:val="24"/>
          <w:szCs w:val="24"/>
        </w:rPr>
        <w:t xml:space="preserve">employ signed Accruals-Based Earnings Management (ABEM) as the dependent variable. The findings show that country-level </w:t>
      </w:r>
      <w:r w:rsidR="005832CF" w:rsidRPr="00712B16">
        <w:rPr>
          <w:rFonts w:ascii="Times New Roman" w:hAnsi="Times New Roman" w:cs="Times New Roman"/>
          <w:sz w:val="24"/>
          <w:szCs w:val="24"/>
        </w:rPr>
        <w:t>net zero</w:t>
      </w:r>
      <w:r w:rsidR="00090DC8" w:rsidRPr="00712B16">
        <w:rPr>
          <w:rFonts w:ascii="Times New Roman" w:hAnsi="Times New Roman" w:cs="Times New Roman"/>
          <w:sz w:val="24"/>
          <w:szCs w:val="24"/>
        </w:rPr>
        <w:t xml:space="preserve"> target</w:t>
      </w:r>
      <w:r w:rsidRPr="00712B16">
        <w:rPr>
          <w:rFonts w:ascii="Times New Roman" w:hAnsi="Times New Roman" w:cs="Times New Roman"/>
          <w:sz w:val="24"/>
          <w:szCs w:val="24"/>
        </w:rPr>
        <w:t xml:space="preserve"> </w:t>
      </w:r>
      <w:r w:rsidR="00837CFE" w:rsidRPr="00712B16">
        <w:rPr>
          <w:rFonts w:ascii="Times New Roman" w:hAnsi="Times New Roman" w:cs="Times New Roman"/>
          <w:sz w:val="24"/>
          <w:szCs w:val="24"/>
        </w:rPr>
        <w:t>commitment</w:t>
      </w:r>
      <w:r w:rsidRPr="00712B16">
        <w:rPr>
          <w:rFonts w:ascii="Times New Roman" w:hAnsi="Times New Roman" w:cs="Times New Roman"/>
          <w:sz w:val="24"/>
          <w:szCs w:val="24"/>
        </w:rPr>
        <w:t xml:space="preserve"> is negatively related to ABEM activities. This suggests that firms headquartered in countries that </w:t>
      </w:r>
      <w:r w:rsidR="000A40B7" w:rsidRPr="00712B16">
        <w:rPr>
          <w:rFonts w:ascii="Times New Roman" w:hAnsi="Times New Roman" w:cs="Times New Roman"/>
          <w:sz w:val="24"/>
          <w:szCs w:val="24"/>
        </w:rPr>
        <w:t>have committed to</w:t>
      </w:r>
      <w:r w:rsidRPr="00712B16">
        <w:rPr>
          <w:rFonts w:ascii="Times New Roman" w:hAnsi="Times New Roman" w:cs="Times New Roman"/>
          <w:sz w:val="24"/>
          <w:szCs w:val="24"/>
        </w:rPr>
        <w:t xml:space="preserve"> </w:t>
      </w:r>
      <w:r w:rsidR="00C417A2" w:rsidRPr="00712B16">
        <w:rPr>
          <w:rFonts w:ascii="Times New Roman" w:hAnsi="Times New Roman" w:cs="Times New Roman"/>
          <w:sz w:val="24"/>
          <w:szCs w:val="24"/>
        </w:rPr>
        <w:t>a</w:t>
      </w:r>
      <w:r w:rsidR="002B0877" w:rsidRPr="00712B16">
        <w:rPr>
          <w:rFonts w:ascii="Times New Roman" w:hAnsi="Times New Roman" w:cs="Times New Roman"/>
          <w:sz w:val="24"/>
          <w:szCs w:val="24"/>
        </w:rPr>
        <w:t xml:space="preserve"> </w:t>
      </w:r>
      <w:r w:rsidR="005832CF" w:rsidRPr="00712B16">
        <w:rPr>
          <w:rFonts w:ascii="Times New Roman" w:hAnsi="Times New Roman" w:cs="Times New Roman"/>
          <w:sz w:val="24"/>
          <w:szCs w:val="24"/>
        </w:rPr>
        <w:t>net zero</w:t>
      </w:r>
      <w:r w:rsidRPr="00712B16">
        <w:rPr>
          <w:rFonts w:ascii="Times New Roman" w:hAnsi="Times New Roman" w:cs="Times New Roman"/>
          <w:sz w:val="24"/>
          <w:szCs w:val="24"/>
        </w:rPr>
        <w:t xml:space="preserve"> target engage in income-decreasing earnings management. Reporting lower accrual earnings in the years of </w:t>
      </w:r>
      <w:r w:rsidR="005832CF" w:rsidRPr="00712B16">
        <w:rPr>
          <w:rFonts w:ascii="Times New Roman" w:hAnsi="Times New Roman" w:cs="Times New Roman"/>
          <w:sz w:val="24"/>
          <w:szCs w:val="24"/>
        </w:rPr>
        <w:t>net zero</w:t>
      </w:r>
      <w:r w:rsidR="00090DC8" w:rsidRPr="00712B16">
        <w:rPr>
          <w:rFonts w:ascii="Times New Roman" w:hAnsi="Times New Roman" w:cs="Times New Roman"/>
          <w:sz w:val="24"/>
          <w:szCs w:val="24"/>
        </w:rPr>
        <w:t xml:space="preserve"> target</w:t>
      </w:r>
      <w:r w:rsidRPr="00712B16">
        <w:rPr>
          <w:rFonts w:ascii="Times New Roman" w:hAnsi="Times New Roman" w:cs="Times New Roman"/>
          <w:sz w:val="24"/>
          <w:szCs w:val="24"/>
        </w:rPr>
        <w:t xml:space="preserve"> </w:t>
      </w:r>
      <w:r w:rsidR="00837CFE" w:rsidRPr="00712B16">
        <w:rPr>
          <w:rFonts w:ascii="Times New Roman" w:hAnsi="Times New Roman" w:cs="Times New Roman"/>
          <w:sz w:val="24"/>
          <w:szCs w:val="24"/>
        </w:rPr>
        <w:t>commitment</w:t>
      </w:r>
      <w:r w:rsidRPr="00712B16">
        <w:rPr>
          <w:rFonts w:ascii="Times New Roman" w:hAnsi="Times New Roman" w:cs="Times New Roman"/>
          <w:sz w:val="24"/>
          <w:szCs w:val="24"/>
        </w:rPr>
        <w:t xml:space="preserve"> could help firms negotiate financial subsidies and support from the governments of the countries where they are headquartered. </w:t>
      </w:r>
    </w:p>
    <w:p w14:paraId="645889C8" w14:textId="2DB4055E" w:rsidR="002A03BC" w:rsidRPr="00712B16" w:rsidRDefault="0050577B" w:rsidP="0050577B">
      <w:pPr>
        <w:spacing w:after="0" w:line="480" w:lineRule="auto"/>
        <w:ind w:firstLine="567"/>
        <w:jc w:val="both"/>
        <w:rPr>
          <w:rFonts w:ascii="Times New Roman" w:hAnsi="Times New Roman" w:cs="Times New Roman"/>
          <w:sz w:val="24"/>
          <w:szCs w:val="24"/>
        </w:rPr>
      </w:pPr>
      <w:r w:rsidRPr="00712B16">
        <w:rPr>
          <w:rFonts w:ascii="Times New Roman" w:hAnsi="Times New Roman" w:cs="Times New Roman"/>
          <w:sz w:val="24"/>
          <w:szCs w:val="24"/>
        </w:rPr>
        <w:t xml:space="preserve">Overall, the findings of our study suggest that managers of firms headquartered in countries that </w:t>
      </w:r>
      <w:r w:rsidR="000A40B7" w:rsidRPr="00712B16">
        <w:rPr>
          <w:rFonts w:ascii="Times New Roman" w:hAnsi="Times New Roman" w:cs="Times New Roman"/>
          <w:sz w:val="24"/>
          <w:szCs w:val="24"/>
        </w:rPr>
        <w:t>have committed to</w:t>
      </w:r>
      <w:r w:rsidRPr="00712B16">
        <w:rPr>
          <w:rFonts w:ascii="Times New Roman" w:hAnsi="Times New Roman" w:cs="Times New Roman"/>
          <w:sz w:val="24"/>
          <w:szCs w:val="24"/>
        </w:rPr>
        <w:t xml:space="preserve"> </w:t>
      </w:r>
      <w:r w:rsidR="00C417A2" w:rsidRPr="00712B16">
        <w:rPr>
          <w:rFonts w:ascii="Times New Roman" w:hAnsi="Times New Roman" w:cs="Times New Roman"/>
          <w:sz w:val="24"/>
          <w:szCs w:val="24"/>
        </w:rPr>
        <w:t>a</w:t>
      </w:r>
      <w:r w:rsidR="002B0877" w:rsidRPr="00712B16">
        <w:rPr>
          <w:rFonts w:ascii="Times New Roman" w:hAnsi="Times New Roman" w:cs="Times New Roman"/>
          <w:sz w:val="24"/>
          <w:szCs w:val="24"/>
        </w:rPr>
        <w:t xml:space="preserve"> </w:t>
      </w:r>
      <w:r w:rsidR="005832CF" w:rsidRPr="00712B16">
        <w:rPr>
          <w:rFonts w:ascii="Times New Roman" w:hAnsi="Times New Roman" w:cs="Times New Roman"/>
          <w:sz w:val="24"/>
          <w:szCs w:val="24"/>
        </w:rPr>
        <w:t>net zero</w:t>
      </w:r>
      <w:r w:rsidRPr="00712B16">
        <w:rPr>
          <w:rFonts w:ascii="Times New Roman" w:hAnsi="Times New Roman" w:cs="Times New Roman"/>
          <w:sz w:val="24"/>
          <w:szCs w:val="24"/>
        </w:rPr>
        <w:t xml:space="preserve"> target use their operational discretion</w:t>
      </w:r>
      <w:r w:rsidR="002E34D9" w:rsidRPr="00712B16">
        <w:rPr>
          <w:rFonts w:ascii="Times New Roman" w:hAnsi="Times New Roman" w:cs="Times New Roman"/>
          <w:sz w:val="24"/>
          <w:szCs w:val="24"/>
        </w:rPr>
        <w:t>,</w:t>
      </w:r>
      <w:r w:rsidRPr="00712B16">
        <w:rPr>
          <w:rFonts w:ascii="Times New Roman" w:hAnsi="Times New Roman" w:cs="Times New Roman"/>
          <w:sz w:val="24"/>
          <w:szCs w:val="24"/>
        </w:rPr>
        <w:t xml:space="preserve"> including accounting and long-term investment discretion</w:t>
      </w:r>
      <w:r w:rsidR="002E34D9" w:rsidRPr="00712B16">
        <w:rPr>
          <w:rFonts w:ascii="Times New Roman" w:hAnsi="Times New Roman" w:cs="Times New Roman"/>
          <w:sz w:val="24"/>
          <w:szCs w:val="24"/>
        </w:rPr>
        <w:t>,</w:t>
      </w:r>
      <w:r w:rsidRPr="00712B16">
        <w:rPr>
          <w:rFonts w:ascii="Times New Roman" w:hAnsi="Times New Roman" w:cs="Times New Roman"/>
          <w:sz w:val="24"/>
          <w:szCs w:val="24"/>
        </w:rPr>
        <w:t xml:space="preserve"> to engage in REM and ABEM activities</w:t>
      </w:r>
      <w:r w:rsidR="00695DAF" w:rsidRPr="00712B16">
        <w:rPr>
          <w:rFonts w:ascii="Times New Roman" w:hAnsi="Times New Roman" w:cs="Times New Roman"/>
          <w:sz w:val="24"/>
          <w:szCs w:val="24"/>
        </w:rPr>
        <w:t xml:space="preserve"> as they are required to comply with regulatory changes and transform their operations to support the </w:t>
      </w:r>
      <w:r w:rsidR="005832CF" w:rsidRPr="00712B16">
        <w:rPr>
          <w:rFonts w:ascii="Times New Roman" w:hAnsi="Times New Roman" w:cs="Times New Roman"/>
          <w:sz w:val="24"/>
          <w:szCs w:val="24"/>
        </w:rPr>
        <w:t>net zero</w:t>
      </w:r>
      <w:r w:rsidR="00695DAF" w:rsidRPr="00712B16">
        <w:rPr>
          <w:rFonts w:ascii="Times New Roman" w:hAnsi="Times New Roman" w:cs="Times New Roman"/>
          <w:sz w:val="24"/>
          <w:szCs w:val="24"/>
        </w:rPr>
        <w:t xml:space="preserve"> target of their headquarter country. Our findings </w:t>
      </w:r>
      <w:r w:rsidR="00C6687A" w:rsidRPr="00712B16">
        <w:rPr>
          <w:rFonts w:ascii="Times New Roman" w:hAnsi="Times New Roman" w:cs="Times New Roman"/>
          <w:sz w:val="24"/>
          <w:szCs w:val="24"/>
        </w:rPr>
        <w:t>provide empirical evidence of manager</w:t>
      </w:r>
      <w:r w:rsidR="001E6B19" w:rsidRPr="00712B16">
        <w:rPr>
          <w:rFonts w:ascii="Times New Roman" w:hAnsi="Times New Roman" w:cs="Times New Roman"/>
          <w:sz w:val="24"/>
          <w:szCs w:val="24"/>
        </w:rPr>
        <w:t>ial opportunism</w:t>
      </w:r>
      <w:r w:rsidR="00C6687A" w:rsidRPr="00712B16">
        <w:rPr>
          <w:rFonts w:ascii="Times New Roman" w:hAnsi="Times New Roman" w:cs="Times New Roman"/>
          <w:sz w:val="24"/>
          <w:szCs w:val="24"/>
        </w:rPr>
        <w:t xml:space="preserve"> in dealing with the </w:t>
      </w:r>
      <w:r w:rsidR="0011514C" w:rsidRPr="00712B16">
        <w:rPr>
          <w:rFonts w:ascii="Times New Roman" w:hAnsi="Times New Roman" w:cs="Times New Roman"/>
          <w:sz w:val="24"/>
          <w:szCs w:val="24"/>
        </w:rPr>
        <w:t xml:space="preserve">financial </w:t>
      </w:r>
      <w:r w:rsidR="00C6687A" w:rsidRPr="00712B16">
        <w:rPr>
          <w:rFonts w:ascii="Times New Roman" w:hAnsi="Times New Roman" w:cs="Times New Roman"/>
          <w:sz w:val="24"/>
          <w:szCs w:val="24"/>
        </w:rPr>
        <w:t xml:space="preserve">implications on these publicly listed firms as a result of countries’ </w:t>
      </w:r>
      <w:r w:rsidR="00897E37" w:rsidRPr="00712B16">
        <w:rPr>
          <w:rFonts w:ascii="Times New Roman" w:hAnsi="Times New Roman" w:cs="Times New Roman"/>
          <w:sz w:val="24"/>
          <w:szCs w:val="24"/>
        </w:rPr>
        <w:t>commitment to</w:t>
      </w:r>
      <w:r w:rsidR="00C6687A" w:rsidRPr="00712B16">
        <w:rPr>
          <w:rFonts w:ascii="Times New Roman" w:hAnsi="Times New Roman" w:cs="Times New Roman"/>
          <w:sz w:val="24"/>
          <w:szCs w:val="24"/>
        </w:rPr>
        <w:t xml:space="preserve"> </w:t>
      </w:r>
      <w:r w:rsidR="00C417A2" w:rsidRPr="00712B16">
        <w:rPr>
          <w:rFonts w:ascii="Times New Roman" w:hAnsi="Times New Roman" w:cs="Times New Roman"/>
          <w:sz w:val="24"/>
          <w:szCs w:val="24"/>
        </w:rPr>
        <w:t xml:space="preserve">a </w:t>
      </w:r>
      <w:r w:rsidR="005832CF" w:rsidRPr="00712B16">
        <w:rPr>
          <w:rFonts w:ascii="Times New Roman" w:hAnsi="Times New Roman" w:cs="Times New Roman"/>
          <w:sz w:val="24"/>
          <w:szCs w:val="24"/>
        </w:rPr>
        <w:t>net zero</w:t>
      </w:r>
      <w:r w:rsidR="00C6687A" w:rsidRPr="00712B16">
        <w:rPr>
          <w:rFonts w:ascii="Times New Roman" w:hAnsi="Times New Roman" w:cs="Times New Roman"/>
          <w:sz w:val="24"/>
          <w:szCs w:val="24"/>
        </w:rPr>
        <w:t xml:space="preserve"> target.</w:t>
      </w:r>
    </w:p>
    <w:p w14:paraId="422D54C1" w14:textId="070ECE6A" w:rsidR="002012B3" w:rsidRPr="00712B16" w:rsidRDefault="007B7F5F" w:rsidP="0050577B">
      <w:pPr>
        <w:spacing w:after="0" w:line="480" w:lineRule="auto"/>
        <w:ind w:firstLine="567"/>
        <w:jc w:val="both"/>
        <w:rPr>
          <w:rFonts w:ascii="Times New Roman" w:eastAsia="Times New Roman" w:hAnsi="Times New Roman" w:cs="Times New Roman"/>
          <w:bCs/>
          <w:iCs/>
          <w:sz w:val="24"/>
          <w:szCs w:val="24"/>
        </w:rPr>
      </w:pPr>
      <w:r w:rsidRPr="00712B16">
        <w:rPr>
          <w:rFonts w:ascii="Times New Roman" w:eastAsia="Times New Roman" w:hAnsi="Times New Roman" w:cs="Times New Roman"/>
          <w:sz w:val="24"/>
          <w:szCs w:val="24"/>
        </w:rPr>
        <w:t>Our findings need to be interpreted with caution.</w:t>
      </w:r>
      <w:r w:rsidR="002012B3" w:rsidRPr="00712B16">
        <w:rPr>
          <w:rFonts w:ascii="Times New Roman" w:eastAsia="Times New Roman" w:hAnsi="Times New Roman" w:cs="Times New Roman"/>
          <w:sz w:val="24"/>
          <w:szCs w:val="24"/>
        </w:rPr>
        <w:t xml:space="preserve"> First, our measure of the intensity of net zero commitment</w:t>
      </w:r>
      <w:r w:rsidR="00C22D58" w:rsidRPr="00712B16">
        <w:rPr>
          <w:rFonts w:ascii="Times New Roman" w:eastAsia="Times New Roman" w:hAnsi="Times New Roman" w:cs="Times New Roman"/>
          <w:sz w:val="24"/>
          <w:szCs w:val="24"/>
        </w:rPr>
        <w:t xml:space="preserve"> using square values of the </w:t>
      </w:r>
      <w:r w:rsidR="00F61C6D" w:rsidRPr="00712B16">
        <w:rPr>
          <w:rFonts w:ascii="Times New Roman" w:eastAsia="Times New Roman" w:hAnsi="Times New Roman" w:cs="Times New Roman"/>
          <w:sz w:val="24"/>
          <w:szCs w:val="24"/>
        </w:rPr>
        <w:t>raw intensity score</w:t>
      </w:r>
      <w:r w:rsidR="002012B3" w:rsidRPr="00712B16">
        <w:rPr>
          <w:rFonts w:ascii="Times New Roman" w:eastAsia="Times New Roman" w:hAnsi="Times New Roman" w:cs="Times New Roman"/>
          <w:sz w:val="24"/>
          <w:szCs w:val="24"/>
        </w:rPr>
        <w:t xml:space="preserve"> is based on the underlying assumption that a stronger commitment </w:t>
      </w:r>
      <w:r w:rsidR="00C22D58" w:rsidRPr="00712B16">
        <w:rPr>
          <w:rFonts w:ascii="Times New Roman" w:eastAsia="Times New Roman" w:hAnsi="Times New Roman" w:cs="Times New Roman"/>
          <w:sz w:val="24"/>
          <w:szCs w:val="24"/>
        </w:rPr>
        <w:t xml:space="preserve">increases exponentially with </w:t>
      </w:r>
      <w:r w:rsidR="00C22D58" w:rsidRPr="00712B16">
        <w:rPr>
          <w:rFonts w:ascii="Times New Roman" w:eastAsia="Times New Roman" w:hAnsi="Times New Roman" w:cs="Times New Roman"/>
          <w:sz w:val="24"/>
          <w:szCs w:val="24"/>
        </w:rPr>
        <w:lastRenderedPageBreak/>
        <w:t xml:space="preserve">a different level of intensity. To the extent that this measure appropriately captures the incremental effect of the intensity of net zero commitment, we acknowledge the inherent arbitrary nature of this proxy. In this regard, we model our intensity variable </w:t>
      </w:r>
      <w:r w:rsidR="00C22D58" w:rsidRPr="00712B16">
        <w:rPr>
          <w:rFonts w:ascii="Times New Roman" w:eastAsia="Times New Roman" w:hAnsi="Times New Roman" w:cs="Times New Roman"/>
          <w:sz w:val="24"/>
          <w:szCs w:val="24"/>
          <w:lang w:val="en-AU"/>
        </w:rPr>
        <w:t xml:space="preserve">in </w:t>
      </w:r>
      <w:r w:rsidR="007A773F" w:rsidRPr="00712B16">
        <w:rPr>
          <w:rFonts w:ascii="Times New Roman" w:eastAsia="Times New Roman" w:hAnsi="Times New Roman" w:cs="Times New Roman"/>
          <w:sz w:val="24"/>
          <w:szCs w:val="24"/>
          <w:lang w:val="en-AU"/>
        </w:rPr>
        <w:t xml:space="preserve">a </w:t>
      </w:r>
      <w:r w:rsidR="00C22D58" w:rsidRPr="00712B16">
        <w:rPr>
          <w:rFonts w:ascii="Times New Roman" w:eastAsia="Times New Roman" w:hAnsi="Times New Roman" w:cs="Times New Roman"/>
          <w:sz w:val="24"/>
          <w:szCs w:val="24"/>
          <w:lang w:val="en-AU"/>
        </w:rPr>
        <w:t xml:space="preserve">similar spirit to studies that model the convex effects of environmental policy stringency (e.g., </w:t>
      </w:r>
      <w:proofErr w:type="spellStart"/>
      <w:r w:rsidR="00C22D58" w:rsidRPr="00712B16">
        <w:rPr>
          <w:rFonts w:ascii="Times New Roman" w:eastAsia="Times New Roman" w:hAnsi="Times New Roman" w:cs="Times New Roman"/>
          <w:sz w:val="24"/>
          <w:szCs w:val="24"/>
          <w:lang w:val="en-AU"/>
        </w:rPr>
        <w:t>Kalamova</w:t>
      </w:r>
      <w:proofErr w:type="spellEnd"/>
      <w:r w:rsidR="00C22D58" w:rsidRPr="00712B16">
        <w:rPr>
          <w:rFonts w:ascii="Times New Roman" w:eastAsia="Times New Roman" w:hAnsi="Times New Roman" w:cs="Times New Roman"/>
          <w:sz w:val="24"/>
          <w:szCs w:val="24"/>
          <w:lang w:val="en-AU"/>
        </w:rPr>
        <w:t xml:space="preserve"> &amp; Johnstone, 2012; Wolde-Rufael &amp; Mulat-</w:t>
      </w:r>
      <w:proofErr w:type="spellStart"/>
      <w:r w:rsidR="00C22D58" w:rsidRPr="00712B16">
        <w:rPr>
          <w:rFonts w:ascii="Times New Roman" w:eastAsia="Times New Roman" w:hAnsi="Times New Roman" w:cs="Times New Roman"/>
          <w:sz w:val="24"/>
          <w:szCs w:val="24"/>
          <w:lang w:val="en-AU"/>
        </w:rPr>
        <w:t>Weldemeskel</w:t>
      </w:r>
      <w:proofErr w:type="spellEnd"/>
      <w:r w:rsidR="00C22D58" w:rsidRPr="00712B16">
        <w:rPr>
          <w:rFonts w:ascii="Times New Roman" w:eastAsia="Times New Roman" w:hAnsi="Times New Roman" w:cs="Times New Roman"/>
          <w:sz w:val="24"/>
          <w:szCs w:val="24"/>
          <w:lang w:val="en-AU"/>
        </w:rPr>
        <w:t xml:space="preserve">, 2021). In addition, the results of our additional tests indicate that </w:t>
      </w:r>
      <w:r w:rsidR="00C22D58" w:rsidRPr="00712B16">
        <w:rPr>
          <w:rFonts w:ascii="Times New Roman" w:eastAsia="Times New Roman" w:hAnsi="Times New Roman" w:cs="Times New Roman"/>
          <w:bCs/>
          <w:iCs/>
          <w:sz w:val="24"/>
          <w:szCs w:val="24"/>
        </w:rPr>
        <w:t>our findings are less likely to be driven by the arbitrary definition of the intensity of net zero commitment.</w:t>
      </w:r>
    </w:p>
    <w:p w14:paraId="2CADE6CB" w14:textId="50F0521C" w:rsidR="00C22D58" w:rsidRPr="00712B16" w:rsidRDefault="00C22D58" w:rsidP="0050577B">
      <w:pPr>
        <w:spacing w:after="0" w:line="480" w:lineRule="auto"/>
        <w:ind w:firstLine="567"/>
        <w:jc w:val="both"/>
        <w:rPr>
          <w:rFonts w:ascii="Times New Roman" w:hAnsi="Times New Roman" w:cs="Times New Roman"/>
          <w:sz w:val="24"/>
          <w:szCs w:val="24"/>
        </w:rPr>
      </w:pPr>
      <w:r w:rsidRPr="00712B16">
        <w:rPr>
          <w:rFonts w:ascii="Times New Roman" w:eastAsia="Times New Roman" w:hAnsi="Times New Roman" w:cs="Times New Roman"/>
          <w:bCs/>
          <w:iCs/>
          <w:sz w:val="24"/>
          <w:szCs w:val="24"/>
        </w:rPr>
        <w:t>Second,</w:t>
      </w:r>
      <w:r w:rsidR="009B1805" w:rsidRPr="00712B16">
        <w:rPr>
          <w:rFonts w:ascii="Times New Roman" w:eastAsia="Times New Roman" w:hAnsi="Times New Roman" w:cs="Times New Roman"/>
          <w:bCs/>
          <w:iCs/>
          <w:sz w:val="24"/>
          <w:szCs w:val="24"/>
        </w:rPr>
        <w:t xml:space="preserve"> our study is subject to data-availability constraint</w:t>
      </w:r>
      <w:r w:rsidR="00F56007" w:rsidRPr="00712B16">
        <w:rPr>
          <w:rFonts w:ascii="Times New Roman" w:eastAsia="Times New Roman" w:hAnsi="Times New Roman" w:cs="Times New Roman"/>
          <w:bCs/>
          <w:iCs/>
          <w:sz w:val="24"/>
          <w:szCs w:val="24"/>
        </w:rPr>
        <w:t>s</w:t>
      </w:r>
      <w:r w:rsidR="009B1805" w:rsidRPr="00712B16">
        <w:rPr>
          <w:rFonts w:ascii="Times New Roman" w:eastAsia="Times New Roman" w:hAnsi="Times New Roman" w:cs="Times New Roman"/>
          <w:bCs/>
          <w:iCs/>
          <w:sz w:val="24"/>
          <w:szCs w:val="24"/>
        </w:rPr>
        <w:t xml:space="preserve"> related to our CSR performance variable</w:t>
      </w:r>
      <w:r w:rsidR="00A05D19" w:rsidRPr="00712B16">
        <w:rPr>
          <w:rFonts w:ascii="Times New Roman" w:eastAsia="Times New Roman" w:hAnsi="Times New Roman" w:cs="Times New Roman"/>
          <w:bCs/>
          <w:iCs/>
          <w:sz w:val="24"/>
          <w:szCs w:val="24"/>
        </w:rPr>
        <w:t>, which</w:t>
      </w:r>
      <w:r w:rsidR="009B1805" w:rsidRPr="00712B16">
        <w:rPr>
          <w:rFonts w:ascii="Times New Roman" w:eastAsia="Times New Roman" w:hAnsi="Times New Roman" w:cs="Times New Roman"/>
          <w:bCs/>
          <w:iCs/>
          <w:sz w:val="24"/>
          <w:szCs w:val="24"/>
        </w:rPr>
        <w:t xml:space="preserve"> results in a substantial reduction in our sample for the test of our second hypothesis. We acknowledge that this limitation may have implications for the generalizability of our findings. </w:t>
      </w:r>
      <w:r w:rsidR="00F61C6D" w:rsidRPr="00712B16">
        <w:rPr>
          <w:rFonts w:ascii="Times New Roman" w:eastAsia="Times New Roman" w:hAnsi="Times New Roman" w:cs="Times New Roman"/>
          <w:bCs/>
          <w:iCs/>
          <w:sz w:val="24"/>
          <w:szCs w:val="24"/>
        </w:rPr>
        <w:t>Specifically, o</w:t>
      </w:r>
      <w:r w:rsidR="009B1805" w:rsidRPr="00712B16">
        <w:rPr>
          <w:rFonts w:ascii="Times New Roman" w:eastAsia="Times New Roman" w:hAnsi="Times New Roman" w:cs="Times New Roman"/>
          <w:bCs/>
          <w:iCs/>
          <w:sz w:val="24"/>
          <w:szCs w:val="24"/>
        </w:rPr>
        <w:t xml:space="preserve">ur results </w:t>
      </w:r>
      <w:r w:rsidR="00F61C6D" w:rsidRPr="00712B16">
        <w:rPr>
          <w:rFonts w:ascii="Times New Roman" w:eastAsia="Times New Roman" w:hAnsi="Times New Roman" w:cs="Times New Roman"/>
          <w:bCs/>
          <w:iCs/>
          <w:sz w:val="24"/>
          <w:szCs w:val="24"/>
        </w:rPr>
        <w:t>should be</w:t>
      </w:r>
      <w:r w:rsidR="009B1805" w:rsidRPr="00712B16">
        <w:rPr>
          <w:rFonts w:ascii="Times New Roman" w:eastAsia="Times New Roman" w:hAnsi="Times New Roman" w:cs="Times New Roman"/>
          <w:bCs/>
          <w:iCs/>
          <w:sz w:val="24"/>
          <w:szCs w:val="24"/>
        </w:rPr>
        <w:t xml:space="preserve"> relevant in research settings that focus on large global firms </w:t>
      </w:r>
      <w:r w:rsidR="00A05D19" w:rsidRPr="00712B16">
        <w:rPr>
          <w:rFonts w:ascii="Times New Roman" w:eastAsia="Times New Roman" w:hAnsi="Times New Roman" w:cs="Times New Roman"/>
          <w:bCs/>
          <w:iCs/>
          <w:sz w:val="24"/>
          <w:szCs w:val="24"/>
        </w:rPr>
        <w:t xml:space="preserve">that </w:t>
      </w:r>
      <w:r w:rsidR="009B1805" w:rsidRPr="00712B16">
        <w:rPr>
          <w:rFonts w:ascii="Times New Roman" w:eastAsia="Times New Roman" w:hAnsi="Times New Roman" w:cs="Times New Roman"/>
          <w:bCs/>
          <w:iCs/>
          <w:sz w:val="24"/>
          <w:szCs w:val="24"/>
        </w:rPr>
        <w:t xml:space="preserve">are likely to be covered by </w:t>
      </w:r>
      <w:r w:rsidR="00F61C6D" w:rsidRPr="00712B16">
        <w:rPr>
          <w:rFonts w:ascii="Times New Roman" w:eastAsia="Times New Roman" w:hAnsi="Times New Roman" w:cs="Times New Roman"/>
          <w:bCs/>
          <w:iCs/>
          <w:sz w:val="24"/>
          <w:szCs w:val="24"/>
        </w:rPr>
        <w:t xml:space="preserve">the </w:t>
      </w:r>
      <w:r w:rsidR="009B1805" w:rsidRPr="00712B16">
        <w:rPr>
          <w:rFonts w:ascii="Times New Roman" w:eastAsia="Times New Roman" w:hAnsi="Times New Roman" w:cs="Times New Roman"/>
          <w:bCs/>
          <w:iCs/>
          <w:sz w:val="24"/>
          <w:szCs w:val="24"/>
        </w:rPr>
        <w:t>Refinitiv database.</w:t>
      </w:r>
    </w:p>
    <w:p w14:paraId="7CA23466" w14:textId="5EF6273F" w:rsidR="009B1805" w:rsidRPr="00712B16" w:rsidRDefault="00E40565" w:rsidP="00F61C6D">
      <w:pPr>
        <w:spacing w:after="0" w:line="480" w:lineRule="auto"/>
        <w:ind w:firstLine="567"/>
        <w:jc w:val="both"/>
        <w:rPr>
          <w:rFonts w:ascii="Times New Roman" w:hAnsi="Times New Roman" w:cs="Times New Roman"/>
          <w:sz w:val="24"/>
          <w:szCs w:val="24"/>
          <w:lang w:val="en-NZ"/>
        </w:rPr>
      </w:pPr>
      <w:r w:rsidRPr="00712B16">
        <w:rPr>
          <w:rFonts w:ascii="Times New Roman" w:hAnsi="Times New Roman" w:cs="Times New Roman"/>
          <w:sz w:val="24"/>
          <w:szCs w:val="24"/>
        </w:rPr>
        <w:t xml:space="preserve">The findings of our </w:t>
      </w:r>
      <w:r w:rsidR="00256121" w:rsidRPr="00712B16">
        <w:rPr>
          <w:rFonts w:ascii="Times New Roman" w:hAnsi="Times New Roman" w:cs="Times New Roman"/>
          <w:sz w:val="24"/>
          <w:szCs w:val="24"/>
        </w:rPr>
        <w:t xml:space="preserve">study </w:t>
      </w:r>
      <w:r w:rsidR="00172744" w:rsidRPr="00712B16">
        <w:rPr>
          <w:rFonts w:ascii="Times New Roman" w:hAnsi="Times New Roman" w:cs="Times New Roman"/>
          <w:sz w:val="24"/>
          <w:szCs w:val="24"/>
        </w:rPr>
        <w:t xml:space="preserve">have </w:t>
      </w:r>
      <w:bookmarkStart w:id="59" w:name="_Hlk215129150"/>
      <w:r w:rsidR="000E1F07" w:rsidRPr="00712B16">
        <w:rPr>
          <w:rFonts w:ascii="Times New Roman" w:hAnsi="Times New Roman" w:cs="Times New Roman"/>
          <w:sz w:val="24"/>
          <w:szCs w:val="24"/>
        </w:rPr>
        <w:t xml:space="preserve">important </w:t>
      </w:r>
      <w:r w:rsidR="00256121" w:rsidRPr="00712B16">
        <w:rPr>
          <w:rFonts w:ascii="Times New Roman" w:hAnsi="Times New Roman" w:cs="Times New Roman"/>
          <w:sz w:val="24"/>
          <w:szCs w:val="24"/>
        </w:rPr>
        <w:t>implications for firms, regulators</w:t>
      </w:r>
      <w:r w:rsidR="00D630BF" w:rsidRPr="00712B16">
        <w:rPr>
          <w:rFonts w:ascii="Times New Roman" w:hAnsi="Times New Roman" w:cs="Times New Roman"/>
          <w:sz w:val="24"/>
          <w:szCs w:val="24"/>
        </w:rPr>
        <w:t>,</w:t>
      </w:r>
      <w:r w:rsidR="00256121" w:rsidRPr="00712B16">
        <w:rPr>
          <w:rFonts w:ascii="Times New Roman" w:hAnsi="Times New Roman" w:cs="Times New Roman"/>
          <w:sz w:val="24"/>
          <w:szCs w:val="24"/>
        </w:rPr>
        <w:t xml:space="preserve"> and investors</w:t>
      </w:r>
      <w:bookmarkEnd w:id="59"/>
      <w:r w:rsidR="00256121" w:rsidRPr="00712B16">
        <w:rPr>
          <w:rFonts w:ascii="Times New Roman" w:hAnsi="Times New Roman" w:cs="Times New Roman"/>
          <w:sz w:val="24"/>
          <w:szCs w:val="24"/>
        </w:rPr>
        <w:t xml:space="preserve">. </w:t>
      </w:r>
      <w:r w:rsidR="009B1805" w:rsidRPr="00712B16">
        <w:rPr>
          <w:rFonts w:ascii="Times New Roman" w:hAnsi="Times New Roman" w:cs="Times New Roman"/>
          <w:sz w:val="24"/>
          <w:szCs w:val="24"/>
          <w:lang w:val="en-NZ"/>
        </w:rPr>
        <w:t>First, we show an unintended consequence of net</w:t>
      </w:r>
      <w:r w:rsidR="00045300" w:rsidRPr="00712B16">
        <w:rPr>
          <w:rFonts w:ascii="Times New Roman" w:hAnsi="Times New Roman" w:cs="Times New Roman"/>
          <w:sz w:val="24"/>
          <w:szCs w:val="24"/>
          <w:lang w:val="en-NZ"/>
        </w:rPr>
        <w:t xml:space="preserve"> </w:t>
      </w:r>
      <w:r w:rsidR="009B1805" w:rsidRPr="00712B16">
        <w:rPr>
          <w:rFonts w:ascii="Times New Roman" w:hAnsi="Times New Roman" w:cs="Times New Roman"/>
          <w:sz w:val="24"/>
          <w:szCs w:val="24"/>
          <w:lang w:val="en-NZ"/>
        </w:rPr>
        <w:t xml:space="preserve">zero commitments: while these commitments are designed to accelerate the low-carbon transition, they can also increase managers’ incentives to engage in </w:t>
      </w:r>
      <w:r w:rsidR="00BB0DCE" w:rsidRPr="00712B16">
        <w:rPr>
          <w:rFonts w:ascii="Times New Roman" w:hAnsi="Times New Roman" w:cs="Times New Roman"/>
          <w:sz w:val="24"/>
          <w:szCs w:val="24"/>
          <w:lang w:val="en-NZ"/>
        </w:rPr>
        <w:t>REM</w:t>
      </w:r>
      <w:r w:rsidR="009B1805" w:rsidRPr="00712B16">
        <w:rPr>
          <w:rFonts w:ascii="Times New Roman" w:hAnsi="Times New Roman" w:cs="Times New Roman"/>
          <w:sz w:val="24"/>
          <w:szCs w:val="24"/>
          <w:lang w:val="en-NZ"/>
        </w:rPr>
        <w:t>, potentially distorting operating decisions and masking the true economic cost of transition. This suggests that regulators and standard setters designing net</w:t>
      </w:r>
      <w:r w:rsidR="00045300" w:rsidRPr="00712B16">
        <w:rPr>
          <w:rFonts w:ascii="Times New Roman" w:hAnsi="Times New Roman" w:cs="Times New Roman"/>
          <w:sz w:val="24"/>
          <w:szCs w:val="24"/>
          <w:lang w:val="en-NZ"/>
        </w:rPr>
        <w:t xml:space="preserve"> </w:t>
      </w:r>
      <w:r w:rsidR="009B1805" w:rsidRPr="00712B16">
        <w:rPr>
          <w:rFonts w:ascii="Times New Roman" w:hAnsi="Times New Roman" w:cs="Times New Roman"/>
          <w:sz w:val="24"/>
          <w:szCs w:val="24"/>
          <w:lang w:val="en-NZ"/>
        </w:rPr>
        <w:t>zero frameworks may need to consider complementary safeguards for financial reporting quality (e.g., enhanced disclosure or assurance around major operating adjustments during the transition period). Second, boards, audit committees, and auditors should recognise that the period surrounding net</w:t>
      </w:r>
      <w:r w:rsidR="00045300" w:rsidRPr="00712B16">
        <w:rPr>
          <w:rFonts w:ascii="Times New Roman" w:hAnsi="Times New Roman" w:cs="Times New Roman"/>
          <w:sz w:val="24"/>
          <w:szCs w:val="24"/>
          <w:lang w:val="en-NZ"/>
        </w:rPr>
        <w:t xml:space="preserve"> </w:t>
      </w:r>
      <w:r w:rsidR="009B1805" w:rsidRPr="00712B16">
        <w:rPr>
          <w:rFonts w:ascii="Times New Roman" w:hAnsi="Times New Roman" w:cs="Times New Roman"/>
          <w:sz w:val="24"/>
          <w:szCs w:val="24"/>
          <w:lang w:val="en-NZ"/>
        </w:rPr>
        <w:t>zero commitments is one of elevated REM risk and adjust their monitoring and audit procedures accordingly. Third, investors and other users of financial statements may need to interpret short-term performance metrics with caution in the wake of net</w:t>
      </w:r>
      <w:r w:rsidR="00045300" w:rsidRPr="00712B16">
        <w:rPr>
          <w:rFonts w:ascii="Times New Roman" w:hAnsi="Times New Roman" w:cs="Times New Roman"/>
          <w:sz w:val="24"/>
          <w:szCs w:val="24"/>
          <w:lang w:val="en-NZ"/>
        </w:rPr>
        <w:t xml:space="preserve"> </w:t>
      </w:r>
      <w:r w:rsidR="009B1805" w:rsidRPr="00712B16">
        <w:rPr>
          <w:rFonts w:ascii="Times New Roman" w:hAnsi="Times New Roman" w:cs="Times New Roman"/>
          <w:sz w:val="24"/>
          <w:szCs w:val="24"/>
          <w:lang w:val="en-NZ"/>
        </w:rPr>
        <w:t xml:space="preserve">zero </w:t>
      </w:r>
      <w:r w:rsidR="009B1805" w:rsidRPr="00712B16">
        <w:rPr>
          <w:rFonts w:ascii="Times New Roman" w:hAnsi="Times New Roman" w:cs="Times New Roman"/>
          <w:sz w:val="24"/>
          <w:szCs w:val="24"/>
          <w:lang w:val="en-NZ"/>
        </w:rPr>
        <w:lastRenderedPageBreak/>
        <w:t>commitments, as reported earnings may partly reflect real activities manipulation rather than underlying performance.</w:t>
      </w:r>
    </w:p>
    <w:p w14:paraId="7608633B" w14:textId="41C3FD60" w:rsidR="009B1805" w:rsidRPr="00712B16" w:rsidRDefault="009B1805" w:rsidP="009B1805">
      <w:pPr>
        <w:spacing w:after="0" w:line="480" w:lineRule="auto"/>
        <w:ind w:firstLine="567"/>
        <w:jc w:val="both"/>
        <w:rPr>
          <w:rFonts w:ascii="Times New Roman" w:hAnsi="Times New Roman" w:cs="Times New Roman"/>
          <w:sz w:val="24"/>
          <w:szCs w:val="24"/>
        </w:rPr>
      </w:pPr>
      <w:bookmarkStart w:id="60" w:name="_Hlk215129290"/>
      <w:r w:rsidRPr="00712B16">
        <w:rPr>
          <w:rFonts w:ascii="Times New Roman" w:hAnsi="Times New Roman" w:cs="Times New Roman"/>
          <w:sz w:val="24"/>
          <w:szCs w:val="24"/>
          <w:lang w:val="en-NZ"/>
        </w:rPr>
        <w:t>Our study also provides several</w:t>
      </w:r>
      <w:r w:rsidRPr="00712B16">
        <w:rPr>
          <w:rFonts w:ascii="Times New Roman" w:hAnsi="Times New Roman" w:cs="Times New Roman"/>
          <w:sz w:val="24"/>
          <w:szCs w:val="24"/>
          <w:lang w:val="en-AU"/>
        </w:rPr>
        <w:t xml:space="preserve"> interesting</w:t>
      </w:r>
      <w:r w:rsidRPr="00712B16">
        <w:rPr>
          <w:rFonts w:ascii="Times New Roman" w:hAnsi="Times New Roman" w:cs="Times New Roman"/>
          <w:sz w:val="24"/>
          <w:szCs w:val="24"/>
          <w:lang w:val="en-NZ"/>
        </w:rPr>
        <w:t xml:space="preserve"> avenues for further research.</w:t>
      </w:r>
      <w:r w:rsidR="00F61C6D" w:rsidRPr="00712B16">
        <w:rPr>
          <w:rFonts w:ascii="Times New Roman" w:hAnsi="Times New Roman" w:cs="Times New Roman"/>
          <w:sz w:val="24"/>
          <w:szCs w:val="24"/>
          <w:lang w:val="en-NZ"/>
        </w:rPr>
        <w:t xml:space="preserve"> For example, </w:t>
      </w:r>
      <w:r w:rsidR="00F61C6D" w:rsidRPr="00712B16">
        <w:rPr>
          <w:rFonts w:ascii="Times New Roman" w:hAnsi="Times New Roman" w:cs="Times New Roman"/>
          <w:sz w:val="24"/>
          <w:szCs w:val="24"/>
        </w:rPr>
        <w:t>future studies could examine the impact of subsequent changes in government policies related to the net zero targets and the possible challenges for firms in meeting these targets.</w:t>
      </w:r>
      <w:r w:rsidR="00F61C6D" w:rsidRPr="00712B16">
        <w:rPr>
          <w:rFonts w:ascii="Times New Roman" w:hAnsi="Times New Roman" w:cs="Times New Roman"/>
          <w:sz w:val="24"/>
          <w:szCs w:val="24"/>
          <w:lang w:val="en-NZ"/>
        </w:rPr>
        <w:t xml:space="preserve"> In addition, f</w:t>
      </w:r>
      <w:r w:rsidRPr="00712B16">
        <w:rPr>
          <w:rFonts w:ascii="Times New Roman" w:hAnsi="Times New Roman" w:cs="Times New Roman"/>
          <w:sz w:val="24"/>
          <w:szCs w:val="24"/>
          <w:lang w:val="en-NZ"/>
        </w:rPr>
        <w:t>uture work could examine which specific real activities (e.g., R&amp;D, advertising, production) are most affected by net</w:t>
      </w:r>
      <w:r w:rsidR="00045300" w:rsidRPr="00712B16">
        <w:rPr>
          <w:rFonts w:ascii="Times New Roman" w:hAnsi="Times New Roman" w:cs="Times New Roman"/>
          <w:sz w:val="24"/>
          <w:szCs w:val="24"/>
          <w:lang w:val="en-NZ"/>
        </w:rPr>
        <w:t xml:space="preserve"> </w:t>
      </w:r>
      <w:r w:rsidRPr="00712B16">
        <w:rPr>
          <w:rFonts w:ascii="Times New Roman" w:hAnsi="Times New Roman" w:cs="Times New Roman"/>
          <w:sz w:val="24"/>
          <w:szCs w:val="24"/>
          <w:lang w:val="en-NZ"/>
        </w:rPr>
        <w:t>zero commitments, and whether particular institutional features</w:t>
      </w:r>
      <w:r w:rsidRPr="00712B16">
        <w:rPr>
          <w:rFonts w:ascii="Times New Roman" w:hAnsi="Times New Roman" w:cs="Times New Roman"/>
          <w:sz w:val="24"/>
          <w:szCs w:val="24"/>
          <w:lang w:val="en-AU"/>
        </w:rPr>
        <w:t xml:space="preserve"> </w:t>
      </w:r>
      <w:r w:rsidRPr="00712B16">
        <w:rPr>
          <w:rFonts w:ascii="Times New Roman" w:hAnsi="Times New Roman" w:cs="Times New Roman"/>
          <w:sz w:val="24"/>
          <w:szCs w:val="24"/>
          <w:lang w:val="en-NZ"/>
        </w:rPr>
        <w:t>such as enforcement strength, climate disclosure regimes, or executive compensation structures</w:t>
      </w:r>
      <w:r w:rsidRPr="00712B16">
        <w:rPr>
          <w:rFonts w:ascii="Times New Roman" w:hAnsi="Times New Roman" w:cs="Times New Roman"/>
          <w:sz w:val="24"/>
          <w:szCs w:val="24"/>
          <w:lang w:val="en-AU"/>
        </w:rPr>
        <w:t xml:space="preserve"> </w:t>
      </w:r>
      <w:r w:rsidRPr="00712B16">
        <w:rPr>
          <w:rFonts w:ascii="Times New Roman" w:hAnsi="Times New Roman" w:cs="Times New Roman"/>
          <w:sz w:val="24"/>
          <w:szCs w:val="24"/>
          <w:lang w:val="en-NZ"/>
        </w:rPr>
        <w:t>mitigate or exacerbate the REM response. More broadly, our setting offers a laboratory for studying how major societal or regulatory commitments interact with firms’ operating decisions and reporting quality.</w:t>
      </w:r>
      <w:bookmarkEnd w:id="60"/>
    </w:p>
    <w:p w14:paraId="3423820F" w14:textId="078160BC" w:rsidR="00F4274E" w:rsidRPr="00712B16" w:rsidRDefault="00F4274E">
      <w:pPr>
        <w:spacing w:after="0" w:line="240" w:lineRule="auto"/>
        <w:rPr>
          <w:rFonts w:ascii="Times New Roman" w:hAnsi="Times New Roman" w:cs="Times New Roman"/>
          <w:sz w:val="24"/>
          <w:szCs w:val="24"/>
        </w:rPr>
      </w:pPr>
      <w:r w:rsidRPr="00712B16">
        <w:rPr>
          <w:rFonts w:ascii="Times New Roman" w:hAnsi="Times New Roman" w:cs="Times New Roman"/>
          <w:sz w:val="24"/>
          <w:szCs w:val="24"/>
        </w:rPr>
        <w:br w:type="page"/>
      </w:r>
    </w:p>
    <w:p w14:paraId="06B2529C" w14:textId="77777777" w:rsidR="005C3A8A" w:rsidRPr="00712B16" w:rsidRDefault="005C3A8A" w:rsidP="005C3A8A">
      <w:pPr>
        <w:keepNext/>
        <w:keepLines/>
        <w:tabs>
          <w:tab w:val="left" w:pos="2094"/>
        </w:tabs>
        <w:spacing w:before="240" w:after="0"/>
        <w:jc w:val="both"/>
        <w:outlineLvl w:val="0"/>
        <w:rPr>
          <w:rFonts w:ascii="Times New Roman" w:eastAsiaTheme="majorEastAsia" w:hAnsi="Times New Roman" w:cs="Times New Roman"/>
          <w:b/>
          <w:sz w:val="24"/>
          <w:szCs w:val="24"/>
        </w:rPr>
      </w:pPr>
      <w:bookmarkStart w:id="61" w:name="_Toc118466076"/>
      <w:bookmarkStart w:id="62" w:name="_Toc116930928"/>
      <w:bookmarkStart w:id="63" w:name="_Hlk118978168"/>
      <w:bookmarkStart w:id="64" w:name="_Hlk119337556"/>
      <w:bookmarkStart w:id="65" w:name="_Toc118466077"/>
      <w:r w:rsidRPr="00712B16">
        <w:rPr>
          <w:rFonts w:ascii="Times New Roman" w:eastAsiaTheme="majorEastAsia" w:hAnsi="Times New Roman" w:cs="Times New Roman"/>
          <w:b/>
          <w:sz w:val="24"/>
          <w:szCs w:val="24"/>
        </w:rPr>
        <w:lastRenderedPageBreak/>
        <w:t>References</w:t>
      </w:r>
      <w:bookmarkEnd w:id="61"/>
      <w:bookmarkEnd w:id="62"/>
      <w:r w:rsidRPr="00712B16">
        <w:rPr>
          <w:rFonts w:ascii="Times New Roman" w:eastAsiaTheme="majorEastAsia" w:hAnsi="Times New Roman" w:cs="Times New Roman"/>
          <w:b/>
          <w:sz w:val="24"/>
          <w:szCs w:val="24"/>
        </w:rPr>
        <w:tab/>
      </w:r>
    </w:p>
    <w:bookmarkEnd w:id="63"/>
    <w:bookmarkEnd w:id="64"/>
    <w:p w14:paraId="0217ED10" w14:textId="77777777" w:rsidR="005C3A8A" w:rsidRPr="00712B16" w:rsidRDefault="005C3A8A" w:rsidP="005C3A8A">
      <w:pPr>
        <w:spacing w:after="0" w:line="240" w:lineRule="auto"/>
        <w:ind w:left="720" w:hanging="720"/>
        <w:jc w:val="both"/>
        <w:rPr>
          <w:rFonts w:ascii="Times New Roman" w:hAnsi="Times New Roman" w:cs="Times New Roman"/>
          <w:sz w:val="24"/>
          <w:szCs w:val="24"/>
        </w:rPr>
      </w:pPr>
      <w:r w:rsidRPr="00712B16">
        <w:rPr>
          <w:rFonts w:ascii="Times New Roman" w:hAnsi="Times New Roman" w:cs="Times New Roman"/>
          <w:sz w:val="24"/>
          <w:szCs w:val="24"/>
        </w:rPr>
        <w:t xml:space="preserve">Achleitner, A. K., Gunther, N., </w:t>
      </w:r>
      <w:proofErr w:type="spellStart"/>
      <w:r w:rsidRPr="00712B16">
        <w:rPr>
          <w:rFonts w:ascii="Times New Roman" w:hAnsi="Times New Roman" w:cs="Times New Roman"/>
          <w:sz w:val="24"/>
          <w:szCs w:val="24"/>
        </w:rPr>
        <w:t>Kaserer</w:t>
      </w:r>
      <w:proofErr w:type="spellEnd"/>
      <w:r w:rsidRPr="00712B16">
        <w:rPr>
          <w:rFonts w:ascii="Times New Roman" w:hAnsi="Times New Roman" w:cs="Times New Roman"/>
          <w:sz w:val="24"/>
          <w:szCs w:val="24"/>
        </w:rPr>
        <w:t xml:space="preserve">, C., &amp; Siciliano, G. (2014). Real earnings management and accrual-based earnings management in family firms. </w:t>
      </w:r>
      <w:r w:rsidRPr="00712B16">
        <w:rPr>
          <w:rFonts w:ascii="Times New Roman" w:hAnsi="Times New Roman" w:cs="Times New Roman"/>
          <w:i/>
          <w:sz w:val="24"/>
          <w:szCs w:val="24"/>
        </w:rPr>
        <w:t>European Accounting Review</w:t>
      </w:r>
      <w:r w:rsidRPr="00712B16">
        <w:rPr>
          <w:rFonts w:ascii="Times New Roman" w:hAnsi="Times New Roman" w:cs="Times New Roman"/>
          <w:sz w:val="24"/>
          <w:szCs w:val="24"/>
        </w:rPr>
        <w:t xml:space="preserve">, </w:t>
      </w:r>
      <w:r w:rsidRPr="00712B16">
        <w:rPr>
          <w:rFonts w:ascii="Times New Roman" w:hAnsi="Times New Roman" w:cs="Times New Roman"/>
          <w:i/>
          <w:sz w:val="24"/>
          <w:szCs w:val="24"/>
        </w:rPr>
        <w:t>23</w:t>
      </w:r>
      <w:r w:rsidRPr="00712B16">
        <w:rPr>
          <w:rFonts w:ascii="Times New Roman" w:hAnsi="Times New Roman" w:cs="Times New Roman"/>
          <w:sz w:val="24"/>
          <w:szCs w:val="24"/>
        </w:rPr>
        <w:t>(3), 431-461.</w:t>
      </w:r>
    </w:p>
    <w:p w14:paraId="6AEE2FBD" w14:textId="77777777" w:rsidR="005C3A8A" w:rsidRPr="00712B16" w:rsidRDefault="005C3A8A" w:rsidP="005C3A8A">
      <w:pPr>
        <w:spacing w:after="0" w:line="240" w:lineRule="auto"/>
        <w:ind w:left="709" w:hanging="709"/>
        <w:jc w:val="both"/>
        <w:rPr>
          <w:rFonts w:ascii="Times New Roman" w:hAnsi="Times New Roman" w:cs="Times New Roman"/>
          <w:iCs/>
          <w:sz w:val="24"/>
          <w:szCs w:val="24"/>
          <w:shd w:val="clear" w:color="auto" w:fill="FFFFFF"/>
        </w:rPr>
      </w:pPr>
      <w:r w:rsidRPr="00712B16">
        <w:rPr>
          <w:rFonts w:ascii="Times New Roman" w:hAnsi="Times New Roman" w:cs="Times New Roman"/>
          <w:sz w:val="24"/>
          <w:szCs w:val="24"/>
          <w:shd w:val="clear" w:color="auto" w:fill="FFFFFF"/>
          <w:lang w:val="en-GB"/>
        </w:rPr>
        <w:t>Ahmed, A. S., Duellman, S., &amp; Grady, M. (2022). Political connections and the trade</w:t>
      </w:r>
      <w:r w:rsidRPr="00712B16">
        <w:rPr>
          <w:rFonts w:ascii="Times New Roman" w:hAnsi="Times New Roman" w:cs="Times New Roman" w:hint="eastAsia"/>
          <w:sz w:val="24"/>
          <w:szCs w:val="24"/>
          <w:shd w:val="clear" w:color="auto" w:fill="FFFFFF"/>
          <w:lang w:val="en-GB"/>
        </w:rPr>
        <w:t>‐</w:t>
      </w:r>
      <w:r w:rsidRPr="00712B16">
        <w:rPr>
          <w:rFonts w:ascii="Times New Roman" w:hAnsi="Times New Roman" w:cs="Times New Roman"/>
          <w:sz w:val="24"/>
          <w:szCs w:val="24"/>
          <w:shd w:val="clear" w:color="auto" w:fill="FFFFFF"/>
          <w:lang w:val="en-GB"/>
        </w:rPr>
        <w:t>off between real and accrual</w:t>
      </w:r>
      <w:r w:rsidRPr="00712B16">
        <w:rPr>
          <w:rFonts w:ascii="Times New Roman" w:hAnsi="Times New Roman" w:cs="Times New Roman" w:hint="eastAsia"/>
          <w:sz w:val="24"/>
          <w:szCs w:val="24"/>
          <w:shd w:val="clear" w:color="auto" w:fill="FFFFFF"/>
          <w:lang w:val="en-GB"/>
        </w:rPr>
        <w:t>‐</w:t>
      </w:r>
      <w:r w:rsidRPr="00712B16">
        <w:rPr>
          <w:rFonts w:ascii="Times New Roman" w:hAnsi="Times New Roman" w:cs="Times New Roman"/>
          <w:sz w:val="24"/>
          <w:szCs w:val="24"/>
          <w:shd w:val="clear" w:color="auto" w:fill="FFFFFF"/>
          <w:lang w:val="en-GB"/>
        </w:rPr>
        <w:t>based earnings management. </w:t>
      </w:r>
      <w:r w:rsidRPr="00712B16">
        <w:rPr>
          <w:rFonts w:ascii="Times New Roman" w:hAnsi="Times New Roman" w:cs="Times New Roman"/>
          <w:i/>
          <w:iCs/>
          <w:sz w:val="24"/>
          <w:szCs w:val="24"/>
          <w:shd w:val="clear" w:color="auto" w:fill="FFFFFF"/>
          <w:lang w:val="en-GB"/>
        </w:rPr>
        <w:t>Contemporary Accounting Research</w:t>
      </w:r>
      <w:r w:rsidRPr="00712B16">
        <w:rPr>
          <w:rFonts w:ascii="Times New Roman" w:hAnsi="Times New Roman" w:cs="Times New Roman"/>
          <w:sz w:val="24"/>
          <w:szCs w:val="24"/>
          <w:shd w:val="clear" w:color="auto" w:fill="FFFFFF"/>
          <w:lang w:val="en-GB"/>
        </w:rPr>
        <w:t>, </w:t>
      </w:r>
      <w:r w:rsidRPr="00712B16">
        <w:rPr>
          <w:rFonts w:ascii="Times New Roman" w:hAnsi="Times New Roman" w:cs="Times New Roman"/>
          <w:i/>
          <w:iCs/>
          <w:sz w:val="24"/>
          <w:szCs w:val="24"/>
          <w:shd w:val="clear" w:color="auto" w:fill="FFFFFF"/>
          <w:lang w:val="en-GB"/>
        </w:rPr>
        <w:t>39</w:t>
      </w:r>
      <w:r w:rsidRPr="00712B16">
        <w:rPr>
          <w:rFonts w:ascii="Times New Roman" w:hAnsi="Times New Roman" w:cs="Times New Roman"/>
          <w:sz w:val="24"/>
          <w:szCs w:val="24"/>
          <w:shd w:val="clear" w:color="auto" w:fill="FFFFFF"/>
          <w:lang w:val="en-GB"/>
        </w:rPr>
        <w:t>(4), 2730-2757.</w:t>
      </w:r>
      <w:r w:rsidRPr="00712B16">
        <w:rPr>
          <w:rFonts w:ascii="Times New Roman" w:eastAsiaTheme="minorHAnsi" w:hAnsi="Times New Roman" w:cs="Times New Roman"/>
          <w:sz w:val="24"/>
          <w:szCs w:val="24"/>
          <w:lang w:val="en-GB" w:eastAsia="en-US"/>
        </w:rPr>
        <w:fldChar w:fldCharType="begin"/>
      </w:r>
      <w:r w:rsidRPr="00712B16">
        <w:rPr>
          <w:rFonts w:ascii="Times New Roman" w:hAnsi="Times New Roman" w:cs="Times New Roman"/>
          <w:sz w:val="24"/>
          <w:szCs w:val="24"/>
        </w:rPr>
        <w:instrText xml:space="preserve"> ADDIN EN.REFLIST </w:instrText>
      </w:r>
      <w:r w:rsidRPr="00712B16">
        <w:rPr>
          <w:rFonts w:ascii="Times New Roman" w:eastAsiaTheme="minorHAnsi" w:hAnsi="Times New Roman" w:cs="Times New Roman"/>
          <w:sz w:val="24"/>
          <w:szCs w:val="24"/>
          <w:lang w:val="en-GB" w:eastAsia="en-US"/>
        </w:rPr>
        <w:fldChar w:fldCharType="separate"/>
      </w:r>
    </w:p>
    <w:p w14:paraId="74C7282C" w14:textId="77777777" w:rsidR="0089238A" w:rsidRPr="00712B16" w:rsidRDefault="0089238A" w:rsidP="005C3A8A">
      <w:pPr>
        <w:pStyle w:val="EndNoteBibliography"/>
        <w:spacing w:after="0"/>
        <w:ind w:left="720" w:hanging="720"/>
        <w:jc w:val="both"/>
        <w:rPr>
          <w:rFonts w:ascii="Times New Roman" w:eastAsia="Calibri" w:hAnsi="Times New Roman" w:cs="Times New Roman"/>
          <w:sz w:val="24"/>
          <w:szCs w:val="24"/>
          <w:shd w:val="clear" w:color="auto" w:fill="FFFFFF"/>
          <w:lang w:val="en-AU" w:eastAsia="en-US"/>
        </w:rPr>
      </w:pPr>
      <w:r w:rsidRPr="00712B16">
        <w:rPr>
          <w:rFonts w:ascii="Times New Roman" w:eastAsia="Calibri" w:hAnsi="Times New Roman" w:cs="Times New Roman"/>
          <w:sz w:val="24"/>
          <w:szCs w:val="24"/>
          <w:shd w:val="clear" w:color="auto" w:fill="FFFFFF"/>
          <w:lang w:val="en-AU" w:eastAsia="en-US"/>
        </w:rPr>
        <w:t xml:space="preserve">ArcelorMittal. (2022). </w:t>
      </w:r>
      <w:r w:rsidRPr="00712B16">
        <w:rPr>
          <w:rFonts w:ascii="Times New Roman" w:eastAsia="Calibri" w:hAnsi="Times New Roman" w:cs="Times New Roman"/>
          <w:i/>
          <w:iCs/>
          <w:sz w:val="24"/>
          <w:szCs w:val="24"/>
          <w:shd w:val="clear" w:color="auto" w:fill="FFFFFF"/>
          <w:lang w:val="en-AU" w:eastAsia="en-US"/>
        </w:rPr>
        <w:t xml:space="preserve">ArcelorMittal Europe sets out a path to net zero by 2050, with pioneering technologies at the forefront of the company’s roadmap for carbon-neutral steelmaking. </w:t>
      </w:r>
      <w:hyperlink r:id="rId12" w:history="1">
        <w:r w:rsidRPr="00712B16">
          <w:rPr>
            <w:rStyle w:val="Hyperlink"/>
            <w:rFonts w:ascii="Times New Roman" w:eastAsia="Calibri" w:hAnsi="Times New Roman" w:cs="Times New Roman"/>
            <w:color w:val="auto"/>
            <w:sz w:val="24"/>
            <w:szCs w:val="24"/>
            <w:shd w:val="clear" w:color="auto" w:fill="FFFFFF"/>
            <w:lang w:val="en-AU" w:eastAsia="en-US"/>
          </w:rPr>
          <w:t>https://luxembourg.arcelormittal.com/challenges/21/452/language/EN</w:t>
        </w:r>
      </w:hyperlink>
    </w:p>
    <w:p w14:paraId="026EB853" w14:textId="2A5E0A8A" w:rsidR="005C3A8A" w:rsidRPr="00712B16" w:rsidRDefault="005C3A8A" w:rsidP="005C3A8A">
      <w:pPr>
        <w:pStyle w:val="EndNoteBibliography"/>
        <w:spacing w:after="0"/>
        <w:ind w:left="720" w:hanging="720"/>
        <w:jc w:val="both"/>
        <w:rPr>
          <w:rFonts w:ascii="Times New Roman" w:hAnsi="Times New Roman" w:cs="Times New Roman"/>
          <w:sz w:val="24"/>
          <w:szCs w:val="24"/>
        </w:rPr>
      </w:pPr>
      <w:r w:rsidRPr="00712B16">
        <w:rPr>
          <w:rFonts w:ascii="Times New Roman" w:hAnsi="Times New Roman" w:cs="Times New Roman"/>
          <w:sz w:val="24"/>
          <w:szCs w:val="24"/>
          <w:shd w:val="clear" w:color="auto" w:fill="FFFFFF"/>
        </w:rPr>
        <w:t>Baber, W. R., Fairfield, P. M., &amp; Haggard, J. A. (1991). The effect of concern about reported income on discretionary spending decisions: The case of research and development.</w:t>
      </w:r>
      <w:r w:rsidRPr="00712B16">
        <w:rPr>
          <w:rFonts w:ascii="Times New Roman" w:hAnsi="Times New Roman" w:cs="Times New Roman"/>
          <w:i/>
          <w:sz w:val="24"/>
          <w:szCs w:val="24"/>
          <w:shd w:val="clear" w:color="auto" w:fill="FFFFFF"/>
        </w:rPr>
        <w:t xml:space="preserve"> The </w:t>
      </w:r>
      <w:r w:rsidRPr="00712B16">
        <w:rPr>
          <w:rFonts w:ascii="Times New Roman" w:hAnsi="Times New Roman" w:cs="Times New Roman"/>
          <w:i/>
          <w:iCs/>
          <w:sz w:val="24"/>
          <w:szCs w:val="24"/>
          <w:shd w:val="clear" w:color="auto" w:fill="FFFFFF"/>
        </w:rPr>
        <w:t>Accounting Review</w:t>
      </w:r>
      <w:r w:rsidRPr="00712B16">
        <w:rPr>
          <w:rFonts w:ascii="Times New Roman" w:hAnsi="Times New Roman" w:cs="Times New Roman"/>
          <w:sz w:val="24"/>
          <w:szCs w:val="24"/>
          <w:shd w:val="clear" w:color="auto" w:fill="FFFFFF"/>
        </w:rPr>
        <w:t>, 818-829.</w:t>
      </w:r>
    </w:p>
    <w:p w14:paraId="6CA1EF0A" w14:textId="77777777" w:rsidR="005C3A8A" w:rsidRPr="00712B16" w:rsidRDefault="005C3A8A" w:rsidP="005C3A8A">
      <w:pPr>
        <w:spacing w:after="0" w:line="240" w:lineRule="auto"/>
        <w:ind w:left="709" w:hanging="709"/>
        <w:jc w:val="both"/>
        <w:rPr>
          <w:rFonts w:ascii="Times New Roman" w:hAnsi="Times New Roman" w:cs="Times New Roman"/>
          <w:sz w:val="24"/>
          <w:szCs w:val="24"/>
          <w:shd w:val="clear" w:color="auto" w:fill="FFFFFF"/>
        </w:rPr>
      </w:pPr>
      <w:r w:rsidRPr="00712B16">
        <w:rPr>
          <w:rFonts w:ascii="Times New Roman" w:eastAsia="Calibri" w:hAnsi="Times New Roman" w:cs="Times New Roman"/>
          <w:sz w:val="24"/>
          <w:szCs w:val="24"/>
          <w:shd w:val="clear" w:color="auto" w:fill="FFFFFF"/>
          <w:lang w:val="en-AU" w:eastAsia="en-US"/>
        </w:rPr>
        <w:t>Bolton, P., &amp; Kacperczyk, M. (2021). Do investors care about carbon risk?. </w:t>
      </w:r>
      <w:r w:rsidRPr="00712B16">
        <w:rPr>
          <w:rFonts w:ascii="Times New Roman" w:eastAsia="Calibri" w:hAnsi="Times New Roman" w:cs="Times New Roman"/>
          <w:i/>
          <w:iCs/>
          <w:sz w:val="24"/>
          <w:szCs w:val="24"/>
          <w:shd w:val="clear" w:color="auto" w:fill="FFFFFF"/>
          <w:lang w:val="en-AU" w:eastAsia="en-US"/>
        </w:rPr>
        <w:t>Journal of Financial Economics</w:t>
      </w:r>
      <w:r w:rsidRPr="00712B16">
        <w:rPr>
          <w:rFonts w:ascii="Times New Roman" w:eastAsia="Calibri" w:hAnsi="Times New Roman" w:cs="Times New Roman"/>
          <w:sz w:val="24"/>
          <w:szCs w:val="24"/>
          <w:shd w:val="clear" w:color="auto" w:fill="FFFFFF"/>
          <w:lang w:val="en-AU" w:eastAsia="en-US"/>
        </w:rPr>
        <w:t>, </w:t>
      </w:r>
      <w:r w:rsidRPr="00712B16">
        <w:rPr>
          <w:rFonts w:ascii="Times New Roman" w:eastAsia="Calibri" w:hAnsi="Times New Roman" w:cs="Times New Roman"/>
          <w:i/>
          <w:iCs/>
          <w:sz w:val="24"/>
          <w:szCs w:val="24"/>
          <w:shd w:val="clear" w:color="auto" w:fill="FFFFFF"/>
          <w:lang w:val="en-AU" w:eastAsia="en-US"/>
        </w:rPr>
        <w:t>142</w:t>
      </w:r>
      <w:r w:rsidRPr="00712B16">
        <w:rPr>
          <w:rFonts w:ascii="Times New Roman" w:eastAsia="Calibri" w:hAnsi="Times New Roman" w:cs="Times New Roman"/>
          <w:sz w:val="24"/>
          <w:szCs w:val="24"/>
          <w:shd w:val="clear" w:color="auto" w:fill="FFFFFF"/>
          <w:lang w:val="en-AU" w:eastAsia="en-US"/>
        </w:rPr>
        <w:t>(2), 517-549.</w:t>
      </w:r>
    </w:p>
    <w:p w14:paraId="1B5C36E4" w14:textId="77777777" w:rsidR="005C3A8A" w:rsidRPr="00712B16" w:rsidRDefault="005C3A8A" w:rsidP="005C3A8A">
      <w:pPr>
        <w:pStyle w:val="EndNoteBibliography"/>
        <w:spacing w:after="0"/>
        <w:ind w:left="720" w:hanging="720"/>
        <w:jc w:val="both"/>
        <w:rPr>
          <w:rFonts w:ascii="Times New Roman" w:hAnsi="Times New Roman" w:cs="Times New Roman"/>
          <w:sz w:val="24"/>
          <w:szCs w:val="24"/>
        </w:rPr>
      </w:pPr>
      <w:r w:rsidRPr="00712B16">
        <w:rPr>
          <w:rFonts w:ascii="Times New Roman" w:hAnsi="Times New Roman" w:cs="Times New Roman"/>
          <w:sz w:val="24"/>
          <w:szCs w:val="24"/>
          <w:shd w:val="clear" w:color="auto" w:fill="FFFFFF"/>
        </w:rPr>
        <w:t>Boukattaya, S., &amp; Halaoua, S. (2022). Corporate social responsibility and real earnings management: does board gender diversity matter?. </w:t>
      </w:r>
      <w:r w:rsidRPr="00712B16">
        <w:rPr>
          <w:rFonts w:ascii="Times New Roman" w:hAnsi="Times New Roman" w:cs="Times New Roman"/>
          <w:i/>
          <w:iCs/>
          <w:sz w:val="24"/>
          <w:szCs w:val="24"/>
          <w:shd w:val="clear" w:color="auto" w:fill="FFFFFF"/>
        </w:rPr>
        <w:t>International Journal of Accounting &amp; Finance Review</w:t>
      </w:r>
      <w:r w:rsidRPr="00712B16">
        <w:rPr>
          <w:rFonts w:ascii="Times New Roman" w:hAnsi="Times New Roman" w:cs="Times New Roman"/>
          <w:sz w:val="24"/>
          <w:szCs w:val="24"/>
          <w:shd w:val="clear" w:color="auto" w:fill="FFFFFF"/>
        </w:rPr>
        <w:t>, </w:t>
      </w:r>
      <w:r w:rsidRPr="00712B16">
        <w:rPr>
          <w:rFonts w:ascii="Times New Roman" w:hAnsi="Times New Roman" w:cs="Times New Roman"/>
          <w:i/>
          <w:iCs/>
          <w:sz w:val="24"/>
          <w:szCs w:val="24"/>
          <w:shd w:val="clear" w:color="auto" w:fill="FFFFFF"/>
        </w:rPr>
        <w:t>10</w:t>
      </w:r>
      <w:r w:rsidRPr="00712B16">
        <w:rPr>
          <w:rFonts w:ascii="Times New Roman" w:hAnsi="Times New Roman" w:cs="Times New Roman"/>
          <w:sz w:val="24"/>
          <w:szCs w:val="24"/>
          <w:shd w:val="clear" w:color="auto" w:fill="FFFFFF"/>
        </w:rPr>
        <w:t>(1), 17-34.</w:t>
      </w:r>
    </w:p>
    <w:p w14:paraId="3BB294BB" w14:textId="77777777" w:rsidR="005C3A8A" w:rsidRPr="00712B16" w:rsidRDefault="005C3A8A" w:rsidP="005C3A8A">
      <w:pPr>
        <w:pStyle w:val="EndNoteBibliography"/>
        <w:spacing w:after="0"/>
        <w:ind w:left="720" w:hanging="720"/>
        <w:jc w:val="both"/>
        <w:rPr>
          <w:rFonts w:ascii="Times New Roman" w:hAnsi="Times New Roman" w:cs="Times New Roman"/>
          <w:sz w:val="24"/>
          <w:szCs w:val="24"/>
        </w:rPr>
      </w:pPr>
      <w:r w:rsidRPr="00712B16">
        <w:rPr>
          <w:rFonts w:ascii="Times New Roman" w:hAnsi="Times New Roman" w:cs="Times New Roman"/>
          <w:sz w:val="24"/>
          <w:szCs w:val="24"/>
          <w:shd w:val="clear" w:color="auto" w:fill="FFFFFF"/>
        </w:rPr>
        <w:t>Bozzolan, S., Fabrizi, M., Mallin, C. A., &amp; Michelon, G. (2015). Corporate social responsibility and earnings quality: International evidence. </w:t>
      </w:r>
      <w:r w:rsidRPr="00712B16">
        <w:rPr>
          <w:rFonts w:ascii="Times New Roman" w:hAnsi="Times New Roman" w:cs="Times New Roman"/>
          <w:i/>
          <w:iCs/>
          <w:sz w:val="24"/>
          <w:szCs w:val="24"/>
          <w:shd w:val="clear" w:color="auto" w:fill="FFFFFF"/>
        </w:rPr>
        <w:t>The International Journal of Accounting</w:t>
      </w:r>
      <w:r w:rsidRPr="00712B16">
        <w:rPr>
          <w:rFonts w:ascii="Times New Roman" w:hAnsi="Times New Roman" w:cs="Times New Roman"/>
          <w:sz w:val="24"/>
          <w:szCs w:val="24"/>
          <w:shd w:val="clear" w:color="auto" w:fill="FFFFFF"/>
        </w:rPr>
        <w:t>, </w:t>
      </w:r>
      <w:r w:rsidRPr="00712B16">
        <w:rPr>
          <w:rFonts w:ascii="Times New Roman" w:hAnsi="Times New Roman" w:cs="Times New Roman"/>
          <w:i/>
          <w:iCs/>
          <w:sz w:val="24"/>
          <w:szCs w:val="24"/>
          <w:shd w:val="clear" w:color="auto" w:fill="FFFFFF"/>
        </w:rPr>
        <w:t>50</w:t>
      </w:r>
      <w:r w:rsidRPr="00712B16">
        <w:rPr>
          <w:rFonts w:ascii="Times New Roman" w:hAnsi="Times New Roman" w:cs="Times New Roman"/>
          <w:sz w:val="24"/>
          <w:szCs w:val="24"/>
          <w:shd w:val="clear" w:color="auto" w:fill="FFFFFF"/>
        </w:rPr>
        <w:t>(4), 361-396.</w:t>
      </w:r>
    </w:p>
    <w:p w14:paraId="4D00A3D9" w14:textId="77777777" w:rsidR="005C3A8A" w:rsidRPr="00712B16" w:rsidRDefault="005C3A8A" w:rsidP="005C3A8A">
      <w:pPr>
        <w:pStyle w:val="EndNoteBibliography"/>
        <w:spacing w:after="0"/>
        <w:ind w:left="720" w:hanging="720"/>
        <w:jc w:val="both"/>
        <w:rPr>
          <w:rFonts w:ascii="Times New Roman" w:hAnsi="Times New Roman" w:cs="Times New Roman"/>
          <w:sz w:val="24"/>
          <w:szCs w:val="24"/>
        </w:rPr>
      </w:pPr>
      <w:r w:rsidRPr="00712B16">
        <w:rPr>
          <w:rFonts w:ascii="Times New Roman" w:hAnsi="Times New Roman" w:cs="Times New Roman"/>
          <w:sz w:val="24"/>
          <w:szCs w:val="24"/>
          <w:shd w:val="clear" w:color="auto" w:fill="FFFFFF"/>
        </w:rPr>
        <w:t>Bushee, B. J. (1998). The influence of institutional investors on myopic R&amp;D investment behavior. </w:t>
      </w:r>
      <w:r w:rsidRPr="00712B16">
        <w:rPr>
          <w:rFonts w:ascii="Times New Roman" w:hAnsi="Times New Roman" w:cs="Times New Roman"/>
          <w:i/>
          <w:sz w:val="24"/>
          <w:szCs w:val="24"/>
          <w:shd w:val="clear" w:color="auto" w:fill="FFFFFF"/>
        </w:rPr>
        <w:t xml:space="preserve">The </w:t>
      </w:r>
      <w:r w:rsidRPr="00712B16">
        <w:rPr>
          <w:rFonts w:ascii="Times New Roman" w:hAnsi="Times New Roman" w:cs="Times New Roman"/>
          <w:i/>
          <w:iCs/>
          <w:sz w:val="24"/>
          <w:szCs w:val="24"/>
          <w:shd w:val="clear" w:color="auto" w:fill="FFFFFF"/>
        </w:rPr>
        <w:t>Accounting Review</w:t>
      </w:r>
      <w:r w:rsidRPr="00712B16">
        <w:rPr>
          <w:rFonts w:ascii="Times New Roman" w:hAnsi="Times New Roman" w:cs="Times New Roman"/>
          <w:sz w:val="24"/>
          <w:szCs w:val="24"/>
          <w:shd w:val="clear" w:color="auto" w:fill="FFFFFF"/>
        </w:rPr>
        <w:t>, 305-333.</w:t>
      </w:r>
    </w:p>
    <w:p w14:paraId="2C9A9479" w14:textId="3585B3C5" w:rsidR="005C3A8A" w:rsidRPr="00712B16" w:rsidRDefault="005C3A8A" w:rsidP="005C3A8A">
      <w:pPr>
        <w:pStyle w:val="EndNoteBibliography"/>
        <w:spacing w:after="0"/>
        <w:ind w:left="720" w:hanging="720"/>
        <w:jc w:val="both"/>
        <w:rPr>
          <w:rFonts w:ascii="Times New Roman" w:hAnsi="Times New Roman" w:cs="Times New Roman"/>
          <w:sz w:val="24"/>
          <w:szCs w:val="24"/>
          <w:shd w:val="clear" w:color="auto" w:fill="FFFFFF"/>
        </w:rPr>
      </w:pPr>
      <w:r w:rsidRPr="00712B16">
        <w:rPr>
          <w:rFonts w:ascii="Times New Roman" w:hAnsi="Times New Roman" w:cs="Times New Roman"/>
          <w:sz w:val="24"/>
          <w:szCs w:val="24"/>
          <w:shd w:val="clear" w:color="auto" w:fill="FFFFFF"/>
        </w:rPr>
        <w:t>Carroll, A. B. (1979). A three-dimensional conceptual model of corporate performance. </w:t>
      </w:r>
      <w:r w:rsidRPr="00712B16">
        <w:rPr>
          <w:rFonts w:ascii="Times New Roman" w:hAnsi="Times New Roman" w:cs="Times New Roman"/>
          <w:i/>
          <w:iCs/>
          <w:sz w:val="24"/>
          <w:szCs w:val="24"/>
          <w:shd w:val="clear" w:color="auto" w:fill="FFFFFF"/>
        </w:rPr>
        <w:t>Academy of Management Review</w:t>
      </w:r>
      <w:r w:rsidRPr="00712B16">
        <w:rPr>
          <w:rFonts w:ascii="Times New Roman" w:hAnsi="Times New Roman" w:cs="Times New Roman"/>
          <w:sz w:val="24"/>
          <w:szCs w:val="24"/>
          <w:shd w:val="clear" w:color="auto" w:fill="FFFFFF"/>
        </w:rPr>
        <w:t>, </w:t>
      </w:r>
      <w:r w:rsidRPr="00712B16">
        <w:rPr>
          <w:rFonts w:ascii="Times New Roman" w:hAnsi="Times New Roman" w:cs="Times New Roman"/>
          <w:i/>
          <w:iCs/>
          <w:sz w:val="24"/>
          <w:szCs w:val="24"/>
          <w:shd w:val="clear" w:color="auto" w:fill="FFFFFF"/>
        </w:rPr>
        <w:t>4</w:t>
      </w:r>
      <w:r w:rsidRPr="00712B16">
        <w:rPr>
          <w:rFonts w:ascii="Times New Roman" w:hAnsi="Times New Roman" w:cs="Times New Roman"/>
          <w:sz w:val="24"/>
          <w:szCs w:val="24"/>
          <w:shd w:val="clear" w:color="auto" w:fill="FFFFFF"/>
        </w:rPr>
        <w:t>(4), 497-505.</w:t>
      </w:r>
    </w:p>
    <w:p w14:paraId="654E614F" w14:textId="17F39E6B" w:rsidR="00CF5AF2" w:rsidRPr="00712B16" w:rsidRDefault="00CF5AF2" w:rsidP="005C3A8A">
      <w:pPr>
        <w:pStyle w:val="EndNoteBibliography"/>
        <w:spacing w:after="0"/>
        <w:ind w:left="720" w:hanging="720"/>
        <w:jc w:val="both"/>
        <w:rPr>
          <w:rFonts w:ascii="Times New Roman" w:eastAsia="Calibri" w:hAnsi="Times New Roman" w:cs="Times New Roman"/>
          <w:sz w:val="24"/>
          <w:szCs w:val="24"/>
          <w:shd w:val="clear" w:color="auto" w:fill="FFFFFF"/>
          <w:lang w:val="en-AU" w:eastAsia="en-US"/>
        </w:rPr>
      </w:pPr>
      <w:r w:rsidRPr="00712B16">
        <w:rPr>
          <w:rFonts w:ascii="Times New Roman" w:eastAsia="Calibri" w:hAnsi="Times New Roman" w:cs="Times New Roman"/>
          <w:sz w:val="24"/>
          <w:szCs w:val="24"/>
          <w:shd w:val="clear" w:color="auto" w:fill="FFFFFF"/>
          <w:lang w:val="en-AU" w:eastAsia="en-US"/>
        </w:rPr>
        <w:t>Chen, X., Chen, Z., Torsin, W., Tsang, A., &amp; Zeng, X. (2025). Mandatory ESG reporting and cross-Listing activities: Worldwide evidence. </w:t>
      </w:r>
      <w:r w:rsidRPr="00712B16">
        <w:rPr>
          <w:rFonts w:ascii="Times New Roman" w:eastAsia="Calibri" w:hAnsi="Times New Roman" w:cs="Times New Roman"/>
          <w:i/>
          <w:iCs/>
          <w:sz w:val="24"/>
          <w:szCs w:val="24"/>
          <w:shd w:val="clear" w:color="auto" w:fill="FFFFFF"/>
          <w:lang w:val="en-AU" w:eastAsia="en-US"/>
        </w:rPr>
        <w:t>The British Accounting Review</w:t>
      </w:r>
      <w:r w:rsidRPr="00712B16">
        <w:rPr>
          <w:rFonts w:ascii="Times New Roman" w:eastAsia="Calibri" w:hAnsi="Times New Roman" w:cs="Times New Roman"/>
          <w:sz w:val="24"/>
          <w:szCs w:val="24"/>
          <w:shd w:val="clear" w:color="auto" w:fill="FFFFFF"/>
          <w:lang w:val="en-AU" w:eastAsia="en-US"/>
        </w:rPr>
        <w:t>, 101706.</w:t>
      </w:r>
    </w:p>
    <w:p w14:paraId="78112D35" w14:textId="6AEFBC9C" w:rsidR="00CF5AF2" w:rsidRPr="00712B16" w:rsidRDefault="00CF5AF2" w:rsidP="005C3A8A">
      <w:pPr>
        <w:pStyle w:val="EndNoteBibliography"/>
        <w:spacing w:after="0"/>
        <w:ind w:left="720" w:hanging="720"/>
        <w:jc w:val="both"/>
        <w:rPr>
          <w:rFonts w:ascii="Times New Roman" w:hAnsi="Times New Roman" w:cs="Times New Roman"/>
          <w:sz w:val="24"/>
          <w:szCs w:val="24"/>
          <w:shd w:val="clear" w:color="auto" w:fill="FFFFFF"/>
        </w:rPr>
      </w:pPr>
      <w:r w:rsidRPr="00712B16">
        <w:rPr>
          <w:rFonts w:ascii="Times New Roman" w:eastAsia="Calibri" w:hAnsi="Times New Roman" w:cs="Times New Roman"/>
          <w:sz w:val="24"/>
          <w:szCs w:val="24"/>
          <w:shd w:val="clear" w:color="auto" w:fill="FFFFFF"/>
          <w:lang w:val="en-AU" w:eastAsia="en-US"/>
        </w:rPr>
        <w:t>Cheng, B., Ioannou, I., &amp; Serafeim, G. (2014). Corporate social responsibility and access to finance. </w:t>
      </w:r>
      <w:r w:rsidRPr="00712B16">
        <w:rPr>
          <w:rFonts w:ascii="Times New Roman" w:eastAsia="Calibri" w:hAnsi="Times New Roman" w:cs="Times New Roman"/>
          <w:i/>
          <w:iCs/>
          <w:sz w:val="24"/>
          <w:szCs w:val="24"/>
          <w:shd w:val="clear" w:color="auto" w:fill="FFFFFF"/>
          <w:lang w:val="en-AU" w:eastAsia="en-US"/>
        </w:rPr>
        <w:t>Strategic Management Journal</w:t>
      </w:r>
      <w:r w:rsidRPr="00712B16">
        <w:rPr>
          <w:rFonts w:ascii="Times New Roman" w:eastAsia="Calibri" w:hAnsi="Times New Roman" w:cs="Times New Roman"/>
          <w:sz w:val="24"/>
          <w:szCs w:val="24"/>
          <w:shd w:val="clear" w:color="auto" w:fill="FFFFFF"/>
          <w:lang w:val="en-AU" w:eastAsia="en-US"/>
        </w:rPr>
        <w:t>, </w:t>
      </w:r>
      <w:r w:rsidRPr="00712B16">
        <w:rPr>
          <w:rFonts w:ascii="Times New Roman" w:eastAsia="Calibri" w:hAnsi="Times New Roman" w:cs="Times New Roman"/>
          <w:i/>
          <w:iCs/>
          <w:sz w:val="24"/>
          <w:szCs w:val="24"/>
          <w:shd w:val="clear" w:color="auto" w:fill="FFFFFF"/>
          <w:lang w:val="en-AU" w:eastAsia="en-US"/>
        </w:rPr>
        <w:t>35</w:t>
      </w:r>
      <w:r w:rsidRPr="00712B16">
        <w:rPr>
          <w:rFonts w:ascii="Times New Roman" w:eastAsia="Calibri" w:hAnsi="Times New Roman" w:cs="Times New Roman"/>
          <w:sz w:val="24"/>
          <w:szCs w:val="24"/>
          <w:shd w:val="clear" w:color="auto" w:fill="FFFFFF"/>
          <w:lang w:val="en-AU" w:eastAsia="en-US"/>
        </w:rPr>
        <w:t>(1), 1-23.</w:t>
      </w:r>
    </w:p>
    <w:p w14:paraId="413EBB3A" w14:textId="77777777" w:rsidR="005C3A8A" w:rsidRPr="00712B16" w:rsidRDefault="005C3A8A" w:rsidP="005C3A8A">
      <w:pPr>
        <w:pStyle w:val="EndNoteBibliography"/>
        <w:spacing w:after="0"/>
        <w:ind w:left="720" w:hanging="720"/>
        <w:jc w:val="both"/>
        <w:rPr>
          <w:rFonts w:ascii="Times New Roman" w:hAnsi="Times New Roman" w:cs="Times New Roman"/>
          <w:sz w:val="24"/>
          <w:szCs w:val="24"/>
        </w:rPr>
      </w:pPr>
      <w:r w:rsidRPr="00712B16">
        <w:rPr>
          <w:rFonts w:ascii="Times New Roman" w:eastAsia="Calibri" w:hAnsi="Times New Roman" w:cs="Times New Roman"/>
          <w:sz w:val="24"/>
          <w:szCs w:val="24"/>
          <w:shd w:val="clear" w:color="auto" w:fill="FFFFFF"/>
          <w:lang w:val="en-AU" w:eastAsia="en-US"/>
        </w:rPr>
        <w:t>Cho, C. H., &amp; Patten, D. M. (2007). The role of environmental disclosures as tools of legitimacy: A research note. </w:t>
      </w:r>
      <w:r w:rsidRPr="00712B16">
        <w:rPr>
          <w:rFonts w:ascii="Times New Roman" w:eastAsia="Calibri" w:hAnsi="Times New Roman" w:cs="Times New Roman"/>
          <w:i/>
          <w:iCs/>
          <w:sz w:val="24"/>
          <w:szCs w:val="24"/>
          <w:shd w:val="clear" w:color="auto" w:fill="FFFFFF"/>
          <w:lang w:val="en-AU" w:eastAsia="en-US"/>
        </w:rPr>
        <w:t>Accounting, Organizations and Society</w:t>
      </w:r>
      <w:r w:rsidRPr="00712B16">
        <w:rPr>
          <w:rFonts w:ascii="Times New Roman" w:eastAsia="Calibri" w:hAnsi="Times New Roman" w:cs="Times New Roman"/>
          <w:sz w:val="24"/>
          <w:szCs w:val="24"/>
          <w:shd w:val="clear" w:color="auto" w:fill="FFFFFF"/>
          <w:lang w:val="en-AU" w:eastAsia="en-US"/>
        </w:rPr>
        <w:t>, </w:t>
      </w:r>
      <w:r w:rsidRPr="00712B16">
        <w:rPr>
          <w:rFonts w:ascii="Times New Roman" w:eastAsia="Calibri" w:hAnsi="Times New Roman" w:cs="Times New Roman"/>
          <w:i/>
          <w:iCs/>
          <w:sz w:val="24"/>
          <w:szCs w:val="24"/>
          <w:shd w:val="clear" w:color="auto" w:fill="FFFFFF"/>
          <w:lang w:val="en-AU" w:eastAsia="en-US"/>
        </w:rPr>
        <w:t>32</w:t>
      </w:r>
      <w:r w:rsidRPr="00712B16">
        <w:rPr>
          <w:rFonts w:ascii="Times New Roman" w:eastAsia="Calibri" w:hAnsi="Times New Roman" w:cs="Times New Roman"/>
          <w:sz w:val="24"/>
          <w:szCs w:val="24"/>
          <w:shd w:val="clear" w:color="auto" w:fill="FFFFFF"/>
          <w:lang w:val="en-AU" w:eastAsia="en-US"/>
        </w:rPr>
        <w:t>(7-8), 639-647.</w:t>
      </w:r>
    </w:p>
    <w:p w14:paraId="1EA16EAC" w14:textId="77777777" w:rsidR="005C3A8A" w:rsidRPr="00712B16" w:rsidRDefault="005C3A8A" w:rsidP="005C3A8A">
      <w:pPr>
        <w:spacing w:after="0" w:line="240" w:lineRule="auto"/>
        <w:ind w:left="720" w:hanging="720"/>
        <w:jc w:val="both"/>
        <w:rPr>
          <w:rFonts w:ascii="Times New Roman" w:hAnsi="Times New Roman" w:cs="Times New Roman"/>
          <w:sz w:val="24"/>
          <w:szCs w:val="24"/>
          <w:shd w:val="clear" w:color="auto" w:fill="FFFFFF"/>
        </w:rPr>
      </w:pPr>
      <w:r w:rsidRPr="00712B16">
        <w:rPr>
          <w:rFonts w:ascii="Times New Roman" w:hAnsi="Times New Roman" w:cs="Times New Roman"/>
          <w:sz w:val="24"/>
          <w:szCs w:val="24"/>
          <w:shd w:val="clear" w:color="auto" w:fill="FFFFFF"/>
        </w:rPr>
        <w:t>Chollet, P., &amp; Sandwidi, B. W. (2018). CSR engagement and financial risk: A virtuous circle? International evidence. </w:t>
      </w:r>
      <w:r w:rsidRPr="00712B16">
        <w:rPr>
          <w:rFonts w:ascii="Times New Roman" w:hAnsi="Times New Roman" w:cs="Times New Roman"/>
          <w:i/>
          <w:iCs/>
          <w:sz w:val="24"/>
          <w:szCs w:val="24"/>
          <w:shd w:val="clear" w:color="auto" w:fill="FFFFFF"/>
        </w:rPr>
        <w:t>Global Finance Journal</w:t>
      </w:r>
      <w:r w:rsidRPr="00712B16">
        <w:rPr>
          <w:rFonts w:ascii="Times New Roman" w:hAnsi="Times New Roman" w:cs="Times New Roman"/>
          <w:sz w:val="24"/>
          <w:szCs w:val="24"/>
          <w:shd w:val="clear" w:color="auto" w:fill="FFFFFF"/>
        </w:rPr>
        <w:t>, </w:t>
      </w:r>
      <w:r w:rsidRPr="00712B16">
        <w:rPr>
          <w:rFonts w:ascii="Times New Roman" w:hAnsi="Times New Roman" w:cs="Times New Roman"/>
          <w:i/>
          <w:iCs/>
          <w:sz w:val="24"/>
          <w:szCs w:val="24"/>
          <w:shd w:val="clear" w:color="auto" w:fill="FFFFFF"/>
        </w:rPr>
        <w:t>38</w:t>
      </w:r>
      <w:r w:rsidRPr="00712B16">
        <w:rPr>
          <w:rFonts w:ascii="Times New Roman" w:hAnsi="Times New Roman" w:cs="Times New Roman"/>
          <w:sz w:val="24"/>
          <w:szCs w:val="24"/>
          <w:shd w:val="clear" w:color="auto" w:fill="FFFFFF"/>
        </w:rPr>
        <w:t>, 65-81.</w:t>
      </w:r>
    </w:p>
    <w:p w14:paraId="321F84B7" w14:textId="77777777" w:rsidR="005C3A8A" w:rsidRPr="00712B16" w:rsidRDefault="005C3A8A" w:rsidP="005C3A8A">
      <w:pPr>
        <w:spacing w:after="0" w:line="240" w:lineRule="auto"/>
        <w:ind w:left="720" w:hanging="720"/>
        <w:jc w:val="both"/>
        <w:rPr>
          <w:rFonts w:ascii="Times New Roman" w:hAnsi="Times New Roman" w:cs="Times New Roman"/>
          <w:sz w:val="24"/>
          <w:szCs w:val="24"/>
        </w:rPr>
      </w:pPr>
      <w:r w:rsidRPr="00712B16">
        <w:rPr>
          <w:rFonts w:ascii="Times New Roman" w:eastAsia="Calibri" w:hAnsi="Times New Roman" w:cs="Times New Roman"/>
          <w:sz w:val="24"/>
          <w:szCs w:val="24"/>
          <w:shd w:val="clear" w:color="auto" w:fill="FFFFFF"/>
          <w:lang w:val="en-AU" w:eastAsia="en-US"/>
        </w:rPr>
        <w:t>Christensen, H. B., Hail, L., &amp; Leuz, C. (2021). Mandatory CSR and sustainability reporting: Economic analysis and literature review. </w:t>
      </w:r>
      <w:r w:rsidRPr="00712B16">
        <w:rPr>
          <w:rFonts w:ascii="Times New Roman" w:eastAsia="Calibri" w:hAnsi="Times New Roman" w:cs="Times New Roman"/>
          <w:i/>
          <w:iCs/>
          <w:sz w:val="24"/>
          <w:szCs w:val="24"/>
          <w:shd w:val="clear" w:color="auto" w:fill="FFFFFF"/>
          <w:lang w:val="en-AU" w:eastAsia="en-US"/>
        </w:rPr>
        <w:t>Review of Accounting Studies</w:t>
      </w:r>
      <w:r w:rsidRPr="00712B16">
        <w:rPr>
          <w:rFonts w:ascii="Times New Roman" w:eastAsia="Calibri" w:hAnsi="Times New Roman" w:cs="Times New Roman"/>
          <w:sz w:val="24"/>
          <w:szCs w:val="24"/>
          <w:shd w:val="clear" w:color="auto" w:fill="FFFFFF"/>
          <w:lang w:val="en-AU" w:eastAsia="en-US"/>
        </w:rPr>
        <w:t>, </w:t>
      </w:r>
      <w:r w:rsidRPr="00712B16">
        <w:rPr>
          <w:rFonts w:ascii="Times New Roman" w:eastAsia="Calibri" w:hAnsi="Times New Roman" w:cs="Times New Roman"/>
          <w:i/>
          <w:iCs/>
          <w:sz w:val="24"/>
          <w:szCs w:val="24"/>
          <w:shd w:val="clear" w:color="auto" w:fill="FFFFFF"/>
          <w:lang w:val="en-AU" w:eastAsia="en-US"/>
        </w:rPr>
        <w:t>26</w:t>
      </w:r>
      <w:r w:rsidRPr="00712B16">
        <w:rPr>
          <w:rFonts w:ascii="Times New Roman" w:eastAsia="Calibri" w:hAnsi="Times New Roman" w:cs="Times New Roman"/>
          <w:sz w:val="24"/>
          <w:szCs w:val="24"/>
          <w:shd w:val="clear" w:color="auto" w:fill="FFFFFF"/>
          <w:lang w:val="en-AU" w:eastAsia="en-US"/>
        </w:rPr>
        <w:t>(3), 1176-1248.</w:t>
      </w:r>
    </w:p>
    <w:p w14:paraId="0CE4B480" w14:textId="3CED38F0" w:rsidR="00FB3B41" w:rsidRPr="00712B16" w:rsidRDefault="00FB3B41" w:rsidP="005C3A8A">
      <w:pPr>
        <w:spacing w:after="0" w:line="240" w:lineRule="auto"/>
        <w:ind w:left="720" w:hanging="720"/>
        <w:jc w:val="both"/>
        <w:rPr>
          <w:rFonts w:ascii="Times New Roman" w:hAnsi="Times New Roman" w:cs="Times New Roman"/>
          <w:sz w:val="24"/>
          <w:szCs w:val="24"/>
        </w:rPr>
      </w:pPr>
      <w:r w:rsidRPr="00712B16">
        <w:rPr>
          <w:rFonts w:ascii="Times New Roman" w:eastAsia="Calibri" w:hAnsi="Times New Roman" w:cs="Times New Roman"/>
          <w:sz w:val="24"/>
          <w:szCs w:val="24"/>
          <w:shd w:val="clear" w:color="auto" w:fill="FFFFFF"/>
          <w:lang w:eastAsia="en-US"/>
        </w:rPr>
        <w:t>Climate Action Tracker. (2025).</w:t>
      </w:r>
      <w:r w:rsidRPr="00712B16">
        <w:rPr>
          <w:rFonts w:ascii="Times New Roman" w:eastAsia="Calibri" w:hAnsi="Times New Roman" w:cs="Times New Roman"/>
          <w:sz w:val="24"/>
          <w:szCs w:val="24"/>
          <w:shd w:val="clear" w:color="auto" w:fill="FFFFFF"/>
          <w:lang w:val="en-AU" w:eastAsia="en-US"/>
        </w:rPr>
        <w:t xml:space="preserve"> </w:t>
      </w:r>
      <w:r w:rsidRPr="00712B16">
        <w:rPr>
          <w:rFonts w:ascii="Times New Roman" w:eastAsia="Calibri" w:hAnsi="Times New Roman" w:cs="Times New Roman"/>
          <w:i/>
          <w:iCs/>
          <w:sz w:val="24"/>
          <w:szCs w:val="24"/>
          <w:shd w:val="clear" w:color="auto" w:fill="FFFFFF"/>
          <w:lang w:eastAsia="en-US"/>
        </w:rPr>
        <w:t>Net zero targets</w:t>
      </w:r>
      <w:r w:rsidRPr="00712B16">
        <w:rPr>
          <w:rFonts w:ascii="Times New Roman" w:eastAsia="Calibri" w:hAnsi="Times New Roman" w:cs="Times New Roman"/>
          <w:sz w:val="24"/>
          <w:szCs w:val="24"/>
          <w:shd w:val="clear" w:color="auto" w:fill="FFFFFF"/>
          <w:lang w:eastAsia="en-US"/>
        </w:rPr>
        <w:t>. https://climateactiontracker.org/countries/germany/net-zero-targets/</w:t>
      </w:r>
    </w:p>
    <w:p w14:paraId="704B6150" w14:textId="5154F638" w:rsidR="001C4433" w:rsidRPr="00712B16" w:rsidRDefault="001C4433" w:rsidP="005C3A8A">
      <w:pPr>
        <w:spacing w:after="0" w:line="240" w:lineRule="auto"/>
        <w:ind w:left="720" w:hanging="720"/>
        <w:jc w:val="both"/>
        <w:rPr>
          <w:rFonts w:ascii="Times New Roman" w:hAnsi="Times New Roman" w:cs="Times New Roman"/>
          <w:sz w:val="24"/>
          <w:szCs w:val="24"/>
        </w:rPr>
      </w:pPr>
      <w:r w:rsidRPr="00712B16">
        <w:rPr>
          <w:rFonts w:ascii="Times New Roman" w:eastAsia="Calibri" w:hAnsi="Times New Roman" w:cs="Times New Roman"/>
          <w:sz w:val="24"/>
          <w:szCs w:val="24"/>
          <w:shd w:val="clear" w:color="auto" w:fill="FFFFFF"/>
          <w:lang w:eastAsia="en-US"/>
        </w:rPr>
        <w:t xml:space="preserve">Climate Home News. (2019a). </w:t>
      </w:r>
      <w:r w:rsidRPr="00712B16">
        <w:rPr>
          <w:rFonts w:ascii="Times New Roman" w:eastAsia="Calibri" w:hAnsi="Times New Roman" w:cs="Times New Roman"/>
          <w:i/>
          <w:iCs/>
          <w:sz w:val="24"/>
          <w:szCs w:val="24"/>
          <w:shd w:val="clear" w:color="auto" w:fill="FFFFFF"/>
          <w:lang w:val="en-AU" w:eastAsia="en-US"/>
        </w:rPr>
        <w:t>Merkel pledges to make Germany carbon neutral by 2050</w:t>
      </w:r>
      <w:r w:rsidRPr="00712B16">
        <w:rPr>
          <w:rFonts w:ascii="Times New Roman" w:eastAsia="Calibri" w:hAnsi="Times New Roman" w:cs="Times New Roman"/>
          <w:sz w:val="24"/>
          <w:szCs w:val="24"/>
          <w:shd w:val="clear" w:color="auto" w:fill="FFFFFF"/>
          <w:lang w:val="en-AU" w:eastAsia="en-US"/>
        </w:rPr>
        <w:t>. https://www.climatechangenews.com/2019/05/14/merkel-pledges-make-germany-carbon-neutral-2050/</w:t>
      </w:r>
    </w:p>
    <w:p w14:paraId="7E333E36" w14:textId="4376A998" w:rsidR="005C3A8A" w:rsidRPr="00712B16" w:rsidRDefault="005C3A8A" w:rsidP="005C3A8A">
      <w:pPr>
        <w:spacing w:after="0" w:line="240" w:lineRule="auto"/>
        <w:ind w:left="720" w:hanging="720"/>
        <w:jc w:val="both"/>
        <w:rPr>
          <w:rFonts w:ascii="Times New Roman" w:hAnsi="Times New Roman" w:cs="Times New Roman"/>
          <w:sz w:val="24"/>
          <w:szCs w:val="24"/>
        </w:rPr>
      </w:pPr>
      <w:r w:rsidRPr="00712B16">
        <w:rPr>
          <w:rFonts w:ascii="Times New Roman" w:hAnsi="Times New Roman" w:cs="Times New Roman"/>
          <w:sz w:val="24"/>
          <w:szCs w:val="24"/>
        </w:rPr>
        <w:t>Climate Home News (2019</w:t>
      </w:r>
      <w:r w:rsidR="001C4433" w:rsidRPr="00712B16">
        <w:rPr>
          <w:rFonts w:ascii="Times New Roman" w:hAnsi="Times New Roman" w:cs="Times New Roman"/>
          <w:sz w:val="24"/>
          <w:szCs w:val="24"/>
        </w:rPr>
        <w:t>b</w:t>
      </w:r>
      <w:r w:rsidRPr="00712B16">
        <w:rPr>
          <w:rFonts w:ascii="Times New Roman" w:hAnsi="Times New Roman" w:cs="Times New Roman"/>
          <w:sz w:val="24"/>
          <w:szCs w:val="24"/>
        </w:rPr>
        <w:t xml:space="preserve">). </w:t>
      </w:r>
      <w:r w:rsidRPr="00712B16">
        <w:rPr>
          <w:rFonts w:ascii="Times New Roman" w:hAnsi="Times New Roman" w:cs="Times New Roman"/>
          <w:i/>
          <w:sz w:val="24"/>
          <w:szCs w:val="24"/>
        </w:rPr>
        <w:t>Which countries have a net zero carbon goal?</w:t>
      </w:r>
      <w:r w:rsidRPr="00712B16">
        <w:rPr>
          <w:rFonts w:ascii="Times New Roman" w:hAnsi="Times New Roman" w:cs="Times New Roman"/>
          <w:sz w:val="24"/>
          <w:szCs w:val="24"/>
        </w:rPr>
        <w:t>. Available at: https://www.climatechangenews.com/2019/06/14/countries-net-zero-climate-goal/</w:t>
      </w:r>
    </w:p>
    <w:p w14:paraId="0EE6A6BD" w14:textId="77777777" w:rsidR="005C3A8A" w:rsidRPr="00712B16" w:rsidRDefault="005C3A8A" w:rsidP="005C3A8A">
      <w:pPr>
        <w:spacing w:after="0" w:line="240" w:lineRule="auto"/>
        <w:ind w:left="720" w:hanging="720"/>
        <w:jc w:val="both"/>
        <w:rPr>
          <w:rFonts w:ascii="Times New Roman" w:hAnsi="Times New Roman" w:cs="Times New Roman"/>
          <w:sz w:val="24"/>
          <w:szCs w:val="24"/>
          <w:lang w:val="en-AU"/>
        </w:rPr>
      </w:pPr>
      <w:r w:rsidRPr="00712B16">
        <w:rPr>
          <w:rFonts w:ascii="Times New Roman" w:hAnsi="Times New Roman" w:cs="Times New Roman"/>
          <w:sz w:val="24"/>
          <w:szCs w:val="24"/>
          <w:shd w:val="clear" w:color="auto" w:fill="FFFFFF"/>
        </w:rPr>
        <w:t>Cohen, D. A., &amp; Zarowin, P. (2010). Accrual-based and real earnings management activities around seasoned equity offerings. </w:t>
      </w:r>
      <w:r w:rsidRPr="00712B16">
        <w:rPr>
          <w:rFonts w:ascii="Times New Roman" w:hAnsi="Times New Roman" w:cs="Times New Roman"/>
          <w:i/>
          <w:iCs/>
          <w:sz w:val="24"/>
          <w:szCs w:val="24"/>
          <w:shd w:val="clear" w:color="auto" w:fill="FFFFFF"/>
        </w:rPr>
        <w:t>Journal of Accounting and Economics</w:t>
      </w:r>
      <w:r w:rsidRPr="00712B16">
        <w:rPr>
          <w:rFonts w:ascii="Times New Roman" w:hAnsi="Times New Roman" w:cs="Times New Roman"/>
          <w:sz w:val="24"/>
          <w:szCs w:val="24"/>
          <w:shd w:val="clear" w:color="auto" w:fill="FFFFFF"/>
        </w:rPr>
        <w:t>, </w:t>
      </w:r>
      <w:r w:rsidRPr="00712B16">
        <w:rPr>
          <w:rFonts w:ascii="Times New Roman" w:hAnsi="Times New Roman" w:cs="Times New Roman"/>
          <w:i/>
          <w:iCs/>
          <w:sz w:val="24"/>
          <w:szCs w:val="24"/>
          <w:shd w:val="clear" w:color="auto" w:fill="FFFFFF"/>
        </w:rPr>
        <w:t>50</w:t>
      </w:r>
      <w:r w:rsidRPr="00712B16">
        <w:rPr>
          <w:rFonts w:ascii="Times New Roman" w:hAnsi="Times New Roman" w:cs="Times New Roman"/>
          <w:sz w:val="24"/>
          <w:szCs w:val="24"/>
          <w:shd w:val="clear" w:color="auto" w:fill="FFFFFF"/>
        </w:rPr>
        <w:t>(1), 2-19.</w:t>
      </w:r>
    </w:p>
    <w:p w14:paraId="419763B9" w14:textId="2B664F92" w:rsidR="005C3A8A" w:rsidRPr="00712B16" w:rsidRDefault="005C3A8A" w:rsidP="005C3A8A">
      <w:pPr>
        <w:spacing w:after="0" w:line="240" w:lineRule="auto"/>
        <w:ind w:left="720" w:hanging="720"/>
        <w:jc w:val="both"/>
        <w:rPr>
          <w:rFonts w:ascii="Times New Roman" w:hAnsi="Times New Roman" w:cs="Times New Roman"/>
          <w:sz w:val="24"/>
          <w:szCs w:val="24"/>
          <w:shd w:val="clear" w:color="auto" w:fill="FFFFFF"/>
          <w:lang w:val="en-GB"/>
        </w:rPr>
      </w:pPr>
      <w:r w:rsidRPr="00712B16">
        <w:rPr>
          <w:rFonts w:ascii="Times New Roman" w:hAnsi="Times New Roman" w:cs="Times New Roman"/>
          <w:sz w:val="24"/>
          <w:szCs w:val="24"/>
          <w:shd w:val="clear" w:color="auto" w:fill="FFFFFF"/>
          <w:lang w:val="en-GB"/>
        </w:rPr>
        <w:lastRenderedPageBreak/>
        <w:t xml:space="preserve">Cohen, L., Gurun, U. G., &amp; Nguyen, Q. H. (2020). </w:t>
      </w:r>
      <w:r w:rsidRPr="00712B16">
        <w:rPr>
          <w:rFonts w:ascii="Times New Roman" w:hAnsi="Times New Roman" w:cs="Times New Roman"/>
          <w:i/>
          <w:sz w:val="24"/>
          <w:szCs w:val="24"/>
          <w:shd w:val="clear" w:color="auto" w:fill="FFFFFF"/>
          <w:lang w:val="en-GB"/>
        </w:rPr>
        <w:t>The ESG-innovation disconnect: Evidence from green patenting</w:t>
      </w:r>
      <w:r w:rsidRPr="00712B16">
        <w:rPr>
          <w:rFonts w:ascii="Times New Roman" w:hAnsi="Times New Roman" w:cs="Times New Roman"/>
          <w:sz w:val="24"/>
          <w:szCs w:val="24"/>
          <w:shd w:val="clear" w:color="auto" w:fill="FFFFFF"/>
          <w:lang w:val="en-GB"/>
        </w:rPr>
        <w:t>. Working paper, National Bureau of Economic Research.</w:t>
      </w:r>
    </w:p>
    <w:p w14:paraId="0F076C9C" w14:textId="2ADE449C" w:rsidR="00BB29A2" w:rsidRPr="00712B16" w:rsidRDefault="00BB29A2" w:rsidP="005C3A8A">
      <w:pPr>
        <w:spacing w:after="0" w:line="240" w:lineRule="auto"/>
        <w:ind w:left="720" w:hanging="720"/>
        <w:jc w:val="both"/>
        <w:rPr>
          <w:rFonts w:ascii="Times New Roman" w:hAnsi="Times New Roman" w:cs="Times New Roman"/>
          <w:sz w:val="24"/>
          <w:szCs w:val="24"/>
          <w:shd w:val="clear" w:color="auto" w:fill="FFFFFF"/>
          <w:lang w:val="en-GB"/>
        </w:rPr>
      </w:pPr>
      <w:r w:rsidRPr="00712B16">
        <w:rPr>
          <w:rFonts w:ascii="Times New Roman" w:eastAsia="Calibri" w:hAnsi="Times New Roman" w:cs="Times New Roman"/>
          <w:sz w:val="24"/>
          <w:szCs w:val="24"/>
          <w:shd w:val="clear" w:color="auto" w:fill="FFFFFF"/>
          <w:lang w:val="en-AU" w:eastAsia="en-US"/>
        </w:rPr>
        <w:t>Cohen, S., Kadach, I., Ormazabal, G., &amp; Reichelstein, S. (2023). Executive compensation tied to ESG performance: International evidence. </w:t>
      </w:r>
      <w:r w:rsidRPr="00712B16">
        <w:rPr>
          <w:rFonts w:ascii="Times New Roman" w:eastAsia="Calibri" w:hAnsi="Times New Roman" w:cs="Times New Roman"/>
          <w:i/>
          <w:iCs/>
          <w:sz w:val="24"/>
          <w:szCs w:val="24"/>
          <w:shd w:val="clear" w:color="auto" w:fill="FFFFFF"/>
          <w:lang w:val="en-AU" w:eastAsia="en-US"/>
        </w:rPr>
        <w:t>Journal of Accounting Research</w:t>
      </w:r>
      <w:r w:rsidRPr="00712B16">
        <w:rPr>
          <w:rFonts w:ascii="Times New Roman" w:eastAsia="Calibri" w:hAnsi="Times New Roman" w:cs="Times New Roman"/>
          <w:sz w:val="24"/>
          <w:szCs w:val="24"/>
          <w:shd w:val="clear" w:color="auto" w:fill="FFFFFF"/>
          <w:lang w:val="en-AU" w:eastAsia="en-US"/>
        </w:rPr>
        <w:t>, </w:t>
      </w:r>
      <w:r w:rsidRPr="00712B16">
        <w:rPr>
          <w:rFonts w:ascii="Times New Roman" w:eastAsia="Calibri" w:hAnsi="Times New Roman" w:cs="Times New Roman"/>
          <w:i/>
          <w:iCs/>
          <w:sz w:val="24"/>
          <w:szCs w:val="24"/>
          <w:shd w:val="clear" w:color="auto" w:fill="FFFFFF"/>
          <w:lang w:val="en-AU" w:eastAsia="en-US"/>
        </w:rPr>
        <w:t>61</w:t>
      </w:r>
      <w:r w:rsidRPr="00712B16">
        <w:rPr>
          <w:rFonts w:ascii="Times New Roman" w:eastAsia="Calibri" w:hAnsi="Times New Roman" w:cs="Times New Roman"/>
          <w:sz w:val="24"/>
          <w:szCs w:val="24"/>
          <w:shd w:val="clear" w:color="auto" w:fill="FFFFFF"/>
          <w:lang w:val="en-AU" w:eastAsia="en-US"/>
        </w:rPr>
        <w:t>(3), 805-853.</w:t>
      </w:r>
    </w:p>
    <w:p w14:paraId="67D9797C" w14:textId="77777777" w:rsidR="005C3A8A" w:rsidRPr="00712B16" w:rsidRDefault="005C3A8A" w:rsidP="005C3A8A">
      <w:pPr>
        <w:spacing w:after="0" w:line="240" w:lineRule="auto"/>
        <w:ind w:left="720" w:hanging="720"/>
        <w:jc w:val="both"/>
        <w:rPr>
          <w:rFonts w:ascii="Times New Roman" w:hAnsi="Times New Roman" w:cs="Times New Roman"/>
          <w:sz w:val="24"/>
          <w:szCs w:val="24"/>
          <w:lang w:val="en-GB"/>
        </w:rPr>
      </w:pPr>
      <w:r w:rsidRPr="00712B16">
        <w:rPr>
          <w:rFonts w:ascii="Times New Roman" w:hAnsi="Times New Roman" w:cs="Times New Roman"/>
          <w:sz w:val="24"/>
          <w:szCs w:val="24"/>
          <w:shd w:val="clear" w:color="auto" w:fill="FFFFFF"/>
          <w:lang w:val="en-GB"/>
        </w:rPr>
        <w:t>Connelly, B. L., Certo, S. T., Ireland, R. D., &amp; Reutzel, C. R. (2011). Signaling theory: A review and assessment. </w:t>
      </w:r>
      <w:r w:rsidRPr="00712B16">
        <w:rPr>
          <w:rFonts w:ascii="Times New Roman" w:hAnsi="Times New Roman" w:cs="Times New Roman"/>
          <w:i/>
          <w:iCs/>
          <w:sz w:val="24"/>
          <w:szCs w:val="24"/>
          <w:shd w:val="clear" w:color="auto" w:fill="FFFFFF"/>
          <w:lang w:val="en-GB"/>
        </w:rPr>
        <w:t>Journal of Management</w:t>
      </w:r>
      <w:r w:rsidRPr="00712B16">
        <w:rPr>
          <w:rFonts w:ascii="Times New Roman" w:hAnsi="Times New Roman" w:cs="Times New Roman"/>
          <w:sz w:val="24"/>
          <w:szCs w:val="24"/>
          <w:shd w:val="clear" w:color="auto" w:fill="FFFFFF"/>
          <w:lang w:val="en-GB"/>
        </w:rPr>
        <w:t>, </w:t>
      </w:r>
      <w:r w:rsidRPr="00712B16">
        <w:rPr>
          <w:rFonts w:ascii="Times New Roman" w:hAnsi="Times New Roman" w:cs="Times New Roman"/>
          <w:i/>
          <w:iCs/>
          <w:sz w:val="24"/>
          <w:szCs w:val="24"/>
          <w:shd w:val="clear" w:color="auto" w:fill="FFFFFF"/>
          <w:lang w:val="en-GB"/>
        </w:rPr>
        <w:t>37</w:t>
      </w:r>
      <w:r w:rsidRPr="00712B16">
        <w:rPr>
          <w:rFonts w:ascii="Times New Roman" w:hAnsi="Times New Roman" w:cs="Times New Roman"/>
          <w:sz w:val="24"/>
          <w:szCs w:val="24"/>
          <w:shd w:val="clear" w:color="auto" w:fill="FFFFFF"/>
          <w:lang w:val="en-GB"/>
        </w:rPr>
        <w:t>(1), 39-67.</w:t>
      </w:r>
    </w:p>
    <w:p w14:paraId="1D167C9D" w14:textId="77777777" w:rsidR="005C3A8A" w:rsidRPr="00712B16" w:rsidRDefault="005C3A8A" w:rsidP="005C3A8A">
      <w:pPr>
        <w:pStyle w:val="EndNoteBibliography"/>
        <w:spacing w:after="0"/>
        <w:ind w:left="720" w:hanging="720"/>
        <w:jc w:val="both"/>
        <w:rPr>
          <w:rFonts w:ascii="Times New Roman" w:hAnsi="Times New Roman" w:cs="Times New Roman"/>
          <w:sz w:val="24"/>
          <w:szCs w:val="24"/>
          <w:shd w:val="clear" w:color="auto" w:fill="FFFFFF"/>
        </w:rPr>
      </w:pPr>
      <w:r w:rsidRPr="00712B16">
        <w:rPr>
          <w:rFonts w:ascii="Times New Roman" w:eastAsia="SimSun" w:hAnsi="Times New Roman" w:cs="Times New Roman"/>
          <w:sz w:val="24"/>
          <w:szCs w:val="24"/>
          <w:shd w:val="clear" w:color="auto" w:fill="FFFFFF"/>
          <w:lang w:val="en-AU"/>
        </w:rPr>
        <w:t>D’Arcangelo, F. M., Kruse, T., Pisu, M., &amp; Tomasi, M. (2023). Corporate cost of debt in the low-carbon transition: The effect of climate policies on firm financing and investment through the banking channel. </w:t>
      </w:r>
      <w:r w:rsidRPr="00712B16">
        <w:rPr>
          <w:rFonts w:ascii="Times New Roman" w:eastAsia="SimSun" w:hAnsi="Times New Roman" w:cs="Times New Roman"/>
          <w:i/>
          <w:iCs/>
          <w:sz w:val="24"/>
          <w:szCs w:val="24"/>
          <w:shd w:val="clear" w:color="auto" w:fill="FFFFFF"/>
          <w:lang w:val="en-AU"/>
        </w:rPr>
        <w:t>Available at SSRN 4691593</w:t>
      </w:r>
      <w:r w:rsidRPr="00712B16">
        <w:rPr>
          <w:rFonts w:ascii="Times New Roman" w:eastAsia="SimSun" w:hAnsi="Times New Roman" w:cs="Times New Roman"/>
          <w:sz w:val="24"/>
          <w:szCs w:val="24"/>
          <w:shd w:val="clear" w:color="auto" w:fill="FFFFFF"/>
          <w:lang w:val="en-AU"/>
        </w:rPr>
        <w:t>.</w:t>
      </w:r>
    </w:p>
    <w:p w14:paraId="02B76277" w14:textId="77777777" w:rsidR="005C3A8A" w:rsidRPr="00712B16" w:rsidRDefault="005C3A8A" w:rsidP="005C3A8A">
      <w:pPr>
        <w:spacing w:after="0" w:line="240" w:lineRule="auto"/>
        <w:ind w:left="720" w:hanging="720"/>
        <w:jc w:val="both"/>
        <w:rPr>
          <w:rFonts w:ascii="Times New Roman" w:hAnsi="Times New Roman" w:cs="Times New Roman"/>
          <w:sz w:val="24"/>
          <w:szCs w:val="24"/>
          <w:lang w:val="en-GB"/>
        </w:rPr>
      </w:pPr>
      <w:r w:rsidRPr="00712B16">
        <w:rPr>
          <w:rFonts w:ascii="Times New Roman" w:hAnsi="Times New Roman" w:cs="Times New Roman"/>
          <w:sz w:val="24"/>
          <w:szCs w:val="24"/>
          <w:shd w:val="clear" w:color="auto" w:fill="FFFFFF"/>
        </w:rPr>
        <w:t>Dechow, P. M., &amp; Sloan, R. G. (1991). Executive incentives and the horizon problem: An empirical investigation. </w:t>
      </w:r>
      <w:r w:rsidRPr="00712B16">
        <w:rPr>
          <w:rFonts w:ascii="Times New Roman" w:hAnsi="Times New Roman" w:cs="Times New Roman"/>
          <w:i/>
          <w:iCs/>
          <w:sz w:val="24"/>
          <w:szCs w:val="24"/>
          <w:shd w:val="clear" w:color="auto" w:fill="FFFFFF"/>
        </w:rPr>
        <w:t>Journal of Accounting and Economics</w:t>
      </w:r>
      <w:r w:rsidRPr="00712B16">
        <w:rPr>
          <w:rFonts w:ascii="Times New Roman" w:hAnsi="Times New Roman" w:cs="Times New Roman"/>
          <w:sz w:val="24"/>
          <w:szCs w:val="24"/>
          <w:shd w:val="clear" w:color="auto" w:fill="FFFFFF"/>
        </w:rPr>
        <w:t>, </w:t>
      </w:r>
      <w:r w:rsidRPr="00712B16">
        <w:rPr>
          <w:rFonts w:ascii="Times New Roman" w:hAnsi="Times New Roman" w:cs="Times New Roman"/>
          <w:i/>
          <w:iCs/>
          <w:sz w:val="24"/>
          <w:szCs w:val="24"/>
          <w:shd w:val="clear" w:color="auto" w:fill="FFFFFF"/>
        </w:rPr>
        <w:t>14</w:t>
      </w:r>
      <w:r w:rsidRPr="00712B16">
        <w:rPr>
          <w:rFonts w:ascii="Times New Roman" w:hAnsi="Times New Roman" w:cs="Times New Roman"/>
          <w:sz w:val="24"/>
          <w:szCs w:val="24"/>
          <w:shd w:val="clear" w:color="auto" w:fill="FFFFFF"/>
        </w:rPr>
        <w:t>(1), 51-89.</w:t>
      </w:r>
    </w:p>
    <w:p w14:paraId="50491106" w14:textId="77777777" w:rsidR="005C3A8A" w:rsidRPr="00712B16" w:rsidRDefault="005C3A8A" w:rsidP="005C3A8A">
      <w:pPr>
        <w:spacing w:after="0" w:line="240" w:lineRule="auto"/>
        <w:ind w:left="720" w:hanging="720"/>
        <w:jc w:val="both"/>
        <w:rPr>
          <w:rFonts w:ascii="Times New Roman" w:hAnsi="Times New Roman" w:cs="Times New Roman"/>
          <w:sz w:val="24"/>
          <w:szCs w:val="24"/>
        </w:rPr>
      </w:pPr>
      <w:r w:rsidRPr="00712B16">
        <w:rPr>
          <w:rFonts w:ascii="Times New Roman" w:hAnsi="Times New Roman" w:cs="Times New Roman"/>
          <w:sz w:val="24"/>
          <w:szCs w:val="24"/>
          <w:shd w:val="clear" w:color="auto" w:fill="FFFFFF"/>
          <w:lang w:val="en-GB"/>
        </w:rPr>
        <w:t>Dechow, P. M., Sloan, R. G., &amp; Sweeney, A. P. (1995). Detecting earnings management. </w:t>
      </w:r>
      <w:r w:rsidRPr="00712B16">
        <w:rPr>
          <w:rFonts w:ascii="Times New Roman" w:hAnsi="Times New Roman" w:cs="Times New Roman"/>
          <w:i/>
          <w:sz w:val="24"/>
          <w:szCs w:val="24"/>
          <w:shd w:val="clear" w:color="auto" w:fill="FFFFFF"/>
          <w:lang w:val="en-GB"/>
        </w:rPr>
        <w:t xml:space="preserve">The </w:t>
      </w:r>
      <w:r w:rsidRPr="00712B16">
        <w:rPr>
          <w:rFonts w:ascii="Times New Roman" w:hAnsi="Times New Roman" w:cs="Times New Roman"/>
          <w:i/>
          <w:iCs/>
          <w:sz w:val="24"/>
          <w:szCs w:val="24"/>
          <w:shd w:val="clear" w:color="auto" w:fill="FFFFFF"/>
          <w:lang w:val="en-GB"/>
        </w:rPr>
        <w:t>Accounting Review</w:t>
      </w:r>
      <w:r w:rsidRPr="00712B16">
        <w:rPr>
          <w:rFonts w:ascii="Times New Roman" w:hAnsi="Times New Roman" w:cs="Times New Roman"/>
          <w:i/>
          <w:sz w:val="24"/>
          <w:szCs w:val="24"/>
          <w:shd w:val="clear" w:color="auto" w:fill="FFFFFF"/>
          <w:lang w:val="en-GB"/>
        </w:rPr>
        <w:t>,</w:t>
      </w:r>
      <w:r w:rsidRPr="00712B16">
        <w:rPr>
          <w:rFonts w:ascii="Times New Roman" w:hAnsi="Times New Roman" w:cs="Times New Roman"/>
          <w:sz w:val="24"/>
          <w:szCs w:val="24"/>
          <w:shd w:val="clear" w:color="auto" w:fill="FFFFFF"/>
          <w:lang w:val="en-GB"/>
        </w:rPr>
        <w:t xml:space="preserve"> 193-225.</w:t>
      </w:r>
    </w:p>
    <w:p w14:paraId="1E1EE9F4" w14:textId="77777777" w:rsidR="005C3A8A" w:rsidRPr="00712B16" w:rsidRDefault="005C3A8A" w:rsidP="005C3A8A">
      <w:pPr>
        <w:pStyle w:val="EndNoteBibliography"/>
        <w:spacing w:after="0"/>
        <w:ind w:left="720" w:hanging="720"/>
        <w:jc w:val="both"/>
        <w:rPr>
          <w:rFonts w:ascii="Times New Roman" w:hAnsi="Times New Roman" w:cs="Times New Roman"/>
          <w:sz w:val="24"/>
          <w:szCs w:val="24"/>
          <w:shd w:val="clear" w:color="auto" w:fill="FFFFFF"/>
        </w:rPr>
      </w:pPr>
      <w:r w:rsidRPr="00712B16">
        <w:rPr>
          <w:rFonts w:ascii="Times New Roman" w:hAnsi="Times New Roman" w:cs="Times New Roman"/>
          <w:sz w:val="24"/>
          <w:szCs w:val="24"/>
          <w:shd w:val="clear" w:color="auto" w:fill="FFFFFF"/>
        </w:rPr>
        <w:t>Dehghani-Sanij, A., &amp; Bahadori, M. N. (2021). Ice-houses: Energy, architecture, and sustainability.</w:t>
      </w:r>
    </w:p>
    <w:p w14:paraId="2301E6CC" w14:textId="77777777" w:rsidR="005C3A8A" w:rsidRPr="00712B16" w:rsidRDefault="005C3A8A" w:rsidP="005C3A8A">
      <w:pPr>
        <w:pStyle w:val="EndNoteBibliography"/>
        <w:spacing w:after="0"/>
        <w:ind w:left="720" w:hanging="720"/>
        <w:jc w:val="both"/>
        <w:rPr>
          <w:rFonts w:ascii="Times New Roman" w:hAnsi="Times New Roman" w:cs="Times New Roman"/>
          <w:sz w:val="24"/>
          <w:szCs w:val="24"/>
        </w:rPr>
      </w:pPr>
      <w:r w:rsidRPr="00712B16">
        <w:rPr>
          <w:rFonts w:ascii="Times New Roman" w:eastAsia="SimSun" w:hAnsi="Times New Roman" w:cs="Times New Roman"/>
          <w:sz w:val="24"/>
          <w:szCs w:val="24"/>
          <w:shd w:val="clear" w:color="auto" w:fill="FFFFFF"/>
          <w:lang w:val="en-AU"/>
        </w:rPr>
        <w:t>DiMaggio, P. J., &amp; Powell, W. W. (1983). The iron cage revisited: Institutional isomorphism and collective rationality in organizational fields. </w:t>
      </w:r>
      <w:r w:rsidRPr="00712B16">
        <w:rPr>
          <w:rFonts w:ascii="Times New Roman" w:eastAsia="SimSun" w:hAnsi="Times New Roman" w:cs="Times New Roman"/>
          <w:i/>
          <w:iCs/>
          <w:sz w:val="24"/>
          <w:szCs w:val="24"/>
          <w:shd w:val="clear" w:color="auto" w:fill="FFFFFF"/>
          <w:lang w:val="en-AU"/>
        </w:rPr>
        <w:t>American Sociological Review</w:t>
      </w:r>
      <w:r w:rsidRPr="00712B16">
        <w:rPr>
          <w:rFonts w:ascii="Times New Roman" w:eastAsia="SimSun" w:hAnsi="Times New Roman" w:cs="Times New Roman"/>
          <w:sz w:val="24"/>
          <w:szCs w:val="24"/>
          <w:shd w:val="clear" w:color="auto" w:fill="FFFFFF"/>
          <w:lang w:val="en-AU"/>
        </w:rPr>
        <w:t>, </w:t>
      </w:r>
      <w:r w:rsidRPr="00712B16">
        <w:rPr>
          <w:rFonts w:ascii="Times New Roman" w:eastAsia="SimSun" w:hAnsi="Times New Roman" w:cs="Times New Roman"/>
          <w:i/>
          <w:iCs/>
          <w:sz w:val="24"/>
          <w:szCs w:val="24"/>
          <w:shd w:val="clear" w:color="auto" w:fill="FFFFFF"/>
          <w:lang w:val="en-AU"/>
        </w:rPr>
        <w:t>48</w:t>
      </w:r>
      <w:r w:rsidRPr="00712B16">
        <w:rPr>
          <w:rFonts w:ascii="Times New Roman" w:eastAsia="SimSun" w:hAnsi="Times New Roman" w:cs="Times New Roman"/>
          <w:sz w:val="24"/>
          <w:szCs w:val="24"/>
          <w:shd w:val="clear" w:color="auto" w:fill="FFFFFF"/>
          <w:lang w:val="en-AU"/>
        </w:rPr>
        <w:t>(2), 147-160.</w:t>
      </w:r>
    </w:p>
    <w:p w14:paraId="1AFFD995" w14:textId="0E2B0618" w:rsidR="005C3A8A" w:rsidRPr="00712B16" w:rsidRDefault="005C3A8A" w:rsidP="005C3A8A">
      <w:pPr>
        <w:pStyle w:val="EndNoteBibliography"/>
        <w:spacing w:after="0"/>
        <w:ind w:left="720" w:hanging="720"/>
        <w:jc w:val="both"/>
        <w:rPr>
          <w:rFonts w:ascii="Times New Roman" w:hAnsi="Times New Roman" w:cs="Times New Roman"/>
          <w:sz w:val="24"/>
          <w:szCs w:val="24"/>
          <w:shd w:val="clear" w:color="auto" w:fill="FFFFFF"/>
        </w:rPr>
      </w:pPr>
      <w:r w:rsidRPr="00712B16">
        <w:rPr>
          <w:rFonts w:ascii="Times New Roman" w:hAnsi="Times New Roman" w:cs="Times New Roman"/>
          <w:sz w:val="24"/>
          <w:szCs w:val="24"/>
          <w:shd w:val="clear" w:color="auto" w:fill="FFFFFF"/>
        </w:rPr>
        <w:t>Do, V., Nguyen, T. H., Truong, C., &amp; Vu, T. (2021). Is drought risk priced in private debt contracts?. </w:t>
      </w:r>
      <w:r w:rsidRPr="00712B16">
        <w:rPr>
          <w:rFonts w:ascii="Times New Roman" w:hAnsi="Times New Roman" w:cs="Times New Roman"/>
          <w:i/>
          <w:iCs/>
          <w:sz w:val="24"/>
          <w:szCs w:val="24"/>
          <w:shd w:val="clear" w:color="auto" w:fill="FFFFFF"/>
        </w:rPr>
        <w:t>International Review of Finance</w:t>
      </w:r>
      <w:r w:rsidRPr="00712B16">
        <w:rPr>
          <w:rFonts w:ascii="Times New Roman" w:hAnsi="Times New Roman" w:cs="Times New Roman"/>
          <w:sz w:val="24"/>
          <w:szCs w:val="24"/>
          <w:shd w:val="clear" w:color="auto" w:fill="FFFFFF"/>
        </w:rPr>
        <w:t>, </w:t>
      </w:r>
      <w:r w:rsidRPr="00712B16">
        <w:rPr>
          <w:rFonts w:ascii="Times New Roman" w:hAnsi="Times New Roman" w:cs="Times New Roman"/>
          <w:i/>
          <w:iCs/>
          <w:sz w:val="24"/>
          <w:szCs w:val="24"/>
          <w:shd w:val="clear" w:color="auto" w:fill="FFFFFF"/>
        </w:rPr>
        <w:t>21</w:t>
      </w:r>
      <w:r w:rsidRPr="00712B16">
        <w:rPr>
          <w:rFonts w:ascii="Times New Roman" w:hAnsi="Times New Roman" w:cs="Times New Roman"/>
          <w:sz w:val="24"/>
          <w:szCs w:val="24"/>
          <w:shd w:val="clear" w:color="auto" w:fill="FFFFFF"/>
        </w:rPr>
        <w:t>(2), 724-737.</w:t>
      </w:r>
    </w:p>
    <w:p w14:paraId="23959159" w14:textId="1E9F5DDD" w:rsidR="00575DE9" w:rsidRPr="00712B16" w:rsidRDefault="00575DE9" w:rsidP="005C3A8A">
      <w:pPr>
        <w:pStyle w:val="EndNoteBibliography"/>
        <w:spacing w:after="0"/>
        <w:ind w:left="720" w:hanging="720"/>
        <w:jc w:val="both"/>
        <w:rPr>
          <w:rFonts w:ascii="Times New Roman" w:hAnsi="Times New Roman" w:cs="Times New Roman"/>
          <w:sz w:val="24"/>
          <w:szCs w:val="24"/>
        </w:rPr>
      </w:pPr>
      <w:r w:rsidRPr="00712B16">
        <w:rPr>
          <w:rFonts w:ascii="Times New Roman" w:eastAsia="Calibri" w:hAnsi="Times New Roman" w:cs="Times New Roman"/>
          <w:sz w:val="24"/>
          <w:szCs w:val="24"/>
          <w:shd w:val="clear" w:color="auto" w:fill="FFFFFF"/>
          <w:lang w:val="en-AU" w:eastAsia="en-US"/>
        </w:rPr>
        <w:t>Dyck, A., Lins, K. V., Roth, L., &amp; Wagner, H. F. (2019). Do institutional investors drive corporate social responsibility? International evidence. </w:t>
      </w:r>
      <w:r w:rsidRPr="00712B16">
        <w:rPr>
          <w:rFonts w:ascii="Times New Roman" w:eastAsia="Calibri" w:hAnsi="Times New Roman" w:cs="Times New Roman"/>
          <w:i/>
          <w:iCs/>
          <w:sz w:val="24"/>
          <w:szCs w:val="24"/>
          <w:shd w:val="clear" w:color="auto" w:fill="FFFFFF"/>
          <w:lang w:val="en-AU" w:eastAsia="en-US"/>
        </w:rPr>
        <w:t>Journal of Financial Economics</w:t>
      </w:r>
      <w:r w:rsidRPr="00712B16">
        <w:rPr>
          <w:rFonts w:ascii="Times New Roman" w:eastAsia="Calibri" w:hAnsi="Times New Roman" w:cs="Times New Roman"/>
          <w:sz w:val="24"/>
          <w:szCs w:val="24"/>
          <w:shd w:val="clear" w:color="auto" w:fill="FFFFFF"/>
          <w:lang w:val="en-AU" w:eastAsia="en-US"/>
        </w:rPr>
        <w:t>, </w:t>
      </w:r>
      <w:r w:rsidRPr="00712B16">
        <w:rPr>
          <w:rFonts w:ascii="Times New Roman" w:eastAsia="Calibri" w:hAnsi="Times New Roman" w:cs="Times New Roman"/>
          <w:i/>
          <w:iCs/>
          <w:sz w:val="24"/>
          <w:szCs w:val="24"/>
          <w:shd w:val="clear" w:color="auto" w:fill="FFFFFF"/>
          <w:lang w:val="en-AU" w:eastAsia="en-US"/>
        </w:rPr>
        <w:t>131</w:t>
      </w:r>
      <w:r w:rsidRPr="00712B16">
        <w:rPr>
          <w:rFonts w:ascii="Times New Roman" w:eastAsia="Calibri" w:hAnsi="Times New Roman" w:cs="Times New Roman"/>
          <w:sz w:val="24"/>
          <w:szCs w:val="24"/>
          <w:shd w:val="clear" w:color="auto" w:fill="FFFFFF"/>
          <w:lang w:val="en-AU" w:eastAsia="en-US"/>
        </w:rPr>
        <w:t>(3), 693-714.</w:t>
      </w:r>
    </w:p>
    <w:p w14:paraId="644AE8D1" w14:textId="77777777" w:rsidR="005C3A8A" w:rsidRPr="00712B16" w:rsidRDefault="005C3A8A" w:rsidP="005C3A8A">
      <w:pPr>
        <w:pStyle w:val="EndNoteBibliography"/>
        <w:spacing w:after="0"/>
        <w:ind w:left="720" w:hanging="720"/>
        <w:jc w:val="both"/>
        <w:rPr>
          <w:rFonts w:ascii="Times New Roman" w:hAnsi="Times New Roman" w:cs="Times New Roman"/>
          <w:sz w:val="24"/>
          <w:szCs w:val="24"/>
        </w:rPr>
      </w:pPr>
      <w:r w:rsidRPr="00712B16">
        <w:rPr>
          <w:rFonts w:ascii="Times New Roman" w:hAnsi="Times New Roman" w:cs="Times New Roman"/>
          <w:sz w:val="24"/>
          <w:szCs w:val="24"/>
        </w:rPr>
        <w:t xml:space="preserve">Energetics (2021). </w:t>
      </w:r>
      <w:r w:rsidRPr="00712B16">
        <w:rPr>
          <w:rFonts w:ascii="Times New Roman" w:hAnsi="Times New Roman" w:cs="Times New Roman"/>
          <w:i/>
          <w:sz w:val="24"/>
          <w:szCs w:val="24"/>
        </w:rPr>
        <w:t>Net zero commitments: what role are investors playing?</w:t>
      </w:r>
      <w:r w:rsidRPr="00712B16">
        <w:rPr>
          <w:rFonts w:ascii="Times New Roman" w:hAnsi="Times New Roman" w:cs="Times New Roman"/>
          <w:sz w:val="24"/>
          <w:szCs w:val="24"/>
        </w:rPr>
        <w:t>. Available at: https://www.energetics.com.au/insights/thought-leadership/net-zero-commitments-what-role-are-investors-playing/</w:t>
      </w:r>
    </w:p>
    <w:p w14:paraId="28D282E7" w14:textId="1A9FB7B4" w:rsidR="005C3A8A" w:rsidRPr="00712B16" w:rsidRDefault="005C3A8A" w:rsidP="005C3A8A">
      <w:pPr>
        <w:pStyle w:val="EndNoteBibliography"/>
        <w:spacing w:after="0"/>
        <w:ind w:left="720" w:hanging="720"/>
        <w:jc w:val="both"/>
        <w:rPr>
          <w:rFonts w:ascii="Times New Roman" w:hAnsi="Times New Roman" w:cs="Times New Roman"/>
          <w:sz w:val="24"/>
          <w:szCs w:val="24"/>
        </w:rPr>
      </w:pPr>
      <w:r w:rsidRPr="00712B16">
        <w:rPr>
          <w:rFonts w:ascii="Times New Roman" w:hAnsi="Times New Roman" w:cs="Times New Roman"/>
          <w:sz w:val="24"/>
          <w:szCs w:val="24"/>
        </w:rPr>
        <w:t xml:space="preserve">Energy &amp; Climate Intelligence Unit (2022). </w:t>
      </w:r>
      <w:r w:rsidRPr="00712B16">
        <w:rPr>
          <w:rFonts w:ascii="Times New Roman" w:hAnsi="Times New Roman" w:cs="Times New Roman"/>
          <w:i/>
          <w:sz w:val="24"/>
          <w:szCs w:val="24"/>
        </w:rPr>
        <w:t>Net Zero Scorecard</w:t>
      </w:r>
      <w:r w:rsidRPr="00712B16">
        <w:rPr>
          <w:rFonts w:ascii="Times New Roman" w:hAnsi="Times New Roman" w:cs="Times New Roman"/>
          <w:sz w:val="24"/>
          <w:szCs w:val="24"/>
        </w:rPr>
        <w:t>. Available at: https://eciu.net/netzerotracker</w:t>
      </w:r>
    </w:p>
    <w:p w14:paraId="7C572B29" w14:textId="6CE43801" w:rsidR="009B14D7" w:rsidRPr="00712B16" w:rsidRDefault="00304190" w:rsidP="005C3A8A">
      <w:pPr>
        <w:pStyle w:val="EndNoteBibliography"/>
        <w:spacing w:after="0"/>
        <w:ind w:left="720" w:hanging="720"/>
        <w:jc w:val="both"/>
        <w:rPr>
          <w:rFonts w:ascii="Times New Roman" w:hAnsi="Times New Roman" w:cs="Times New Roman"/>
          <w:sz w:val="24"/>
          <w:szCs w:val="24"/>
        </w:rPr>
      </w:pPr>
      <w:bookmarkStart w:id="66" w:name="_Hlk215130016"/>
      <w:r w:rsidRPr="00712B16">
        <w:rPr>
          <w:rFonts w:ascii="Times New Roman" w:eastAsia="Calibri" w:hAnsi="Times New Roman" w:cs="Times New Roman"/>
          <w:sz w:val="24"/>
          <w:szCs w:val="24"/>
          <w:shd w:val="clear" w:color="auto" w:fill="FFFFFF"/>
          <w:lang w:val="en-US" w:eastAsia="en-US"/>
        </w:rPr>
        <w:t xml:space="preserve">European Commission. (2020). </w:t>
      </w:r>
      <w:r w:rsidRPr="00712B16">
        <w:rPr>
          <w:rFonts w:ascii="Times New Roman" w:eastAsia="Calibri" w:hAnsi="Times New Roman" w:cs="Times New Roman"/>
          <w:i/>
          <w:iCs/>
          <w:sz w:val="24"/>
          <w:szCs w:val="24"/>
          <w:shd w:val="clear" w:color="auto" w:fill="FFFFFF"/>
          <w:lang w:val="en-US" w:eastAsia="en-US"/>
        </w:rPr>
        <w:t>National energy and climate plans</w:t>
      </w:r>
      <w:r w:rsidRPr="00712B16">
        <w:rPr>
          <w:rFonts w:ascii="Times New Roman" w:eastAsia="Calibri" w:hAnsi="Times New Roman" w:cs="Times New Roman"/>
          <w:sz w:val="24"/>
          <w:szCs w:val="24"/>
          <w:shd w:val="clear" w:color="auto" w:fill="FFFFFF"/>
          <w:lang w:val="en-US" w:eastAsia="en-US"/>
        </w:rPr>
        <w:t xml:space="preserve">. </w:t>
      </w:r>
      <w:hyperlink r:id="rId13" w:history="1">
        <w:r w:rsidRPr="00712B16">
          <w:rPr>
            <w:rFonts w:ascii="Times New Roman" w:eastAsia="Calibri" w:hAnsi="Times New Roman" w:cs="Times New Roman"/>
            <w:sz w:val="24"/>
            <w:szCs w:val="24"/>
            <w:u w:val="single"/>
            <w:shd w:val="clear" w:color="auto" w:fill="FFFFFF"/>
            <w:lang w:val="en-US" w:eastAsia="en-US"/>
          </w:rPr>
          <w:t>https://commission.europa.eu/energy-climate-change-environment/implementation-eu-countries/energy-and-climate-governance-and-reporting/national-energy-and-climate-plans_en</w:t>
        </w:r>
      </w:hyperlink>
      <w:bookmarkEnd w:id="66"/>
    </w:p>
    <w:p w14:paraId="27397151" w14:textId="61BD064B" w:rsidR="00BE7D0B" w:rsidRPr="00712B16" w:rsidRDefault="00BE7D0B" w:rsidP="005C3A8A">
      <w:pPr>
        <w:pStyle w:val="EndNoteBibliography"/>
        <w:spacing w:after="0"/>
        <w:ind w:left="720" w:hanging="720"/>
        <w:jc w:val="both"/>
        <w:rPr>
          <w:rFonts w:ascii="Times New Roman" w:hAnsi="Times New Roman" w:cs="Times New Roman"/>
          <w:sz w:val="24"/>
          <w:szCs w:val="24"/>
        </w:rPr>
      </w:pPr>
      <w:r w:rsidRPr="00712B16">
        <w:rPr>
          <w:rFonts w:ascii="Times New Roman" w:eastAsia="Calibri" w:hAnsi="Times New Roman" w:cs="Times New Roman"/>
          <w:sz w:val="24"/>
          <w:szCs w:val="24"/>
          <w:shd w:val="clear" w:color="auto" w:fill="FFFFFF"/>
          <w:lang w:val="en-AU" w:eastAsia="en-US"/>
        </w:rPr>
        <w:t>Ferrell, A., Liang, H., &amp; Renneboog, L. (2016). Socially responsible firms. </w:t>
      </w:r>
      <w:r w:rsidRPr="00712B16">
        <w:rPr>
          <w:rFonts w:ascii="Times New Roman" w:eastAsia="Calibri" w:hAnsi="Times New Roman" w:cs="Times New Roman"/>
          <w:i/>
          <w:iCs/>
          <w:sz w:val="24"/>
          <w:szCs w:val="24"/>
          <w:shd w:val="clear" w:color="auto" w:fill="FFFFFF"/>
          <w:lang w:val="en-AU" w:eastAsia="en-US"/>
        </w:rPr>
        <w:t>Journal of Financial Economics</w:t>
      </w:r>
      <w:r w:rsidRPr="00712B16">
        <w:rPr>
          <w:rFonts w:ascii="Times New Roman" w:eastAsia="Calibri" w:hAnsi="Times New Roman" w:cs="Times New Roman"/>
          <w:sz w:val="24"/>
          <w:szCs w:val="24"/>
          <w:shd w:val="clear" w:color="auto" w:fill="FFFFFF"/>
          <w:lang w:val="en-AU" w:eastAsia="en-US"/>
        </w:rPr>
        <w:t>, </w:t>
      </w:r>
      <w:r w:rsidRPr="00712B16">
        <w:rPr>
          <w:rFonts w:ascii="Times New Roman" w:eastAsia="Calibri" w:hAnsi="Times New Roman" w:cs="Times New Roman"/>
          <w:i/>
          <w:iCs/>
          <w:sz w:val="24"/>
          <w:szCs w:val="24"/>
          <w:shd w:val="clear" w:color="auto" w:fill="FFFFFF"/>
          <w:lang w:val="en-AU" w:eastAsia="en-US"/>
        </w:rPr>
        <w:t>122</w:t>
      </w:r>
      <w:r w:rsidRPr="00712B16">
        <w:rPr>
          <w:rFonts w:ascii="Times New Roman" w:eastAsia="Calibri" w:hAnsi="Times New Roman" w:cs="Times New Roman"/>
          <w:sz w:val="24"/>
          <w:szCs w:val="24"/>
          <w:shd w:val="clear" w:color="auto" w:fill="FFFFFF"/>
          <w:lang w:val="en-AU" w:eastAsia="en-US"/>
        </w:rPr>
        <w:t>(3), 585-606.</w:t>
      </w:r>
    </w:p>
    <w:p w14:paraId="7954B3AD" w14:textId="77777777" w:rsidR="005C3A8A" w:rsidRPr="00712B16" w:rsidRDefault="005C3A8A" w:rsidP="005C3A8A">
      <w:pPr>
        <w:pStyle w:val="EndNoteBibliography"/>
        <w:spacing w:after="0"/>
        <w:ind w:left="720" w:hanging="720"/>
        <w:jc w:val="both"/>
        <w:rPr>
          <w:rFonts w:ascii="Times New Roman" w:hAnsi="Times New Roman" w:cs="Times New Roman"/>
          <w:sz w:val="24"/>
          <w:szCs w:val="24"/>
          <w:lang w:val="en-AU"/>
        </w:rPr>
      </w:pPr>
      <w:r w:rsidRPr="00712B16">
        <w:rPr>
          <w:rFonts w:ascii="Times New Roman" w:eastAsia="Calibri" w:hAnsi="Times New Roman" w:cs="Times New Roman"/>
          <w:sz w:val="24"/>
          <w:szCs w:val="24"/>
          <w:shd w:val="clear" w:color="auto" w:fill="FFFFFF"/>
          <w:lang w:val="en-AU" w:eastAsia="en-US"/>
        </w:rPr>
        <w:t>Francis, J., LaFond, R., Olsson, P. M., &amp; Schipper, K. (2004). Costs of equity and earnings attributes. </w:t>
      </w:r>
      <w:r w:rsidRPr="00712B16">
        <w:rPr>
          <w:rFonts w:ascii="Times New Roman" w:eastAsia="Calibri" w:hAnsi="Times New Roman" w:cs="Times New Roman"/>
          <w:i/>
          <w:iCs/>
          <w:sz w:val="24"/>
          <w:szCs w:val="24"/>
          <w:shd w:val="clear" w:color="auto" w:fill="FFFFFF"/>
          <w:lang w:val="en-AU" w:eastAsia="en-US"/>
        </w:rPr>
        <w:t>The Accounting Review</w:t>
      </w:r>
      <w:r w:rsidRPr="00712B16">
        <w:rPr>
          <w:rFonts w:ascii="Times New Roman" w:eastAsia="Calibri" w:hAnsi="Times New Roman" w:cs="Times New Roman"/>
          <w:sz w:val="24"/>
          <w:szCs w:val="24"/>
          <w:shd w:val="clear" w:color="auto" w:fill="FFFFFF"/>
          <w:lang w:val="en-AU" w:eastAsia="en-US"/>
        </w:rPr>
        <w:t>, </w:t>
      </w:r>
      <w:r w:rsidRPr="00712B16">
        <w:rPr>
          <w:rFonts w:ascii="Times New Roman" w:eastAsia="Calibri" w:hAnsi="Times New Roman" w:cs="Times New Roman"/>
          <w:i/>
          <w:iCs/>
          <w:sz w:val="24"/>
          <w:szCs w:val="24"/>
          <w:shd w:val="clear" w:color="auto" w:fill="FFFFFF"/>
          <w:lang w:val="en-AU" w:eastAsia="en-US"/>
        </w:rPr>
        <w:t>79</w:t>
      </w:r>
      <w:r w:rsidRPr="00712B16">
        <w:rPr>
          <w:rFonts w:ascii="Times New Roman" w:eastAsia="Calibri" w:hAnsi="Times New Roman" w:cs="Times New Roman"/>
          <w:sz w:val="24"/>
          <w:szCs w:val="24"/>
          <w:shd w:val="clear" w:color="auto" w:fill="FFFFFF"/>
          <w:lang w:val="en-AU" w:eastAsia="en-US"/>
        </w:rPr>
        <w:t>(4), 967-1010.</w:t>
      </w:r>
    </w:p>
    <w:p w14:paraId="417DE763" w14:textId="77777777" w:rsidR="005C3A8A" w:rsidRPr="00712B16" w:rsidRDefault="005C3A8A" w:rsidP="005C3A8A">
      <w:pPr>
        <w:pStyle w:val="EndNoteBibliography"/>
        <w:spacing w:after="0"/>
        <w:ind w:left="720" w:hanging="720"/>
        <w:jc w:val="both"/>
        <w:rPr>
          <w:rFonts w:ascii="Times New Roman" w:hAnsi="Times New Roman" w:cs="Times New Roman"/>
          <w:sz w:val="24"/>
          <w:szCs w:val="24"/>
          <w:shd w:val="clear" w:color="auto" w:fill="FFFFFF"/>
        </w:rPr>
      </w:pPr>
      <w:r w:rsidRPr="00712B16">
        <w:rPr>
          <w:rFonts w:ascii="Times New Roman" w:hAnsi="Times New Roman" w:cs="Times New Roman"/>
          <w:sz w:val="24"/>
          <w:szCs w:val="24"/>
          <w:shd w:val="clear" w:color="auto" w:fill="FFFFFF"/>
        </w:rPr>
        <w:t>Garg, M. (2018). The effect of internal control certification regulatory changes on real and accrual-based earnings management. </w:t>
      </w:r>
      <w:r w:rsidRPr="00712B16">
        <w:rPr>
          <w:rFonts w:ascii="Times New Roman" w:hAnsi="Times New Roman" w:cs="Times New Roman"/>
          <w:i/>
          <w:iCs/>
          <w:sz w:val="24"/>
          <w:szCs w:val="24"/>
          <w:shd w:val="clear" w:color="auto" w:fill="FFFFFF"/>
        </w:rPr>
        <w:t>European Accounting Review</w:t>
      </w:r>
      <w:r w:rsidRPr="00712B16">
        <w:rPr>
          <w:rFonts w:ascii="Times New Roman" w:hAnsi="Times New Roman" w:cs="Times New Roman"/>
          <w:sz w:val="24"/>
          <w:szCs w:val="24"/>
          <w:shd w:val="clear" w:color="auto" w:fill="FFFFFF"/>
        </w:rPr>
        <w:t>, </w:t>
      </w:r>
      <w:r w:rsidRPr="00712B16">
        <w:rPr>
          <w:rFonts w:ascii="Times New Roman" w:hAnsi="Times New Roman" w:cs="Times New Roman"/>
          <w:i/>
          <w:iCs/>
          <w:sz w:val="24"/>
          <w:szCs w:val="24"/>
          <w:shd w:val="clear" w:color="auto" w:fill="FFFFFF"/>
        </w:rPr>
        <w:t>27</w:t>
      </w:r>
      <w:r w:rsidRPr="00712B16">
        <w:rPr>
          <w:rFonts w:ascii="Times New Roman" w:hAnsi="Times New Roman" w:cs="Times New Roman"/>
          <w:sz w:val="24"/>
          <w:szCs w:val="24"/>
          <w:shd w:val="clear" w:color="auto" w:fill="FFFFFF"/>
        </w:rPr>
        <w:t>(5), 817-844.</w:t>
      </w:r>
    </w:p>
    <w:p w14:paraId="16229E67" w14:textId="77777777" w:rsidR="005C3A8A" w:rsidRPr="00712B16" w:rsidRDefault="005C3A8A" w:rsidP="005C3A8A">
      <w:pPr>
        <w:pStyle w:val="EndNoteBibliography"/>
        <w:spacing w:after="0"/>
        <w:ind w:left="720" w:hanging="720"/>
        <w:jc w:val="both"/>
        <w:rPr>
          <w:rFonts w:ascii="Times New Roman" w:hAnsi="Times New Roman" w:cs="Times New Roman"/>
          <w:sz w:val="24"/>
          <w:szCs w:val="24"/>
        </w:rPr>
      </w:pPr>
      <w:r w:rsidRPr="00712B16">
        <w:rPr>
          <w:rFonts w:ascii="Times New Roman" w:hAnsi="Times New Roman" w:cs="Times New Roman"/>
          <w:sz w:val="24"/>
          <w:szCs w:val="24"/>
          <w:lang w:val="en-US"/>
        </w:rPr>
        <w:t>Ghaleb, B. A. A., Kamardin, H., &amp; Al-Qadasi, A. A. (2020). Internal audit function and real earnings management practices in an emerging market. </w:t>
      </w:r>
      <w:r w:rsidRPr="00712B16">
        <w:rPr>
          <w:rFonts w:ascii="Times New Roman" w:hAnsi="Times New Roman" w:cs="Times New Roman"/>
          <w:i/>
          <w:iCs/>
          <w:sz w:val="24"/>
          <w:szCs w:val="24"/>
          <w:lang w:val="en-US"/>
        </w:rPr>
        <w:t>Meditari Accountancy Research</w:t>
      </w:r>
      <w:r w:rsidRPr="00712B16">
        <w:rPr>
          <w:rFonts w:ascii="Times New Roman" w:hAnsi="Times New Roman" w:cs="Times New Roman"/>
          <w:sz w:val="24"/>
          <w:szCs w:val="24"/>
          <w:lang w:val="en-US"/>
        </w:rPr>
        <w:t>, </w:t>
      </w:r>
      <w:r w:rsidRPr="00712B16">
        <w:rPr>
          <w:rFonts w:ascii="Times New Roman" w:hAnsi="Times New Roman" w:cs="Times New Roman"/>
          <w:i/>
          <w:iCs/>
          <w:sz w:val="24"/>
          <w:szCs w:val="24"/>
          <w:lang w:val="en-US"/>
        </w:rPr>
        <w:t>28</w:t>
      </w:r>
      <w:r w:rsidRPr="00712B16">
        <w:rPr>
          <w:rFonts w:ascii="Times New Roman" w:hAnsi="Times New Roman" w:cs="Times New Roman"/>
          <w:sz w:val="24"/>
          <w:szCs w:val="24"/>
          <w:lang w:val="en-US"/>
        </w:rPr>
        <w:t>(6), 1209-1230.</w:t>
      </w:r>
    </w:p>
    <w:p w14:paraId="49239C4D" w14:textId="6E4C63D3" w:rsidR="005C3A8A" w:rsidRPr="00712B16" w:rsidRDefault="005C3A8A" w:rsidP="005C3A8A">
      <w:pPr>
        <w:pStyle w:val="EndNoteBibliography"/>
        <w:spacing w:after="0"/>
        <w:ind w:left="720" w:hanging="720"/>
        <w:jc w:val="both"/>
        <w:rPr>
          <w:rFonts w:ascii="Times New Roman" w:hAnsi="Times New Roman" w:cs="Times New Roman"/>
          <w:sz w:val="24"/>
          <w:szCs w:val="24"/>
          <w:shd w:val="clear" w:color="auto" w:fill="FFFFFF"/>
        </w:rPr>
      </w:pPr>
      <w:r w:rsidRPr="00712B16">
        <w:rPr>
          <w:rFonts w:ascii="Times New Roman" w:hAnsi="Times New Roman" w:cs="Times New Roman"/>
          <w:sz w:val="24"/>
          <w:szCs w:val="24"/>
          <w:shd w:val="clear" w:color="auto" w:fill="FFFFFF"/>
        </w:rPr>
        <w:t>Goulder, L. H., Hafstead, M. A., &amp; Dworsky, M. (2010). Impacts of alternative emissions allowance allocation methods under a federal cap-and-trade program. </w:t>
      </w:r>
      <w:r w:rsidRPr="00712B16">
        <w:rPr>
          <w:rFonts w:ascii="Times New Roman" w:hAnsi="Times New Roman" w:cs="Times New Roman"/>
          <w:i/>
          <w:iCs/>
          <w:sz w:val="24"/>
          <w:szCs w:val="24"/>
          <w:shd w:val="clear" w:color="auto" w:fill="FFFFFF"/>
        </w:rPr>
        <w:t>Journal of Environmental Economics and Management</w:t>
      </w:r>
      <w:r w:rsidRPr="00712B16">
        <w:rPr>
          <w:rFonts w:ascii="Times New Roman" w:hAnsi="Times New Roman" w:cs="Times New Roman"/>
          <w:sz w:val="24"/>
          <w:szCs w:val="24"/>
          <w:shd w:val="clear" w:color="auto" w:fill="FFFFFF"/>
        </w:rPr>
        <w:t>, </w:t>
      </w:r>
      <w:r w:rsidRPr="00712B16">
        <w:rPr>
          <w:rFonts w:ascii="Times New Roman" w:hAnsi="Times New Roman" w:cs="Times New Roman"/>
          <w:i/>
          <w:iCs/>
          <w:sz w:val="24"/>
          <w:szCs w:val="24"/>
          <w:shd w:val="clear" w:color="auto" w:fill="FFFFFF"/>
        </w:rPr>
        <w:t>60</w:t>
      </w:r>
      <w:r w:rsidRPr="00712B16">
        <w:rPr>
          <w:rFonts w:ascii="Times New Roman" w:hAnsi="Times New Roman" w:cs="Times New Roman"/>
          <w:sz w:val="24"/>
          <w:szCs w:val="24"/>
          <w:shd w:val="clear" w:color="auto" w:fill="FFFFFF"/>
        </w:rPr>
        <w:t>(3), 161-181.</w:t>
      </w:r>
    </w:p>
    <w:p w14:paraId="75211AC5" w14:textId="77777777" w:rsidR="00A753FB" w:rsidRPr="00712B16" w:rsidRDefault="00E266E1" w:rsidP="002842A1">
      <w:pPr>
        <w:spacing w:after="0" w:line="240" w:lineRule="auto"/>
        <w:ind w:left="720" w:hanging="720"/>
        <w:jc w:val="both"/>
        <w:rPr>
          <w:rFonts w:ascii="Times New Roman" w:eastAsia="Calibri" w:hAnsi="Times New Roman" w:cs="Times New Roman"/>
          <w:sz w:val="24"/>
          <w:szCs w:val="24"/>
          <w:shd w:val="clear" w:color="auto" w:fill="FFFFFF"/>
          <w:lang w:val="en-AU" w:eastAsia="en-US"/>
        </w:rPr>
      </w:pPr>
      <w:r w:rsidRPr="00712B16">
        <w:rPr>
          <w:rFonts w:ascii="Times New Roman" w:eastAsia="Calibri" w:hAnsi="Times New Roman" w:cs="Times New Roman"/>
          <w:sz w:val="24"/>
          <w:szCs w:val="24"/>
          <w:shd w:val="clear" w:color="auto" w:fill="FFFFFF"/>
          <w:lang w:val="en-AU" w:eastAsia="en-US"/>
        </w:rPr>
        <w:lastRenderedPageBreak/>
        <w:t xml:space="preserve">Government Offices of Sweden. (2020). </w:t>
      </w:r>
      <w:r w:rsidRPr="00712B16">
        <w:rPr>
          <w:rFonts w:ascii="Times New Roman" w:eastAsia="Calibri" w:hAnsi="Times New Roman" w:cs="Times New Roman"/>
          <w:i/>
          <w:iCs/>
          <w:sz w:val="24"/>
          <w:szCs w:val="24"/>
          <w:shd w:val="clear" w:color="auto" w:fill="FFFFFF"/>
          <w:lang w:val="en-AU" w:eastAsia="en-US"/>
        </w:rPr>
        <w:t>Sweden’s long-term strategy for reducing greenhouse gas emissions</w:t>
      </w:r>
      <w:r w:rsidRPr="00712B16">
        <w:rPr>
          <w:rFonts w:ascii="Times New Roman" w:eastAsia="Calibri" w:hAnsi="Times New Roman" w:cs="Times New Roman"/>
          <w:sz w:val="24"/>
          <w:szCs w:val="24"/>
          <w:shd w:val="clear" w:color="auto" w:fill="FFFFFF"/>
          <w:lang w:val="en-AU" w:eastAsia="en-US"/>
        </w:rPr>
        <w:t>. https://unfccc.int/sites/default/files/resource/LTS1_Sweden.pdf</w:t>
      </w:r>
    </w:p>
    <w:p w14:paraId="039E91BD" w14:textId="7631F216" w:rsidR="00E266E1" w:rsidRPr="00712B16" w:rsidRDefault="00E266E1" w:rsidP="002842A1">
      <w:pPr>
        <w:spacing w:after="0" w:line="240" w:lineRule="auto"/>
        <w:ind w:left="720" w:hanging="720"/>
        <w:jc w:val="both"/>
        <w:rPr>
          <w:rFonts w:ascii="Times New Roman" w:eastAsia="Calibri" w:hAnsi="Times New Roman" w:cs="Times New Roman"/>
          <w:sz w:val="24"/>
          <w:szCs w:val="24"/>
          <w:shd w:val="clear" w:color="auto" w:fill="FFFFFF"/>
          <w:lang w:val="en-AU" w:eastAsia="en-US"/>
        </w:rPr>
      </w:pPr>
      <w:r w:rsidRPr="00712B16">
        <w:rPr>
          <w:rFonts w:ascii="Times New Roman" w:eastAsia="Calibri" w:hAnsi="Times New Roman" w:cs="Times New Roman"/>
          <w:sz w:val="24"/>
          <w:szCs w:val="24"/>
          <w:shd w:val="clear" w:color="auto" w:fill="FFFFFF"/>
          <w:lang w:val="en-AU" w:eastAsia="en-US"/>
        </w:rPr>
        <w:t xml:space="preserve">Government Offices of Sweden. (2021). </w:t>
      </w:r>
      <w:r w:rsidRPr="00712B16">
        <w:rPr>
          <w:rFonts w:ascii="Times New Roman" w:eastAsia="Calibri" w:hAnsi="Times New Roman" w:cs="Times New Roman"/>
          <w:i/>
          <w:iCs/>
          <w:sz w:val="24"/>
          <w:szCs w:val="24"/>
          <w:shd w:val="clear" w:color="auto" w:fill="FFFFFF"/>
          <w:lang w:val="en-AU" w:eastAsia="en-US"/>
        </w:rPr>
        <w:t>Sweden's climate policy framework</w:t>
      </w:r>
      <w:r w:rsidRPr="00712B16">
        <w:rPr>
          <w:rFonts w:ascii="Times New Roman" w:eastAsia="Calibri" w:hAnsi="Times New Roman" w:cs="Times New Roman"/>
          <w:sz w:val="24"/>
          <w:szCs w:val="24"/>
          <w:shd w:val="clear" w:color="auto" w:fill="FFFFFF"/>
          <w:lang w:val="en-AU" w:eastAsia="en-US"/>
        </w:rPr>
        <w:t>. https://www.government.se/articles/2021/03/swedens-climate-policy-framework/</w:t>
      </w:r>
    </w:p>
    <w:p w14:paraId="7630095D" w14:textId="77777777" w:rsidR="005C3A8A" w:rsidRPr="00712B16" w:rsidRDefault="005C3A8A" w:rsidP="005C3A8A">
      <w:pPr>
        <w:pStyle w:val="EndNoteBibliography"/>
        <w:spacing w:after="0"/>
        <w:ind w:left="720" w:hanging="720"/>
        <w:jc w:val="both"/>
        <w:rPr>
          <w:rFonts w:ascii="Times New Roman" w:hAnsi="Times New Roman" w:cs="Times New Roman"/>
          <w:sz w:val="24"/>
          <w:szCs w:val="24"/>
          <w:lang w:val="en-US"/>
        </w:rPr>
      </w:pPr>
      <w:r w:rsidRPr="00712B16">
        <w:rPr>
          <w:rFonts w:ascii="Times New Roman" w:hAnsi="Times New Roman" w:cs="Times New Roman"/>
          <w:sz w:val="24"/>
          <w:szCs w:val="24"/>
          <w:shd w:val="clear" w:color="auto" w:fill="FFFFFF"/>
        </w:rPr>
        <w:t>Graham, J. R., Harvey, C. R., &amp; Rajgopal, S. (2005). The economic implications of corporate financial reporting. </w:t>
      </w:r>
      <w:r w:rsidRPr="00712B16">
        <w:rPr>
          <w:rFonts w:ascii="Times New Roman" w:hAnsi="Times New Roman" w:cs="Times New Roman"/>
          <w:i/>
          <w:iCs/>
          <w:sz w:val="24"/>
          <w:szCs w:val="24"/>
          <w:shd w:val="clear" w:color="auto" w:fill="FFFFFF"/>
        </w:rPr>
        <w:t>Journal of Accounting and Economics</w:t>
      </w:r>
      <w:r w:rsidRPr="00712B16">
        <w:rPr>
          <w:rFonts w:ascii="Times New Roman" w:hAnsi="Times New Roman" w:cs="Times New Roman"/>
          <w:sz w:val="24"/>
          <w:szCs w:val="24"/>
          <w:shd w:val="clear" w:color="auto" w:fill="FFFFFF"/>
        </w:rPr>
        <w:t>, </w:t>
      </w:r>
      <w:r w:rsidRPr="00712B16">
        <w:rPr>
          <w:rFonts w:ascii="Times New Roman" w:hAnsi="Times New Roman" w:cs="Times New Roman"/>
          <w:i/>
          <w:iCs/>
          <w:sz w:val="24"/>
          <w:szCs w:val="24"/>
          <w:shd w:val="clear" w:color="auto" w:fill="FFFFFF"/>
        </w:rPr>
        <w:t>40</w:t>
      </w:r>
      <w:r w:rsidRPr="00712B16">
        <w:rPr>
          <w:rFonts w:ascii="Times New Roman" w:hAnsi="Times New Roman" w:cs="Times New Roman"/>
          <w:sz w:val="24"/>
          <w:szCs w:val="24"/>
          <w:shd w:val="clear" w:color="auto" w:fill="FFFFFF"/>
        </w:rPr>
        <w:t>(1-3), 3-73.</w:t>
      </w:r>
    </w:p>
    <w:p w14:paraId="2BE43B5C" w14:textId="77777777" w:rsidR="005C3A8A" w:rsidRPr="00712B16" w:rsidRDefault="005C3A8A" w:rsidP="005C3A8A">
      <w:pPr>
        <w:pStyle w:val="EndNoteBibliography"/>
        <w:spacing w:after="0"/>
        <w:ind w:left="720" w:hanging="720"/>
        <w:jc w:val="both"/>
        <w:rPr>
          <w:rFonts w:ascii="Times New Roman" w:hAnsi="Times New Roman" w:cs="Times New Roman"/>
          <w:sz w:val="24"/>
          <w:szCs w:val="24"/>
          <w:shd w:val="clear" w:color="auto" w:fill="FFFFFF"/>
        </w:rPr>
      </w:pPr>
      <w:r w:rsidRPr="00712B16">
        <w:rPr>
          <w:rFonts w:ascii="Times New Roman" w:eastAsia="SimSun" w:hAnsi="Times New Roman" w:cs="Times New Roman"/>
          <w:sz w:val="24"/>
          <w:szCs w:val="24"/>
          <w:shd w:val="clear" w:color="auto" w:fill="FFFFFF"/>
          <w:lang w:val="en-AU"/>
        </w:rPr>
        <w:t>Grewal, J., Riedl, E. J., &amp; Serafeim, G. (2019). Market reaction to mandatory nonfinancial disclosure. </w:t>
      </w:r>
      <w:r w:rsidRPr="00712B16">
        <w:rPr>
          <w:rFonts w:ascii="Times New Roman" w:eastAsia="SimSun" w:hAnsi="Times New Roman" w:cs="Times New Roman"/>
          <w:i/>
          <w:iCs/>
          <w:sz w:val="24"/>
          <w:szCs w:val="24"/>
          <w:shd w:val="clear" w:color="auto" w:fill="FFFFFF"/>
          <w:lang w:val="en-AU"/>
        </w:rPr>
        <w:t>Management Science</w:t>
      </w:r>
      <w:r w:rsidRPr="00712B16">
        <w:rPr>
          <w:rFonts w:ascii="Times New Roman" w:eastAsia="SimSun" w:hAnsi="Times New Roman" w:cs="Times New Roman"/>
          <w:sz w:val="24"/>
          <w:szCs w:val="24"/>
          <w:shd w:val="clear" w:color="auto" w:fill="FFFFFF"/>
          <w:lang w:val="en-AU"/>
        </w:rPr>
        <w:t>, </w:t>
      </w:r>
      <w:r w:rsidRPr="00712B16">
        <w:rPr>
          <w:rFonts w:ascii="Times New Roman" w:eastAsia="SimSun" w:hAnsi="Times New Roman" w:cs="Times New Roman"/>
          <w:i/>
          <w:iCs/>
          <w:sz w:val="24"/>
          <w:szCs w:val="24"/>
          <w:shd w:val="clear" w:color="auto" w:fill="FFFFFF"/>
          <w:lang w:val="en-AU"/>
        </w:rPr>
        <w:t>65</w:t>
      </w:r>
      <w:r w:rsidRPr="00712B16">
        <w:rPr>
          <w:rFonts w:ascii="Times New Roman" w:eastAsia="SimSun" w:hAnsi="Times New Roman" w:cs="Times New Roman"/>
          <w:sz w:val="24"/>
          <w:szCs w:val="24"/>
          <w:shd w:val="clear" w:color="auto" w:fill="FFFFFF"/>
          <w:lang w:val="en-AU"/>
        </w:rPr>
        <w:t>(7), 3061-3084.</w:t>
      </w:r>
    </w:p>
    <w:p w14:paraId="6DC5F496" w14:textId="77777777" w:rsidR="005C3A8A" w:rsidRPr="00712B16" w:rsidRDefault="005C3A8A" w:rsidP="005C3A8A">
      <w:pPr>
        <w:pStyle w:val="EndNoteBibliography"/>
        <w:spacing w:after="0"/>
        <w:ind w:left="720" w:hanging="720"/>
        <w:jc w:val="both"/>
        <w:rPr>
          <w:rFonts w:ascii="Times New Roman" w:hAnsi="Times New Roman" w:cs="Times New Roman"/>
          <w:sz w:val="24"/>
          <w:szCs w:val="24"/>
          <w:lang w:val="en-US"/>
        </w:rPr>
      </w:pPr>
      <w:r w:rsidRPr="00712B16">
        <w:rPr>
          <w:rFonts w:ascii="Times New Roman" w:hAnsi="Times New Roman" w:cs="Times New Roman"/>
          <w:sz w:val="24"/>
          <w:szCs w:val="24"/>
          <w:shd w:val="clear" w:color="auto" w:fill="FFFFFF"/>
        </w:rPr>
        <w:t>Gunny, K. A. (2010). The relation between earnings management using real activities manipulation and future performance: Evidence from meeting earnings benchmarks. </w:t>
      </w:r>
      <w:r w:rsidRPr="00712B16">
        <w:rPr>
          <w:rFonts w:ascii="Times New Roman" w:hAnsi="Times New Roman" w:cs="Times New Roman"/>
          <w:i/>
          <w:iCs/>
          <w:sz w:val="24"/>
          <w:szCs w:val="24"/>
          <w:shd w:val="clear" w:color="auto" w:fill="FFFFFF"/>
        </w:rPr>
        <w:t>Contemporary Accounting Research</w:t>
      </w:r>
      <w:r w:rsidRPr="00712B16">
        <w:rPr>
          <w:rFonts w:ascii="Times New Roman" w:hAnsi="Times New Roman" w:cs="Times New Roman"/>
          <w:sz w:val="24"/>
          <w:szCs w:val="24"/>
          <w:shd w:val="clear" w:color="auto" w:fill="FFFFFF"/>
        </w:rPr>
        <w:t>, </w:t>
      </w:r>
      <w:r w:rsidRPr="00712B16">
        <w:rPr>
          <w:rFonts w:ascii="Times New Roman" w:hAnsi="Times New Roman" w:cs="Times New Roman"/>
          <w:i/>
          <w:iCs/>
          <w:sz w:val="24"/>
          <w:szCs w:val="24"/>
          <w:shd w:val="clear" w:color="auto" w:fill="FFFFFF"/>
        </w:rPr>
        <w:t>27</w:t>
      </w:r>
      <w:r w:rsidRPr="00712B16">
        <w:rPr>
          <w:rFonts w:ascii="Times New Roman" w:hAnsi="Times New Roman" w:cs="Times New Roman"/>
          <w:sz w:val="24"/>
          <w:szCs w:val="24"/>
          <w:shd w:val="clear" w:color="auto" w:fill="FFFFFF"/>
        </w:rPr>
        <w:t>(3), 855-888.</w:t>
      </w:r>
    </w:p>
    <w:p w14:paraId="5E451939" w14:textId="77777777" w:rsidR="005C3A8A" w:rsidRPr="00712B16" w:rsidRDefault="005C3A8A" w:rsidP="005C3A8A">
      <w:pPr>
        <w:pStyle w:val="EndNoteBibliography"/>
        <w:spacing w:after="0"/>
        <w:ind w:left="720" w:hanging="720"/>
        <w:jc w:val="both"/>
        <w:rPr>
          <w:rFonts w:ascii="Times New Roman" w:hAnsi="Times New Roman" w:cs="Times New Roman"/>
          <w:sz w:val="24"/>
          <w:szCs w:val="24"/>
          <w:lang w:val="en-US"/>
        </w:rPr>
      </w:pPr>
      <w:r w:rsidRPr="00712B16">
        <w:rPr>
          <w:rFonts w:ascii="Times New Roman" w:hAnsi="Times New Roman" w:cs="Times New Roman"/>
          <w:sz w:val="24"/>
          <w:szCs w:val="24"/>
          <w:shd w:val="clear" w:color="auto" w:fill="FFFFFF"/>
        </w:rPr>
        <w:t>Hong, Y., &amp; Andersen, M. L. (2011). The relationship between corporate social responsibility and earnings management: An exploratory study. </w:t>
      </w:r>
      <w:r w:rsidRPr="00712B16">
        <w:rPr>
          <w:rFonts w:ascii="Times New Roman" w:hAnsi="Times New Roman" w:cs="Times New Roman"/>
          <w:i/>
          <w:iCs/>
          <w:sz w:val="24"/>
          <w:szCs w:val="24"/>
          <w:shd w:val="clear" w:color="auto" w:fill="FFFFFF"/>
        </w:rPr>
        <w:t>Journal of Business Ethics</w:t>
      </w:r>
      <w:r w:rsidRPr="00712B16">
        <w:rPr>
          <w:rFonts w:ascii="Times New Roman" w:hAnsi="Times New Roman" w:cs="Times New Roman"/>
          <w:sz w:val="24"/>
          <w:szCs w:val="24"/>
          <w:shd w:val="clear" w:color="auto" w:fill="FFFFFF"/>
        </w:rPr>
        <w:t>, </w:t>
      </w:r>
      <w:r w:rsidRPr="00712B16">
        <w:rPr>
          <w:rFonts w:ascii="Times New Roman" w:hAnsi="Times New Roman" w:cs="Times New Roman"/>
          <w:i/>
          <w:iCs/>
          <w:sz w:val="24"/>
          <w:szCs w:val="24"/>
          <w:shd w:val="clear" w:color="auto" w:fill="FFFFFF"/>
        </w:rPr>
        <w:t>104</w:t>
      </w:r>
      <w:r w:rsidRPr="00712B16">
        <w:rPr>
          <w:rFonts w:ascii="Times New Roman" w:hAnsi="Times New Roman" w:cs="Times New Roman"/>
          <w:sz w:val="24"/>
          <w:szCs w:val="24"/>
          <w:shd w:val="clear" w:color="auto" w:fill="FFFFFF"/>
        </w:rPr>
        <w:t>, 461-471.</w:t>
      </w:r>
      <w:r w:rsidRPr="00712B16">
        <w:rPr>
          <w:rFonts w:ascii="Times New Roman" w:hAnsi="Times New Roman" w:cs="Times New Roman"/>
          <w:sz w:val="24"/>
          <w:szCs w:val="24"/>
          <w:lang w:val="en-US"/>
        </w:rPr>
        <w:fldChar w:fldCharType="begin"/>
      </w:r>
      <w:r w:rsidRPr="00712B16">
        <w:rPr>
          <w:rFonts w:ascii="Times New Roman" w:hAnsi="Times New Roman" w:cs="Times New Roman"/>
          <w:sz w:val="24"/>
          <w:szCs w:val="24"/>
          <w:lang w:val="en-US"/>
        </w:rPr>
        <w:instrText xml:space="preserve"> ADDIN EN.REFLIST </w:instrText>
      </w:r>
      <w:r w:rsidRPr="00712B16">
        <w:rPr>
          <w:rFonts w:ascii="Times New Roman" w:hAnsi="Times New Roman" w:cs="Times New Roman"/>
          <w:sz w:val="24"/>
          <w:szCs w:val="24"/>
          <w:lang w:val="en-US"/>
        </w:rPr>
        <w:fldChar w:fldCharType="separate"/>
      </w:r>
    </w:p>
    <w:p w14:paraId="1BE58DEE" w14:textId="77777777" w:rsidR="005C3A8A" w:rsidRPr="00712B16" w:rsidRDefault="005C3A8A" w:rsidP="005C3A8A">
      <w:pPr>
        <w:pStyle w:val="EndNoteBibliography"/>
        <w:spacing w:after="0"/>
        <w:ind w:left="720" w:hanging="720"/>
        <w:jc w:val="both"/>
        <w:rPr>
          <w:rFonts w:ascii="Times New Roman" w:hAnsi="Times New Roman" w:cs="Times New Roman"/>
          <w:noProof/>
          <w:sz w:val="24"/>
          <w:szCs w:val="24"/>
        </w:rPr>
      </w:pPr>
      <w:r w:rsidRPr="00712B16">
        <w:rPr>
          <w:rFonts w:ascii="Times New Roman" w:hAnsi="Times New Roman" w:cs="Times New Roman"/>
          <w:sz w:val="24"/>
          <w:szCs w:val="24"/>
        </w:rPr>
        <w:fldChar w:fldCharType="end"/>
      </w:r>
      <w:bookmarkStart w:id="67" w:name="_Hlk112519524"/>
      <w:r w:rsidRPr="00712B16">
        <w:rPr>
          <w:rFonts w:ascii="Times New Roman" w:hAnsi="Times New Roman" w:cs="Times New Roman"/>
          <w:sz w:val="24"/>
          <w:szCs w:val="24"/>
          <w:shd w:val="clear" w:color="auto" w:fill="FFFFFF"/>
        </w:rPr>
        <w:t>Hook, M., &amp; Tang, X. (2013). Depletion of fossil fuels and anthropogenic climate change—A review. </w:t>
      </w:r>
      <w:r w:rsidRPr="00712B16">
        <w:rPr>
          <w:rFonts w:ascii="Times New Roman" w:hAnsi="Times New Roman" w:cs="Times New Roman"/>
          <w:i/>
          <w:iCs/>
          <w:sz w:val="24"/>
          <w:szCs w:val="24"/>
          <w:shd w:val="clear" w:color="auto" w:fill="FFFFFF"/>
        </w:rPr>
        <w:t>Energy policy</w:t>
      </w:r>
      <w:r w:rsidRPr="00712B16">
        <w:rPr>
          <w:rFonts w:ascii="Times New Roman" w:hAnsi="Times New Roman" w:cs="Times New Roman"/>
          <w:sz w:val="24"/>
          <w:szCs w:val="24"/>
          <w:shd w:val="clear" w:color="auto" w:fill="FFFFFF"/>
        </w:rPr>
        <w:t>, </w:t>
      </w:r>
      <w:r w:rsidRPr="00712B16">
        <w:rPr>
          <w:rFonts w:ascii="Times New Roman" w:hAnsi="Times New Roman" w:cs="Times New Roman"/>
          <w:i/>
          <w:iCs/>
          <w:sz w:val="24"/>
          <w:szCs w:val="24"/>
          <w:shd w:val="clear" w:color="auto" w:fill="FFFFFF"/>
        </w:rPr>
        <w:t>52</w:t>
      </w:r>
      <w:r w:rsidRPr="00712B16">
        <w:rPr>
          <w:rFonts w:ascii="Times New Roman" w:hAnsi="Times New Roman" w:cs="Times New Roman"/>
          <w:sz w:val="24"/>
          <w:szCs w:val="24"/>
          <w:shd w:val="clear" w:color="auto" w:fill="FFFFFF"/>
        </w:rPr>
        <w:t>, 797-809.</w:t>
      </w:r>
    </w:p>
    <w:p w14:paraId="50829E5B" w14:textId="77777777" w:rsidR="005C3A8A" w:rsidRPr="00712B16" w:rsidRDefault="005C3A8A" w:rsidP="005C3A8A">
      <w:pPr>
        <w:pStyle w:val="EndNoteBibliography"/>
        <w:spacing w:after="0"/>
        <w:ind w:left="720" w:hanging="720"/>
        <w:jc w:val="both"/>
        <w:rPr>
          <w:rFonts w:ascii="Times New Roman" w:hAnsi="Times New Roman" w:cs="Times New Roman"/>
          <w:sz w:val="24"/>
          <w:szCs w:val="24"/>
          <w:shd w:val="clear" w:color="auto" w:fill="FFFFFF"/>
        </w:rPr>
      </w:pPr>
      <w:r w:rsidRPr="00712B16">
        <w:rPr>
          <w:rFonts w:ascii="Times New Roman" w:hAnsi="Times New Roman" w:cs="Times New Roman"/>
          <w:sz w:val="24"/>
          <w:szCs w:val="24"/>
          <w:shd w:val="clear" w:color="auto" w:fill="FFFFFF"/>
        </w:rPr>
        <w:t>Huynh, T. D., Nguyen, T. H., &amp; Truong, C. (2020). Climate risk: The price of drought. </w:t>
      </w:r>
      <w:r w:rsidRPr="00712B16">
        <w:rPr>
          <w:rFonts w:ascii="Times New Roman" w:hAnsi="Times New Roman" w:cs="Times New Roman"/>
          <w:i/>
          <w:iCs/>
          <w:sz w:val="24"/>
          <w:szCs w:val="24"/>
          <w:shd w:val="clear" w:color="auto" w:fill="FFFFFF"/>
        </w:rPr>
        <w:t>Journal of Corporate Finance</w:t>
      </w:r>
      <w:r w:rsidRPr="00712B16">
        <w:rPr>
          <w:rFonts w:ascii="Times New Roman" w:hAnsi="Times New Roman" w:cs="Times New Roman"/>
          <w:sz w:val="24"/>
          <w:szCs w:val="24"/>
          <w:shd w:val="clear" w:color="auto" w:fill="FFFFFF"/>
        </w:rPr>
        <w:t>, </w:t>
      </w:r>
      <w:r w:rsidRPr="00712B16">
        <w:rPr>
          <w:rFonts w:ascii="Times New Roman" w:hAnsi="Times New Roman" w:cs="Times New Roman"/>
          <w:i/>
          <w:iCs/>
          <w:sz w:val="24"/>
          <w:szCs w:val="24"/>
          <w:shd w:val="clear" w:color="auto" w:fill="FFFFFF"/>
        </w:rPr>
        <w:t>65</w:t>
      </w:r>
      <w:r w:rsidRPr="00712B16">
        <w:rPr>
          <w:rFonts w:ascii="Times New Roman" w:hAnsi="Times New Roman" w:cs="Times New Roman"/>
          <w:sz w:val="24"/>
          <w:szCs w:val="24"/>
          <w:shd w:val="clear" w:color="auto" w:fill="FFFFFF"/>
        </w:rPr>
        <w:t>, 101750.</w:t>
      </w:r>
    </w:p>
    <w:p w14:paraId="3E01DA0E" w14:textId="4AD1EF24" w:rsidR="005C3A8A" w:rsidRPr="00712B16" w:rsidRDefault="005C3A8A" w:rsidP="005C3A8A">
      <w:pPr>
        <w:pStyle w:val="EndNoteBibliography"/>
        <w:spacing w:after="0"/>
        <w:ind w:left="720" w:hanging="720"/>
        <w:jc w:val="both"/>
        <w:rPr>
          <w:rFonts w:ascii="Times New Roman" w:eastAsia="Calibri" w:hAnsi="Times New Roman" w:cs="Times New Roman"/>
          <w:sz w:val="24"/>
          <w:szCs w:val="24"/>
          <w:shd w:val="clear" w:color="auto" w:fill="FFFFFF"/>
          <w:lang w:val="en-AU" w:eastAsia="en-US"/>
        </w:rPr>
      </w:pPr>
      <w:r w:rsidRPr="00712B16">
        <w:rPr>
          <w:rFonts w:ascii="Times New Roman" w:eastAsia="Calibri" w:hAnsi="Times New Roman" w:cs="Times New Roman"/>
          <w:sz w:val="24"/>
          <w:szCs w:val="24"/>
          <w:shd w:val="clear" w:color="auto" w:fill="FFFFFF"/>
          <w:lang w:val="en-AU" w:eastAsia="en-US"/>
        </w:rPr>
        <w:t>Ilhan, E., Krueger, P., Sautner, Z., &amp; Starks, L. T. (2023). Climate risk disclosure and institutional investors. </w:t>
      </w:r>
      <w:r w:rsidRPr="00712B16">
        <w:rPr>
          <w:rFonts w:ascii="Times New Roman" w:eastAsia="Calibri" w:hAnsi="Times New Roman" w:cs="Times New Roman"/>
          <w:i/>
          <w:iCs/>
          <w:sz w:val="24"/>
          <w:szCs w:val="24"/>
          <w:shd w:val="clear" w:color="auto" w:fill="FFFFFF"/>
          <w:lang w:val="en-AU" w:eastAsia="en-US"/>
        </w:rPr>
        <w:t>The Review of Financial Studies</w:t>
      </w:r>
      <w:r w:rsidRPr="00712B16">
        <w:rPr>
          <w:rFonts w:ascii="Times New Roman" w:eastAsia="Calibri" w:hAnsi="Times New Roman" w:cs="Times New Roman"/>
          <w:sz w:val="24"/>
          <w:szCs w:val="24"/>
          <w:shd w:val="clear" w:color="auto" w:fill="FFFFFF"/>
          <w:lang w:val="en-AU" w:eastAsia="en-US"/>
        </w:rPr>
        <w:t>, </w:t>
      </w:r>
      <w:r w:rsidRPr="00712B16">
        <w:rPr>
          <w:rFonts w:ascii="Times New Roman" w:eastAsia="Calibri" w:hAnsi="Times New Roman" w:cs="Times New Roman"/>
          <w:i/>
          <w:iCs/>
          <w:sz w:val="24"/>
          <w:szCs w:val="24"/>
          <w:shd w:val="clear" w:color="auto" w:fill="FFFFFF"/>
          <w:lang w:val="en-AU" w:eastAsia="en-US"/>
        </w:rPr>
        <w:t>36</w:t>
      </w:r>
      <w:r w:rsidRPr="00712B16">
        <w:rPr>
          <w:rFonts w:ascii="Times New Roman" w:eastAsia="Calibri" w:hAnsi="Times New Roman" w:cs="Times New Roman"/>
          <w:sz w:val="24"/>
          <w:szCs w:val="24"/>
          <w:shd w:val="clear" w:color="auto" w:fill="FFFFFF"/>
          <w:lang w:val="en-AU" w:eastAsia="en-US"/>
        </w:rPr>
        <w:t>(7), 2617-2650.</w:t>
      </w:r>
    </w:p>
    <w:p w14:paraId="72D0028E" w14:textId="00EF62B0" w:rsidR="00CF5AF2" w:rsidRPr="00712B16" w:rsidRDefault="00F359A7" w:rsidP="005C3A8A">
      <w:pPr>
        <w:pStyle w:val="EndNoteBibliography"/>
        <w:spacing w:after="0"/>
        <w:ind w:left="720" w:hanging="720"/>
        <w:jc w:val="both"/>
        <w:rPr>
          <w:rFonts w:ascii="Times New Roman" w:hAnsi="Times New Roman" w:cs="Times New Roman"/>
          <w:sz w:val="24"/>
          <w:szCs w:val="24"/>
        </w:rPr>
      </w:pPr>
      <w:r w:rsidRPr="00712B16">
        <w:rPr>
          <w:rFonts w:ascii="Times New Roman" w:eastAsia="Calibri" w:hAnsi="Times New Roman" w:cs="Times New Roman"/>
          <w:sz w:val="24"/>
          <w:szCs w:val="24"/>
          <w:shd w:val="clear" w:color="auto" w:fill="FFFFFF"/>
          <w:lang w:val="en-AU" w:eastAsia="en-US"/>
        </w:rPr>
        <w:t>Kalamova, M., &amp; Johnstone, N. (2012). Environmental policy stringency and foreign direct investment. </w:t>
      </w:r>
      <w:r w:rsidRPr="00712B16">
        <w:rPr>
          <w:rFonts w:ascii="Times New Roman" w:eastAsia="Calibri" w:hAnsi="Times New Roman" w:cs="Times New Roman"/>
          <w:i/>
          <w:iCs/>
          <w:sz w:val="24"/>
          <w:szCs w:val="24"/>
          <w:shd w:val="clear" w:color="auto" w:fill="FFFFFF"/>
          <w:lang w:val="en-AU" w:eastAsia="en-US"/>
        </w:rPr>
        <w:t>A handbook of globalisation and environmental policy: National government interventions in a global arena</w:t>
      </w:r>
      <w:r w:rsidRPr="00712B16">
        <w:rPr>
          <w:rFonts w:ascii="Times New Roman" w:eastAsia="Calibri" w:hAnsi="Times New Roman" w:cs="Times New Roman"/>
          <w:sz w:val="24"/>
          <w:szCs w:val="24"/>
          <w:shd w:val="clear" w:color="auto" w:fill="FFFFFF"/>
          <w:lang w:val="en-AU" w:eastAsia="en-US"/>
        </w:rPr>
        <w:t>, 34-56.</w:t>
      </w:r>
    </w:p>
    <w:bookmarkEnd w:id="67"/>
    <w:p w14:paraId="4BDF622A" w14:textId="77777777" w:rsidR="005C3A8A" w:rsidRPr="00712B16" w:rsidRDefault="005C3A8A" w:rsidP="005C3A8A">
      <w:pPr>
        <w:pStyle w:val="EndNoteBibliography"/>
        <w:spacing w:after="0"/>
        <w:ind w:left="720" w:hanging="720"/>
        <w:jc w:val="both"/>
        <w:rPr>
          <w:rFonts w:ascii="Times New Roman" w:eastAsia="Calibri" w:hAnsi="Times New Roman" w:cs="Times New Roman"/>
          <w:sz w:val="24"/>
          <w:szCs w:val="24"/>
          <w:shd w:val="clear" w:color="auto" w:fill="FFFFFF"/>
          <w:lang w:val="en-AU" w:eastAsia="en-US"/>
        </w:rPr>
      </w:pPr>
      <w:r w:rsidRPr="00712B16">
        <w:rPr>
          <w:rFonts w:ascii="Times New Roman" w:eastAsia="Calibri" w:hAnsi="Times New Roman" w:cs="Times New Roman"/>
          <w:sz w:val="24"/>
          <w:szCs w:val="24"/>
          <w:shd w:val="clear" w:color="auto" w:fill="FFFFFF"/>
          <w:lang w:val="en-AU" w:eastAsia="en-US"/>
        </w:rPr>
        <w:t>Kim, J. B., &amp; Sohn, B. C. (2013). Real earnings management and cost of capital. </w:t>
      </w:r>
      <w:r w:rsidRPr="00712B16">
        <w:rPr>
          <w:rFonts w:ascii="Times New Roman" w:eastAsia="Calibri" w:hAnsi="Times New Roman" w:cs="Times New Roman"/>
          <w:i/>
          <w:iCs/>
          <w:sz w:val="24"/>
          <w:szCs w:val="24"/>
          <w:shd w:val="clear" w:color="auto" w:fill="FFFFFF"/>
          <w:lang w:val="en-AU" w:eastAsia="en-US"/>
        </w:rPr>
        <w:t>Journal of Accounting and Public policy</w:t>
      </w:r>
      <w:r w:rsidRPr="00712B16">
        <w:rPr>
          <w:rFonts w:ascii="Times New Roman" w:eastAsia="Calibri" w:hAnsi="Times New Roman" w:cs="Times New Roman"/>
          <w:sz w:val="24"/>
          <w:szCs w:val="24"/>
          <w:shd w:val="clear" w:color="auto" w:fill="FFFFFF"/>
          <w:lang w:val="en-AU" w:eastAsia="en-US"/>
        </w:rPr>
        <w:t>, </w:t>
      </w:r>
      <w:r w:rsidRPr="00712B16">
        <w:rPr>
          <w:rFonts w:ascii="Times New Roman" w:eastAsia="Calibri" w:hAnsi="Times New Roman" w:cs="Times New Roman"/>
          <w:i/>
          <w:iCs/>
          <w:sz w:val="24"/>
          <w:szCs w:val="24"/>
          <w:shd w:val="clear" w:color="auto" w:fill="FFFFFF"/>
          <w:lang w:val="en-AU" w:eastAsia="en-US"/>
        </w:rPr>
        <w:t>32</w:t>
      </w:r>
      <w:r w:rsidRPr="00712B16">
        <w:rPr>
          <w:rFonts w:ascii="Times New Roman" w:eastAsia="Calibri" w:hAnsi="Times New Roman" w:cs="Times New Roman"/>
          <w:sz w:val="24"/>
          <w:szCs w:val="24"/>
          <w:shd w:val="clear" w:color="auto" w:fill="FFFFFF"/>
          <w:lang w:val="en-AU" w:eastAsia="en-US"/>
        </w:rPr>
        <w:t>(6), 518-543.</w:t>
      </w:r>
    </w:p>
    <w:p w14:paraId="53C5D0EE" w14:textId="77777777" w:rsidR="005C3A8A" w:rsidRPr="00712B16" w:rsidRDefault="005C3A8A" w:rsidP="005C3A8A">
      <w:pPr>
        <w:pStyle w:val="EndNoteBibliography"/>
        <w:spacing w:after="0"/>
        <w:ind w:left="720" w:hanging="720"/>
        <w:jc w:val="both"/>
        <w:rPr>
          <w:rFonts w:ascii="Times New Roman" w:hAnsi="Times New Roman" w:cs="Times New Roman"/>
          <w:sz w:val="24"/>
          <w:szCs w:val="24"/>
          <w:shd w:val="clear" w:color="auto" w:fill="FFFFFF"/>
        </w:rPr>
      </w:pPr>
      <w:r w:rsidRPr="00712B16">
        <w:rPr>
          <w:rFonts w:ascii="Times New Roman" w:hAnsi="Times New Roman" w:cs="Times New Roman"/>
          <w:sz w:val="24"/>
          <w:szCs w:val="24"/>
          <w:shd w:val="clear" w:color="auto" w:fill="FFFFFF"/>
        </w:rPr>
        <w:t>Kim, S. (2024). Investor preferences and responses to disclosure: Evidence from carbon net-zero pledges.</w:t>
      </w:r>
      <w:r w:rsidRPr="00712B16">
        <w:rPr>
          <w:rFonts w:ascii="Times New Roman" w:hAnsi="Times New Roman" w:cs="Times New Roman"/>
          <w:i/>
          <w:iCs/>
          <w:sz w:val="24"/>
          <w:szCs w:val="24"/>
          <w:shd w:val="clear" w:color="auto" w:fill="FFFFFF"/>
        </w:rPr>
        <w:t xml:space="preserve"> Available at SSRN 4846045</w:t>
      </w:r>
      <w:r w:rsidRPr="00712B16">
        <w:rPr>
          <w:rFonts w:ascii="Times New Roman" w:hAnsi="Times New Roman" w:cs="Times New Roman"/>
          <w:sz w:val="24"/>
          <w:szCs w:val="24"/>
          <w:shd w:val="clear" w:color="auto" w:fill="FFFFFF"/>
        </w:rPr>
        <w:t>.</w:t>
      </w:r>
    </w:p>
    <w:p w14:paraId="66ED14F9" w14:textId="77777777" w:rsidR="005C3A8A" w:rsidRPr="00712B16" w:rsidRDefault="005C3A8A" w:rsidP="005C3A8A">
      <w:pPr>
        <w:pStyle w:val="EndNoteBibliography"/>
        <w:spacing w:after="0"/>
        <w:ind w:left="720" w:hanging="720"/>
        <w:jc w:val="both"/>
        <w:rPr>
          <w:rFonts w:ascii="Times New Roman" w:hAnsi="Times New Roman" w:cs="Times New Roman"/>
          <w:sz w:val="24"/>
          <w:szCs w:val="24"/>
          <w:lang w:val="en-US"/>
        </w:rPr>
      </w:pPr>
      <w:r w:rsidRPr="00712B16">
        <w:rPr>
          <w:rFonts w:ascii="Times New Roman" w:hAnsi="Times New Roman" w:cs="Times New Roman"/>
          <w:sz w:val="24"/>
          <w:szCs w:val="24"/>
          <w:shd w:val="clear" w:color="auto" w:fill="FFFFFF"/>
        </w:rPr>
        <w:t>Kim, S. H., Udawatte, P., &amp; Yin, J. (2019). The effects of corporate social responsibility on real and accrual</w:t>
      </w:r>
      <w:r w:rsidRPr="00712B16">
        <w:rPr>
          <w:rFonts w:ascii="Times New Roman" w:hAnsi="Times New Roman" w:cs="Times New Roman" w:hint="eastAsia"/>
          <w:sz w:val="24"/>
          <w:szCs w:val="24"/>
          <w:shd w:val="clear" w:color="auto" w:fill="FFFFFF"/>
        </w:rPr>
        <w:t>‐</w:t>
      </w:r>
      <w:r w:rsidRPr="00712B16">
        <w:rPr>
          <w:rFonts w:ascii="Times New Roman" w:hAnsi="Times New Roman" w:cs="Times New Roman"/>
          <w:sz w:val="24"/>
          <w:szCs w:val="24"/>
          <w:shd w:val="clear" w:color="auto" w:fill="FFFFFF"/>
        </w:rPr>
        <w:t>based earnings management: Evidence from China. </w:t>
      </w:r>
      <w:r w:rsidRPr="00712B16">
        <w:rPr>
          <w:rFonts w:ascii="Times New Roman" w:hAnsi="Times New Roman" w:cs="Times New Roman"/>
          <w:i/>
          <w:iCs/>
          <w:sz w:val="24"/>
          <w:szCs w:val="24"/>
          <w:shd w:val="clear" w:color="auto" w:fill="FFFFFF"/>
        </w:rPr>
        <w:t>Australian Accounting Review</w:t>
      </w:r>
      <w:r w:rsidRPr="00712B16">
        <w:rPr>
          <w:rFonts w:ascii="Times New Roman" w:hAnsi="Times New Roman" w:cs="Times New Roman"/>
          <w:sz w:val="24"/>
          <w:szCs w:val="24"/>
          <w:shd w:val="clear" w:color="auto" w:fill="FFFFFF"/>
        </w:rPr>
        <w:t>, </w:t>
      </w:r>
      <w:r w:rsidRPr="00712B16">
        <w:rPr>
          <w:rFonts w:ascii="Times New Roman" w:hAnsi="Times New Roman" w:cs="Times New Roman"/>
          <w:i/>
          <w:iCs/>
          <w:sz w:val="24"/>
          <w:szCs w:val="24"/>
          <w:shd w:val="clear" w:color="auto" w:fill="FFFFFF"/>
        </w:rPr>
        <w:t>29</w:t>
      </w:r>
      <w:r w:rsidRPr="00712B16">
        <w:rPr>
          <w:rFonts w:ascii="Times New Roman" w:hAnsi="Times New Roman" w:cs="Times New Roman"/>
          <w:sz w:val="24"/>
          <w:szCs w:val="24"/>
          <w:shd w:val="clear" w:color="auto" w:fill="FFFFFF"/>
        </w:rPr>
        <w:t>(3), 580-594.</w:t>
      </w:r>
    </w:p>
    <w:p w14:paraId="304A7E7B" w14:textId="77777777" w:rsidR="005C3A8A" w:rsidRPr="00712B16" w:rsidRDefault="005C3A8A" w:rsidP="005C3A8A">
      <w:pPr>
        <w:pStyle w:val="EndNoteBibliography"/>
        <w:spacing w:after="0"/>
        <w:ind w:left="720" w:hanging="720"/>
        <w:jc w:val="both"/>
        <w:rPr>
          <w:rFonts w:ascii="Times New Roman" w:hAnsi="Times New Roman" w:cs="Times New Roman"/>
          <w:sz w:val="24"/>
          <w:szCs w:val="24"/>
          <w:shd w:val="clear" w:color="auto" w:fill="FFFFFF"/>
        </w:rPr>
      </w:pPr>
      <w:r w:rsidRPr="00712B16">
        <w:rPr>
          <w:rFonts w:ascii="Times New Roman" w:hAnsi="Times New Roman" w:cs="Times New Roman"/>
          <w:sz w:val="24"/>
          <w:szCs w:val="24"/>
          <w:shd w:val="clear" w:color="auto" w:fill="FFFFFF"/>
        </w:rPr>
        <w:t>Kim, Y., Park, M. S., &amp; Wier, B. (2012). Is earnings quality associated with corporate social responsibility?. </w:t>
      </w:r>
      <w:r w:rsidRPr="00712B16">
        <w:rPr>
          <w:rFonts w:ascii="Times New Roman" w:hAnsi="Times New Roman" w:cs="Times New Roman"/>
          <w:i/>
          <w:iCs/>
          <w:sz w:val="24"/>
          <w:szCs w:val="24"/>
          <w:shd w:val="clear" w:color="auto" w:fill="FFFFFF"/>
        </w:rPr>
        <w:t>The Accounting Review</w:t>
      </w:r>
      <w:r w:rsidRPr="00712B16">
        <w:rPr>
          <w:rFonts w:ascii="Times New Roman" w:hAnsi="Times New Roman" w:cs="Times New Roman"/>
          <w:sz w:val="24"/>
          <w:szCs w:val="24"/>
          <w:shd w:val="clear" w:color="auto" w:fill="FFFFFF"/>
        </w:rPr>
        <w:t>, </w:t>
      </w:r>
      <w:r w:rsidRPr="00712B16">
        <w:rPr>
          <w:rFonts w:ascii="Times New Roman" w:hAnsi="Times New Roman" w:cs="Times New Roman"/>
          <w:i/>
          <w:iCs/>
          <w:sz w:val="24"/>
          <w:szCs w:val="24"/>
          <w:shd w:val="clear" w:color="auto" w:fill="FFFFFF"/>
        </w:rPr>
        <w:t>87</w:t>
      </w:r>
      <w:r w:rsidRPr="00712B16">
        <w:rPr>
          <w:rFonts w:ascii="Times New Roman" w:hAnsi="Times New Roman" w:cs="Times New Roman"/>
          <w:sz w:val="24"/>
          <w:szCs w:val="24"/>
          <w:shd w:val="clear" w:color="auto" w:fill="FFFFFF"/>
        </w:rPr>
        <w:t>(3), 761-796.</w:t>
      </w:r>
    </w:p>
    <w:p w14:paraId="34E30F59" w14:textId="77777777" w:rsidR="005C3A8A" w:rsidRPr="00712B16" w:rsidRDefault="005C3A8A" w:rsidP="005C3A8A">
      <w:pPr>
        <w:pStyle w:val="EndNoteBibliography"/>
        <w:spacing w:after="0"/>
        <w:ind w:left="720" w:hanging="720"/>
        <w:jc w:val="both"/>
        <w:rPr>
          <w:rFonts w:ascii="Times New Roman" w:hAnsi="Times New Roman" w:cs="Times New Roman"/>
          <w:noProof/>
          <w:sz w:val="24"/>
          <w:szCs w:val="24"/>
        </w:rPr>
      </w:pPr>
      <w:r w:rsidRPr="00712B16">
        <w:rPr>
          <w:rFonts w:ascii="Times New Roman" w:eastAsia="Calibri" w:hAnsi="Times New Roman" w:cs="Times New Roman"/>
          <w:sz w:val="24"/>
          <w:szCs w:val="24"/>
          <w:shd w:val="clear" w:color="auto" w:fill="FFFFFF"/>
          <w:lang w:val="en-AU" w:eastAsia="en-US"/>
        </w:rPr>
        <w:t>Klaaßen, L., &amp; Steffen, B. (2023). Meta-analysis on necessary investment shifts to reach net zero pathways in Europe. </w:t>
      </w:r>
      <w:r w:rsidRPr="00712B16">
        <w:rPr>
          <w:rFonts w:ascii="Times New Roman" w:eastAsia="Calibri" w:hAnsi="Times New Roman" w:cs="Times New Roman"/>
          <w:i/>
          <w:iCs/>
          <w:sz w:val="24"/>
          <w:szCs w:val="24"/>
          <w:shd w:val="clear" w:color="auto" w:fill="FFFFFF"/>
          <w:lang w:val="en-AU" w:eastAsia="en-US"/>
        </w:rPr>
        <w:t>Nature Climate Change</w:t>
      </w:r>
      <w:r w:rsidRPr="00712B16">
        <w:rPr>
          <w:rFonts w:ascii="Times New Roman" w:eastAsia="Calibri" w:hAnsi="Times New Roman" w:cs="Times New Roman"/>
          <w:sz w:val="24"/>
          <w:szCs w:val="24"/>
          <w:shd w:val="clear" w:color="auto" w:fill="FFFFFF"/>
          <w:lang w:val="en-AU" w:eastAsia="en-US"/>
        </w:rPr>
        <w:t>, </w:t>
      </w:r>
      <w:r w:rsidRPr="00712B16">
        <w:rPr>
          <w:rFonts w:ascii="Times New Roman" w:eastAsia="Calibri" w:hAnsi="Times New Roman" w:cs="Times New Roman"/>
          <w:i/>
          <w:iCs/>
          <w:sz w:val="24"/>
          <w:szCs w:val="24"/>
          <w:shd w:val="clear" w:color="auto" w:fill="FFFFFF"/>
          <w:lang w:val="en-AU" w:eastAsia="en-US"/>
        </w:rPr>
        <w:t>13</w:t>
      </w:r>
      <w:r w:rsidRPr="00712B16">
        <w:rPr>
          <w:rFonts w:ascii="Times New Roman" w:eastAsia="Calibri" w:hAnsi="Times New Roman" w:cs="Times New Roman"/>
          <w:sz w:val="24"/>
          <w:szCs w:val="24"/>
          <w:shd w:val="clear" w:color="auto" w:fill="FFFFFF"/>
          <w:lang w:val="en-AU" w:eastAsia="en-US"/>
        </w:rPr>
        <w:t>(1), 58-66.</w:t>
      </w:r>
    </w:p>
    <w:p w14:paraId="05D09AEF" w14:textId="77777777" w:rsidR="005C3A8A" w:rsidRPr="00712B16" w:rsidRDefault="005C3A8A" w:rsidP="005C3A8A">
      <w:pPr>
        <w:pStyle w:val="EndNoteBibliography"/>
        <w:spacing w:after="0"/>
        <w:ind w:left="720" w:hanging="720"/>
        <w:jc w:val="both"/>
        <w:rPr>
          <w:rFonts w:ascii="Times New Roman" w:hAnsi="Times New Roman" w:cs="Times New Roman"/>
          <w:sz w:val="24"/>
          <w:szCs w:val="24"/>
          <w:shd w:val="clear" w:color="auto" w:fill="FFFFFF"/>
        </w:rPr>
      </w:pPr>
      <w:r w:rsidRPr="00712B16">
        <w:rPr>
          <w:rFonts w:ascii="Times New Roman" w:hAnsi="Times New Roman" w:cs="Times New Roman"/>
          <w:sz w:val="24"/>
          <w:szCs w:val="24"/>
          <w:shd w:val="clear" w:color="auto" w:fill="FFFFFF"/>
        </w:rPr>
        <w:t>Kothari, S. P., Leone, A. J., &amp; Wasley, C. E. (2005). Performance matched discretionary accrual measures. </w:t>
      </w:r>
      <w:r w:rsidRPr="00712B16">
        <w:rPr>
          <w:rFonts w:ascii="Times New Roman" w:hAnsi="Times New Roman" w:cs="Times New Roman"/>
          <w:i/>
          <w:iCs/>
          <w:sz w:val="24"/>
          <w:szCs w:val="24"/>
          <w:shd w:val="clear" w:color="auto" w:fill="FFFFFF"/>
        </w:rPr>
        <w:t>Journal of Accounting and Economics</w:t>
      </w:r>
      <w:r w:rsidRPr="00712B16">
        <w:rPr>
          <w:rFonts w:ascii="Times New Roman" w:hAnsi="Times New Roman" w:cs="Times New Roman"/>
          <w:sz w:val="24"/>
          <w:szCs w:val="24"/>
          <w:shd w:val="clear" w:color="auto" w:fill="FFFFFF"/>
        </w:rPr>
        <w:t>, </w:t>
      </w:r>
      <w:r w:rsidRPr="00712B16">
        <w:rPr>
          <w:rFonts w:ascii="Times New Roman" w:hAnsi="Times New Roman" w:cs="Times New Roman"/>
          <w:i/>
          <w:iCs/>
          <w:sz w:val="24"/>
          <w:szCs w:val="24"/>
          <w:shd w:val="clear" w:color="auto" w:fill="FFFFFF"/>
        </w:rPr>
        <w:t>39</w:t>
      </w:r>
      <w:r w:rsidRPr="00712B16">
        <w:rPr>
          <w:rFonts w:ascii="Times New Roman" w:hAnsi="Times New Roman" w:cs="Times New Roman"/>
          <w:sz w:val="24"/>
          <w:szCs w:val="24"/>
          <w:shd w:val="clear" w:color="auto" w:fill="FFFFFF"/>
        </w:rPr>
        <w:t>(1), 163-197.</w:t>
      </w:r>
    </w:p>
    <w:p w14:paraId="2ED46EE2" w14:textId="77777777" w:rsidR="005C3A8A" w:rsidRPr="00712B16" w:rsidRDefault="005C3A8A" w:rsidP="005C3A8A">
      <w:pPr>
        <w:pStyle w:val="EndNoteBibliography"/>
        <w:spacing w:after="0"/>
        <w:ind w:left="720" w:hanging="720"/>
        <w:jc w:val="both"/>
        <w:rPr>
          <w:rFonts w:ascii="Times New Roman" w:hAnsi="Times New Roman" w:cs="Times New Roman"/>
          <w:noProof/>
          <w:sz w:val="24"/>
          <w:szCs w:val="24"/>
        </w:rPr>
      </w:pPr>
      <w:r w:rsidRPr="00712B16">
        <w:rPr>
          <w:rFonts w:ascii="Times New Roman" w:eastAsia="Calibri" w:hAnsi="Times New Roman" w:cs="Times New Roman"/>
          <w:sz w:val="24"/>
          <w:szCs w:val="24"/>
          <w:shd w:val="clear" w:color="auto" w:fill="FFFFFF"/>
          <w:lang w:val="en-AU" w:eastAsia="en-US"/>
        </w:rPr>
        <w:t>Krueger, P., Sautner, Z., &amp; Starks, L. T. (2020). The importance of climate risks for institutional investors. </w:t>
      </w:r>
      <w:r w:rsidRPr="00712B16">
        <w:rPr>
          <w:rFonts w:ascii="Times New Roman" w:eastAsia="Calibri" w:hAnsi="Times New Roman" w:cs="Times New Roman"/>
          <w:i/>
          <w:iCs/>
          <w:sz w:val="24"/>
          <w:szCs w:val="24"/>
          <w:shd w:val="clear" w:color="auto" w:fill="FFFFFF"/>
          <w:lang w:val="en-AU" w:eastAsia="en-US"/>
        </w:rPr>
        <w:t>The Review of Financial Studies</w:t>
      </w:r>
      <w:r w:rsidRPr="00712B16">
        <w:rPr>
          <w:rFonts w:ascii="Times New Roman" w:eastAsia="Calibri" w:hAnsi="Times New Roman" w:cs="Times New Roman"/>
          <w:sz w:val="24"/>
          <w:szCs w:val="24"/>
          <w:shd w:val="clear" w:color="auto" w:fill="FFFFFF"/>
          <w:lang w:val="en-AU" w:eastAsia="en-US"/>
        </w:rPr>
        <w:t>, </w:t>
      </w:r>
      <w:r w:rsidRPr="00712B16">
        <w:rPr>
          <w:rFonts w:ascii="Times New Roman" w:eastAsia="Calibri" w:hAnsi="Times New Roman" w:cs="Times New Roman"/>
          <w:i/>
          <w:iCs/>
          <w:sz w:val="24"/>
          <w:szCs w:val="24"/>
          <w:shd w:val="clear" w:color="auto" w:fill="FFFFFF"/>
          <w:lang w:val="en-AU" w:eastAsia="en-US"/>
        </w:rPr>
        <w:t>33</w:t>
      </w:r>
      <w:r w:rsidRPr="00712B16">
        <w:rPr>
          <w:rFonts w:ascii="Times New Roman" w:eastAsia="Calibri" w:hAnsi="Times New Roman" w:cs="Times New Roman"/>
          <w:sz w:val="24"/>
          <w:szCs w:val="24"/>
          <w:shd w:val="clear" w:color="auto" w:fill="FFFFFF"/>
          <w:lang w:val="en-AU" w:eastAsia="en-US"/>
        </w:rPr>
        <w:t>(3), 1067-1111.</w:t>
      </w:r>
    </w:p>
    <w:p w14:paraId="26AEA673" w14:textId="77777777" w:rsidR="005C3A8A" w:rsidRPr="00712B16" w:rsidRDefault="005C3A8A" w:rsidP="005C3A8A">
      <w:pPr>
        <w:pStyle w:val="EndNoteBibliography"/>
        <w:spacing w:after="0"/>
        <w:ind w:left="720" w:hanging="720"/>
        <w:jc w:val="both"/>
        <w:rPr>
          <w:rFonts w:ascii="Times New Roman" w:hAnsi="Times New Roman" w:cs="Times New Roman"/>
          <w:noProof/>
          <w:sz w:val="24"/>
          <w:szCs w:val="24"/>
        </w:rPr>
      </w:pPr>
      <w:r w:rsidRPr="00712B16">
        <w:rPr>
          <w:rFonts w:ascii="Times New Roman" w:hAnsi="Times New Roman" w:cs="Times New Roman"/>
          <w:sz w:val="24"/>
          <w:szCs w:val="24"/>
          <w:shd w:val="clear" w:color="auto" w:fill="FFFFFF"/>
        </w:rPr>
        <w:t>Kuo, Y. F., Lin, Y. M., &amp; Chien, H. F. (2021). Corporate social responsibility, enterprise risk management, and real earnings management: Evidence from managerial confidence. </w:t>
      </w:r>
      <w:r w:rsidRPr="00712B16">
        <w:rPr>
          <w:rFonts w:ascii="Times New Roman" w:hAnsi="Times New Roman" w:cs="Times New Roman"/>
          <w:i/>
          <w:iCs/>
          <w:sz w:val="24"/>
          <w:szCs w:val="24"/>
          <w:shd w:val="clear" w:color="auto" w:fill="FFFFFF"/>
        </w:rPr>
        <w:t>Finance Research Letters</w:t>
      </w:r>
      <w:r w:rsidRPr="00712B16">
        <w:rPr>
          <w:rFonts w:ascii="Times New Roman" w:hAnsi="Times New Roman" w:cs="Times New Roman"/>
          <w:sz w:val="24"/>
          <w:szCs w:val="24"/>
          <w:shd w:val="clear" w:color="auto" w:fill="FFFFFF"/>
        </w:rPr>
        <w:t>, </w:t>
      </w:r>
      <w:r w:rsidRPr="00712B16">
        <w:rPr>
          <w:rFonts w:ascii="Times New Roman" w:hAnsi="Times New Roman" w:cs="Times New Roman"/>
          <w:i/>
          <w:iCs/>
          <w:sz w:val="24"/>
          <w:szCs w:val="24"/>
          <w:shd w:val="clear" w:color="auto" w:fill="FFFFFF"/>
        </w:rPr>
        <w:t>41</w:t>
      </w:r>
      <w:r w:rsidRPr="00712B16">
        <w:rPr>
          <w:rFonts w:ascii="Times New Roman" w:hAnsi="Times New Roman" w:cs="Times New Roman"/>
          <w:sz w:val="24"/>
          <w:szCs w:val="24"/>
          <w:shd w:val="clear" w:color="auto" w:fill="FFFFFF"/>
        </w:rPr>
        <w:t>, 101805.</w:t>
      </w:r>
    </w:p>
    <w:p w14:paraId="15345528" w14:textId="77777777" w:rsidR="005C3A8A" w:rsidRPr="00712B16" w:rsidRDefault="005C3A8A" w:rsidP="005C3A8A">
      <w:pPr>
        <w:pStyle w:val="EndNoteBibliography"/>
        <w:spacing w:after="0"/>
        <w:ind w:left="720" w:hanging="720"/>
        <w:jc w:val="both"/>
        <w:rPr>
          <w:rFonts w:ascii="Times New Roman" w:hAnsi="Times New Roman" w:cs="Times New Roman"/>
          <w:sz w:val="24"/>
          <w:szCs w:val="24"/>
          <w:shd w:val="clear" w:color="auto" w:fill="FFFFFF"/>
        </w:rPr>
      </w:pPr>
      <w:r w:rsidRPr="00712B16">
        <w:rPr>
          <w:rFonts w:ascii="Times New Roman" w:hAnsi="Times New Roman" w:cs="Times New Roman"/>
          <w:sz w:val="24"/>
          <w:szCs w:val="24"/>
          <w:shd w:val="clear" w:color="auto" w:fill="FFFFFF"/>
        </w:rPr>
        <w:t>Lai, K. M., Sasmita, A., Gul, F. A., Foo, Y. B., &amp; Hutchinson, M. (2018). Busy auditors, ethical behavior, and discretionary accruals quality in Malaysia. </w:t>
      </w:r>
      <w:r w:rsidRPr="00712B16">
        <w:rPr>
          <w:rFonts w:ascii="Times New Roman" w:hAnsi="Times New Roman" w:cs="Times New Roman"/>
          <w:i/>
          <w:iCs/>
          <w:sz w:val="24"/>
          <w:szCs w:val="24"/>
          <w:shd w:val="clear" w:color="auto" w:fill="FFFFFF"/>
        </w:rPr>
        <w:t>Journal of Business Ethics</w:t>
      </w:r>
      <w:r w:rsidRPr="00712B16">
        <w:rPr>
          <w:rFonts w:ascii="Times New Roman" w:hAnsi="Times New Roman" w:cs="Times New Roman"/>
          <w:sz w:val="24"/>
          <w:szCs w:val="24"/>
          <w:shd w:val="clear" w:color="auto" w:fill="FFFFFF"/>
        </w:rPr>
        <w:t>, </w:t>
      </w:r>
      <w:r w:rsidRPr="00712B16">
        <w:rPr>
          <w:rFonts w:ascii="Times New Roman" w:hAnsi="Times New Roman" w:cs="Times New Roman"/>
          <w:i/>
          <w:iCs/>
          <w:sz w:val="24"/>
          <w:szCs w:val="24"/>
          <w:shd w:val="clear" w:color="auto" w:fill="FFFFFF"/>
        </w:rPr>
        <w:t>150</w:t>
      </w:r>
      <w:r w:rsidRPr="00712B16">
        <w:rPr>
          <w:rFonts w:ascii="Times New Roman" w:hAnsi="Times New Roman" w:cs="Times New Roman"/>
          <w:sz w:val="24"/>
          <w:szCs w:val="24"/>
          <w:shd w:val="clear" w:color="auto" w:fill="FFFFFF"/>
        </w:rPr>
        <w:t>, 1187-1198.</w:t>
      </w:r>
    </w:p>
    <w:p w14:paraId="13B3AF08" w14:textId="77777777" w:rsidR="005C3A8A" w:rsidRPr="00712B16" w:rsidRDefault="005C3A8A" w:rsidP="005C3A8A">
      <w:pPr>
        <w:pStyle w:val="EndNoteBibliography"/>
        <w:spacing w:after="0"/>
        <w:ind w:left="720" w:hanging="720"/>
        <w:jc w:val="both"/>
        <w:rPr>
          <w:rFonts w:ascii="Times New Roman" w:hAnsi="Times New Roman" w:cs="Times New Roman"/>
          <w:noProof/>
          <w:sz w:val="24"/>
          <w:szCs w:val="24"/>
        </w:rPr>
      </w:pPr>
      <w:r w:rsidRPr="00712B16">
        <w:rPr>
          <w:rFonts w:ascii="Times New Roman" w:eastAsia="SimSun" w:hAnsi="Times New Roman" w:cs="Times New Roman"/>
          <w:sz w:val="24"/>
          <w:szCs w:val="24"/>
          <w:shd w:val="clear" w:color="auto" w:fill="FFFFFF"/>
          <w:lang w:val="en-AU"/>
        </w:rPr>
        <w:lastRenderedPageBreak/>
        <w:t>Liu, Y., Chen, L., Cao, Z., &amp; Wen, F. (2024). Uncertainty breeds opportunities: Assessing climate policy uncertainty and its impact on corporate innovation. </w:t>
      </w:r>
      <w:r w:rsidRPr="00712B16">
        <w:rPr>
          <w:rFonts w:ascii="Times New Roman" w:eastAsia="SimSun" w:hAnsi="Times New Roman" w:cs="Times New Roman"/>
          <w:i/>
          <w:iCs/>
          <w:sz w:val="24"/>
          <w:szCs w:val="24"/>
          <w:shd w:val="clear" w:color="auto" w:fill="FFFFFF"/>
          <w:lang w:val="en-AU"/>
        </w:rPr>
        <w:t>International Review of Financial Analysis</w:t>
      </w:r>
      <w:r w:rsidRPr="00712B16">
        <w:rPr>
          <w:rFonts w:ascii="Times New Roman" w:eastAsia="SimSun" w:hAnsi="Times New Roman" w:cs="Times New Roman"/>
          <w:sz w:val="24"/>
          <w:szCs w:val="24"/>
          <w:shd w:val="clear" w:color="auto" w:fill="FFFFFF"/>
          <w:lang w:val="en-AU"/>
        </w:rPr>
        <w:t>, </w:t>
      </w:r>
      <w:r w:rsidRPr="00712B16">
        <w:rPr>
          <w:rFonts w:ascii="Times New Roman" w:eastAsia="SimSun" w:hAnsi="Times New Roman" w:cs="Times New Roman"/>
          <w:i/>
          <w:iCs/>
          <w:sz w:val="24"/>
          <w:szCs w:val="24"/>
          <w:shd w:val="clear" w:color="auto" w:fill="FFFFFF"/>
          <w:lang w:val="en-AU"/>
        </w:rPr>
        <w:t>96</w:t>
      </w:r>
      <w:r w:rsidRPr="00712B16">
        <w:rPr>
          <w:rFonts w:ascii="Times New Roman" w:eastAsia="SimSun" w:hAnsi="Times New Roman" w:cs="Times New Roman"/>
          <w:sz w:val="24"/>
          <w:szCs w:val="24"/>
          <w:shd w:val="clear" w:color="auto" w:fill="FFFFFF"/>
          <w:lang w:val="en-AU"/>
        </w:rPr>
        <w:t>, 103560.</w:t>
      </w:r>
    </w:p>
    <w:p w14:paraId="6F4E9507" w14:textId="77777777" w:rsidR="005C3A8A" w:rsidRPr="00712B16" w:rsidRDefault="005C3A8A" w:rsidP="005C3A8A">
      <w:pPr>
        <w:pStyle w:val="EndNoteBibliography"/>
        <w:spacing w:after="0"/>
        <w:ind w:left="720" w:hanging="720"/>
        <w:jc w:val="both"/>
        <w:rPr>
          <w:rFonts w:ascii="Times New Roman" w:hAnsi="Times New Roman" w:cs="Times New Roman"/>
          <w:noProof/>
          <w:sz w:val="24"/>
          <w:szCs w:val="24"/>
        </w:rPr>
      </w:pPr>
      <w:r w:rsidRPr="00712B16">
        <w:rPr>
          <w:rFonts w:ascii="Times New Roman" w:hAnsi="Times New Roman" w:cs="Times New Roman"/>
          <w:sz w:val="24"/>
          <w:szCs w:val="24"/>
          <w:shd w:val="clear" w:color="auto" w:fill="FFFFFF"/>
        </w:rPr>
        <w:t>Long, W., Qu, X., &amp; Yin, S. (2023). How does carbon emissions trading policy affect accrued earnings management in corporations? Evidence from China. </w:t>
      </w:r>
      <w:r w:rsidRPr="00712B16">
        <w:rPr>
          <w:rFonts w:ascii="Times New Roman" w:hAnsi="Times New Roman" w:cs="Times New Roman"/>
          <w:i/>
          <w:iCs/>
          <w:sz w:val="24"/>
          <w:szCs w:val="24"/>
          <w:shd w:val="clear" w:color="auto" w:fill="FFFFFF"/>
        </w:rPr>
        <w:t>Finance Research Letters</w:t>
      </w:r>
      <w:r w:rsidRPr="00712B16">
        <w:rPr>
          <w:rFonts w:ascii="Times New Roman" w:hAnsi="Times New Roman" w:cs="Times New Roman"/>
          <w:sz w:val="24"/>
          <w:szCs w:val="24"/>
          <w:shd w:val="clear" w:color="auto" w:fill="FFFFFF"/>
        </w:rPr>
        <w:t>, </w:t>
      </w:r>
      <w:r w:rsidRPr="00712B16">
        <w:rPr>
          <w:rFonts w:ascii="Times New Roman" w:hAnsi="Times New Roman" w:cs="Times New Roman"/>
          <w:i/>
          <w:iCs/>
          <w:sz w:val="24"/>
          <w:szCs w:val="24"/>
          <w:shd w:val="clear" w:color="auto" w:fill="FFFFFF"/>
        </w:rPr>
        <w:t>55</w:t>
      </w:r>
      <w:r w:rsidRPr="00712B16">
        <w:rPr>
          <w:rFonts w:ascii="Times New Roman" w:hAnsi="Times New Roman" w:cs="Times New Roman"/>
          <w:sz w:val="24"/>
          <w:szCs w:val="24"/>
          <w:shd w:val="clear" w:color="auto" w:fill="FFFFFF"/>
        </w:rPr>
        <w:t>, 103840.</w:t>
      </w:r>
    </w:p>
    <w:p w14:paraId="34B8268E" w14:textId="77777777" w:rsidR="005C3A8A" w:rsidRPr="00712B16" w:rsidRDefault="005C3A8A" w:rsidP="005C3A8A">
      <w:pPr>
        <w:pStyle w:val="EndNoteBibliography"/>
        <w:spacing w:after="0"/>
        <w:ind w:left="720" w:hanging="720"/>
        <w:jc w:val="both"/>
        <w:rPr>
          <w:rFonts w:ascii="Times New Roman" w:hAnsi="Times New Roman" w:cs="Times New Roman"/>
          <w:noProof/>
          <w:sz w:val="24"/>
          <w:szCs w:val="24"/>
        </w:rPr>
      </w:pPr>
      <w:r w:rsidRPr="00712B16">
        <w:rPr>
          <w:rFonts w:ascii="Times New Roman" w:hAnsi="Times New Roman" w:cs="Times New Roman"/>
          <w:sz w:val="24"/>
          <w:szCs w:val="24"/>
          <w:shd w:val="clear" w:color="auto" w:fill="FFFFFF"/>
        </w:rPr>
        <w:t>Mackey, A., Mackey, T. B., &amp; Barney, J. B. (2007). Corporate social responsibility and firm performance: Investor preferences and corporate strategies. </w:t>
      </w:r>
      <w:r w:rsidRPr="00712B16">
        <w:rPr>
          <w:rFonts w:ascii="Times New Roman" w:hAnsi="Times New Roman" w:cs="Times New Roman"/>
          <w:i/>
          <w:iCs/>
          <w:sz w:val="24"/>
          <w:szCs w:val="24"/>
          <w:shd w:val="clear" w:color="auto" w:fill="FFFFFF"/>
        </w:rPr>
        <w:t>Academy of Management Review</w:t>
      </w:r>
      <w:r w:rsidRPr="00712B16">
        <w:rPr>
          <w:rFonts w:ascii="Times New Roman" w:hAnsi="Times New Roman" w:cs="Times New Roman"/>
          <w:sz w:val="24"/>
          <w:szCs w:val="24"/>
          <w:shd w:val="clear" w:color="auto" w:fill="FFFFFF"/>
        </w:rPr>
        <w:t>, </w:t>
      </w:r>
      <w:r w:rsidRPr="00712B16">
        <w:rPr>
          <w:rFonts w:ascii="Times New Roman" w:hAnsi="Times New Roman" w:cs="Times New Roman"/>
          <w:i/>
          <w:iCs/>
          <w:sz w:val="24"/>
          <w:szCs w:val="24"/>
          <w:shd w:val="clear" w:color="auto" w:fill="FFFFFF"/>
        </w:rPr>
        <w:t>32</w:t>
      </w:r>
      <w:r w:rsidRPr="00712B16">
        <w:rPr>
          <w:rFonts w:ascii="Times New Roman" w:hAnsi="Times New Roman" w:cs="Times New Roman"/>
          <w:sz w:val="24"/>
          <w:szCs w:val="24"/>
          <w:shd w:val="clear" w:color="auto" w:fill="FFFFFF"/>
        </w:rPr>
        <w:t>(3), 817-835.</w:t>
      </w:r>
    </w:p>
    <w:p w14:paraId="17ABD68D" w14:textId="77777777" w:rsidR="005C3A8A" w:rsidRPr="00712B16" w:rsidRDefault="005C3A8A" w:rsidP="005C3A8A">
      <w:pPr>
        <w:pStyle w:val="EndNoteBibliography"/>
        <w:spacing w:after="0"/>
        <w:ind w:left="720" w:hanging="720"/>
        <w:jc w:val="both"/>
        <w:rPr>
          <w:rFonts w:ascii="Times New Roman" w:hAnsi="Times New Roman" w:cs="Times New Roman"/>
          <w:noProof/>
          <w:sz w:val="24"/>
          <w:szCs w:val="24"/>
        </w:rPr>
      </w:pPr>
      <w:r w:rsidRPr="00712B16">
        <w:rPr>
          <w:rFonts w:ascii="Times New Roman" w:hAnsi="Times New Roman" w:cs="Times New Roman"/>
          <w:sz w:val="24"/>
          <w:szCs w:val="24"/>
          <w:shd w:val="clear" w:color="auto" w:fill="FFFFFF"/>
        </w:rPr>
        <w:t>Margolis, J. D., &amp; Walsh, J. P. (2003). Misery loves companies: Rethinking social initiatives by business. </w:t>
      </w:r>
      <w:r w:rsidRPr="00712B16">
        <w:rPr>
          <w:rFonts w:ascii="Times New Roman" w:hAnsi="Times New Roman" w:cs="Times New Roman"/>
          <w:i/>
          <w:iCs/>
          <w:sz w:val="24"/>
          <w:szCs w:val="24"/>
          <w:shd w:val="clear" w:color="auto" w:fill="FFFFFF"/>
        </w:rPr>
        <w:t>Administrative Science Quarterly</w:t>
      </w:r>
      <w:r w:rsidRPr="00712B16">
        <w:rPr>
          <w:rFonts w:ascii="Times New Roman" w:hAnsi="Times New Roman" w:cs="Times New Roman"/>
          <w:sz w:val="24"/>
          <w:szCs w:val="24"/>
          <w:shd w:val="clear" w:color="auto" w:fill="FFFFFF"/>
        </w:rPr>
        <w:t>, </w:t>
      </w:r>
      <w:r w:rsidRPr="00712B16">
        <w:rPr>
          <w:rFonts w:ascii="Times New Roman" w:hAnsi="Times New Roman" w:cs="Times New Roman"/>
          <w:i/>
          <w:iCs/>
          <w:sz w:val="24"/>
          <w:szCs w:val="24"/>
          <w:shd w:val="clear" w:color="auto" w:fill="FFFFFF"/>
        </w:rPr>
        <w:t>48</w:t>
      </w:r>
      <w:r w:rsidRPr="00712B16">
        <w:rPr>
          <w:rFonts w:ascii="Times New Roman" w:hAnsi="Times New Roman" w:cs="Times New Roman"/>
          <w:sz w:val="24"/>
          <w:szCs w:val="24"/>
          <w:shd w:val="clear" w:color="auto" w:fill="FFFFFF"/>
        </w:rPr>
        <w:t>(2), 268-305.</w:t>
      </w:r>
    </w:p>
    <w:p w14:paraId="3652A535" w14:textId="77777777" w:rsidR="005C3A8A" w:rsidRPr="00712B16" w:rsidRDefault="005C3A8A" w:rsidP="005C3A8A">
      <w:pPr>
        <w:pStyle w:val="EndNoteBibliography"/>
        <w:spacing w:after="0"/>
        <w:ind w:left="720" w:hanging="720"/>
        <w:jc w:val="both"/>
        <w:rPr>
          <w:rFonts w:ascii="Times New Roman" w:hAnsi="Times New Roman" w:cs="Times New Roman"/>
          <w:noProof/>
          <w:sz w:val="24"/>
          <w:szCs w:val="24"/>
        </w:rPr>
      </w:pPr>
      <w:r w:rsidRPr="00712B16">
        <w:rPr>
          <w:rFonts w:ascii="Times New Roman" w:hAnsi="Times New Roman" w:cs="Times New Roman"/>
          <w:sz w:val="24"/>
          <w:szCs w:val="24"/>
          <w:shd w:val="clear" w:color="auto" w:fill="FFFFFF"/>
        </w:rPr>
        <w:t>Martinez-Ferrero, J., Banerjee, S., &amp; Garcia-Sanchez, I. M. (2016). Corporate social responsibility as a strategic shield against costs of earnings management practices. </w:t>
      </w:r>
      <w:r w:rsidRPr="00712B16">
        <w:rPr>
          <w:rFonts w:ascii="Times New Roman" w:hAnsi="Times New Roman" w:cs="Times New Roman"/>
          <w:i/>
          <w:iCs/>
          <w:sz w:val="24"/>
          <w:szCs w:val="24"/>
          <w:shd w:val="clear" w:color="auto" w:fill="FFFFFF"/>
        </w:rPr>
        <w:t>Journal of Business Ethics</w:t>
      </w:r>
      <w:r w:rsidRPr="00712B16">
        <w:rPr>
          <w:rFonts w:ascii="Times New Roman" w:hAnsi="Times New Roman" w:cs="Times New Roman"/>
          <w:sz w:val="24"/>
          <w:szCs w:val="24"/>
          <w:shd w:val="clear" w:color="auto" w:fill="FFFFFF"/>
        </w:rPr>
        <w:t>, </w:t>
      </w:r>
      <w:r w:rsidRPr="00712B16">
        <w:rPr>
          <w:rFonts w:ascii="Times New Roman" w:hAnsi="Times New Roman" w:cs="Times New Roman"/>
          <w:i/>
          <w:iCs/>
          <w:sz w:val="24"/>
          <w:szCs w:val="24"/>
          <w:shd w:val="clear" w:color="auto" w:fill="FFFFFF"/>
        </w:rPr>
        <w:t>133</w:t>
      </w:r>
      <w:r w:rsidRPr="00712B16">
        <w:rPr>
          <w:rFonts w:ascii="Times New Roman" w:hAnsi="Times New Roman" w:cs="Times New Roman"/>
          <w:sz w:val="24"/>
          <w:szCs w:val="24"/>
          <w:shd w:val="clear" w:color="auto" w:fill="FFFFFF"/>
        </w:rPr>
        <w:t>, 305-324.</w:t>
      </w:r>
    </w:p>
    <w:p w14:paraId="1B98AEC2" w14:textId="77777777" w:rsidR="005C3A8A" w:rsidRPr="00712B16" w:rsidRDefault="005C3A8A" w:rsidP="005C3A8A">
      <w:pPr>
        <w:pStyle w:val="EndNoteBibliography"/>
        <w:spacing w:after="0"/>
        <w:ind w:left="720" w:hanging="720"/>
        <w:jc w:val="both"/>
        <w:rPr>
          <w:rFonts w:ascii="Times New Roman" w:hAnsi="Times New Roman" w:cs="Times New Roman"/>
          <w:sz w:val="24"/>
          <w:szCs w:val="24"/>
          <w:shd w:val="clear" w:color="auto" w:fill="FFFFFF"/>
        </w:rPr>
      </w:pPr>
      <w:r w:rsidRPr="00712B16">
        <w:rPr>
          <w:rFonts w:ascii="Times New Roman" w:hAnsi="Times New Roman" w:cs="Times New Roman"/>
          <w:sz w:val="24"/>
          <w:szCs w:val="24"/>
          <w:shd w:val="clear" w:color="auto" w:fill="FFFFFF"/>
        </w:rPr>
        <w:t>Montenegro, T. M. (2021). Tax evasion, corporate social responsibility and national governance: A country-level study. </w:t>
      </w:r>
      <w:r w:rsidRPr="00712B16">
        <w:rPr>
          <w:rFonts w:ascii="Times New Roman" w:hAnsi="Times New Roman" w:cs="Times New Roman"/>
          <w:i/>
          <w:iCs/>
          <w:sz w:val="24"/>
          <w:szCs w:val="24"/>
          <w:shd w:val="clear" w:color="auto" w:fill="FFFFFF"/>
        </w:rPr>
        <w:t>Sustainability</w:t>
      </w:r>
      <w:r w:rsidRPr="00712B16">
        <w:rPr>
          <w:rFonts w:ascii="Times New Roman" w:hAnsi="Times New Roman" w:cs="Times New Roman"/>
          <w:sz w:val="24"/>
          <w:szCs w:val="24"/>
          <w:shd w:val="clear" w:color="auto" w:fill="FFFFFF"/>
        </w:rPr>
        <w:t>, </w:t>
      </w:r>
      <w:r w:rsidRPr="00712B16">
        <w:rPr>
          <w:rFonts w:ascii="Times New Roman" w:hAnsi="Times New Roman" w:cs="Times New Roman"/>
          <w:i/>
          <w:iCs/>
          <w:sz w:val="24"/>
          <w:szCs w:val="24"/>
          <w:shd w:val="clear" w:color="auto" w:fill="FFFFFF"/>
        </w:rPr>
        <w:t>13</w:t>
      </w:r>
      <w:r w:rsidRPr="00712B16">
        <w:rPr>
          <w:rFonts w:ascii="Times New Roman" w:hAnsi="Times New Roman" w:cs="Times New Roman"/>
          <w:sz w:val="24"/>
          <w:szCs w:val="24"/>
          <w:shd w:val="clear" w:color="auto" w:fill="FFFFFF"/>
        </w:rPr>
        <w:t>(20), 11166.</w:t>
      </w:r>
    </w:p>
    <w:p w14:paraId="4B750D69" w14:textId="77777777" w:rsidR="005C3A8A" w:rsidRPr="00712B16" w:rsidRDefault="005C3A8A" w:rsidP="005C3A8A">
      <w:pPr>
        <w:pStyle w:val="EndNoteBibliography"/>
        <w:spacing w:after="0"/>
        <w:ind w:left="720" w:hanging="720"/>
        <w:jc w:val="both"/>
        <w:rPr>
          <w:rFonts w:ascii="Times New Roman" w:hAnsi="Times New Roman" w:cs="Times New Roman"/>
          <w:noProof/>
          <w:sz w:val="24"/>
          <w:szCs w:val="24"/>
        </w:rPr>
      </w:pPr>
      <w:r w:rsidRPr="00712B16">
        <w:rPr>
          <w:rFonts w:ascii="Times New Roman" w:eastAsia="Calibri" w:hAnsi="Times New Roman" w:cs="Times New Roman"/>
          <w:sz w:val="24"/>
          <w:szCs w:val="24"/>
          <w:shd w:val="clear" w:color="auto" w:fill="FFFFFF"/>
          <w:lang w:val="en-AU" w:eastAsia="en-US"/>
        </w:rPr>
        <w:t>Nguyen, J. H., Truong, C., &amp; Zhang, B. (2025). The price of carbon risk: Evidence from the kyoto protocol ratification. </w:t>
      </w:r>
      <w:r w:rsidRPr="00712B16">
        <w:rPr>
          <w:rFonts w:ascii="Times New Roman" w:eastAsia="Calibri" w:hAnsi="Times New Roman" w:cs="Times New Roman"/>
          <w:i/>
          <w:iCs/>
          <w:sz w:val="24"/>
          <w:szCs w:val="24"/>
          <w:shd w:val="clear" w:color="auto" w:fill="FFFFFF"/>
          <w:lang w:val="en-AU" w:eastAsia="en-US"/>
        </w:rPr>
        <w:t>Journal of Environmental Economics and Management</w:t>
      </w:r>
      <w:r w:rsidRPr="00712B16">
        <w:rPr>
          <w:rFonts w:ascii="Times New Roman" w:eastAsia="Calibri" w:hAnsi="Times New Roman" w:cs="Times New Roman"/>
          <w:sz w:val="24"/>
          <w:szCs w:val="24"/>
          <w:shd w:val="clear" w:color="auto" w:fill="FFFFFF"/>
          <w:lang w:val="en-AU" w:eastAsia="en-US"/>
        </w:rPr>
        <w:t>, </w:t>
      </w:r>
      <w:r w:rsidRPr="00712B16">
        <w:rPr>
          <w:rFonts w:ascii="Times New Roman" w:eastAsia="Calibri" w:hAnsi="Times New Roman" w:cs="Times New Roman"/>
          <w:i/>
          <w:iCs/>
          <w:sz w:val="24"/>
          <w:szCs w:val="24"/>
          <w:shd w:val="clear" w:color="auto" w:fill="FFFFFF"/>
          <w:lang w:val="en-AU" w:eastAsia="en-US"/>
        </w:rPr>
        <w:t>130</w:t>
      </w:r>
      <w:r w:rsidRPr="00712B16">
        <w:rPr>
          <w:rFonts w:ascii="Times New Roman" w:eastAsia="Calibri" w:hAnsi="Times New Roman" w:cs="Times New Roman"/>
          <w:sz w:val="24"/>
          <w:szCs w:val="24"/>
          <w:shd w:val="clear" w:color="auto" w:fill="FFFFFF"/>
          <w:lang w:val="en-AU" w:eastAsia="en-US"/>
        </w:rPr>
        <w:t>, 103118.</w:t>
      </w:r>
    </w:p>
    <w:p w14:paraId="6490532D" w14:textId="77777777" w:rsidR="005C3A8A" w:rsidRPr="00712B16" w:rsidRDefault="005C3A8A" w:rsidP="005C3A8A">
      <w:pPr>
        <w:pStyle w:val="EndNoteBibliography"/>
        <w:spacing w:after="0"/>
        <w:ind w:left="720" w:hanging="720"/>
        <w:jc w:val="both"/>
        <w:rPr>
          <w:rFonts w:ascii="Times New Roman" w:hAnsi="Times New Roman" w:cs="Times New Roman"/>
          <w:sz w:val="24"/>
          <w:szCs w:val="24"/>
          <w:shd w:val="clear" w:color="auto" w:fill="FFFFFF"/>
        </w:rPr>
      </w:pPr>
      <w:r w:rsidRPr="00712B16">
        <w:rPr>
          <w:rFonts w:ascii="Times New Roman" w:hAnsi="Times New Roman" w:cs="Times New Roman"/>
          <w:sz w:val="24"/>
          <w:szCs w:val="24"/>
          <w:shd w:val="clear" w:color="auto" w:fill="FFFFFF"/>
        </w:rPr>
        <w:t>Paredes, A. A. P., &amp; Wheatley, C. (2017). The influence of culture on real earnings management. </w:t>
      </w:r>
      <w:r w:rsidRPr="00712B16">
        <w:rPr>
          <w:rFonts w:ascii="Times New Roman" w:hAnsi="Times New Roman" w:cs="Times New Roman"/>
          <w:i/>
          <w:iCs/>
          <w:sz w:val="24"/>
          <w:szCs w:val="24"/>
          <w:shd w:val="clear" w:color="auto" w:fill="FFFFFF"/>
        </w:rPr>
        <w:t>International Journal of Emerging Markets</w:t>
      </w:r>
      <w:r w:rsidRPr="00712B16">
        <w:rPr>
          <w:rFonts w:ascii="Times New Roman" w:hAnsi="Times New Roman" w:cs="Times New Roman"/>
          <w:sz w:val="24"/>
          <w:szCs w:val="24"/>
          <w:shd w:val="clear" w:color="auto" w:fill="FFFFFF"/>
        </w:rPr>
        <w:t>, </w:t>
      </w:r>
      <w:r w:rsidRPr="00712B16">
        <w:rPr>
          <w:rFonts w:ascii="Times New Roman" w:hAnsi="Times New Roman" w:cs="Times New Roman"/>
          <w:i/>
          <w:iCs/>
          <w:sz w:val="24"/>
          <w:szCs w:val="24"/>
          <w:shd w:val="clear" w:color="auto" w:fill="FFFFFF"/>
        </w:rPr>
        <w:t>12</w:t>
      </w:r>
      <w:r w:rsidRPr="00712B16">
        <w:rPr>
          <w:rFonts w:ascii="Times New Roman" w:hAnsi="Times New Roman" w:cs="Times New Roman"/>
          <w:sz w:val="24"/>
          <w:szCs w:val="24"/>
          <w:shd w:val="clear" w:color="auto" w:fill="FFFFFF"/>
        </w:rPr>
        <w:t>(1), 38-57.</w:t>
      </w:r>
    </w:p>
    <w:p w14:paraId="0FD3E3FB" w14:textId="77777777" w:rsidR="005C3A8A" w:rsidRPr="00712B16" w:rsidRDefault="005C3A8A" w:rsidP="005C3A8A">
      <w:pPr>
        <w:pStyle w:val="EndNoteBibliography"/>
        <w:spacing w:after="0"/>
        <w:ind w:left="720" w:hanging="720"/>
        <w:jc w:val="both"/>
        <w:rPr>
          <w:rFonts w:ascii="Times New Roman" w:hAnsi="Times New Roman" w:cs="Times New Roman"/>
          <w:noProof/>
          <w:sz w:val="24"/>
          <w:szCs w:val="24"/>
        </w:rPr>
      </w:pPr>
      <w:r w:rsidRPr="00712B16">
        <w:rPr>
          <w:rFonts w:ascii="Times New Roman" w:eastAsia="Calibri" w:hAnsi="Times New Roman" w:cs="Times New Roman"/>
          <w:sz w:val="24"/>
          <w:szCs w:val="24"/>
          <w:shd w:val="clear" w:color="auto" w:fill="FFFFFF"/>
          <w:lang w:val="en-AU" w:eastAsia="en-US"/>
        </w:rPr>
        <w:t>Patten, D. M. (2002). The relation between environmental performance and environmental disclosure: a research note. </w:t>
      </w:r>
      <w:r w:rsidRPr="00712B16">
        <w:rPr>
          <w:rFonts w:ascii="Times New Roman" w:eastAsia="Calibri" w:hAnsi="Times New Roman" w:cs="Times New Roman"/>
          <w:i/>
          <w:iCs/>
          <w:sz w:val="24"/>
          <w:szCs w:val="24"/>
          <w:shd w:val="clear" w:color="auto" w:fill="FFFFFF"/>
          <w:lang w:val="en-AU" w:eastAsia="en-US"/>
        </w:rPr>
        <w:t>Accounting, Organizations and Society</w:t>
      </w:r>
      <w:r w:rsidRPr="00712B16">
        <w:rPr>
          <w:rFonts w:ascii="Times New Roman" w:eastAsia="Calibri" w:hAnsi="Times New Roman" w:cs="Times New Roman"/>
          <w:sz w:val="24"/>
          <w:szCs w:val="24"/>
          <w:shd w:val="clear" w:color="auto" w:fill="FFFFFF"/>
          <w:lang w:val="en-AU" w:eastAsia="en-US"/>
        </w:rPr>
        <w:t>, </w:t>
      </w:r>
      <w:r w:rsidRPr="00712B16">
        <w:rPr>
          <w:rFonts w:ascii="Times New Roman" w:eastAsia="Calibri" w:hAnsi="Times New Roman" w:cs="Times New Roman"/>
          <w:i/>
          <w:iCs/>
          <w:sz w:val="24"/>
          <w:szCs w:val="24"/>
          <w:shd w:val="clear" w:color="auto" w:fill="FFFFFF"/>
          <w:lang w:val="en-AU" w:eastAsia="en-US"/>
        </w:rPr>
        <w:t>27</w:t>
      </w:r>
      <w:r w:rsidRPr="00712B16">
        <w:rPr>
          <w:rFonts w:ascii="Times New Roman" w:eastAsia="Calibri" w:hAnsi="Times New Roman" w:cs="Times New Roman"/>
          <w:sz w:val="24"/>
          <w:szCs w:val="24"/>
          <w:shd w:val="clear" w:color="auto" w:fill="FFFFFF"/>
          <w:lang w:val="en-AU" w:eastAsia="en-US"/>
        </w:rPr>
        <w:t>(8), 763-773.</w:t>
      </w:r>
    </w:p>
    <w:p w14:paraId="4EDDC69C" w14:textId="77777777" w:rsidR="005C3A8A" w:rsidRPr="00712B16" w:rsidRDefault="005C3A8A" w:rsidP="005C3A8A">
      <w:pPr>
        <w:pStyle w:val="EndNoteBibliography"/>
        <w:spacing w:after="0"/>
        <w:ind w:left="720" w:hanging="720"/>
        <w:jc w:val="both"/>
        <w:rPr>
          <w:rFonts w:ascii="Times New Roman" w:hAnsi="Times New Roman" w:cs="Times New Roman"/>
          <w:sz w:val="24"/>
          <w:szCs w:val="24"/>
        </w:rPr>
      </w:pPr>
      <w:r w:rsidRPr="00712B16">
        <w:rPr>
          <w:rFonts w:ascii="Times New Roman" w:hAnsi="Times New Roman" w:cs="Times New Roman"/>
          <w:sz w:val="24"/>
          <w:szCs w:val="24"/>
          <w:shd w:val="clear" w:color="auto" w:fill="FFFFFF"/>
        </w:rPr>
        <w:t>Peasnell, K. V., Pope, P. F., &amp; Young, S. (2000). Accrual management to meet earnings targets: UK evidence pre-and post-Cadbury. </w:t>
      </w:r>
      <w:r w:rsidRPr="00712B16">
        <w:rPr>
          <w:rFonts w:ascii="Times New Roman" w:hAnsi="Times New Roman" w:cs="Times New Roman"/>
          <w:i/>
          <w:iCs/>
          <w:sz w:val="24"/>
          <w:szCs w:val="24"/>
          <w:shd w:val="clear" w:color="auto" w:fill="FFFFFF"/>
        </w:rPr>
        <w:t>The British Accounting Review</w:t>
      </w:r>
      <w:r w:rsidRPr="00712B16">
        <w:rPr>
          <w:rFonts w:ascii="Times New Roman" w:hAnsi="Times New Roman" w:cs="Times New Roman"/>
          <w:sz w:val="24"/>
          <w:szCs w:val="24"/>
          <w:shd w:val="clear" w:color="auto" w:fill="FFFFFF"/>
        </w:rPr>
        <w:t>, </w:t>
      </w:r>
      <w:r w:rsidRPr="00712B16">
        <w:rPr>
          <w:rFonts w:ascii="Times New Roman" w:hAnsi="Times New Roman" w:cs="Times New Roman"/>
          <w:i/>
          <w:iCs/>
          <w:sz w:val="24"/>
          <w:szCs w:val="24"/>
          <w:shd w:val="clear" w:color="auto" w:fill="FFFFFF"/>
        </w:rPr>
        <w:t>32</w:t>
      </w:r>
      <w:r w:rsidRPr="00712B16">
        <w:rPr>
          <w:rFonts w:ascii="Times New Roman" w:hAnsi="Times New Roman" w:cs="Times New Roman"/>
          <w:sz w:val="24"/>
          <w:szCs w:val="24"/>
          <w:shd w:val="clear" w:color="auto" w:fill="FFFFFF"/>
        </w:rPr>
        <w:t>(4), 415-445.</w:t>
      </w:r>
    </w:p>
    <w:p w14:paraId="2D1931E1" w14:textId="77777777" w:rsidR="005C3A8A" w:rsidRPr="00712B16" w:rsidRDefault="005C3A8A" w:rsidP="005C3A8A">
      <w:pPr>
        <w:pStyle w:val="EndNoteBibliography"/>
        <w:spacing w:after="0"/>
        <w:ind w:left="720" w:hanging="720"/>
        <w:jc w:val="both"/>
        <w:rPr>
          <w:rFonts w:ascii="Times New Roman" w:hAnsi="Times New Roman" w:cs="Times New Roman"/>
          <w:sz w:val="24"/>
          <w:szCs w:val="24"/>
        </w:rPr>
      </w:pPr>
      <w:r w:rsidRPr="00712B16">
        <w:rPr>
          <w:rFonts w:ascii="Times New Roman" w:hAnsi="Times New Roman" w:cs="Times New Roman"/>
          <w:sz w:val="24"/>
          <w:szCs w:val="24"/>
        </w:rPr>
        <w:t xml:space="preserve">PwC Global (2021). </w:t>
      </w:r>
      <w:r w:rsidRPr="00712B16">
        <w:rPr>
          <w:rFonts w:ascii="Times New Roman" w:hAnsi="Times New Roman" w:cs="Times New Roman"/>
          <w:i/>
          <w:sz w:val="24"/>
          <w:szCs w:val="24"/>
        </w:rPr>
        <w:t>How business can bridge the gap and achieve net zero</w:t>
      </w:r>
      <w:r w:rsidRPr="00712B16">
        <w:rPr>
          <w:rFonts w:ascii="Times New Roman" w:hAnsi="Times New Roman" w:cs="Times New Roman"/>
          <w:sz w:val="24"/>
          <w:szCs w:val="24"/>
        </w:rPr>
        <w:t>. Available at: https://www.pwc.com/gx/en/issues/reinventing-the-future/take-on-tomorrow/business-achieving-net-zero.html</w:t>
      </w:r>
    </w:p>
    <w:p w14:paraId="3A9B4B19" w14:textId="77777777" w:rsidR="005C3A8A" w:rsidRPr="00712B16" w:rsidRDefault="005C3A8A" w:rsidP="005C3A8A">
      <w:pPr>
        <w:pStyle w:val="EndNoteBibliography"/>
        <w:spacing w:after="0"/>
        <w:ind w:left="720" w:hanging="720"/>
        <w:jc w:val="both"/>
        <w:rPr>
          <w:rFonts w:ascii="Times New Roman" w:hAnsi="Times New Roman" w:cs="Times New Roman"/>
          <w:sz w:val="24"/>
          <w:szCs w:val="24"/>
        </w:rPr>
      </w:pPr>
      <w:r w:rsidRPr="00712B16">
        <w:rPr>
          <w:rFonts w:ascii="Times New Roman" w:hAnsi="Times New Roman" w:cs="Times New Roman"/>
          <w:sz w:val="24"/>
          <w:szCs w:val="24"/>
        </w:rPr>
        <w:t xml:space="preserve">PwC Global (2022). </w:t>
      </w:r>
      <w:r w:rsidRPr="00712B16">
        <w:rPr>
          <w:rFonts w:ascii="Times New Roman" w:hAnsi="Times New Roman" w:cs="Times New Roman"/>
          <w:i/>
          <w:sz w:val="24"/>
          <w:szCs w:val="24"/>
        </w:rPr>
        <w:t>Financing the Net Zero Transition</w:t>
      </w:r>
      <w:r w:rsidRPr="00712B16">
        <w:rPr>
          <w:rFonts w:ascii="Times New Roman" w:hAnsi="Times New Roman" w:cs="Times New Roman"/>
          <w:sz w:val="24"/>
          <w:szCs w:val="24"/>
        </w:rPr>
        <w:t>. Available at: https://www.pwc.com/gx/en/issues/esg/financing-net-zero.html</w:t>
      </w:r>
    </w:p>
    <w:p w14:paraId="729CC70F" w14:textId="77777777" w:rsidR="005C3A8A" w:rsidRPr="00712B16" w:rsidRDefault="005C3A8A" w:rsidP="005C3A8A">
      <w:pPr>
        <w:pStyle w:val="EndNoteBibliography"/>
        <w:spacing w:after="0"/>
        <w:ind w:left="720" w:hanging="720"/>
        <w:jc w:val="both"/>
        <w:rPr>
          <w:rFonts w:ascii="Times New Roman" w:hAnsi="Times New Roman" w:cs="Times New Roman"/>
          <w:noProof/>
          <w:sz w:val="24"/>
          <w:szCs w:val="24"/>
        </w:rPr>
      </w:pPr>
      <w:r w:rsidRPr="00712B16">
        <w:rPr>
          <w:rFonts w:ascii="Times New Roman" w:hAnsi="Times New Roman" w:cs="Times New Roman"/>
          <w:sz w:val="24"/>
          <w:szCs w:val="24"/>
          <w:shd w:val="clear" w:color="auto" w:fill="FFFFFF"/>
        </w:rPr>
        <w:t>Roychowdhury, S. (2006). Earnings management through real activities manipulation. </w:t>
      </w:r>
      <w:r w:rsidRPr="00712B16">
        <w:rPr>
          <w:rFonts w:ascii="Times New Roman" w:hAnsi="Times New Roman" w:cs="Times New Roman"/>
          <w:i/>
          <w:iCs/>
          <w:sz w:val="24"/>
          <w:szCs w:val="24"/>
          <w:shd w:val="clear" w:color="auto" w:fill="FFFFFF"/>
        </w:rPr>
        <w:t>Journal of Accounting and Economics</w:t>
      </w:r>
      <w:r w:rsidRPr="00712B16">
        <w:rPr>
          <w:rFonts w:ascii="Times New Roman" w:hAnsi="Times New Roman" w:cs="Times New Roman"/>
          <w:sz w:val="24"/>
          <w:szCs w:val="24"/>
          <w:shd w:val="clear" w:color="auto" w:fill="FFFFFF"/>
        </w:rPr>
        <w:t>, </w:t>
      </w:r>
      <w:r w:rsidRPr="00712B16">
        <w:rPr>
          <w:rFonts w:ascii="Times New Roman" w:hAnsi="Times New Roman" w:cs="Times New Roman"/>
          <w:i/>
          <w:iCs/>
          <w:sz w:val="24"/>
          <w:szCs w:val="24"/>
          <w:shd w:val="clear" w:color="auto" w:fill="FFFFFF"/>
        </w:rPr>
        <w:t>42</w:t>
      </w:r>
      <w:r w:rsidRPr="00712B16">
        <w:rPr>
          <w:rFonts w:ascii="Times New Roman" w:hAnsi="Times New Roman" w:cs="Times New Roman"/>
          <w:sz w:val="24"/>
          <w:szCs w:val="24"/>
          <w:shd w:val="clear" w:color="auto" w:fill="FFFFFF"/>
        </w:rPr>
        <w:t>(3), 335-370.</w:t>
      </w:r>
    </w:p>
    <w:p w14:paraId="038D8782" w14:textId="77777777" w:rsidR="005C3A8A" w:rsidRPr="00712B16" w:rsidRDefault="005C3A8A" w:rsidP="005C3A8A">
      <w:pPr>
        <w:pStyle w:val="EndNoteBibliography"/>
        <w:spacing w:after="0"/>
        <w:ind w:left="720" w:hanging="720"/>
        <w:jc w:val="both"/>
        <w:rPr>
          <w:rFonts w:ascii="Times New Roman" w:hAnsi="Times New Roman" w:cs="Times New Roman"/>
          <w:noProof/>
          <w:sz w:val="24"/>
          <w:szCs w:val="24"/>
        </w:rPr>
      </w:pPr>
      <w:r w:rsidRPr="00712B16">
        <w:rPr>
          <w:rFonts w:ascii="Times New Roman" w:hAnsi="Times New Roman" w:cs="Times New Roman"/>
          <w:sz w:val="24"/>
          <w:szCs w:val="24"/>
          <w:shd w:val="clear" w:color="auto" w:fill="FFFFFF"/>
        </w:rPr>
        <w:t>Sautner, Z., Van Lent, L., Vilkov, G., &amp; Zhang, R. (2023). Firm</w:t>
      </w:r>
      <w:r w:rsidRPr="00712B16">
        <w:rPr>
          <w:rFonts w:ascii="Times New Roman" w:hAnsi="Times New Roman" w:cs="Times New Roman" w:hint="eastAsia"/>
          <w:sz w:val="24"/>
          <w:szCs w:val="24"/>
          <w:shd w:val="clear" w:color="auto" w:fill="FFFFFF"/>
        </w:rPr>
        <w:t>‐</w:t>
      </w:r>
      <w:r w:rsidRPr="00712B16">
        <w:rPr>
          <w:rFonts w:ascii="Times New Roman" w:hAnsi="Times New Roman" w:cs="Times New Roman"/>
          <w:sz w:val="24"/>
          <w:szCs w:val="24"/>
          <w:shd w:val="clear" w:color="auto" w:fill="FFFFFF"/>
        </w:rPr>
        <w:t>level climate change exposure. </w:t>
      </w:r>
      <w:r w:rsidRPr="00712B16">
        <w:rPr>
          <w:rFonts w:ascii="Times New Roman" w:hAnsi="Times New Roman" w:cs="Times New Roman"/>
          <w:i/>
          <w:iCs/>
          <w:sz w:val="24"/>
          <w:szCs w:val="24"/>
          <w:shd w:val="clear" w:color="auto" w:fill="FFFFFF"/>
        </w:rPr>
        <w:t>The Journal of Finance</w:t>
      </w:r>
      <w:r w:rsidRPr="00712B16">
        <w:rPr>
          <w:rFonts w:ascii="Times New Roman" w:hAnsi="Times New Roman" w:cs="Times New Roman"/>
          <w:sz w:val="24"/>
          <w:szCs w:val="24"/>
          <w:shd w:val="clear" w:color="auto" w:fill="FFFFFF"/>
        </w:rPr>
        <w:t>, </w:t>
      </w:r>
      <w:r w:rsidRPr="00712B16">
        <w:rPr>
          <w:rFonts w:ascii="Times New Roman" w:hAnsi="Times New Roman" w:cs="Times New Roman"/>
          <w:i/>
          <w:iCs/>
          <w:sz w:val="24"/>
          <w:szCs w:val="24"/>
          <w:shd w:val="clear" w:color="auto" w:fill="FFFFFF"/>
        </w:rPr>
        <w:t>78</w:t>
      </w:r>
      <w:r w:rsidRPr="00712B16">
        <w:rPr>
          <w:rFonts w:ascii="Times New Roman" w:hAnsi="Times New Roman" w:cs="Times New Roman"/>
          <w:sz w:val="24"/>
          <w:szCs w:val="24"/>
          <w:shd w:val="clear" w:color="auto" w:fill="FFFFFF"/>
        </w:rPr>
        <w:t>(3), 1449-1498.</w:t>
      </w:r>
    </w:p>
    <w:p w14:paraId="67943FD8" w14:textId="77777777" w:rsidR="005C3A8A" w:rsidRPr="00712B16" w:rsidRDefault="005C3A8A" w:rsidP="005C3A8A">
      <w:pPr>
        <w:pStyle w:val="EndNoteBibliography"/>
        <w:spacing w:after="0"/>
        <w:ind w:left="720" w:hanging="720"/>
        <w:jc w:val="both"/>
        <w:rPr>
          <w:rFonts w:ascii="Times New Roman" w:hAnsi="Times New Roman" w:cs="Times New Roman"/>
          <w:noProof/>
          <w:sz w:val="24"/>
          <w:szCs w:val="24"/>
        </w:rPr>
      </w:pPr>
      <w:bookmarkStart w:id="68" w:name="_Hlk112519607"/>
      <w:r w:rsidRPr="00712B16">
        <w:rPr>
          <w:rFonts w:ascii="Times New Roman" w:hAnsi="Times New Roman" w:cs="Times New Roman"/>
          <w:sz w:val="24"/>
          <w:szCs w:val="24"/>
          <w:shd w:val="clear" w:color="auto" w:fill="FFFFFF"/>
        </w:rPr>
        <w:t>Scholtens, B., &amp; Kang, F. C. (2013). Corporate social responsibility and earnings management: Evidence from Asian economies. </w:t>
      </w:r>
      <w:r w:rsidRPr="00712B16">
        <w:rPr>
          <w:rFonts w:ascii="Times New Roman" w:hAnsi="Times New Roman" w:cs="Times New Roman"/>
          <w:i/>
          <w:iCs/>
          <w:sz w:val="24"/>
          <w:szCs w:val="24"/>
          <w:shd w:val="clear" w:color="auto" w:fill="FFFFFF"/>
        </w:rPr>
        <w:t>Corporate Social Responsibility and Environmental Management</w:t>
      </w:r>
      <w:r w:rsidRPr="00712B16">
        <w:rPr>
          <w:rFonts w:ascii="Times New Roman" w:hAnsi="Times New Roman" w:cs="Times New Roman"/>
          <w:sz w:val="24"/>
          <w:szCs w:val="24"/>
          <w:shd w:val="clear" w:color="auto" w:fill="FFFFFF"/>
        </w:rPr>
        <w:t>, </w:t>
      </w:r>
      <w:r w:rsidRPr="00712B16">
        <w:rPr>
          <w:rFonts w:ascii="Times New Roman" w:hAnsi="Times New Roman" w:cs="Times New Roman"/>
          <w:i/>
          <w:iCs/>
          <w:sz w:val="24"/>
          <w:szCs w:val="24"/>
          <w:shd w:val="clear" w:color="auto" w:fill="FFFFFF"/>
        </w:rPr>
        <w:t>20</w:t>
      </w:r>
      <w:r w:rsidRPr="00712B16">
        <w:rPr>
          <w:rFonts w:ascii="Times New Roman" w:hAnsi="Times New Roman" w:cs="Times New Roman"/>
          <w:sz w:val="24"/>
          <w:szCs w:val="24"/>
          <w:shd w:val="clear" w:color="auto" w:fill="FFFFFF"/>
        </w:rPr>
        <w:t>(2), 95-112.</w:t>
      </w:r>
    </w:p>
    <w:p w14:paraId="3D623575" w14:textId="77777777" w:rsidR="005C3A8A" w:rsidRPr="00712B16" w:rsidRDefault="005C3A8A" w:rsidP="005C3A8A">
      <w:pPr>
        <w:pStyle w:val="EndNoteBibliography"/>
        <w:spacing w:after="0"/>
        <w:ind w:left="720" w:hanging="720"/>
        <w:jc w:val="both"/>
        <w:rPr>
          <w:rFonts w:ascii="Times New Roman" w:hAnsi="Times New Roman" w:cs="Times New Roman"/>
          <w:noProof/>
          <w:sz w:val="24"/>
          <w:szCs w:val="24"/>
        </w:rPr>
      </w:pPr>
      <w:bookmarkStart w:id="69" w:name="_Hlk112519558"/>
      <w:bookmarkEnd w:id="68"/>
      <w:r w:rsidRPr="00712B16">
        <w:rPr>
          <w:rFonts w:ascii="Times New Roman" w:hAnsi="Times New Roman" w:cs="Times New Roman"/>
          <w:sz w:val="24"/>
          <w:szCs w:val="24"/>
          <w:shd w:val="clear" w:color="auto" w:fill="FFFFFF"/>
        </w:rPr>
        <w:t>Shakil, M. H., Mahmood, N., Tasnia, M., &amp; Munim, Z. H. (2019). Do environmental, social and governance performance affect the financial performance of banks? A cross-country study of emerging market banks. </w:t>
      </w:r>
      <w:r w:rsidRPr="00712B16">
        <w:rPr>
          <w:rFonts w:ascii="Times New Roman" w:hAnsi="Times New Roman" w:cs="Times New Roman"/>
          <w:i/>
          <w:iCs/>
          <w:sz w:val="24"/>
          <w:szCs w:val="24"/>
          <w:shd w:val="clear" w:color="auto" w:fill="FFFFFF"/>
        </w:rPr>
        <w:t>Management of Environmental Quality: An International Journal</w:t>
      </w:r>
      <w:r w:rsidRPr="00712B16">
        <w:rPr>
          <w:rFonts w:ascii="Times New Roman" w:hAnsi="Times New Roman" w:cs="Times New Roman"/>
          <w:sz w:val="24"/>
          <w:szCs w:val="24"/>
          <w:shd w:val="clear" w:color="auto" w:fill="FFFFFF"/>
        </w:rPr>
        <w:t>, </w:t>
      </w:r>
      <w:r w:rsidRPr="00712B16">
        <w:rPr>
          <w:rFonts w:ascii="Times New Roman" w:hAnsi="Times New Roman" w:cs="Times New Roman"/>
          <w:i/>
          <w:iCs/>
          <w:sz w:val="24"/>
          <w:szCs w:val="24"/>
          <w:shd w:val="clear" w:color="auto" w:fill="FFFFFF"/>
        </w:rPr>
        <w:t>30</w:t>
      </w:r>
      <w:r w:rsidRPr="00712B16">
        <w:rPr>
          <w:rFonts w:ascii="Times New Roman" w:hAnsi="Times New Roman" w:cs="Times New Roman"/>
          <w:sz w:val="24"/>
          <w:szCs w:val="24"/>
          <w:shd w:val="clear" w:color="auto" w:fill="FFFFFF"/>
        </w:rPr>
        <w:t>(6), 1331-1344.</w:t>
      </w:r>
    </w:p>
    <w:p w14:paraId="7BA9AA3C" w14:textId="77777777" w:rsidR="005C3A8A" w:rsidRPr="00712B16" w:rsidRDefault="005C3A8A" w:rsidP="005C3A8A">
      <w:pPr>
        <w:pStyle w:val="EndNoteBibliography"/>
        <w:spacing w:after="0"/>
        <w:ind w:left="720" w:hanging="720"/>
        <w:jc w:val="both"/>
        <w:rPr>
          <w:rFonts w:ascii="Times New Roman" w:hAnsi="Times New Roman" w:cs="Times New Roman"/>
          <w:noProof/>
          <w:sz w:val="24"/>
          <w:szCs w:val="24"/>
        </w:rPr>
      </w:pPr>
      <w:r w:rsidRPr="00712B16">
        <w:rPr>
          <w:rFonts w:ascii="Times New Roman" w:hAnsi="Times New Roman" w:cs="Times New Roman"/>
          <w:sz w:val="24"/>
          <w:szCs w:val="24"/>
          <w:shd w:val="clear" w:color="auto" w:fill="FFFFFF"/>
        </w:rPr>
        <w:t>Shan, L., &amp; Gong, S. X. (2012). Investor sentiment and stock returns: Wenchuan Earthquake. </w:t>
      </w:r>
      <w:r w:rsidRPr="00712B16">
        <w:rPr>
          <w:rFonts w:ascii="Times New Roman" w:hAnsi="Times New Roman" w:cs="Times New Roman"/>
          <w:i/>
          <w:iCs/>
          <w:sz w:val="24"/>
          <w:szCs w:val="24"/>
          <w:shd w:val="clear" w:color="auto" w:fill="FFFFFF"/>
        </w:rPr>
        <w:t>Finance Research Letters</w:t>
      </w:r>
      <w:r w:rsidRPr="00712B16">
        <w:rPr>
          <w:rFonts w:ascii="Times New Roman" w:hAnsi="Times New Roman" w:cs="Times New Roman"/>
          <w:sz w:val="24"/>
          <w:szCs w:val="24"/>
          <w:shd w:val="clear" w:color="auto" w:fill="FFFFFF"/>
        </w:rPr>
        <w:t>, </w:t>
      </w:r>
      <w:r w:rsidRPr="00712B16">
        <w:rPr>
          <w:rFonts w:ascii="Times New Roman" w:hAnsi="Times New Roman" w:cs="Times New Roman"/>
          <w:i/>
          <w:iCs/>
          <w:sz w:val="24"/>
          <w:szCs w:val="24"/>
          <w:shd w:val="clear" w:color="auto" w:fill="FFFFFF"/>
        </w:rPr>
        <w:t>9</w:t>
      </w:r>
      <w:r w:rsidRPr="00712B16">
        <w:rPr>
          <w:rFonts w:ascii="Times New Roman" w:hAnsi="Times New Roman" w:cs="Times New Roman"/>
          <w:sz w:val="24"/>
          <w:szCs w:val="24"/>
          <w:shd w:val="clear" w:color="auto" w:fill="FFFFFF"/>
        </w:rPr>
        <w:t>(1), 36-47.</w:t>
      </w:r>
    </w:p>
    <w:bookmarkEnd w:id="69"/>
    <w:p w14:paraId="36F4ACBE" w14:textId="77777777" w:rsidR="005C3A8A" w:rsidRPr="00712B16" w:rsidRDefault="005C3A8A" w:rsidP="005C3A8A">
      <w:pPr>
        <w:spacing w:after="0" w:line="240" w:lineRule="auto"/>
        <w:ind w:left="720" w:hanging="720"/>
        <w:jc w:val="both"/>
        <w:rPr>
          <w:rFonts w:ascii="Times New Roman" w:hAnsi="Times New Roman" w:cs="Times New Roman"/>
          <w:sz w:val="24"/>
          <w:szCs w:val="24"/>
        </w:rPr>
      </w:pPr>
      <w:r w:rsidRPr="00712B16">
        <w:rPr>
          <w:rFonts w:ascii="Times New Roman" w:hAnsi="Times New Roman" w:cs="Times New Roman"/>
          <w:sz w:val="24"/>
          <w:szCs w:val="24"/>
        </w:rPr>
        <w:t xml:space="preserve">Shell plc (2022). </w:t>
      </w:r>
      <w:r w:rsidRPr="00712B16">
        <w:rPr>
          <w:rFonts w:ascii="Times New Roman" w:hAnsi="Times New Roman" w:cs="Times New Roman"/>
          <w:i/>
          <w:sz w:val="24"/>
          <w:szCs w:val="24"/>
        </w:rPr>
        <w:t>Annual Report and Accounts 2022</w:t>
      </w:r>
      <w:r w:rsidRPr="00712B16">
        <w:rPr>
          <w:rFonts w:ascii="Times New Roman" w:hAnsi="Times New Roman" w:cs="Times New Roman"/>
          <w:sz w:val="24"/>
          <w:szCs w:val="24"/>
        </w:rPr>
        <w:t>. Available at: https://reports.shell.com/annual-report/2022/_assets/downloads/shell-annual-report-2022.pdf</w:t>
      </w:r>
    </w:p>
    <w:p w14:paraId="6393D30E" w14:textId="77777777" w:rsidR="005C3A8A" w:rsidRPr="00712B16" w:rsidRDefault="005C3A8A" w:rsidP="005C3A8A">
      <w:pPr>
        <w:pStyle w:val="EndNoteBibliography"/>
        <w:spacing w:after="0"/>
        <w:ind w:left="720" w:hanging="720"/>
        <w:jc w:val="both"/>
        <w:rPr>
          <w:rFonts w:ascii="Times New Roman" w:hAnsi="Times New Roman" w:cs="Times New Roman"/>
          <w:sz w:val="24"/>
          <w:szCs w:val="24"/>
          <w:shd w:val="clear" w:color="auto" w:fill="FFFFFF"/>
        </w:rPr>
      </w:pPr>
      <w:r w:rsidRPr="00712B16">
        <w:rPr>
          <w:rFonts w:ascii="Times New Roman" w:hAnsi="Times New Roman" w:cs="Times New Roman"/>
          <w:sz w:val="24"/>
          <w:szCs w:val="24"/>
          <w:shd w:val="clear" w:color="auto" w:fill="FFFFFF"/>
        </w:rPr>
        <w:t>Stern, N., &amp; Valero, A. (2021). Innovation, growth and the transition to net-zero emissions. </w:t>
      </w:r>
      <w:r w:rsidRPr="00712B16">
        <w:rPr>
          <w:rFonts w:ascii="Times New Roman" w:hAnsi="Times New Roman" w:cs="Times New Roman"/>
          <w:i/>
          <w:iCs/>
          <w:sz w:val="24"/>
          <w:szCs w:val="24"/>
          <w:shd w:val="clear" w:color="auto" w:fill="FFFFFF"/>
        </w:rPr>
        <w:t>Research Policy</w:t>
      </w:r>
      <w:r w:rsidRPr="00712B16">
        <w:rPr>
          <w:rFonts w:ascii="Times New Roman" w:hAnsi="Times New Roman" w:cs="Times New Roman"/>
          <w:sz w:val="24"/>
          <w:szCs w:val="24"/>
          <w:shd w:val="clear" w:color="auto" w:fill="FFFFFF"/>
        </w:rPr>
        <w:t>, </w:t>
      </w:r>
      <w:r w:rsidRPr="00712B16">
        <w:rPr>
          <w:rFonts w:ascii="Times New Roman" w:hAnsi="Times New Roman" w:cs="Times New Roman"/>
          <w:i/>
          <w:iCs/>
          <w:sz w:val="24"/>
          <w:szCs w:val="24"/>
          <w:shd w:val="clear" w:color="auto" w:fill="FFFFFF"/>
        </w:rPr>
        <w:t>50</w:t>
      </w:r>
      <w:r w:rsidRPr="00712B16">
        <w:rPr>
          <w:rFonts w:ascii="Times New Roman" w:hAnsi="Times New Roman" w:cs="Times New Roman"/>
          <w:sz w:val="24"/>
          <w:szCs w:val="24"/>
          <w:shd w:val="clear" w:color="auto" w:fill="FFFFFF"/>
        </w:rPr>
        <w:t>(9), 104293.</w:t>
      </w:r>
    </w:p>
    <w:p w14:paraId="3914BEB7" w14:textId="77777777" w:rsidR="005C3A8A" w:rsidRPr="00712B16" w:rsidRDefault="005C3A8A" w:rsidP="005C3A8A">
      <w:pPr>
        <w:pStyle w:val="EndNoteBibliography"/>
        <w:spacing w:after="0"/>
        <w:ind w:left="720" w:hanging="720"/>
        <w:jc w:val="both"/>
        <w:rPr>
          <w:rFonts w:ascii="Times New Roman" w:hAnsi="Times New Roman" w:cs="Times New Roman"/>
          <w:noProof/>
          <w:sz w:val="24"/>
          <w:szCs w:val="24"/>
        </w:rPr>
      </w:pPr>
      <w:r w:rsidRPr="00712B16">
        <w:rPr>
          <w:rFonts w:ascii="Times New Roman" w:eastAsia="Calibri" w:hAnsi="Times New Roman" w:cs="Times New Roman"/>
          <w:sz w:val="24"/>
          <w:szCs w:val="24"/>
          <w:shd w:val="clear" w:color="auto" w:fill="FFFFFF"/>
          <w:lang w:val="en-AU" w:eastAsia="en-US"/>
        </w:rPr>
        <w:lastRenderedPageBreak/>
        <w:t>Suchman, M. C. (1995). Managing legitimacy: Strategic and institutional approaches. </w:t>
      </w:r>
      <w:r w:rsidRPr="00712B16">
        <w:rPr>
          <w:rFonts w:ascii="Times New Roman" w:eastAsia="Calibri" w:hAnsi="Times New Roman" w:cs="Times New Roman"/>
          <w:i/>
          <w:iCs/>
          <w:sz w:val="24"/>
          <w:szCs w:val="24"/>
          <w:shd w:val="clear" w:color="auto" w:fill="FFFFFF"/>
          <w:lang w:val="en-AU" w:eastAsia="en-US"/>
        </w:rPr>
        <w:t>Academy of Management Review</w:t>
      </w:r>
      <w:r w:rsidRPr="00712B16">
        <w:rPr>
          <w:rFonts w:ascii="Times New Roman" w:eastAsia="Calibri" w:hAnsi="Times New Roman" w:cs="Times New Roman"/>
          <w:sz w:val="24"/>
          <w:szCs w:val="24"/>
          <w:shd w:val="clear" w:color="auto" w:fill="FFFFFF"/>
          <w:lang w:val="en-AU" w:eastAsia="en-US"/>
        </w:rPr>
        <w:t>, </w:t>
      </w:r>
      <w:r w:rsidRPr="00712B16">
        <w:rPr>
          <w:rFonts w:ascii="Times New Roman" w:eastAsia="Calibri" w:hAnsi="Times New Roman" w:cs="Times New Roman"/>
          <w:i/>
          <w:iCs/>
          <w:sz w:val="24"/>
          <w:szCs w:val="24"/>
          <w:shd w:val="clear" w:color="auto" w:fill="FFFFFF"/>
          <w:lang w:val="en-AU" w:eastAsia="en-US"/>
        </w:rPr>
        <w:t>20</w:t>
      </w:r>
      <w:r w:rsidRPr="00712B16">
        <w:rPr>
          <w:rFonts w:ascii="Times New Roman" w:eastAsia="Calibri" w:hAnsi="Times New Roman" w:cs="Times New Roman"/>
          <w:sz w:val="24"/>
          <w:szCs w:val="24"/>
          <w:shd w:val="clear" w:color="auto" w:fill="FFFFFF"/>
          <w:lang w:val="en-AU" w:eastAsia="en-US"/>
        </w:rPr>
        <w:t>(3), 571-610.</w:t>
      </w:r>
    </w:p>
    <w:p w14:paraId="6BE54B45" w14:textId="77777777" w:rsidR="005C3A8A" w:rsidRPr="00712B16" w:rsidRDefault="005C3A8A" w:rsidP="005C3A8A">
      <w:pPr>
        <w:spacing w:after="0" w:line="240" w:lineRule="auto"/>
        <w:ind w:left="720" w:hanging="720"/>
        <w:jc w:val="both"/>
        <w:rPr>
          <w:rFonts w:ascii="Times New Roman" w:hAnsi="Times New Roman" w:cs="Times New Roman"/>
          <w:sz w:val="24"/>
          <w:szCs w:val="24"/>
        </w:rPr>
      </w:pPr>
      <w:r w:rsidRPr="00712B16">
        <w:rPr>
          <w:rFonts w:ascii="Times New Roman" w:hAnsi="Times New Roman" w:cs="Times New Roman"/>
          <w:sz w:val="24"/>
          <w:szCs w:val="24"/>
        </w:rPr>
        <w:t xml:space="preserve">The World Bank (2022). </w:t>
      </w:r>
      <w:r w:rsidRPr="00712B16">
        <w:rPr>
          <w:rFonts w:ascii="Times New Roman" w:hAnsi="Times New Roman" w:cs="Times New Roman"/>
          <w:i/>
          <w:sz w:val="24"/>
          <w:szCs w:val="24"/>
        </w:rPr>
        <w:t>What You Need to Know About Net Zero</w:t>
      </w:r>
      <w:r w:rsidRPr="00712B16">
        <w:rPr>
          <w:rFonts w:ascii="Times New Roman" w:hAnsi="Times New Roman" w:cs="Times New Roman"/>
          <w:sz w:val="24"/>
          <w:szCs w:val="24"/>
        </w:rPr>
        <w:t>. Available at: https://www.worldbank.org/en/news/feature/2022/05/23/what-you-need-to-know-about-net-zero/</w:t>
      </w:r>
    </w:p>
    <w:p w14:paraId="56857945" w14:textId="77777777" w:rsidR="005C3A8A" w:rsidRPr="00712B16" w:rsidRDefault="005C3A8A" w:rsidP="005C3A8A">
      <w:pPr>
        <w:pStyle w:val="EndNoteBibliography"/>
        <w:spacing w:after="0"/>
        <w:ind w:left="720" w:hanging="720"/>
        <w:jc w:val="both"/>
        <w:rPr>
          <w:rFonts w:ascii="Times New Roman" w:hAnsi="Times New Roman" w:cs="Times New Roman"/>
          <w:noProof/>
          <w:sz w:val="24"/>
          <w:szCs w:val="24"/>
        </w:rPr>
      </w:pPr>
      <w:r w:rsidRPr="00712B16">
        <w:rPr>
          <w:rFonts w:ascii="Times New Roman" w:hAnsi="Times New Roman" w:cs="Times New Roman"/>
          <w:sz w:val="24"/>
          <w:szCs w:val="24"/>
          <w:shd w:val="clear" w:color="auto" w:fill="FFFFFF"/>
        </w:rPr>
        <w:t>Truong, C., Garg, M., &amp; Adrian, C. (2020). Climate risk and the price of audit services: The case of drought. </w:t>
      </w:r>
      <w:r w:rsidRPr="00712B16">
        <w:rPr>
          <w:rFonts w:ascii="Times New Roman" w:hAnsi="Times New Roman" w:cs="Times New Roman"/>
          <w:i/>
          <w:iCs/>
          <w:sz w:val="24"/>
          <w:szCs w:val="24"/>
          <w:shd w:val="clear" w:color="auto" w:fill="FFFFFF"/>
        </w:rPr>
        <w:t>Auditing: A Journal of Practice &amp; Theory</w:t>
      </w:r>
      <w:r w:rsidRPr="00712B16">
        <w:rPr>
          <w:rFonts w:ascii="Times New Roman" w:hAnsi="Times New Roman" w:cs="Times New Roman"/>
          <w:sz w:val="24"/>
          <w:szCs w:val="24"/>
          <w:shd w:val="clear" w:color="auto" w:fill="FFFFFF"/>
        </w:rPr>
        <w:t>, </w:t>
      </w:r>
      <w:r w:rsidRPr="00712B16">
        <w:rPr>
          <w:rFonts w:ascii="Times New Roman" w:hAnsi="Times New Roman" w:cs="Times New Roman"/>
          <w:i/>
          <w:iCs/>
          <w:sz w:val="24"/>
          <w:szCs w:val="24"/>
          <w:shd w:val="clear" w:color="auto" w:fill="FFFFFF"/>
        </w:rPr>
        <w:t>39</w:t>
      </w:r>
      <w:r w:rsidRPr="00712B16">
        <w:rPr>
          <w:rFonts w:ascii="Times New Roman" w:hAnsi="Times New Roman" w:cs="Times New Roman"/>
          <w:sz w:val="24"/>
          <w:szCs w:val="24"/>
          <w:shd w:val="clear" w:color="auto" w:fill="FFFFFF"/>
        </w:rPr>
        <w:t>(4), 167-199.</w:t>
      </w:r>
    </w:p>
    <w:p w14:paraId="598A38C9" w14:textId="77777777" w:rsidR="005C3A8A" w:rsidRPr="00712B16" w:rsidRDefault="005C3A8A" w:rsidP="005C3A8A">
      <w:pPr>
        <w:pStyle w:val="EndNoteBibliography"/>
        <w:spacing w:after="0"/>
        <w:ind w:left="720" w:hanging="720"/>
        <w:jc w:val="both"/>
        <w:rPr>
          <w:rFonts w:ascii="Times New Roman" w:hAnsi="Times New Roman" w:cs="Times New Roman"/>
          <w:sz w:val="24"/>
          <w:szCs w:val="24"/>
          <w:lang w:val="en-AU"/>
        </w:rPr>
      </w:pPr>
      <w:r w:rsidRPr="00712B16">
        <w:rPr>
          <w:rFonts w:ascii="Times New Roman" w:hAnsi="Times New Roman" w:cs="Times New Roman"/>
          <w:sz w:val="24"/>
          <w:szCs w:val="24"/>
          <w:lang w:val="en-AU"/>
        </w:rPr>
        <w:t xml:space="preserve">United Nations (2020). </w:t>
      </w:r>
      <w:r w:rsidRPr="00712B16">
        <w:rPr>
          <w:rFonts w:ascii="Times New Roman" w:hAnsi="Times New Roman" w:cs="Times New Roman"/>
          <w:i/>
          <w:iCs/>
          <w:sz w:val="24"/>
          <w:szCs w:val="24"/>
          <w:lang w:val="en-AU"/>
        </w:rPr>
        <w:t>The race to zero emissions, and why the world depends on it</w:t>
      </w:r>
      <w:r w:rsidRPr="00712B16">
        <w:rPr>
          <w:rFonts w:ascii="Times New Roman" w:hAnsi="Times New Roman" w:cs="Times New Roman"/>
          <w:iCs/>
          <w:sz w:val="24"/>
          <w:szCs w:val="24"/>
          <w:lang w:val="en-AU"/>
        </w:rPr>
        <w:t>.</w:t>
      </w:r>
      <w:r w:rsidRPr="00712B16">
        <w:rPr>
          <w:rFonts w:ascii="Times New Roman" w:hAnsi="Times New Roman" w:cs="Times New Roman"/>
          <w:sz w:val="24"/>
          <w:szCs w:val="24"/>
        </w:rPr>
        <w:t xml:space="preserve"> </w:t>
      </w:r>
      <w:r w:rsidRPr="00712B16">
        <w:rPr>
          <w:rFonts w:ascii="Times New Roman" w:hAnsi="Times New Roman" w:cs="Times New Roman"/>
          <w:sz w:val="24"/>
          <w:szCs w:val="24"/>
          <w:lang w:val="en-AU"/>
        </w:rPr>
        <w:t>https://news.un.org/en/story/2020/12/1078612</w:t>
      </w:r>
    </w:p>
    <w:p w14:paraId="26B1665D" w14:textId="77777777" w:rsidR="005C3A8A" w:rsidRPr="00712B16" w:rsidRDefault="005C3A8A" w:rsidP="005C3A8A">
      <w:pPr>
        <w:pStyle w:val="EndNoteBibliography"/>
        <w:spacing w:after="0"/>
        <w:ind w:left="720" w:hanging="720"/>
        <w:rPr>
          <w:rFonts w:ascii="Times New Roman" w:hAnsi="Times New Roman" w:cs="Times New Roman"/>
          <w:sz w:val="24"/>
          <w:szCs w:val="24"/>
        </w:rPr>
      </w:pPr>
      <w:r w:rsidRPr="00712B16">
        <w:rPr>
          <w:rFonts w:ascii="Times New Roman" w:hAnsi="Times New Roman" w:cs="Times New Roman"/>
          <w:sz w:val="24"/>
          <w:szCs w:val="24"/>
        </w:rPr>
        <w:t>United Nations (2022).</w:t>
      </w:r>
      <w:r w:rsidRPr="00712B16">
        <w:rPr>
          <w:rFonts w:ascii="Times New Roman" w:hAnsi="Times New Roman" w:cs="Times New Roman"/>
          <w:i/>
          <w:sz w:val="24"/>
          <w:szCs w:val="24"/>
        </w:rPr>
        <w:t xml:space="preserve"> Net-zero coalition</w:t>
      </w:r>
      <w:r w:rsidRPr="00712B16">
        <w:rPr>
          <w:rFonts w:ascii="Times New Roman" w:hAnsi="Times New Roman" w:cs="Times New Roman"/>
          <w:sz w:val="24"/>
          <w:szCs w:val="24"/>
        </w:rPr>
        <w:t>. https://www.un.org/en/climatechange/net-zero-coalition</w:t>
      </w:r>
    </w:p>
    <w:p w14:paraId="7EB0D479" w14:textId="77777777" w:rsidR="005C3A8A" w:rsidRPr="00712B16" w:rsidRDefault="005C3A8A" w:rsidP="005C3A8A">
      <w:pPr>
        <w:pStyle w:val="EndNoteBibliography"/>
        <w:spacing w:after="0"/>
        <w:ind w:left="720" w:hanging="720"/>
        <w:jc w:val="both"/>
        <w:rPr>
          <w:rFonts w:ascii="Times New Roman" w:hAnsi="Times New Roman" w:cs="Times New Roman"/>
          <w:sz w:val="24"/>
          <w:szCs w:val="24"/>
        </w:rPr>
      </w:pPr>
      <w:bookmarkStart w:id="70" w:name="_Hlk112519665"/>
      <w:r w:rsidRPr="00712B16">
        <w:rPr>
          <w:rFonts w:ascii="Times New Roman" w:hAnsi="Times New Roman" w:cs="Times New Roman"/>
          <w:sz w:val="24"/>
          <w:szCs w:val="24"/>
        </w:rPr>
        <w:t xml:space="preserve">UNCC (United Nations Climate Change) 2022. </w:t>
      </w:r>
      <w:r w:rsidRPr="00712B16">
        <w:rPr>
          <w:rFonts w:ascii="Times New Roman" w:hAnsi="Times New Roman" w:cs="Times New Roman"/>
          <w:i/>
          <w:sz w:val="24"/>
          <w:szCs w:val="24"/>
        </w:rPr>
        <w:t>About Carbon Pricing</w:t>
      </w:r>
      <w:r w:rsidRPr="00712B16">
        <w:rPr>
          <w:rFonts w:ascii="Times New Roman" w:hAnsi="Times New Roman" w:cs="Times New Roman"/>
          <w:sz w:val="24"/>
          <w:szCs w:val="24"/>
        </w:rPr>
        <w:t>. https://unfccc.int/about-us/regional-collaboration-centres/the-ciaca/about-carbon-pricing</w:t>
      </w:r>
    </w:p>
    <w:bookmarkEnd w:id="70"/>
    <w:p w14:paraId="60D42C3A" w14:textId="16A39FB5" w:rsidR="005C3A8A" w:rsidRPr="00712B16" w:rsidRDefault="005C3A8A" w:rsidP="005C3A8A">
      <w:pPr>
        <w:spacing w:after="0"/>
        <w:ind w:left="720" w:hanging="720"/>
        <w:jc w:val="both"/>
        <w:rPr>
          <w:rFonts w:ascii="Times New Roman" w:hAnsi="Times New Roman" w:cs="Times New Roman"/>
          <w:sz w:val="24"/>
          <w:szCs w:val="24"/>
          <w:shd w:val="clear" w:color="auto" w:fill="FFFFFF"/>
        </w:rPr>
      </w:pPr>
      <w:r w:rsidRPr="00712B16">
        <w:rPr>
          <w:rFonts w:ascii="Times New Roman" w:hAnsi="Times New Roman" w:cs="Times New Roman"/>
          <w:sz w:val="24"/>
          <w:szCs w:val="24"/>
          <w:shd w:val="clear" w:color="auto" w:fill="FFFFFF"/>
        </w:rPr>
        <w:t>Van Caneghem, T. (2002). Earnings management induced by cognitive reference points. </w:t>
      </w:r>
      <w:r w:rsidRPr="00712B16">
        <w:rPr>
          <w:rFonts w:ascii="Times New Roman" w:hAnsi="Times New Roman" w:cs="Times New Roman"/>
          <w:i/>
          <w:iCs/>
          <w:sz w:val="24"/>
          <w:szCs w:val="24"/>
          <w:shd w:val="clear" w:color="auto" w:fill="FFFFFF"/>
        </w:rPr>
        <w:t>The British Accounting Review</w:t>
      </w:r>
      <w:r w:rsidRPr="00712B16">
        <w:rPr>
          <w:rFonts w:ascii="Times New Roman" w:hAnsi="Times New Roman" w:cs="Times New Roman"/>
          <w:sz w:val="24"/>
          <w:szCs w:val="24"/>
          <w:shd w:val="clear" w:color="auto" w:fill="FFFFFF"/>
        </w:rPr>
        <w:t>, </w:t>
      </w:r>
      <w:r w:rsidRPr="00712B16">
        <w:rPr>
          <w:rFonts w:ascii="Times New Roman" w:hAnsi="Times New Roman" w:cs="Times New Roman"/>
          <w:i/>
          <w:iCs/>
          <w:sz w:val="24"/>
          <w:szCs w:val="24"/>
          <w:shd w:val="clear" w:color="auto" w:fill="FFFFFF"/>
        </w:rPr>
        <w:t>34</w:t>
      </w:r>
      <w:r w:rsidRPr="00712B16">
        <w:rPr>
          <w:rFonts w:ascii="Times New Roman" w:hAnsi="Times New Roman" w:cs="Times New Roman"/>
          <w:sz w:val="24"/>
          <w:szCs w:val="24"/>
          <w:shd w:val="clear" w:color="auto" w:fill="FFFFFF"/>
        </w:rPr>
        <w:t>(2), 167-178.</w:t>
      </w:r>
    </w:p>
    <w:p w14:paraId="1E32B182" w14:textId="19D07809" w:rsidR="00046C58" w:rsidRPr="00712B16" w:rsidRDefault="00046C58" w:rsidP="005C3A8A">
      <w:pPr>
        <w:spacing w:after="0"/>
        <w:ind w:left="720" w:hanging="720"/>
        <w:jc w:val="both"/>
        <w:rPr>
          <w:rFonts w:ascii="Times New Roman" w:hAnsi="Times New Roman" w:cs="Times New Roman"/>
          <w:sz w:val="24"/>
          <w:szCs w:val="24"/>
        </w:rPr>
      </w:pPr>
      <w:r w:rsidRPr="00712B16">
        <w:rPr>
          <w:rFonts w:ascii="Times New Roman" w:eastAsia="Calibri" w:hAnsi="Times New Roman" w:cs="Times New Roman"/>
          <w:sz w:val="24"/>
          <w:szCs w:val="24"/>
          <w:shd w:val="clear" w:color="auto" w:fill="FFFFFF"/>
          <w:lang w:val="en-AU" w:eastAsia="en-US"/>
        </w:rPr>
        <w:t>Wolde-Rufael, Y., &amp; Mulat-Weldemeskel, E. (2021). Do environmental taxes and environmental stringency policies reduce CO2 emissions? Evidence from 7 emerging economies. </w:t>
      </w:r>
      <w:r w:rsidRPr="00712B16">
        <w:rPr>
          <w:rFonts w:ascii="Times New Roman" w:eastAsia="Calibri" w:hAnsi="Times New Roman" w:cs="Times New Roman"/>
          <w:i/>
          <w:iCs/>
          <w:sz w:val="24"/>
          <w:szCs w:val="24"/>
          <w:shd w:val="clear" w:color="auto" w:fill="FFFFFF"/>
          <w:lang w:val="en-AU" w:eastAsia="en-US"/>
        </w:rPr>
        <w:t>Environmental Science and Pollution Research</w:t>
      </w:r>
      <w:r w:rsidRPr="00712B16">
        <w:rPr>
          <w:rFonts w:ascii="Times New Roman" w:eastAsia="Calibri" w:hAnsi="Times New Roman" w:cs="Times New Roman"/>
          <w:sz w:val="24"/>
          <w:szCs w:val="24"/>
          <w:shd w:val="clear" w:color="auto" w:fill="FFFFFF"/>
          <w:lang w:val="en-AU" w:eastAsia="en-US"/>
        </w:rPr>
        <w:t>, </w:t>
      </w:r>
      <w:r w:rsidRPr="00712B16">
        <w:rPr>
          <w:rFonts w:ascii="Times New Roman" w:eastAsia="Calibri" w:hAnsi="Times New Roman" w:cs="Times New Roman"/>
          <w:i/>
          <w:iCs/>
          <w:sz w:val="24"/>
          <w:szCs w:val="24"/>
          <w:shd w:val="clear" w:color="auto" w:fill="FFFFFF"/>
          <w:lang w:val="en-AU" w:eastAsia="en-US"/>
        </w:rPr>
        <w:t>28</w:t>
      </w:r>
      <w:r w:rsidRPr="00712B16">
        <w:rPr>
          <w:rFonts w:ascii="Times New Roman" w:eastAsia="Calibri" w:hAnsi="Times New Roman" w:cs="Times New Roman"/>
          <w:sz w:val="24"/>
          <w:szCs w:val="24"/>
          <w:shd w:val="clear" w:color="auto" w:fill="FFFFFF"/>
          <w:lang w:val="en-AU" w:eastAsia="en-US"/>
        </w:rPr>
        <w:t>(18), 22392-22408.</w:t>
      </w:r>
    </w:p>
    <w:p w14:paraId="46B19A17" w14:textId="77777777" w:rsidR="005C3A8A" w:rsidRPr="00712B16" w:rsidRDefault="005C3A8A" w:rsidP="005C3A8A">
      <w:pPr>
        <w:spacing w:after="0"/>
        <w:ind w:left="720" w:hanging="720"/>
        <w:jc w:val="both"/>
        <w:rPr>
          <w:rFonts w:ascii="Times New Roman" w:hAnsi="Times New Roman" w:cs="Times New Roman"/>
          <w:sz w:val="24"/>
          <w:szCs w:val="24"/>
        </w:rPr>
      </w:pPr>
      <w:r w:rsidRPr="00712B16">
        <w:rPr>
          <w:rFonts w:ascii="Times New Roman" w:hAnsi="Times New Roman" w:cs="Times New Roman"/>
          <w:sz w:val="24"/>
          <w:szCs w:val="24"/>
        </w:rPr>
        <w:t xml:space="preserve">World Economic Forum (2021). </w:t>
      </w:r>
      <w:r w:rsidRPr="00712B16">
        <w:rPr>
          <w:rFonts w:ascii="Times New Roman" w:hAnsi="Times New Roman" w:cs="Times New Roman"/>
          <w:i/>
          <w:sz w:val="24"/>
          <w:szCs w:val="24"/>
        </w:rPr>
        <w:t>Financing the transition to a net-zero future</w:t>
      </w:r>
      <w:r w:rsidRPr="00712B16">
        <w:rPr>
          <w:rFonts w:ascii="Times New Roman" w:hAnsi="Times New Roman" w:cs="Times New Roman"/>
          <w:sz w:val="24"/>
          <w:szCs w:val="24"/>
        </w:rPr>
        <w:t>. https://www.weforum.org/projects/sustainable-banking</w:t>
      </w:r>
    </w:p>
    <w:p w14:paraId="26714936" w14:textId="77777777" w:rsidR="005C3A8A" w:rsidRPr="00712B16" w:rsidRDefault="005C3A8A" w:rsidP="005C3A8A">
      <w:pPr>
        <w:pStyle w:val="EndNoteBibliography"/>
        <w:spacing w:after="0"/>
        <w:ind w:left="720" w:hanging="720"/>
        <w:jc w:val="both"/>
        <w:rPr>
          <w:rFonts w:ascii="Times New Roman" w:hAnsi="Times New Roman" w:cs="Times New Roman"/>
          <w:sz w:val="24"/>
          <w:szCs w:val="24"/>
        </w:rPr>
      </w:pPr>
      <w:r w:rsidRPr="00712B16">
        <w:rPr>
          <w:rFonts w:ascii="Times New Roman" w:hAnsi="Times New Roman" w:cs="Times New Roman"/>
          <w:sz w:val="24"/>
          <w:szCs w:val="24"/>
        </w:rPr>
        <w:t xml:space="preserve">World Economic Forum (2022). </w:t>
      </w:r>
      <w:r w:rsidRPr="00712B16">
        <w:rPr>
          <w:rFonts w:ascii="Times New Roman" w:hAnsi="Times New Roman" w:cs="Times New Roman"/>
          <w:i/>
          <w:iCs/>
          <w:sz w:val="24"/>
          <w:szCs w:val="24"/>
        </w:rPr>
        <w:t>The global risks report. 17</w:t>
      </w:r>
      <w:r w:rsidRPr="00712B16">
        <w:rPr>
          <w:rFonts w:ascii="Times New Roman" w:hAnsi="Times New Roman" w:cs="Times New Roman"/>
          <w:i/>
          <w:iCs/>
          <w:sz w:val="24"/>
          <w:szCs w:val="24"/>
          <w:vertAlign w:val="superscript"/>
        </w:rPr>
        <w:t>th</w:t>
      </w:r>
      <w:r w:rsidRPr="00712B16">
        <w:rPr>
          <w:rFonts w:ascii="Times New Roman" w:hAnsi="Times New Roman" w:cs="Times New Roman"/>
          <w:i/>
          <w:iCs/>
          <w:sz w:val="24"/>
          <w:szCs w:val="24"/>
        </w:rPr>
        <w:t xml:space="preserve"> Edition</w:t>
      </w:r>
      <w:r w:rsidRPr="00712B16">
        <w:rPr>
          <w:rFonts w:ascii="Times New Roman" w:hAnsi="Times New Roman" w:cs="Times New Roman"/>
          <w:sz w:val="24"/>
          <w:szCs w:val="24"/>
        </w:rPr>
        <w:t>. https://www3.weforum.org/docs/WEF_The_Global_Risks_Report_2022.pdf</w:t>
      </w:r>
    </w:p>
    <w:p w14:paraId="631262D3" w14:textId="77777777" w:rsidR="005C3A8A" w:rsidRPr="00712B16" w:rsidRDefault="005C3A8A" w:rsidP="005C3A8A">
      <w:pPr>
        <w:pStyle w:val="EndNoteBibliography"/>
        <w:spacing w:after="0"/>
        <w:ind w:left="720" w:hanging="720"/>
        <w:jc w:val="both"/>
        <w:rPr>
          <w:rFonts w:ascii="Times New Roman" w:hAnsi="Times New Roman" w:cs="Times New Roman"/>
          <w:noProof/>
          <w:sz w:val="24"/>
          <w:szCs w:val="24"/>
        </w:rPr>
      </w:pPr>
      <w:r w:rsidRPr="00712B16">
        <w:rPr>
          <w:rFonts w:ascii="Times New Roman" w:hAnsi="Times New Roman" w:cs="Times New Roman"/>
          <w:sz w:val="24"/>
          <w:szCs w:val="24"/>
          <w:shd w:val="clear" w:color="auto" w:fill="FFFFFF"/>
        </w:rPr>
        <w:t>Zang, A. Y. (2012). Evidence on the trade-off between real activities manipulation and accrual-based earnings management. </w:t>
      </w:r>
      <w:r w:rsidRPr="00712B16">
        <w:rPr>
          <w:rFonts w:ascii="Times New Roman" w:hAnsi="Times New Roman" w:cs="Times New Roman"/>
          <w:i/>
          <w:iCs/>
          <w:sz w:val="24"/>
          <w:szCs w:val="24"/>
          <w:shd w:val="clear" w:color="auto" w:fill="FFFFFF"/>
        </w:rPr>
        <w:t>The Accounting Review</w:t>
      </w:r>
      <w:r w:rsidRPr="00712B16">
        <w:rPr>
          <w:rFonts w:ascii="Times New Roman" w:hAnsi="Times New Roman" w:cs="Times New Roman"/>
          <w:sz w:val="24"/>
          <w:szCs w:val="24"/>
          <w:shd w:val="clear" w:color="auto" w:fill="FFFFFF"/>
        </w:rPr>
        <w:t>, </w:t>
      </w:r>
      <w:r w:rsidRPr="00712B16">
        <w:rPr>
          <w:rFonts w:ascii="Times New Roman" w:hAnsi="Times New Roman" w:cs="Times New Roman"/>
          <w:i/>
          <w:iCs/>
          <w:sz w:val="24"/>
          <w:szCs w:val="24"/>
          <w:shd w:val="clear" w:color="auto" w:fill="FFFFFF"/>
        </w:rPr>
        <w:t>87</w:t>
      </w:r>
      <w:r w:rsidRPr="00712B16">
        <w:rPr>
          <w:rFonts w:ascii="Times New Roman" w:hAnsi="Times New Roman" w:cs="Times New Roman"/>
          <w:sz w:val="24"/>
          <w:szCs w:val="24"/>
          <w:shd w:val="clear" w:color="auto" w:fill="FFFFFF"/>
        </w:rPr>
        <w:t>(2), 675-703.</w:t>
      </w:r>
    </w:p>
    <w:p w14:paraId="53661A0F" w14:textId="77777777" w:rsidR="005C3A8A" w:rsidRPr="00712B16" w:rsidRDefault="005C3A8A" w:rsidP="005C3A8A">
      <w:pPr>
        <w:pStyle w:val="EndNoteBibliography"/>
        <w:spacing w:after="0"/>
        <w:ind w:left="720" w:hanging="720"/>
        <w:jc w:val="both"/>
        <w:rPr>
          <w:rFonts w:ascii="Times New Roman" w:hAnsi="Times New Roman" w:cs="Times New Roman"/>
          <w:noProof/>
          <w:sz w:val="24"/>
          <w:szCs w:val="24"/>
        </w:rPr>
      </w:pPr>
    </w:p>
    <w:p w14:paraId="0F029063" w14:textId="77777777" w:rsidR="005C3A8A" w:rsidRPr="00712B16" w:rsidRDefault="005C3A8A" w:rsidP="005C3A8A">
      <w:pPr>
        <w:pStyle w:val="EndNoteBibliography"/>
        <w:spacing w:after="0"/>
        <w:ind w:left="720" w:hanging="720"/>
        <w:jc w:val="both"/>
        <w:rPr>
          <w:rFonts w:ascii="Times New Roman" w:hAnsi="Times New Roman" w:cs="Times New Roman"/>
          <w:noProof/>
          <w:sz w:val="24"/>
          <w:szCs w:val="24"/>
        </w:rPr>
      </w:pPr>
    </w:p>
    <w:p w14:paraId="7069DEC2" w14:textId="77777777" w:rsidR="005C3A8A" w:rsidRPr="00712B16" w:rsidRDefault="005C3A8A" w:rsidP="005C3A8A">
      <w:pPr>
        <w:pStyle w:val="EndNoteBibliography"/>
        <w:spacing w:after="0"/>
        <w:ind w:left="720" w:hanging="720"/>
        <w:jc w:val="both"/>
        <w:rPr>
          <w:rFonts w:ascii="Times New Roman" w:hAnsi="Times New Roman" w:cs="Times New Roman"/>
          <w:noProof/>
          <w:sz w:val="24"/>
          <w:szCs w:val="24"/>
        </w:rPr>
      </w:pPr>
    </w:p>
    <w:p w14:paraId="2893AC8B" w14:textId="77777777" w:rsidR="005C3A8A" w:rsidRPr="00712B16" w:rsidRDefault="005C3A8A" w:rsidP="005C3A8A">
      <w:pPr>
        <w:pStyle w:val="EndNoteBibliography"/>
        <w:spacing w:after="0"/>
        <w:ind w:left="720" w:hanging="720"/>
        <w:jc w:val="both"/>
        <w:rPr>
          <w:rFonts w:ascii="Times New Roman" w:hAnsi="Times New Roman" w:cs="Times New Roman"/>
          <w:noProof/>
          <w:sz w:val="24"/>
          <w:szCs w:val="24"/>
        </w:rPr>
      </w:pPr>
    </w:p>
    <w:p w14:paraId="444F11E9" w14:textId="1484C5E4" w:rsidR="005C3A8A" w:rsidRPr="00712B16" w:rsidRDefault="005C3A8A" w:rsidP="005C3A8A">
      <w:pPr>
        <w:pStyle w:val="EndNoteBibliography"/>
        <w:spacing w:after="0"/>
        <w:ind w:left="720" w:hanging="720"/>
        <w:jc w:val="both"/>
        <w:rPr>
          <w:rFonts w:ascii="Times New Roman" w:hAnsi="Times New Roman" w:cs="Times New Roman"/>
          <w:noProof/>
          <w:sz w:val="24"/>
          <w:szCs w:val="24"/>
        </w:rPr>
      </w:pPr>
    </w:p>
    <w:p w14:paraId="44A886C2" w14:textId="10468C88" w:rsidR="0025183A" w:rsidRPr="00712B16" w:rsidRDefault="0025183A" w:rsidP="005C3A8A">
      <w:pPr>
        <w:pStyle w:val="EndNoteBibliography"/>
        <w:spacing w:after="0"/>
        <w:ind w:left="720" w:hanging="720"/>
        <w:jc w:val="both"/>
        <w:rPr>
          <w:rFonts w:ascii="Times New Roman" w:hAnsi="Times New Roman" w:cs="Times New Roman"/>
          <w:noProof/>
          <w:sz w:val="24"/>
          <w:szCs w:val="24"/>
        </w:rPr>
      </w:pPr>
    </w:p>
    <w:p w14:paraId="7D89FEE4" w14:textId="32046797" w:rsidR="0025183A" w:rsidRPr="00712B16" w:rsidRDefault="0025183A" w:rsidP="005C3A8A">
      <w:pPr>
        <w:pStyle w:val="EndNoteBibliography"/>
        <w:spacing w:after="0"/>
        <w:ind w:left="720" w:hanging="720"/>
        <w:jc w:val="both"/>
        <w:rPr>
          <w:rFonts w:ascii="Times New Roman" w:hAnsi="Times New Roman" w:cs="Times New Roman"/>
          <w:noProof/>
          <w:sz w:val="24"/>
          <w:szCs w:val="24"/>
        </w:rPr>
      </w:pPr>
    </w:p>
    <w:p w14:paraId="6E06E1F2" w14:textId="1916F5CE" w:rsidR="0025183A" w:rsidRPr="00712B16" w:rsidRDefault="0025183A" w:rsidP="005C3A8A">
      <w:pPr>
        <w:pStyle w:val="EndNoteBibliography"/>
        <w:spacing w:after="0"/>
        <w:ind w:left="720" w:hanging="720"/>
        <w:jc w:val="both"/>
        <w:rPr>
          <w:rFonts w:ascii="Times New Roman" w:hAnsi="Times New Roman" w:cs="Times New Roman"/>
          <w:noProof/>
          <w:sz w:val="24"/>
          <w:szCs w:val="24"/>
        </w:rPr>
      </w:pPr>
    </w:p>
    <w:p w14:paraId="20E0A11A" w14:textId="64911DF0" w:rsidR="0025183A" w:rsidRPr="00712B16" w:rsidRDefault="0025183A" w:rsidP="005C3A8A">
      <w:pPr>
        <w:pStyle w:val="EndNoteBibliography"/>
        <w:spacing w:after="0"/>
        <w:ind w:left="720" w:hanging="720"/>
        <w:jc w:val="both"/>
        <w:rPr>
          <w:rFonts w:ascii="Times New Roman" w:hAnsi="Times New Roman" w:cs="Times New Roman"/>
          <w:noProof/>
          <w:sz w:val="24"/>
          <w:szCs w:val="24"/>
        </w:rPr>
      </w:pPr>
    </w:p>
    <w:p w14:paraId="2E366292" w14:textId="77704178" w:rsidR="0025183A" w:rsidRPr="00712B16" w:rsidRDefault="0025183A" w:rsidP="005C3A8A">
      <w:pPr>
        <w:pStyle w:val="EndNoteBibliography"/>
        <w:spacing w:after="0"/>
        <w:ind w:left="720" w:hanging="720"/>
        <w:jc w:val="both"/>
        <w:rPr>
          <w:rFonts w:ascii="Times New Roman" w:hAnsi="Times New Roman" w:cs="Times New Roman"/>
          <w:noProof/>
          <w:sz w:val="24"/>
          <w:szCs w:val="24"/>
        </w:rPr>
      </w:pPr>
    </w:p>
    <w:p w14:paraId="288C8EE8" w14:textId="33532CEE" w:rsidR="0025183A" w:rsidRPr="00712B16" w:rsidRDefault="0025183A" w:rsidP="005C3A8A">
      <w:pPr>
        <w:pStyle w:val="EndNoteBibliography"/>
        <w:spacing w:after="0"/>
        <w:ind w:left="720" w:hanging="720"/>
        <w:jc w:val="both"/>
        <w:rPr>
          <w:rFonts w:ascii="Times New Roman" w:hAnsi="Times New Roman" w:cs="Times New Roman"/>
          <w:noProof/>
          <w:sz w:val="24"/>
          <w:szCs w:val="24"/>
        </w:rPr>
      </w:pPr>
    </w:p>
    <w:p w14:paraId="18EF675A" w14:textId="129449AF" w:rsidR="0025183A" w:rsidRPr="00712B16" w:rsidRDefault="0025183A" w:rsidP="005C3A8A">
      <w:pPr>
        <w:pStyle w:val="EndNoteBibliography"/>
        <w:spacing w:after="0"/>
        <w:ind w:left="720" w:hanging="720"/>
        <w:jc w:val="both"/>
        <w:rPr>
          <w:rFonts w:ascii="Times New Roman" w:hAnsi="Times New Roman" w:cs="Times New Roman"/>
          <w:noProof/>
          <w:sz w:val="24"/>
          <w:szCs w:val="24"/>
        </w:rPr>
      </w:pPr>
    </w:p>
    <w:p w14:paraId="5DDB8C46" w14:textId="4AA14121" w:rsidR="00FB5D53" w:rsidRPr="00712B16" w:rsidRDefault="00FB5D53" w:rsidP="005C3A8A">
      <w:pPr>
        <w:pStyle w:val="EndNoteBibliography"/>
        <w:spacing w:after="0"/>
        <w:ind w:left="720" w:hanging="720"/>
        <w:jc w:val="both"/>
        <w:rPr>
          <w:rFonts w:ascii="Times New Roman" w:hAnsi="Times New Roman" w:cs="Times New Roman"/>
          <w:noProof/>
          <w:sz w:val="24"/>
          <w:szCs w:val="24"/>
        </w:rPr>
      </w:pPr>
    </w:p>
    <w:p w14:paraId="274C77D1" w14:textId="3B9D44D3" w:rsidR="00FB5D53" w:rsidRPr="00712B16" w:rsidRDefault="00FB5D53" w:rsidP="005C3A8A">
      <w:pPr>
        <w:pStyle w:val="EndNoteBibliography"/>
        <w:spacing w:after="0"/>
        <w:ind w:left="720" w:hanging="720"/>
        <w:jc w:val="both"/>
        <w:rPr>
          <w:rFonts w:ascii="Times New Roman" w:hAnsi="Times New Roman" w:cs="Times New Roman"/>
          <w:noProof/>
          <w:sz w:val="24"/>
          <w:szCs w:val="24"/>
        </w:rPr>
      </w:pPr>
    </w:p>
    <w:p w14:paraId="1B661976" w14:textId="36EB904C" w:rsidR="00FB5D53" w:rsidRPr="00712B16" w:rsidRDefault="00FB5D53" w:rsidP="005C3A8A">
      <w:pPr>
        <w:pStyle w:val="EndNoteBibliography"/>
        <w:spacing w:after="0"/>
        <w:ind w:left="720" w:hanging="720"/>
        <w:jc w:val="both"/>
        <w:rPr>
          <w:rFonts w:ascii="Times New Roman" w:hAnsi="Times New Roman" w:cs="Times New Roman"/>
          <w:noProof/>
          <w:sz w:val="24"/>
          <w:szCs w:val="24"/>
        </w:rPr>
      </w:pPr>
    </w:p>
    <w:p w14:paraId="060B7194" w14:textId="77777777" w:rsidR="00FB5D53" w:rsidRPr="00712B16" w:rsidRDefault="00FB5D53" w:rsidP="005C3A8A">
      <w:pPr>
        <w:pStyle w:val="EndNoteBibliography"/>
        <w:spacing w:after="0"/>
        <w:ind w:left="720" w:hanging="720"/>
        <w:jc w:val="both"/>
        <w:rPr>
          <w:rFonts w:ascii="Times New Roman" w:hAnsi="Times New Roman" w:cs="Times New Roman"/>
          <w:noProof/>
          <w:sz w:val="24"/>
          <w:szCs w:val="24"/>
        </w:rPr>
      </w:pPr>
    </w:p>
    <w:p w14:paraId="047464BE" w14:textId="00499196" w:rsidR="0025183A" w:rsidRPr="00712B16" w:rsidRDefault="0025183A" w:rsidP="005C3A8A">
      <w:pPr>
        <w:pStyle w:val="EndNoteBibliography"/>
        <w:spacing w:after="0"/>
        <w:ind w:left="720" w:hanging="720"/>
        <w:jc w:val="both"/>
        <w:rPr>
          <w:rFonts w:ascii="Times New Roman" w:hAnsi="Times New Roman" w:cs="Times New Roman"/>
          <w:noProof/>
          <w:sz w:val="24"/>
          <w:szCs w:val="24"/>
        </w:rPr>
      </w:pPr>
    </w:p>
    <w:p w14:paraId="2162E2B0" w14:textId="699F4072" w:rsidR="0025183A" w:rsidRPr="00712B16" w:rsidRDefault="0025183A" w:rsidP="005C3A8A">
      <w:pPr>
        <w:pStyle w:val="EndNoteBibliography"/>
        <w:spacing w:after="0"/>
        <w:ind w:left="720" w:hanging="720"/>
        <w:jc w:val="both"/>
        <w:rPr>
          <w:rFonts w:ascii="Times New Roman" w:hAnsi="Times New Roman" w:cs="Times New Roman"/>
          <w:noProof/>
          <w:sz w:val="24"/>
          <w:szCs w:val="24"/>
        </w:rPr>
      </w:pPr>
    </w:p>
    <w:p w14:paraId="1D783AB8" w14:textId="28716E80" w:rsidR="0025183A" w:rsidRPr="00712B16" w:rsidRDefault="0025183A" w:rsidP="005C3A8A">
      <w:pPr>
        <w:pStyle w:val="EndNoteBibliography"/>
        <w:spacing w:after="0"/>
        <w:ind w:left="720" w:hanging="720"/>
        <w:jc w:val="both"/>
        <w:rPr>
          <w:rFonts w:ascii="Times New Roman" w:hAnsi="Times New Roman" w:cs="Times New Roman"/>
          <w:noProof/>
          <w:sz w:val="24"/>
          <w:szCs w:val="24"/>
        </w:rPr>
      </w:pPr>
    </w:p>
    <w:p w14:paraId="22A8ED2F" w14:textId="459FDEE5" w:rsidR="0025183A" w:rsidRPr="00712B16" w:rsidRDefault="0025183A" w:rsidP="005C3A8A">
      <w:pPr>
        <w:pStyle w:val="EndNoteBibliography"/>
        <w:spacing w:after="0"/>
        <w:ind w:left="720" w:hanging="720"/>
        <w:jc w:val="both"/>
        <w:rPr>
          <w:rFonts w:ascii="Times New Roman" w:hAnsi="Times New Roman" w:cs="Times New Roman"/>
          <w:noProof/>
          <w:sz w:val="24"/>
          <w:szCs w:val="24"/>
        </w:rPr>
      </w:pPr>
    </w:p>
    <w:p w14:paraId="2705541F" w14:textId="3C63C102" w:rsidR="009032E8" w:rsidRPr="00712B16" w:rsidRDefault="005C3A8A" w:rsidP="005C3A8A">
      <w:pPr>
        <w:keepNext/>
        <w:keepLines/>
        <w:tabs>
          <w:tab w:val="left" w:pos="2094"/>
        </w:tabs>
        <w:spacing w:before="240" w:after="0"/>
        <w:jc w:val="both"/>
        <w:outlineLvl w:val="0"/>
        <w:rPr>
          <w:rFonts w:ascii="Times New Roman" w:eastAsiaTheme="majorEastAsia" w:hAnsi="Times New Roman" w:cs="Times New Roman"/>
          <w:b/>
        </w:rPr>
      </w:pPr>
      <w:r w:rsidRPr="00712B16">
        <w:rPr>
          <w:rFonts w:ascii="Times New Roman" w:hAnsi="Times New Roman" w:cs="Times New Roman"/>
          <w:sz w:val="24"/>
          <w:szCs w:val="24"/>
        </w:rPr>
        <w:lastRenderedPageBreak/>
        <w:fldChar w:fldCharType="end"/>
      </w:r>
      <w:r w:rsidR="001D60F5" w:rsidRPr="00712B16">
        <w:rPr>
          <w:rFonts w:ascii="Times New Roman" w:eastAsiaTheme="majorEastAsia" w:hAnsi="Times New Roman" w:cs="Times New Roman"/>
          <w:b/>
          <w:sz w:val="24"/>
          <w:szCs w:val="24"/>
        </w:rPr>
        <w:t>Supplementary material</w:t>
      </w:r>
      <w:r w:rsidR="00E051A3" w:rsidRPr="00712B16">
        <w:rPr>
          <w:rFonts w:ascii="Times New Roman" w:eastAsiaTheme="majorEastAsia" w:hAnsi="Times New Roman" w:cs="Times New Roman"/>
          <w:b/>
          <w:sz w:val="24"/>
          <w:szCs w:val="24"/>
        </w:rPr>
        <w:t xml:space="preserve"> A</w:t>
      </w:r>
      <w:r w:rsidR="00E051A3" w:rsidRPr="00712B16">
        <w:rPr>
          <w:rFonts w:ascii="Times New Roman" w:eastAsiaTheme="majorEastAsia" w:hAnsi="Times New Roman" w:cs="Times New Roman"/>
          <w:b/>
        </w:rPr>
        <w:t>: Definitions and source of variables</w:t>
      </w:r>
      <w:bookmarkEnd w:id="65"/>
    </w:p>
    <w:p w14:paraId="48DD02F9" w14:textId="77777777" w:rsidR="00C957E7" w:rsidRPr="00712B16" w:rsidRDefault="00C957E7" w:rsidP="00B11A80">
      <w:pPr>
        <w:keepNext/>
        <w:keepLines/>
        <w:tabs>
          <w:tab w:val="left" w:pos="2094"/>
        </w:tabs>
        <w:spacing w:before="240" w:after="0"/>
        <w:jc w:val="both"/>
        <w:outlineLvl w:val="0"/>
        <w:rPr>
          <w:rFonts w:ascii="Times New Roman" w:eastAsiaTheme="majorEastAsia" w:hAnsi="Times New Roman" w:cs="Times New Roman"/>
          <w:b/>
        </w:rPr>
      </w:pPr>
    </w:p>
    <w:tbl>
      <w:tblPr>
        <w:tblStyle w:val="TableGrid"/>
        <w:tblW w:w="8359" w:type="dxa"/>
        <w:tblLook w:val="04A0" w:firstRow="1" w:lastRow="0" w:firstColumn="1" w:lastColumn="0" w:noHBand="0" w:noVBand="1"/>
      </w:tblPr>
      <w:tblGrid>
        <w:gridCol w:w="3272"/>
        <w:gridCol w:w="5087"/>
      </w:tblGrid>
      <w:tr w:rsidR="00712B16" w:rsidRPr="00712B16" w14:paraId="00882E4B" w14:textId="77777777" w:rsidTr="00FF0ED3">
        <w:trPr>
          <w:trHeight w:val="165"/>
        </w:trPr>
        <w:tc>
          <w:tcPr>
            <w:tcW w:w="8359" w:type="dxa"/>
            <w:gridSpan w:val="2"/>
          </w:tcPr>
          <w:p w14:paraId="4778CE1E" w14:textId="28E2FAFE" w:rsidR="0008408D" w:rsidRPr="00712B16" w:rsidRDefault="0008408D">
            <w:pPr>
              <w:pStyle w:val="1"/>
              <w:spacing w:after="0" w:line="240" w:lineRule="auto"/>
              <w:jc w:val="both"/>
              <w:rPr>
                <w:iCs/>
                <w:sz w:val="22"/>
                <w:szCs w:val="22"/>
              </w:rPr>
            </w:pPr>
            <w:r w:rsidRPr="00712B16">
              <w:rPr>
                <w:i/>
                <w:sz w:val="22"/>
                <w:szCs w:val="22"/>
              </w:rPr>
              <w:t>Variable of interest</w:t>
            </w:r>
          </w:p>
        </w:tc>
      </w:tr>
      <w:tr w:rsidR="00712B16" w:rsidRPr="00712B16" w14:paraId="0B56F793" w14:textId="77777777">
        <w:trPr>
          <w:trHeight w:val="165"/>
        </w:trPr>
        <w:tc>
          <w:tcPr>
            <w:tcW w:w="2547" w:type="dxa"/>
          </w:tcPr>
          <w:p w14:paraId="03649B1D" w14:textId="77777777" w:rsidR="009032E8" w:rsidRPr="00712B16" w:rsidRDefault="00E051A3">
            <w:pPr>
              <w:pStyle w:val="1"/>
              <w:spacing w:after="0" w:line="240" w:lineRule="auto"/>
              <w:jc w:val="both"/>
              <w:rPr>
                <w:i/>
                <w:sz w:val="22"/>
                <w:szCs w:val="22"/>
              </w:rPr>
            </w:pPr>
            <w:r w:rsidRPr="00712B16">
              <w:rPr>
                <w:i/>
                <w:sz w:val="22"/>
                <w:szCs w:val="22"/>
              </w:rPr>
              <w:t>COUNTRY_NETZERO</w:t>
            </w:r>
          </w:p>
        </w:tc>
        <w:tc>
          <w:tcPr>
            <w:tcW w:w="5812" w:type="dxa"/>
          </w:tcPr>
          <w:p w14:paraId="459F4CED" w14:textId="7592259C" w:rsidR="009032E8" w:rsidRPr="00712B16" w:rsidRDefault="005832CF">
            <w:pPr>
              <w:pStyle w:val="1"/>
              <w:spacing w:after="0" w:line="240" w:lineRule="auto"/>
              <w:jc w:val="both"/>
              <w:rPr>
                <w:iCs/>
                <w:sz w:val="22"/>
                <w:szCs w:val="22"/>
              </w:rPr>
            </w:pPr>
            <w:r w:rsidRPr="00712B16">
              <w:rPr>
                <w:iCs/>
                <w:sz w:val="22"/>
                <w:szCs w:val="22"/>
              </w:rPr>
              <w:t>Net zero</w:t>
            </w:r>
            <w:r w:rsidR="00E051A3" w:rsidRPr="00712B16">
              <w:rPr>
                <w:iCs/>
                <w:sz w:val="22"/>
                <w:szCs w:val="22"/>
              </w:rPr>
              <w:t xml:space="preserve"> </w:t>
            </w:r>
            <w:r w:rsidR="00897E37" w:rsidRPr="00712B16">
              <w:rPr>
                <w:iCs/>
                <w:sz w:val="22"/>
                <w:szCs w:val="22"/>
              </w:rPr>
              <w:t>target commitment</w:t>
            </w:r>
            <w:r w:rsidR="00E051A3" w:rsidRPr="00712B16">
              <w:rPr>
                <w:iCs/>
                <w:sz w:val="22"/>
                <w:szCs w:val="22"/>
              </w:rPr>
              <w:t xml:space="preserve"> at the country-level is coded 1 if a country has </w:t>
            </w:r>
            <w:r w:rsidR="000A40B7" w:rsidRPr="00712B16">
              <w:rPr>
                <w:iCs/>
                <w:sz w:val="22"/>
                <w:szCs w:val="22"/>
              </w:rPr>
              <w:t>committed to</w:t>
            </w:r>
            <w:r w:rsidR="00E051A3" w:rsidRPr="00712B16">
              <w:rPr>
                <w:iCs/>
                <w:sz w:val="22"/>
                <w:szCs w:val="22"/>
              </w:rPr>
              <w:t xml:space="preserve"> </w:t>
            </w:r>
            <w:r w:rsidR="0022662B" w:rsidRPr="00712B16">
              <w:rPr>
                <w:iCs/>
                <w:sz w:val="22"/>
                <w:szCs w:val="22"/>
              </w:rPr>
              <w:t xml:space="preserve">net zero targets </w:t>
            </w:r>
            <w:r w:rsidR="00E051A3" w:rsidRPr="00712B16">
              <w:rPr>
                <w:iCs/>
                <w:sz w:val="22"/>
                <w:szCs w:val="22"/>
              </w:rPr>
              <w:t>either in law, followed by an official policy document, or proposed/in discussion, or is in declaration/pledge, and 0 otherwise. Data is sourced from Energy &amp; Climate Intelligence Unit and Climate Home News.</w:t>
            </w:r>
          </w:p>
        </w:tc>
      </w:tr>
      <w:tr w:rsidR="00712B16" w:rsidRPr="00712B16" w14:paraId="5550FAFA" w14:textId="77777777">
        <w:trPr>
          <w:trHeight w:val="165"/>
        </w:trPr>
        <w:tc>
          <w:tcPr>
            <w:tcW w:w="2547" w:type="dxa"/>
          </w:tcPr>
          <w:p w14:paraId="226483F7" w14:textId="77777777" w:rsidR="009032E8" w:rsidRPr="00712B16" w:rsidRDefault="00E051A3">
            <w:pPr>
              <w:pStyle w:val="1"/>
              <w:spacing w:after="0" w:line="240" w:lineRule="auto"/>
              <w:jc w:val="both"/>
              <w:rPr>
                <w:i/>
                <w:sz w:val="22"/>
                <w:szCs w:val="22"/>
              </w:rPr>
            </w:pPr>
            <w:r w:rsidRPr="00712B16">
              <w:rPr>
                <w:i/>
                <w:sz w:val="22"/>
                <w:szCs w:val="22"/>
              </w:rPr>
              <w:t>Dependent variable</w:t>
            </w:r>
          </w:p>
        </w:tc>
        <w:tc>
          <w:tcPr>
            <w:tcW w:w="5812" w:type="dxa"/>
          </w:tcPr>
          <w:p w14:paraId="0527721A" w14:textId="77777777" w:rsidR="009032E8" w:rsidRPr="00712B16" w:rsidRDefault="009032E8">
            <w:pPr>
              <w:pStyle w:val="1"/>
              <w:spacing w:after="0" w:line="240" w:lineRule="auto"/>
              <w:jc w:val="both"/>
              <w:rPr>
                <w:iCs/>
                <w:sz w:val="22"/>
                <w:szCs w:val="22"/>
              </w:rPr>
            </w:pPr>
          </w:p>
        </w:tc>
      </w:tr>
      <w:tr w:rsidR="00712B16" w:rsidRPr="00712B16" w14:paraId="65F574B7" w14:textId="77777777">
        <w:trPr>
          <w:trHeight w:val="165"/>
        </w:trPr>
        <w:tc>
          <w:tcPr>
            <w:tcW w:w="2547" w:type="dxa"/>
          </w:tcPr>
          <w:p w14:paraId="1EB9371E" w14:textId="77777777" w:rsidR="009032E8" w:rsidRPr="00712B16" w:rsidRDefault="00E051A3">
            <w:pPr>
              <w:pStyle w:val="1"/>
              <w:spacing w:after="0" w:line="240" w:lineRule="auto"/>
              <w:jc w:val="both"/>
              <w:rPr>
                <w:i/>
                <w:sz w:val="22"/>
                <w:szCs w:val="22"/>
              </w:rPr>
            </w:pPr>
            <w:r w:rsidRPr="00712B16">
              <w:rPr>
                <w:i/>
                <w:sz w:val="22"/>
                <w:szCs w:val="22"/>
              </w:rPr>
              <w:t>REM_CFO</w:t>
            </w:r>
          </w:p>
        </w:tc>
        <w:tc>
          <w:tcPr>
            <w:tcW w:w="5812" w:type="dxa"/>
          </w:tcPr>
          <w:p w14:paraId="42843BC3" w14:textId="77777777" w:rsidR="009032E8" w:rsidRPr="00712B16" w:rsidRDefault="00E051A3">
            <w:pPr>
              <w:pStyle w:val="1"/>
              <w:spacing w:after="0" w:line="240" w:lineRule="auto"/>
              <w:jc w:val="both"/>
              <w:rPr>
                <w:iCs/>
                <w:sz w:val="22"/>
                <w:szCs w:val="22"/>
              </w:rPr>
            </w:pPr>
            <w:r w:rsidRPr="00712B16">
              <w:rPr>
                <w:iCs/>
                <w:sz w:val="22"/>
                <w:szCs w:val="22"/>
              </w:rPr>
              <w:t>Abnormal cash flow from operations (sales manipulation).</w:t>
            </w:r>
          </w:p>
        </w:tc>
      </w:tr>
      <w:tr w:rsidR="00712B16" w:rsidRPr="00712B16" w14:paraId="712080EB" w14:textId="77777777">
        <w:trPr>
          <w:trHeight w:val="165"/>
        </w:trPr>
        <w:tc>
          <w:tcPr>
            <w:tcW w:w="2547" w:type="dxa"/>
          </w:tcPr>
          <w:p w14:paraId="148B7842" w14:textId="0BFBAF38" w:rsidR="009032E8" w:rsidRPr="00712B16" w:rsidRDefault="00E051A3">
            <w:pPr>
              <w:pStyle w:val="1"/>
              <w:spacing w:after="0" w:line="240" w:lineRule="auto"/>
              <w:jc w:val="both"/>
              <w:rPr>
                <w:i/>
                <w:sz w:val="22"/>
                <w:szCs w:val="22"/>
              </w:rPr>
            </w:pPr>
            <w:r w:rsidRPr="00712B16">
              <w:rPr>
                <w:i/>
                <w:sz w:val="22"/>
                <w:szCs w:val="22"/>
              </w:rPr>
              <w:t>REM</w:t>
            </w:r>
            <w:r w:rsidR="00E5405D" w:rsidRPr="00712B16">
              <w:rPr>
                <w:i/>
                <w:sz w:val="22"/>
                <w:szCs w:val="22"/>
              </w:rPr>
              <w:t>_</w:t>
            </w:r>
            <w:r w:rsidRPr="00712B16">
              <w:rPr>
                <w:i/>
                <w:sz w:val="22"/>
                <w:szCs w:val="22"/>
              </w:rPr>
              <w:t>DISEXP</w:t>
            </w:r>
          </w:p>
        </w:tc>
        <w:tc>
          <w:tcPr>
            <w:tcW w:w="5812" w:type="dxa"/>
          </w:tcPr>
          <w:p w14:paraId="45914568" w14:textId="77777777" w:rsidR="009032E8" w:rsidRPr="00712B16" w:rsidRDefault="00E051A3">
            <w:pPr>
              <w:pStyle w:val="1"/>
              <w:spacing w:after="0" w:line="240" w:lineRule="auto"/>
              <w:jc w:val="both"/>
              <w:rPr>
                <w:iCs/>
                <w:sz w:val="22"/>
                <w:szCs w:val="22"/>
              </w:rPr>
            </w:pPr>
            <w:r w:rsidRPr="00712B16">
              <w:rPr>
                <w:iCs/>
                <w:sz w:val="22"/>
                <w:szCs w:val="22"/>
              </w:rPr>
              <w:t>Abnormal discretionary expenses.</w:t>
            </w:r>
          </w:p>
        </w:tc>
      </w:tr>
      <w:tr w:rsidR="00712B16" w:rsidRPr="00712B16" w14:paraId="748FF741" w14:textId="77777777">
        <w:trPr>
          <w:trHeight w:val="165"/>
        </w:trPr>
        <w:tc>
          <w:tcPr>
            <w:tcW w:w="2547" w:type="dxa"/>
          </w:tcPr>
          <w:p w14:paraId="06FEA4EC" w14:textId="517DAB58" w:rsidR="009032E8" w:rsidRPr="00712B16" w:rsidRDefault="00E051A3">
            <w:pPr>
              <w:pStyle w:val="1"/>
              <w:spacing w:after="0" w:line="240" w:lineRule="auto"/>
              <w:jc w:val="both"/>
              <w:rPr>
                <w:i/>
                <w:sz w:val="22"/>
                <w:szCs w:val="22"/>
              </w:rPr>
            </w:pPr>
            <w:r w:rsidRPr="00712B16">
              <w:rPr>
                <w:i/>
                <w:sz w:val="22"/>
                <w:szCs w:val="22"/>
              </w:rPr>
              <w:t>REM</w:t>
            </w:r>
            <w:r w:rsidR="00E5405D" w:rsidRPr="00712B16">
              <w:rPr>
                <w:i/>
                <w:sz w:val="22"/>
                <w:szCs w:val="22"/>
              </w:rPr>
              <w:t>_</w:t>
            </w:r>
            <w:r w:rsidRPr="00712B16">
              <w:rPr>
                <w:i/>
                <w:sz w:val="22"/>
                <w:szCs w:val="22"/>
              </w:rPr>
              <w:t>PRODCOST</w:t>
            </w:r>
          </w:p>
        </w:tc>
        <w:tc>
          <w:tcPr>
            <w:tcW w:w="5812" w:type="dxa"/>
          </w:tcPr>
          <w:p w14:paraId="7209946C" w14:textId="77777777" w:rsidR="009032E8" w:rsidRPr="00712B16" w:rsidRDefault="00E051A3">
            <w:pPr>
              <w:pStyle w:val="1"/>
              <w:spacing w:after="0" w:line="240" w:lineRule="auto"/>
              <w:jc w:val="both"/>
              <w:rPr>
                <w:iCs/>
                <w:sz w:val="22"/>
                <w:szCs w:val="22"/>
              </w:rPr>
            </w:pPr>
            <w:r w:rsidRPr="00712B16">
              <w:rPr>
                <w:iCs/>
                <w:sz w:val="22"/>
                <w:szCs w:val="22"/>
              </w:rPr>
              <w:t>Abnormal production costs.</w:t>
            </w:r>
          </w:p>
        </w:tc>
      </w:tr>
      <w:tr w:rsidR="00712B16" w:rsidRPr="00712B16" w14:paraId="7D402AC7" w14:textId="77777777">
        <w:trPr>
          <w:trHeight w:val="165"/>
        </w:trPr>
        <w:tc>
          <w:tcPr>
            <w:tcW w:w="2547" w:type="dxa"/>
          </w:tcPr>
          <w:p w14:paraId="520D7AEA" w14:textId="77777777" w:rsidR="009032E8" w:rsidRPr="00712B16" w:rsidRDefault="00E051A3">
            <w:pPr>
              <w:pStyle w:val="1"/>
              <w:spacing w:after="0" w:line="240" w:lineRule="auto"/>
              <w:jc w:val="both"/>
              <w:rPr>
                <w:i/>
                <w:sz w:val="22"/>
                <w:szCs w:val="22"/>
              </w:rPr>
            </w:pPr>
            <w:r w:rsidRPr="00712B16">
              <w:rPr>
                <w:i/>
                <w:sz w:val="22"/>
                <w:szCs w:val="22"/>
              </w:rPr>
              <w:t>REM_SUM</w:t>
            </w:r>
          </w:p>
        </w:tc>
        <w:tc>
          <w:tcPr>
            <w:tcW w:w="5812" w:type="dxa"/>
          </w:tcPr>
          <w:p w14:paraId="6A31380D" w14:textId="77777777" w:rsidR="009032E8" w:rsidRPr="00712B16" w:rsidRDefault="00E051A3">
            <w:pPr>
              <w:pStyle w:val="1"/>
              <w:spacing w:after="0" w:line="240" w:lineRule="auto"/>
              <w:jc w:val="both"/>
              <w:rPr>
                <w:iCs/>
                <w:sz w:val="22"/>
                <w:szCs w:val="22"/>
              </w:rPr>
            </w:pPr>
            <w:r w:rsidRPr="00712B16">
              <w:rPr>
                <w:iCs/>
                <w:sz w:val="22"/>
                <w:szCs w:val="22"/>
              </w:rPr>
              <w:t>Sum of three proxies of real earnings management of abnormal discretionary expenses, abnormal production costs, and abnormal cash flow from operations, standardized by their year standard deviations.</w:t>
            </w:r>
          </w:p>
        </w:tc>
      </w:tr>
      <w:tr w:rsidR="00712B16" w:rsidRPr="00712B16" w14:paraId="596F531D" w14:textId="77777777">
        <w:trPr>
          <w:trHeight w:val="165"/>
        </w:trPr>
        <w:tc>
          <w:tcPr>
            <w:tcW w:w="2547" w:type="dxa"/>
          </w:tcPr>
          <w:p w14:paraId="21B60F41" w14:textId="77777777" w:rsidR="009032E8" w:rsidRPr="00712B16" w:rsidRDefault="00E051A3">
            <w:pPr>
              <w:pStyle w:val="1"/>
              <w:spacing w:after="0" w:line="240" w:lineRule="auto"/>
              <w:jc w:val="both"/>
              <w:rPr>
                <w:i/>
                <w:sz w:val="22"/>
                <w:szCs w:val="22"/>
              </w:rPr>
            </w:pPr>
            <w:r w:rsidRPr="00712B16">
              <w:rPr>
                <w:i/>
                <w:iCs/>
                <w:sz w:val="22"/>
                <w:szCs w:val="22"/>
              </w:rPr>
              <w:t>REM</w:t>
            </w:r>
          </w:p>
        </w:tc>
        <w:tc>
          <w:tcPr>
            <w:tcW w:w="5812" w:type="dxa"/>
          </w:tcPr>
          <w:p w14:paraId="6073E6EF" w14:textId="5010D1C8" w:rsidR="009032E8" w:rsidRPr="00712B16" w:rsidRDefault="00E051A3">
            <w:pPr>
              <w:pStyle w:val="1"/>
              <w:spacing w:after="0" w:line="240" w:lineRule="auto"/>
              <w:jc w:val="both"/>
              <w:rPr>
                <w:sz w:val="22"/>
                <w:szCs w:val="22"/>
              </w:rPr>
            </w:pPr>
            <w:r w:rsidRPr="00712B16">
              <w:rPr>
                <w:sz w:val="22"/>
                <w:szCs w:val="22"/>
              </w:rPr>
              <w:t>Real earnings management index</w:t>
            </w:r>
            <w:r w:rsidR="00C03160" w:rsidRPr="00712B16">
              <w:rPr>
                <w:sz w:val="22"/>
                <w:szCs w:val="22"/>
              </w:rPr>
              <w:t>,</w:t>
            </w:r>
            <w:r w:rsidRPr="00712B16">
              <w:rPr>
                <w:sz w:val="22"/>
                <w:szCs w:val="22"/>
              </w:rPr>
              <w:t xml:space="preserve"> which is measured by one of the four proxies</w:t>
            </w:r>
            <w:r w:rsidR="005832CF" w:rsidRPr="00712B16">
              <w:rPr>
                <w:sz w:val="22"/>
                <w:szCs w:val="22"/>
              </w:rPr>
              <w:t>,</w:t>
            </w:r>
            <w:r w:rsidRPr="00712B16">
              <w:rPr>
                <w:sz w:val="22"/>
                <w:szCs w:val="22"/>
              </w:rPr>
              <w:t xml:space="preserve"> including abnormal cash flows from </w:t>
            </w:r>
            <w:r w:rsidR="005832CF" w:rsidRPr="00712B16">
              <w:rPr>
                <w:sz w:val="22"/>
                <w:szCs w:val="22"/>
              </w:rPr>
              <w:t>operations</w:t>
            </w:r>
            <w:r w:rsidRPr="00712B16">
              <w:rPr>
                <w:sz w:val="22"/>
                <w:szCs w:val="22"/>
              </w:rPr>
              <w:t xml:space="preserve">, </w:t>
            </w:r>
            <w:r w:rsidRPr="00712B16">
              <w:rPr>
                <w:iCs/>
                <w:sz w:val="22"/>
                <w:szCs w:val="22"/>
              </w:rPr>
              <w:t xml:space="preserve">abnormal discretionary expenses, abnormal production costs, and </w:t>
            </w:r>
            <w:r w:rsidR="005832CF" w:rsidRPr="00712B16">
              <w:rPr>
                <w:iCs/>
                <w:sz w:val="22"/>
                <w:szCs w:val="22"/>
              </w:rPr>
              <w:t xml:space="preserve">the </w:t>
            </w:r>
            <w:r w:rsidRPr="00712B16">
              <w:rPr>
                <w:iCs/>
                <w:sz w:val="22"/>
                <w:szCs w:val="22"/>
              </w:rPr>
              <w:t>sum of the three proxies of REM.</w:t>
            </w:r>
          </w:p>
        </w:tc>
      </w:tr>
      <w:tr w:rsidR="00712B16" w:rsidRPr="00712B16" w14:paraId="31F6BE80" w14:textId="77777777" w:rsidTr="00FF0ED3">
        <w:trPr>
          <w:trHeight w:val="165"/>
        </w:trPr>
        <w:tc>
          <w:tcPr>
            <w:tcW w:w="8359" w:type="dxa"/>
            <w:gridSpan w:val="2"/>
          </w:tcPr>
          <w:p w14:paraId="52EB8FC1" w14:textId="24E7842A" w:rsidR="0008408D" w:rsidRPr="00712B16" w:rsidRDefault="0008408D">
            <w:pPr>
              <w:pStyle w:val="1"/>
              <w:spacing w:after="0" w:line="240" w:lineRule="auto"/>
              <w:jc w:val="both"/>
              <w:rPr>
                <w:iCs/>
                <w:sz w:val="22"/>
                <w:szCs w:val="22"/>
              </w:rPr>
            </w:pPr>
            <w:r w:rsidRPr="00712B16">
              <w:rPr>
                <w:i/>
                <w:sz w:val="22"/>
                <w:szCs w:val="22"/>
              </w:rPr>
              <w:t>Country-level control variables</w:t>
            </w:r>
          </w:p>
        </w:tc>
      </w:tr>
      <w:tr w:rsidR="00712B16" w:rsidRPr="00712B16" w14:paraId="65A8A75E" w14:textId="77777777">
        <w:tc>
          <w:tcPr>
            <w:tcW w:w="2547" w:type="dxa"/>
          </w:tcPr>
          <w:p w14:paraId="61F6F0BE" w14:textId="77777777" w:rsidR="009032E8" w:rsidRPr="00712B16" w:rsidRDefault="00E051A3">
            <w:pPr>
              <w:pStyle w:val="1"/>
              <w:spacing w:after="0" w:line="240" w:lineRule="auto"/>
              <w:jc w:val="both"/>
              <w:rPr>
                <w:i/>
                <w:sz w:val="22"/>
                <w:szCs w:val="22"/>
              </w:rPr>
            </w:pPr>
            <w:r w:rsidRPr="00712B16">
              <w:rPr>
                <w:i/>
                <w:iCs/>
                <w:sz w:val="22"/>
                <w:szCs w:val="22"/>
              </w:rPr>
              <w:t>CLIMATE_RISK</w:t>
            </w:r>
          </w:p>
        </w:tc>
        <w:tc>
          <w:tcPr>
            <w:tcW w:w="5812" w:type="dxa"/>
          </w:tcPr>
          <w:p w14:paraId="597E845C" w14:textId="14201591" w:rsidR="009032E8" w:rsidRPr="00712B16" w:rsidRDefault="00E051A3">
            <w:pPr>
              <w:pStyle w:val="1"/>
              <w:spacing w:after="0" w:line="240" w:lineRule="auto"/>
              <w:jc w:val="both"/>
              <w:rPr>
                <w:iCs/>
                <w:sz w:val="22"/>
                <w:szCs w:val="22"/>
              </w:rPr>
            </w:pPr>
            <w:r w:rsidRPr="00712B16">
              <w:rPr>
                <w:iCs/>
                <w:sz w:val="22"/>
                <w:szCs w:val="22"/>
              </w:rPr>
              <w:t xml:space="preserve">The Climate Risk Index (CRI) indicates a level of exposure and vulnerability to </w:t>
            </w:r>
            <w:r w:rsidR="005832CF" w:rsidRPr="00712B16">
              <w:rPr>
                <w:iCs/>
                <w:sz w:val="22"/>
                <w:szCs w:val="22"/>
              </w:rPr>
              <w:t xml:space="preserve">extreme </w:t>
            </w:r>
            <w:r w:rsidRPr="00712B16">
              <w:rPr>
                <w:iCs/>
                <w:sz w:val="22"/>
                <w:szCs w:val="22"/>
              </w:rPr>
              <w:t xml:space="preserve">events, which countries should understand as warnings in order to be </w:t>
            </w:r>
            <w:r w:rsidR="005832CF" w:rsidRPr="00712B16">
              <w:rPr>
                <w:iCs/>
                <w:sz w:val="22"/>
                <w:szCs w:val="22"/>
              </w:rPr>
              <w:t xml:space="preserve">prepared </w:t>
            </w:r>
            <w:r w:rsidRPr="00712B16">
              <w:rPr>
                <w:iCs/>
                <w:sz w:val="22"/>
                <w:szCs w:val="22"/>
              </w:rPr>
              <w:t xml:space="preserve">for more frequent and/or more severe events in the future. CRI is developed by </w:t>
            </w:r>
            <w:proofErr w:type="spellStart"/>
            <w:r w:rsidRPr="00712B16">
              <w:rPr>
                <w:iCs/>
                <w:sz w:val="22"/>
                <w:szCs w:val="22"/>
              </w:rPr>
              <w:t>Germanwatch</w:t>
            </w:r>
            <w:proofErr w:type="spellEnd"/>
            <w:r w:rsidRPr="00712B16">
              <w:rPr>
                <w:iCs/>
                <w:sz w:val="22"/>
                <w:szCs w:val="22"/>
              </w:rPr>
              <w:t xml:space="preserve"> analyses quantified impacts of extreme weather events both in terms of the fatalities as well as the economic losses that occurred.</w:t>
            </w:r>
          </w:p>
        </w:tc>
      </w:tr>
      <w:tr w:rsidR="00712B16" w:rsidRPr="00712B16" w14:paraId="1DF4E382" w14:textId="77777777">
        <w:tc>
          <w:tcPr>
            <w:tcW w:w="2547" w:type="dxa"/>
          </w:tcPr>
          <w:p w14:paraId="1229BB36" w14:textId="77777777" w:rsidR="009032E8" w:rsidRPr="00712B16" w:rsidRDefault="00E051A3">
            <w:pPr>
              <w:pStyle w:val="1"/>
              <w:spacing w:after="0" w:line="240" w:lineRule="auto"/>
              <w:jc w:val="both"/>
              <w:rPr>
                <w:i/>
                <w:sz w:val="22"/>
                <w:szCs w:val="22"/>
              </w:rPr>
            </w:pPr>
            <w:r w:rsidRPr="00712B16">
              <w:rPr>
                <w:i/>
                <w:iCs/>
                <w:sz w:val="22"/>
                <w:szCs w:val="22"/>
              </w:rPr>
              <w:t>CO2_PER_CAPITA</w:t>
            </w:r>
          </w:p>
        </w:tc>
        <w:tc>
          <w:tcPr>
            <w:tcW w:w="5812" w:type="dxa"/>
          </w:tcPr>
          <w:p w14:paraId="65FFB5F8" w14:textId="77777777" w:rsidR="009032E8" w:rsidRPr="00712B16" w:rsidRDefault="00E051A3">
            <w:pPr>
              <w:pStyle w:val="1"/>
              <w:spacing w:after="0" w:line="240" w:lineRule="auto"/>
              <w:jc w:val="both"/>
              <w:rPr>
                <w:iCs/>
                <w:sz w:val="22"/>
                <w:szCs w:val="22"/>
              </w:rPr>
            </w:pPr>
            <w:r w:rsidRPr="00712B16">
              <w:rPr>
                <w:iCs/>
                <w:sz w:val="22"/>
                <w:szCs w:val="22"/>
              </w:rPr>
              <w:t>CO2 per capita is carbon dioxide emissions divided metric population in the complete dataset, which is sourced from Our World in Data. The emissions data is sourced from the CAIT Climate Data Explorer and downloaded from the Climate Watch Portal.</w:t>
            </w:r>
          </w:p>
        </w:tc>
      </w:tr>
      <w:tr w:rsidR="00712B16" w:rsidRPr="00712B16" w14:paraId="6C6C9EFF" w14:textId="77777777">
        <w:tc>
          <w:tcPr>
            <w:tcW w:w="2547" w:type="dxa"/>
          </w:tcPr>
          <w:p w14:paraId="56C8A1BB" w14:textId="77777777" w:rsidR="009032E8" w:rsidRPr="00712B16" w:rsidRDefault="00E051A3">
            <w:pPr>
              <w:pStyle w:val="1"/>
              <w:spacing w:after="0" w:line="240" w:lineRule="auto"/>
              <w:jc w:val="both"/>
              <w:rPr>
                <w:i/>
                <w:iCs/>
                <w:sz w:val="22"/>
                <w:szCs w:val="22"/>
              </w:rPr>
            </w:pPr>
            <w:r w:rsidRPr="00712B16">
              <w:rPr>
                <w:i/>
                <w:iCs/>
                <w:sz w:val="22"/>
                <w:szCs w:val="22"/>
                <w:lang w:val="en-US"/>
              </w:rPr>
              <w:t>GDP_GROWTH</w:t>
            </w:r>
          </w:p>
        </w:tc>
        <w:tc>
          <w:tcPr>
            <w:tcW w:w="5812" w:type="dxa"/>
          </w:tcPr>
          <w:p w14:paraId="69F162EA" w14:textId="3DC65F0E" w:rsidR="009032E8" w:rsidRPr="00712B16" w:rsidRDefault="00E051A3">
            <w:pPr>
              <w:pStyle w:val="1"/>
              <w:spacing w:after="0" w:line="240" w:lineRule="auto"/>
              <w:jc w:val="both"/>
              <w:rPr>
                <w:iCs/>
                <w:sz w:val="22"/>
                <w:szCs w:val="22"/>
              </w:rPr>
            </w:pPr>
            <w:r w:rsidRPr="00712B16">
              <w:rPr>
                <w:iCs/>
                <w:sz w:val="22"/>
                <w:szCs w:val="22"/>
              </w:rPr>
              <w:t>Annual percentage growth rate of GDP at market prices based on constant local currency. Aggregates are based on constant 2015 prices, expressed in U.S. dollars. GDP is the sum of gross value added by all resident producers in the economy</w:t>
            </w:r>
            <w:r w:rsidR="005832CF" w:rsidRPr="00712B16">
              <w:rPr>
                <w:iCs/>
                <w:sz w:val="22"/>
                <w:szCs w:val="22"/>
              </w:rPr>
              <w:t>,</w:t>
            </w:r>
            <w:r w:rsidRPr="00712B16">
              <w:rPr>
                <w:iCs/>
                <w:sz w:val="22"/>
                <w:szCs w:val="22"/>
              </w:rPr>
              <w:t xml:space="preserve"> plus any product taxes</w:t>
            </w:r>
            <w:r w:rsidR="005832CF" w:rsidRPr="00712B16">
              <w:rPr>
                <w:iCs/>
                <w:sz w:val="22"/>
                <w:szCs w:val="22"/>
              </w:rPr>
              <w:t>,</w:t>
            </w:r>
            <w:r w:rsidRPr="00712B16">
              <w:rPr>
                <w:iCs/>
                <w:sz w:val="22"/>
                <w:szCs w:val="22"/>
              </w:rPr>
              <w:t xml:space="preserve"> and minus any subsidies not included in the value of the products. The data is sourced from </w:t>
            </w:r>
            <w:r w:rsidR="005832CF" w:rsidRPr="00712B16">
              <w:rPr>
                <w:iCs/>
                <w:sz w:val="22"/>
                <w:szCs w:val="22"/>
              </w:rPr>
              <w:t xml:space="preserve">the </w:t>
            </w:r>
            <w:r w:rsidRPr="00712B16">
              <w:rPr>
                <w:iCs/>
                <w:sz w:val="22"/>
                <w:szCs w:val="22"/>
              </w:rPr>
              <w:t>World Bank.</w:t>
            </w:r>
          </w:p>
        </w:tc>
      </w:tr>
      <w:tr w:rsidR="00712B16" w:rsidRPr="00712B16" w14:paraId="65FC9279" w14:textId="77777777">
        <w:tc>
          <w:tcPr>
            <w:tcW w:w="2547" w:type="dxa"/>
          </w:tcPr>
          <w:p w14:paraId="1E1C7D5F" w14:textId="77777777" w:rsidR="009032E8" w:rsidRPr="00712B16" w:rsidRDefault="00E051A3">
            <w:pPr>
              <w:pStyle w:val="1"/>
              <w:spacing w:after="0" w:line="240" w:lineRule="auto"/>
              <w:jc w:val="both"/>
              <w:rPr>
                <w:i/>
                <w:iCs/>
                <w:sz w:val="22"/>
                <w:szCs w:val="22"/>
              </w:rPr>
            </w:pPr>
            <w:r w:rsidRPr="00712B16">
              <w:rPr>
                <w:i/>
                <w:iCs/>
                <w:sz w:val="22"/>
                <w:szCs w:val="22"/>
                <w:lang w:val="en-US"/>
              </w:rPr>
              <w:t>GDP_PER_CAPITA</w:t>
            </w:r>
          </w:p>
        </w:tc>
        <w:tc>
          <w:tcPr>
            <w:tcW w:w="5812" w:type="dxa"/>
          </w:tcPr>
          <w:p w14:paraId="46026C2B" w14:textId="640F8494" w:rsidR="009032E8" w:rsidRPr="00712B16" w:rsidRDefault="00E051A3">
            <w:pPr>
              <w:pStyle w:val="1"/>
              <w:spacing w:after="0" w:line="240" w:lineRule="auto"/>
              <w:jc w:val="both"/>
              <w:rPr>
                <w:iCs/>
                <w:sz w:val="22"/>
                <w:szCs w:val="22"/>
              </w:rPr>
            </w:pPr>
            <w:r w:rsidRPr="00712B16">
              <w:rPr>
                <w:iCs/>
                <w:sz w:val="22"/>
                <w:szCs w:val="22"/>
              </w:rPr>
              <w:t>GDP per capita is the log of gross domestic product divided by midyear population. GDP is the sum of gross value added by all resident producers in the economy</w:t>
            </w:r>
            <w:r w:rsidR="005832CF" w:rsidRPr="00712B16">
              <w:rPr>
                <w:iCs/>
                <w:sz w:val="22"/>
                <w:szCs w:val="22"/>
              </w:rPr>
              <w:t>,</w:t>
            </w:r>
            <w:r w:rsidRPr="00712B16">
              <w:rPr>
                <w:iCs/>
                <w:sz w:val="22"/>
                <w:szCs w:val="22"/>
              </w:rPr>
              <w:t xml:space="preserve"> plus any product taxes</w:t>
            </w:r>
            <w:r w:rsidR="005832CF" w:rsidRPr="00712B16">
              <w:rPr>
                <w:iCs/>
                <w:sz w:val="22"/>
                <w:szCs w:val="22"/>
              </w:rPr>
              <w:t>,</w:t>
            </w:r>
            <w:r w:rsidRPr="00712B16">
              <w:rPr>
                <w:iCs/>
                <w:sz w:val="22"/>
                <w:szCs w:val="22"/>
              </w:rPr>
              <w:t xml:space="preserve"> and minus any subsidies not included in the value of the products. It is calculated without making deductions for depreciation of fabricated assets or for depletion and degradation of natural resources. Data are in current U.S. dollars. The data is sourced from </w:t>
            </w:r>
            <w:r w:rsidR="005832CF" w:rsidRPr="00712B16">
              <w:rPr>
                <w:iCs/>
                <w:sz w:val="22"/>
                <w:szCs w:val="22"/>
              </w:rPr>
              <w:t xml:space="preserve">the </w:t>
            </w:r>
            <w:r w:rsidRPr="00712B16">
              <w:rPr>
                <w:iCs/>
                <w:sz w:val="22"/>
                <w:szCs w:val="22"/>
              </w:rPr>
              <w:t>World Bank.</w:t>
            </w:r>
          </w:p>
        </w:tc>
      </w:tr>
      <w:tr w:rsidR="00712B16" w:rsidRPr="00712B16" w14:paraId="31041EB6" w14:textId="77777777">
        <w:tc>
          <w:tcPr>
            <w:tcW w:w="2547" w:type="dxa"/>
          </w:tcPr>
          <w:p w14:paraId="258C1888" w14:textId="77777777" w:rsidR="009032E8" w:rsidRPr="00712B16" w:rsidRDefault="00E051A3">
            <w:pPr>
              <w:pStyle w:val="1"/>
              <w:spacing w:after="0" w:line="240" w:lineRule="auto"/>
              <w:jc w:val="both"/>
              <w:rPr>
                <w:i/>
                <w:iCs/>
                <w:sz w:val="22"/>
                <w:szCs w:val="22"/>
              </w:rPr>
            </w:pPr>
            <w:r w:rsidRPr="00712B16">
              <w:rPr>
                <w:i/>
                <w:sz w:val="22"/>
                <w:szCs w:val="22"/>
              </w:rPr>
              <w:lastRenderedPageBreak/>
              <w:t>CORRUPT_CONTROL</w:t>
            </w:r>
          </w:p>
        </w:tc>
        <w:tc>
          <w:tcPr>
            <w:tcW w:w="5812" w:type="dxa"/>
          </w:tcPr>
          <w:p w14:paraId="0A95D474" w14:textId="295BFB97" w:rsidR="009032E8" w:rsidRPr="00712B16" w:rsidRDefault="00E051A3">
            <w:pPr>
              <w:pStyle w:val="1"/>
              <w:spacing w:after="0" w:line="240" w:lineRule="auto"/>
              <w:jc w:val="both"/>
              <w:rPr>
                <w:iCs/>
                <w:sz w:val="22"/>
                <w:szCs w:val="22"/>
              </w:rPr>
            </w:pPr>
            <w:r w:rsidRPr="00712B16">
              <w:rPr>
                <w:iCs/>
                <w:sz w:val="22"/>
                <w:szCs w:val="22"/>
              </w:rPr>
              <w:t xml:space="preserve">Control of Corruption captures perceptions of the extent to which public power is exercised for private gain, including both petty and grand forms of corruption, as well as “capture” of the state by elites and private interests. </w:t>
            </w:r>
            <w:r w:rsidR="00C03160" w:rsidRPr="00712B16">
              <w:rPr>
                <w:iCs/>
                <w:sz w:val="22"/>
                <w:szCs w:val="22"/>
              </w:rPr>
              <w:t>The estimate</w:t>
            </w:r>
            <w:r w:rsidRPr="00712B16">
              <w:rPr>
                <w:iCs/>
                <w:sz w:val="22"/>
                <w:szCs w:val="22"/>
              </w:rPr>
              <w:t xml:space="preserve"> gives the country’s score on the aggregate indicator, in units of a standard normal distribution, i.e., ranging from approximately -2.5 to 2.5. Data is sourced from </w:t>
            </w:r>
            <w:r w:rsidR="005832CF" w:rsidRPr="00712B16">
              <w:rPr>
                <w:iCs/>
                <w:sz w:val="22"/>
                <w:szCs w:val="22"/>
              </w:rPr>
              <w:t xml:space="preserve">the </w:t>
            </w:r>
            <w:r w:rsidRPr="00712B16">
              <w:rPr>
                <w:iCs/>
                <w:sz w:val="22"/>
                <w:szCs w:val="22"/>
              </w:rPr>
              <w:t xml:space="preserve">Worldwide Governance Indicators of </w:t>
            </w:r>
            <w:r w:rsidR="005832CF" w:rsidRPr="00712B16">
              <w:rPr>
                <w:iCs/>
                <w:sz w:val="22"/>
                <w:szCs w:val="22"/>
              </w:rPr>
              <w:t xml:space="preserve">the </w:t>
            </w:r>
            <w:r w:rsidRPr="00712B16">
              <w:rPr>
                <w:iCs/>
                <w:sz w:val="22"/>
                <w:szCs w:val="22"/>
              </w:rPr>
              <w:t xml:space="preserve">World </w:t>
            </w:r>
            <w:r w:rsidR="00C03160" w:rsidRPr="00712B16">
              <w:rPr>
                <w:iCs/>
                <w:sz w:val="22"/>
                <w:szCs w:val="22"/>
              </w:rPr>
              <w:t>Bank</w:t>
            </w:r>
            <w:r w:rsidRPr="00712B16">
              <w:rPr>
                <w:iCs/>
                <w:sz w:val="22"/>
                <w:szCs w:val="22"/>
              </w:rPr>
              <w:t>.</w:t>
            </w:r>
          </w:p>
        </w:tc>
      </w:tr>
      <w:tr w:rsidR="00712B16" w:rsidRPr="00712B16" w14:paraId="64C47979" w14:textId="77777777">
        <w:tc>
          <w:tcPr>
            <w:tcW w:w="2547" w:type="dxa"/>
          </w:tcPr>
          <w:p w14:paraId="061B0B48" w14:textId="77777777" w:rsidR="009032E8" w:rsidRPr="00712B16" w:rsidRDefault="00E051A3">
            <w:pPr>
              <w:pStyle w:val="1"/>
              <w:spacing w:after="0" w:line="240" w:lineRule="auto"/>
              <w:jc w:val="both"/>
              <w:rPr>
                <w:i/>
                <w:iCs/>
                <w:sz w:val="22"/>
                <w:szCs w:val="22"/>
              </w:rPr>
            </w:pPr>
            <w:r w:rsidRPr="00712B16">
              <w:rPr>
                <w:i/>
                <w:sz w:val="22"/>
                <w:szCs w:val="22"/>
              </w:rPr>
              <w:t>GOV_EFFECT</w:t>
            </w:r>
          </w:p>
        </w:tc>
        <w:tc>
          <w:tcPr>
            <w:tcW w:w="5812" w:type="dxa"/>
          </w:tcPr>
          <w:p w14:paraId="568C707E" w14:textId="23956799" w:rsidR="009032E8" w:rsidRPr="00712B16" w:rsidRDefault="00E051A3">
            <w:pPr>
              <w:pStyle w:val="1"/>
              <w:spacing w:after="0" w:line="240" w:lineRule="auto"/>
              <w:jc w:val="both"/>
              <w:rPr>
                <w:iCs/>
                <w:sz w:val="22"/>
                <w:szCs w:val="22"/>
              </w:rPr>
            </w:pPr>
            <w:r w:rsidRPr="00712B16">
              <w:rPr>
                <w:iCs/>
                <w:sz w:val="22"/>
                <w:szCs w:val="22"/>
              </w:rPr>
              <w:t xml:space="preserve">Government Effectiveness captures perceptions of the quality of public services, the quality of the civil service and the degree of its independence from political pressures, the quality of policy formulation and implementation, and the credibility of the government’s commitment to such policies. </w:t>
            </w:r>
            <w:r w:rsidR="005832CF" w:rsidRPr="00712B16">
              <w:rPr>
                <w:iCs/>
                <w:sz w:val="22"/>
                <w:szCs w:val="22"/>
              </w:rPr>
              <w:t xml:space="preserve">The estimate </w:t>
            </w:r>
            <w:r w:rsidRPr="00712B16">
              <w:rPr>
                <w:iCs/>
                <w:sz w:val="22"/>
                <w:szCs w:val="22"/>
              </w:rPr>
              <w:t xml:space="preserve">gives the country’s score on the aggregate indicator, in units of a standard normal distribution, i.e., ranging from approximately -2.5 to 2.5. Data is sourced from </w:t>
            </w:r>
            <w:r w:rsidR="005832CF" w:rsidRPr="00712B16">
              <w:rPr>
                <w:iCs/>
                <w:sz w:val="22"/>
                <w:szCs w:val="22"/>
              </w:rPr>
              <w:t xml:space="preserve">the </w:t>
            </w:r>
            <w:r w:rsidRPr="00712B16">
              <w:rPr>
                <w:iCs/>
                <w:sz w:val="22"/>
                <w:szCs w:val="22"/>
              </w:rPr>
              <w:t xml:space="preserve">Worldwide Governance Indicators of </w:t>
            </w:r>
            <w:r w:rsidR="005832CF" w:rsidRPr="00712B16">
              <w:rPr>
                <w:iCs/>
                <w:sz w:val="22"/>
                <w:szCs w:val="22"/>
              </w:rPr>
              <w:t xml:space="preserve">the </w:t>
            </w:r>
            <w:r w:rsidRPr="00712B16">
              <w:rPr>
                <w:iCs/>
                <w:sz w:val="22"/>
                <w:szCs w:val="22"/>
              </w:rPr>
              <w:t xml:space="preserve">World </w:t>
            </w:r>
            <w:r w:rsidR="00C03160" w:rsidRPr="00712B16">
              <w:rPr>
                <w:iCs/>
                <w:sz w:val="22"/>
                <w:szCs w:val="22"/>
              </w:rPr>
              <w:t>Bank</w:t>
            </w:r>
            <w:r w:rsidRPr="00712B16">
              <w:rPr>
                <w:iCs/>
                <w:sz w:val="22"/>
                <w:szCs w:val="22"/>
              </w:rPr>
              <w:t>.</w:t>
            </w:r>
          </w:p>
        </w:tc>
      </w:tr>
      <w:tr w:rsidR="00712B16" w:rsidRPr="00712B16" w14:paraId="32A2F32E" w14:textId="77777777">
        <w:tc>
          <w:tcPr>
            <w:tcW w:w="2547" w:type="dxa"/>
          </w:tcPr>
          <w:p w14:paraId="6074FFC8" w14:textId="77777777" w:rsidR="009032E8" w:rsidRPr="00712B16" w:rsidRDefault="00E051A3">
            <w:pPr>
              <w:pStyle w:val="1"/>
              <w:spacing w:after="0" w:line="240" w:lineRule="auto"/>
              <w:jc w:val="both"/>
              <w:rPr>
                <w:i/>
                <w:iCs/>
                <w:sz w:val="22"/>
                <w:szCs w:val="22"/>
              </w:rPr>
            </w:pPr>
            <w:r w:rsidRPr="00712B16">
              <w:rPr>
                <w:i/>
                <w:sz w:val="22"/>
                <w:szCs w:val="22"/>
              </w:rPr>
              <w:t>POL_STABILITY</w:t>
            </w:r>
          </w:p>
        </w:tc>
        <w:tc>
          <w:tcPr>
            <w:tcW w:w="5812" w:type="dxa"/>
          </w:tcPr>
          <w:p w14:paraId="038579EC" w14:textId="6D9234DF" w:rsidR="009032E8" w:rsidRPr="00712B16" w:rsidRDefault="00E051A3">
            <w:pPr>
              <w:pStyle w:val="1"/>
              <w:spacing w:after="0" w:line="240" w:lineRule="auto"/>
              <w:jc w:val="both"/>
              <w:rPr>
                <w:iCs/>
                <w:sz w:val="22"/>
                <w:szCs w:val="22"/>
              </w:rPr>
            </w:pPr>
            <w:r w:rsidRPr="00712B16">
              <w:rPr>
                <w:iCs/>
                <w:sz w:val="22"/>
                <w:szCs w:val="22"/>
              </w:rPr>
              <w:t xml:space="preserve">Political Stability and Absence of Violence/Terrorism measures perceptions of the likelihood of political instability and/or politically motivated violence, including terrorism. </w:t>
            </w:r>
            <w:r w:rsidR="005832CF" w:rsidRPr="00712B16">
              <w:rPr>
                <w:iCs/>
                <w:sz w:val="22"/>
                <w:szCs w:val="22"/>
              </w:rPr>
              <w:t xml:space="preserve">The estimate </w:t>
            </w:r>
            <w:r w:rsidRPr="00712B16">
              <w:rPr>
                <w:iCs/>
                <w:sz w:val="22"/>
                <w:szCs w:val="22"/>
              </w:rPr>
              <w:t xml:space="preserve">gives the country’s score on the aggregate indicator, in units of a standard normal distribution, i.e., ranging from approximately -2.5 to 2.5. Data is sourced from </w:t>
            </w:r>
            <w:r w:rsidR="005832CF" w:rsidRPr="00712B16">
              <w:rPr>
                <w:iCs/>
                <w:sz w:val="22"/>
                <w:szCs w:val="22"/>
              </w:rPr>
              <w:t xml:space="preserve">the </w:t>
            </w:r>
            <w:r w:rsidRPr="00712B16">
              <w:rPr>
                <w:iCs/>
                <w:sz w:val="22"/>
                <w:szCs w:val="22"/>
              </w:rPr>
              <w:t xml:space="preserve">Worldwide Governance Indicators of </w:t>
            </w:r>
            <w:r w:rsidR="005832CF" w:rsidRPr="00712B16">
              <w:rPr>
                <w:iCs/>
                <w:sz w:val="22"/>
                <w:szCs w:val="22"/>
              </w:rPr>
              <w:t xml:space="preserve">the </w:t>
            </w:r>
            <w:r w:rsidRPr="00712B16">
              <w:rPr>
                <w:iCs/>
                <w:sz w:val="22"/>
                <w:szCs w:val="22"/>
              </w:rPr>
              <w:t xml:space="preserve">World </w:t>
            </w:r>
            <w:r w:rsidR="00C03160" w:rsidRPr="00712B16">
              <w:rPr>
                <w:iCs/>
                <w:sz w:val="22"/>
                <w:szCs w:val="22"/>
              </w:rPr>
              <w:t>Bank</w:t>
            </w:r>
            <w:r w:rsidRPr="00712B16">
              <w:rPr>
                <w:iCs/>
                <w:sz w:val="22"/>
                <w:szCs w:val="22"/>
              </w:rPr>
              <w:t>.</w:t>
            </w:r>
          </w:p>
        </w:tc>
      </w:tr>
      <w:tr w:rsidR="00712B16" w:rsidRPr="00712B16" w14:paraId="1100F728" w14:textId="77777777">
        <w:tc>
          <w:tcPr>
            <w:tcW w:w="2547" w:type="dxa"/>
          </w:tcPr>
          <w:p w14:paraId="3057F824" w14:textId="77777777" w:rsidR="009032E8" w:rsidRPr="00712B16" w:rsidRDefault="00E051A3">
            <w:pPr>
              <w:pStyle w:val="1"/>
              <w:spacing w:after="0" w:line="240" w:lineRule="auto"/>
              <w:jc w:val="both"/>
              <w:rPr>
                <w:i/>
                <w:iCs/>
                <w:sz w:val="22"/>
                <w:szCs w:val="22"/>
              </w:rPr>
            </w:pPr>
            <w:r w:rsidRPr="00712B16">
              <w:rPr>
                <w:i/>
                <w:sz w:val="22"/>
                <w:szCs w:val="22"/>
              </w:rPr>
              <w:t>REGULATE_QUAL</w:t>
            </w:r>
          </w:p>
        </w:tc>
        <w:tc>
          <w:tcPr>
            <w:tcW w:w="5812" w:type="dxa"/>
          </w:tcPr>
          <w:p w14:paraId="39D73B0B" w14:textId="1C87EB25" w:rsidR="009032E8" w:rsidRPr="00712B16" w:rsidRDefault="00E051A3">
            <w:pPr>
              <w:pStyle w:val="1"/>
              <w:spacing w:after="0" w:line="240" w:lineRule="auto"/>
              <w:jc w:val="both"/>
              <w:rPr>
                <w:iCs/>
                <w:sz w:val="22"/>
                <w:szCs w:val="22"/>
              </w:rPr>
            </w:pPr>
            <w:r w:rsidRPr="00712B16">
              <w:rPr>
                <w:iCs/>
                <w:sz w:val="22"/>
                <w:szCs w:val="22"/>
              </w:rPr>
              <w:t xml:space="preserve">Regulatory Quality captures perceptions of the ability of the government to formulate and implement sound policies and regulations that permit and promote private sector development. </w:t>
            </w:r>
            <w:r w:rsidR="005832CF" w:rsidRPr="00712B16">
              <w:rPr>
                <w:iCs/>
                <w:sz w:val="22"/>
                <w:szCs w:val="22"/>
              </w:rPr>
              <w:t xml:space="preserve">The estimate </w:t>
            </w:r>
            <w:r w:rsidRPr="00712B16">
              <w:rPr>
                <w:iCs/>
                <w:sz w:val="22"/>
                <w:szCs w:val="22"/>
              </w:rPr>
              <w:t>gives the country’s score on the aggregate indicator, in units of a standard normal distribution, i.e.</w:t>
            </w:r>
            <w:r w:rsidR="005832CF" w:rsidRPr="00712B16">
              <w:rPr>
                <w:iCs/>
                <w:sz w:val="22"/>
                <w:szCs w:val="22"/>
              </w:rPr>
              <w:t>,</w:t>
            </w:r>
            <w:r w:rsidRPr="00712B16">
              <w:rPr>
                <w:iCs/>
                <w:sz w:val="22"/>
                <w:szCs w:val="22"/>
              </w:rPr>
              <w:t xml:space="preserve"> ranging from approximately -2.5 to 2.5. Data is sourced from </w:t>
            </w:r>
            <w:r w:rsidR="005832CF" w:rsidRPr="00712B16">
              <w:rPr>
                <w:iCs/>
                <w:sz w:val="22"/>
                <w:szCs w:val="22"/>
              </w:rPr>
              <w:t xml:space="preserve">the </w:t>
            </w:r>
            <w:r w:rsidRPr="00712B16">
              <w:rPr>
                <w:iCs/>
                <w:sz w:val="22"/>
                <w:szCs w:val="22"/>
              </w:rPr>
              <w:t xml:space="preserve">Worldwide Governance Indicators of </w:t>
            </w:r>
            <w:r w:rsidR="005832CF" w:rsidRPr="00712B16">
              <w:rPr>
                <w:iCs/>
                <w:sz w:val="22"/>
                <w:szCs w:val="22"/>
              </w:rPr>
              <w:t xml:space="preserve">the </w:t>
            </w:r>
            <w:r w:rsidRPr="00712B16">
              <w:rPr>
                <w:iCs/>
                <w:sz w:val="22"/>
                <w:szCs w:val="22"/>
              </w:rPr>
              <w:t xml:space="preserve">World </w:t>
            </w:r>
            <w:r w:rsidR="005832CF" w:rsidRPr="00712B16">
              <w:rPr>
                <w:iCs/>
                <w:sz w:val="22"/>
                <w:szCs w:val="22"/>
              </w:rPr>
              <w:t>Bank</w:t>
            </w:r>
            <w:r w:rsidRPr="00712B16">
              <w:rPr>
                <w:iCs/>
                <w:sz w:val="22"/>
                <w:szCs w:val="22"/>
              </w:rPr>
              <w:t>.</w:t>
            </w:r>
          </w:p>
        </w:tc>
      </w:tr>
      <w:tr w:rsidR="00712B16" w:rsidRPr="00712B16" w14:paraId="3641DC4A" w14:textId="77777777">
        <w:tc>
          <w:tcPr>
            <w:tcW w:w="2547" w:type="dxa"/>
          </w:tcPr>
          <w:p w14:paraId="6D166B0E" w14:textId="77777777" w:rsidR="009032E8" w:rsidRPr="00712B16" w:rsidRDefault="00E051A3">
            <w:pPr>
              <w:pStyle w:val="1"/>
              <w:spacing w:after="0" w:line="240" w:lineRule="auto"/>
              <w:jc w:val="both"/>
              <w:rPr>
                <w:i/>
                <w:iCs/>
                <w:sz w:val="22"/>
                <w:szCs w:val="22"/>
              </w:rPr>
            </w:pPr>
            <w:r w:rsidRPr="00712B16">
              <w:rPr>
                <w:i/>
                <w:sz w:val="22"/>
                <w:szCs w:val="22"/>
              </w:rPr>
              <w:t>RULE_LAW</w:t>
            </w:r>
          </w:p>
        </w:tc>
        <w:tc>
          <w:tcPr>
            <w:tcW w:w="5812" w:type="dxa"/>
          </w:tcPr>
          <w:p w14:paraId="1015FAC4" w14:textId="052A0838" w:rsidR="009032E8" w:rsidRPr="00712B16" w:rsidRDefault="00E051A3">
            <w:pPr>
              <w:pStyle w:val="1"/>
              <w:spacing w:after="0" w:line="240" w:lineRule="auto"/>
              <w:jc w:val="both"/>
              <w:rPr>
                <w:iCs/>
                <w:sz w:val="22"/>
                <w:szCs w:val="22"/>
              </w:rPr>
            </w:pPr>
            <w:r w:rsidRPr="00712B16">
              <w:rPr>
                <w:iCs/>
                <w:sz w:val="22"/>
                <w:szCs w:val="22"/>
              </w:rPr>
              <w:t xml:space="preserve">Rule of Law captures perceptions of the extent to which agents have confidence in and abide by the rules of society, and in particular the quality of contract enforcement, property rights, the police, and the courts, as well as the likelihood of crime and violence. </w:t>
            </w:r>
            <w:r w:rsidR="005832CF" w:rsidRPr="00712B16">
              <w:rPr>
                <w:iCs/>
                <w:sz w:val="22"/>
                <w:szCs w:val="22"/>
              </w:rPr>
              <w:t xml:space="preserve">The estimate </w:t>
            </w:r>
            <w:r w:rsidRPr="00712B16">
              <w:rPr>
                <w:iCs/>
                <w:sz w:val="22"/>
                <w:szCs w:val="22"/>
              </w:rPr>
              <w:t xml:space="preserve">gives the country’s score on the aggregate indicator, in units of a standard normal distribution, i.e., ranging from approximately -2.5 to 2.5. Data is sourced from </w:t>
            </w:r>
            <w:r w:rsidR="005832CF" w:rsidRPr="00712B16">
              <w:rPr>
                <w:iCs/>
                <w:sz w:val="22"/>
                <w:szCs w:val="22"/>
              </w:rPr>
              <w:t xml:space="preserve">the </w:t>
            </w:r>
            <w:r w:rsidRPr="00712B16">
              <w:rPr>
                <w:iCs/>
                <w:sz w:val="22"/>
                <w:szCs w:val="22"/>
              </w:rPr>
              <w:t xml:space="preserve">Worldwide Governance Indicators of </w:t>
            </w:r>
            <w:r w:rsidR="005832CF" w:rsidRPr="00712B16">
              <w:rPr>
                <w:iCs/>
                <w:sz w:val="22"/>
                <w:szCs w:val="22"/>
              </w:rPr>
              <w:t xml:space="preserve">the </w:t>
            </w:r>
            <w:r w:rsidRPr="00712B16">
              <w:rPr>
                <w:iCs/>
                <w:sz w:val="22"/>
                <w:szCs w:val="22"/>
              </w:rPr>
              <w:t xml:space="preserve">World </w:t>
            </w:r>
            <w:r w:rsidR="005832CF" w:rsidRPr="00712B16">
              <w:rPr>
                <w:iCs/>
                <w:sz w:val="22"/>
                <w:szCs w:val="22"/>
              </w:rPr>
              <w:t>Bank</w:t>
            </w:r>
            <w:r w:rsidRPr="00712B16">
              <w:rPr>
                <w:iCs/>
                <w:sz w:val="22"/>
                <w:szCs w:val="22"/>
              </w:rPr>
              <w:t>.</w:t>
            </w:r>
          </w:p>
        </w:tc>
      </w:tr>
      <w:tr w:rsidR="00712B16" w:rsidRPr="00712B16" w14:paraId="12258C4B" w14:textId="77777777">
        <w:tc>
          <w:tcPr>
            <w:tcW w:w="2547" w:type="dxa"/>
          </w:tcPr>
          <w:p w14:paraId="17ACC75F" w14:textId="77777777" w:rsidR="009032E8" w:rsidRPr="00712B16" w:rsidRDefault="00E051A3">
            <w:pPr>
              <w:pStyle w:val="1"/>
              <w:spacing w:after="0" w:line="240" w:lineRule="auto"/>
              <w:jc w:val="both"/>
              <w:rPr>
                <w:i/>
                <w:iCs/>
                <w:sz w:val="22"/>
                <w:szCs w:val="22"/>
              </w:rPr>
            </w:pPr>
            <w:r w:rsidRPr="00712B16">
              <w:rPr>
                <w:i/>
                <w:sz w:val="22"/>
                <w:szCs w:val="22"/>
              </w:rPr>
              <w:t>VOICE_ACCOUNT</w:t>
            </w:r>
          </w:p>
        </w:tc>
        <w:tc>
          <w:tcPr>
            <w:tcW w:w="5812" w:type="dxa"/>
          </w:tcPr>
          <w:p w14:paraId="5A693BBC" w14:textId="210B2E42" w:rsidR="009032E8" w:rsidRPr="00712B16" w:rsidRDefault="00E051A3">
            <w:pPr>
              <w:pStyle w:val="1"/>
              <w:spacing w:after="0" w:line="240" w:lineRule="auto"/>
              <w:jc w:val="both"/>
              <w:rPr>
                <w:iCs/>
                <w:sz w:val="22"/>
                <w:szCs w:val="22"/>
              </w:rPr>
            </w:pPr>
            <w:r w:rsidRPr="00712B16">
              <w:rPr>
                <w:iCs/>
                <w:sz w:val="22"/>
                <w:szCs w:val="22"/>
              </w:rPr>
              <w:t xml:space="preserve">Voice and Accountability captures perceptions of the extent to which a country’s citizens are able to participate in selecting their government, as well as freedom of expression, freedom of association, and a free media.  </w:t>
            </w:r>
            <w:r w:rsidR="005832CF" w:rsidRPr="00712B16">
              <w:rPr>
                <w:iCs/>
                <w:sz w:val="22"/>
                <w:szCs w:val="22"/>
              </w:rPr>
              <w:t xml:space="preserve">The number </w:t>
            </w:r>
            <w:r w:rsidRPr="00712B16">
              <w:rPr>
                <w:iCs/>
                <w:sz w:val="22"/>
                <w:szCs w:val="22"/>
              </w:rPr>
              <w:t xml:space="preserve">of sources indicates the number of underlying data sources on which the aggregate estimate is based. Data is sourced from </w:t>
            </w:r>
            <w:r w:rsidR="005832CF" w:rsidRPr="00712B16">
              <w:rPr>
                <w:iCs/>
                <w:sz w:val="22"/>
                <w:szCs w:val="22"/>
              </w:rPr>
              <w:t xml:space="preserve">the </w:t>
            </w:r>
            <w:r w:rsidRPr="00712B16">
              <w:rPr>
                <w:iCs/>
                <w:sz w:val="22"/>
                <w:szCs w:val="22"/>
              </w:rPr>
              <w:t xml:space="preserve">Worldwide Governance Indicators of </w:t>
            </w:r>
            <w:r w:rsidR="005832CF" w:rsidRPr="00712B16">
              <w:rPr>
                <w:iCs/>
                <w:sz w:val="22"/>
                <w:szCs w:val="22"/>
              </w:rPr>
              <w:t xml:space="preserve">the </w:t>
            </w:r>
            <w:r w:rsidRPr="00712B16">
              <w:rPr>
                <w:iCs/>
                <w:sz w:val="22"/>
                <w:szCs w:val="22"/>
              </w:rPr>
              <w:t xml:space="preserve">World </w:t>
            </w:r>
            <w:r w:rsidR="005832CF" w:rsidRPr="00712B16">
              <w:rPr>
                <w:iCs/>
                <w:sz w:val="22"/>
                <w:szCs w:val="22"/>
              </w:rPr>
              <w:t>Bank</w:t>
            </w:r>
            <w:r w:rsidRPr="00712B16">
              <w:rPr>
                <w:iCs/>
                <w:sz w:val="22"/>
                <w:szCs w:val="22"/>
              </w:rPr>
              <w:t>.</w:t>
            </w:r>
          </w:p>
        </w:tc>
      </w:tr>
      <w:tr w:rsidR="00712B16" w:rsidRPr="00712B16" w14:paraId="1F61ABF1" w14:textId="77777777">
        <w:tc>
          <w:tcPr>
            <w:tcW w:w="2547" w:type="dxa"/>
          </w:tcPr>
          <w:p w14:paraId="4583C96D" w14:textId="0721D74C" w:rsidR="009032E8" w:rsidRPr="00712B16" w:rsidRDefault="00E051A3">
            <w:pPr>
              <w:pStyle w:val="1"/>
              <w:spacing w:after="0" w:line="240" w:lineRule="auto"/>
              <w:jc w:val="both"/>
              <w:rPr>
                <w:i/>
                <w:sz w:val="22"/>
                <w:szCs w:val="22"/>
              </w:rPr>
            </w:pPr>
            <w:r w:rsidRPr="00712B16">
              <w:rPr>
                <w:i/>
                <w:sz w:val="22"/>
                <w:szCs w:val="22"/>
              </w:rPr>
              <w:lastRenderedPageBreak/>
              <w:t>CT</w:t>
            </w:r>
            <w:r w:rsidR="008B0777" w:rsidRPr="00712B16">
              <w:rPr>
                <w:i/>
                <w:sz w:val="22"/>
                <w:szCs w:val="22"/>
              </w:rPr>
              <w:t>R</w:t>
            </w:r>
          </w:p>
        </w:tc>
        <w:tc>
          <w:tcPr>
            <w:tcW w:w="5812" w:type="dxa"/>
          </w:tcPr>
          <w:p w14:paraId="6BD32C91" w14:textId="48CF9145" w:rsidR="009032E8" w:rsidRPr="00712B16" w:rsidRDefault="00E051A3">
            <w:pPr>
              <w:pStyle w:val="1"/>
              <w:spacing w:after="0" w:line="240" w:lineRule="auto"/>
              <w:jc w:val="both"/>
              <w:rPr>
                <w:iCs/>
                <w:sz w:val="22"/>
                <w:szCs w:val="22"/>
              </w:rPr>
            </w:pPr>
            <w:r w:rsidRPr="00712B16">
              <w:rPr>
                <w:iCs/>
                <w:sz w:val="22"/>
                <w:szCs w:val="22"/>
              </w:rPr>
              <w:t xml:space="preserve">Corporate tax rate at the country level measured in </w:t>
            </w:r>
            <w:r w:rsidR="00C03160" w:rsidRPr="00712B16">
              <w:rPr>
                <w:iCs/>
                <w:sz w:val="22"/>
                <w:szCs w:val="22"/>
              </w:rPr>
              <w:t xml:space="preserve">a </w:t>
            </w:r>
            <w:r w:rsidRPr="00712B16">
              <w:rPr>
                <w:iCs/>
                <w:sz w:val="22"/>
                <w:szCs w:val="22"/>
              </w:rPr>
              <w:t>decimal out of 1</w:t>
            </w:r>
            <w:r w:rsidR="005832CF" w:rsidRPr="00712B16">
              <w:rPr>
                <w:iCs/>
                <w:sz w:val="22"/>
                <w:szCs w:val="22"/>
              </w:rPr>
              <w:t>,</w:t>
            </w:r>
            <w:r w:rsidRPr="00712B16">
              <w:rPr>
                <w:iCs/>
                <w:sz w:val="22"/>
                <w:szCs w:val="22"/>
              </w:rPr>
              <w:t xml:space="preserve"> sourced from </w:t>
            </w:r>
            <w:r w:rsidR="005832CF" w:rsidRPr="00712B16">
              <w:rPr>
                <w:iCs/>
                <w:sz w:val="22"/>
                <w:szCs w:val="22"/>
              </w:rPr>
              <w:t xml:space="preserve">the </w:t>
            </w:r>
            <w:r w:rsidRPr="00712B16">
              <w:rPr>
                <w:iCs/>
                <w:sz w:val="22"/>
                <w:szCs w:val="22"/>
              </w:rPr>
              <w:t>Tax Foundation.</w:t>
            </w:r>
          </w:p>
        </w:tc>
      </w:tr>
      <w:tr w:rsidR="00712B16" w:rsidRPr="00712B16" w14:paraId="1E294249" w14:textId="77777777">
        <w:tc>
          <w:tcPr>
            <w:tcW w:w="2547" w:type="dxa"/>
          </w:tcPr>
          <w:p w14:paraId="010DFA5F" w14:textId="77777777" w:rsidR="009032E8" w:rsidRPr="00712B16" w:rsidRDefault="00E051A3">
            <w:pPr>
              <w:pStyle w:val="1"/>
              <w:spacing w:after="0" w:line="240" w:lineRule="auto"/>
              <w:jc w:val="both"/>
              <w:rPr>
                <w:i/>
                <w:sz w:val="22"/>
                <w:szCs w:val="22"/>
              </w:rPr>
            </w:pPr>
            <w:r w:rsidRPr="00712B16">
              <w:rPr>
                <w:i/>
                <w:sz w:val="22"/>
                <w:szCs w:val="22"/>
              </w:rPr>
              <w:t>COVID19</w:t>
            </w:r>
          </w:p>
        </w:tc>
        <w:tc>
          <w:tcPr>
            <w:tcW w:w="5812" w:type="dxa"/>
          </w:tcPr>
          <w:p w14:paraId="104ABC5F" w14:textId="48EB75FC" w:rsidR="009032E8" w:rsidRPr="00712B16" w:rsidRDefault="00E051A3">
            <w:pPr>
              <w:pStyle w:val="1"/>
              <w:spacing w:after="0" w:line="240" w:lineRule="auto"/>
              <w:jc w:val="both"/>
              <w:rPr>
                <w:iCs/>
                <w:sz w:val="22"/>
                <w:szCs w:val="22"/>
              </w:rPr>
            </w:pPr>
            <w:r w:rsidRPr="00712B16">
              <w:rPr>
                <w:iCs/>
                <w:sz w:val="22"/>
                <w:szCs w:val="22"/>
              </w:rPr>
              <w:t xml:space="preserve">The variable controls for </w:t>
            </w:r>
            <w:r w:rsidR="005832CF" w:rsidRPr="00712B16">
              <w:rPr>
                <w:iCs/>
                <w:sz w:val="22"/>
                <w:szCs w:val="22"/>
              </w:rPr>
              <w:t xml:space="preserve">the </w:t>
            </w:r>
            <w:r w:rsidRPr="00712B16">
              <w:rPr>
                <w:iCs/>
                <w:sz w:val="22"/>
                <w:szCs w:val="22"/>
              </w:rPr>
              <w:t>COVID-19 pandemic. If the financial year is either 2020 or 2021</w:t>
            </w:r>
            <w:r w:rsidR="005832CF" w:rsidRPr="00712B16">
              <w:rPr>
                <w:iCs/>
                <w:sz w:val="22"/>
                <w:szCs w:val="22"/>
              </w:rPr>
              <w:t>,</w:t>
            </w:r>
            <w:r w:rsidRPr="00712B16">
              <w:rPr>
                <w:iCs/>
                <w:sz w:val="22"/>
                <w:szCs w:val="22"/>
              </w:rPr>
              <w:t xml:space="preserve"> then coded 1, else coded 0.</w:t>
            </w:r>
          </w:p>
        </w:tc>
      </w:tr>
      <w:tr w:rsidR="00712B16" w:rsidRPr="00712B16" w14:paraId="25A2DECB" w14:textId="77777777" w:rsidTr="00FF0ED3">
        <w:tc>
          <w:tcPr>
            <w:tcW w:w="8359" w:type="dxa"/>
            <w:gridSpan w:val="2"/>
          </w:tcPr>
          <w:p w14:paraId="59156A7B" w14:textId="268D2726" w:rsidR="0008408D" w:rsidRPr="00712B16" w:rsidRDefault="0008408D">
            <w:pPr>
              <w:pStyle w:val="1"/>
              <w:spacing w:after="0" w:line="240" w:lineRule="auto"/>
              <w:jc w:val="both"/>
              <w:rPr>
                <w:iCs/>
                <w:sz w:val="22"/>
                <w:szCs w:val="22"/>
              </w:rPr>
            </w:pPr>
            <w:r w:rsidRPr="00712B16">
              <w:rPr>
                <w:i/>
                <w:iCs/>
                <w:sz w:val="22"/>
                <w:szCs w:val="22"/>
              </w:rPr>
              <w:t>Firm level controls</w:t>
            </w:r>
          </w:p>
        </w:tc>
      </w:tr>
      <w:tr w:rsidR="00712B16" w:rsidRPr="00712B16" w14:paraId="7A056A31" w14:textId="77777777">
        <w:tc>
          <w:tcPr>
            <w:tcW w:w="2547" w:type="dxa"/>
          </w:tcPr>
          <w:p w14:paraId="7449D554" w14:textId="77777777" w:rsidR="009032E8" w:rsidRPr="00712B16" w:rsidRDefault="00E051A3">
            <w:pPr>
              <w:pStyle w:val="2"/>
              <w:spacing w:after="0" w:line="240" w:lineRule="auto"/>
              <w:jc w:val="both"/>
              <w:rPr>
                <w:rFonts w:ascii="Times New Roman" w:hAnsi="Times New Roman" w:cs="Times New Roman"/>
                <w:i/>
              </w:rPr>
            </w:pPr>
            <w:r w:rsidRPr="00712B16">
              <w:rPr>
                <w:rFonts w:ascii="Times New Roman" w:hAnsi="Times New Roman" w:cs="Times New Roman"/>
                <w:i/>
              </w:rPr>
              <w:t>SIZE</w:t>
            </w:r>
          </w:p>
        </w:tc>
        <w:tc>
          <w:tcPr>
            <w:tcW w:w="5812" w:type="dxa"/>
          </w:tcPr>
          <w:p w14:paraId="4F89F193" w14:textId="77777777" w:rsidR="009032E8" w:rsidRPr="00712B16" w:rsidRDefault="00E051A3">
            <w:pPr>
              <w:pStyle w:val="1"/>
              <w:spacing w:after="0" w:line="240" w:lineRule="auto"/>
              <w:jc w:val="both"/>
              <w:rPr>
                <w:iCs/>
                <w:sz w:val="22"/>
                <w:szCs w:val="22"/>
              </w:rPr>
            </w:pPr>
            <w:r w:rsidRPr="00712B16">
              <w:rPr>
                <w:iCs/>
                <w:sz w:val="22"/>
                <w:szCs w:val="22"/>
              </w:rPr>
              <w:t>Natural logarithm of total assets (Compustat #</w:t>
            </w:r>
            <w:r w:rsidRPr="00712B16">
              <w:rPr>
                <w:sz w:val="22"/>
                <w:szCs w:val="22"/>
              </w:rPr>
              <w:t xml:space="preserve"> AT</w:t>
            </w:r>
            <w:r w:rsidRPr="00712B16">
              <w:rPr>
                <w:iCs/>
                <w:sz w:val="22"/>
                <w:szCs w:val="22"/>
              </w:rPr>
              <w:t>).</w:t>
            </w:r>
          </w:p>
        </w:tc>
      </w:tr>
      <w:tr w:rsidR="00712B16" w:rsidRPr="00712B16" w14:paraId="0969E7DE" w14:textId="77777777">
        <w:tc>
          <w:tcPr>
            <w:tcW w:w="2547" w:type="dxa"/>
          </w:tcPr>
          <w:p w14:paraId="3CC7D92E" w14:textId="77777777" w:rsidR="009032E8" w:rsidRPr="00712B16" w:rsidRDefault="00E051A3">
            <w:pPr>
              <w:pStyle w:val="2"/>
              <w:spacing w:after="0" w:line="240" w:lineRule="auto"/>
              <w:jc w:val="both"/>
              <w:rPr>
                <w:rFonts w:ascii="Times New Roman" w:hAnsi="Times New Roman" w:cs="Times New Roman"/>
                <w:i/>
              </w:rPr>
            </w:pPr>
            <w:r w:rsidRPr="00712B16">
              <w:rPr>
                <w:rFonts w:ascii="Times New Roman" w:hAnsi="Times New Roman" w:cs="Times New Roman"/>
                <w:i/>
              </w:rPr>
              <w:t>LEV</w:t>
            </w:r>
          </w:p>
        </w:tc>
        <w:tc>
          <w:tcPr>
            <w:tcW w:w="5812" w:type="dxa"/>
          </w:tcPr>
          <w:p w14:paraId="59E38B75" w14:textId="77777777" w:rsidR="009032E8" w:rsidRPr="00712B16" w:rsidRDefault="00E051A3">
            <w:pPr>
              <w:pStyle w:val="1"/>
              <w:spacing w:after="0" w:line="240" w:lineRule="auto"/>
              <w:jc w:val="both"/>
              <w:rPr>
                <w:iCs/>
                <w:sz w:val="22"/>
                <w:szCs w:val="22"/>
              </w:rPr>
            </w:pPr>
            <w:r w:rsidRPr="00712B16">
              <w:rPr>
                <w:iCs/>
                <w:sz w:val="22"/>
                <w:szCs w:val="22"/>
              </w:rPr>
              <w:t>The sum of long-term debt (Compustat #DLTT) and long-term debt in current liabilities (Compustat #DLC) divided by total assets (Compustat #AT).</w:t>
            </w:r>
          </w:p>
        </w:tc>
      </w:tr>
      <w:tr w:rsidR="00712B16" w:rsidRPr="00712B16" w14:paraId="37C2A3F6" w14:textId="77777777">
        <w:tc>
          <w:tcPr>
            <w:tcW w:w="2547" w:type="dxa"/>
          </w:tcPr>
          <w:p w14:paraId="3EF0D364" w14:textId="77777777" w:rsidR="009032E8" w:rsidRPr="00712B16" w:rsidRDefault="00E051A3">
            <w:pPr>
              <w:pStyle w:val="2"/>
              <w:spacing w:after="0" w:line="240" w:lineRule="auto"/>
              <w:jc w:val="both"/>
              <w:rPr>
                <w:rFonts w:ascii="Times New Roman" w:hAnsi="Times New Roman" w:cs="Times New Roman"/>
                <w:i/>
              </w:rPr>
            </w:pPr>
            <w:r w:rsidRPr="00712B16">
              <w:rPr>
                <w:rFonts w:ascii="Times New Roman" w:hAnsi="Times New Roman" w:cs="Times New Roman"/>
                <w:i/>
              </w:rPr>
              <w:t>ROA</w:t>
            </w:r>
          </w:p>
        </w:tc>
        <w:tc>
          <w:tcPr>
            <w:tcW w:w="5812" w:type="dxa"/>
          </w:tcPr>
          <w:p w14:paraId="37EA6F75" w14:textId="5E04CD7F" w:rsidR="009032E8" w:rsidRPr="00712B16" w:rsidRDefault="00E051A3">
            <w:pPr>
              <w:pStyle w:val="1"/>
              <w:spacing w:after="0" w:line="240" w:lineRule="auto"/>
              <w:jc w:val="both"/>
              <w:rPr>
                <w:iCs/>
                <w:sz w:val="22"/>
                <w:szCs w:val="22"/>
              </w:rPr>
            </w:pPr>
            <w:r w:rsidRPr="00712B16">
              <w:rPr>
                <w:iCs/>
                <w:sz w:val="22"/>
                <w:szCs w:val="22"/>
              </w:rPr>
              <w:t xml:space="preserve">Return on assets </w:t>
            </w:r>
            <w:r w:rsidR="00C03160" w:rsidRPr="00712B16">
              <w:rPr>
                <w:iCs/>
                <w:sz w:val="22"/>
                <w:szCs w:val="22"/>
              </w:rPr>
              <w:t xml:space="preserve">is </w:t>
            </w:r>
            <w:r w:rsidRPr="00712B16">
              <w:rPr>
                <w:iCs/>
                <w:sz w:val="22"/>
                <w:szCs w:val="22"/>
              </w:rPr>
              <w:t>calculated as pre-tax income (Compustat #PI) divided by total assets (Compustat #AT).</w:t>
            </w:r>
          </w:p>
        </w:tc>
      </w:tr>
      <w:tr w:rsidR="00712B16" w:rsidRPr="00712B16" w14:paraId="2506D747" w14:textId="77777777">
        <w:tc>
          <w:tcPr>
            <w:tcW w:w="2547" w:type="dxa"/>
          </w:tcPr>
          <w:p w14:paraId="4118E0A5" w14:textId="77777777" w:rsidR="009032E8" w:rsidRPr="00712B16" w:rsidRDefault="00E051A3">
            <w:pPr>
              <w:pStyle w:val="2"/>
              <w:spacing w:after="0" w:line="240" w:lineRule="auto"/>
              <w:jc w:val="both"/>
              <w:rPr>
                <w:rFonts w:ascii="Times New Roman" w:hAnsi="Times New Roman" w:cs="Times New Roman"/>
                <w:i/>
              </w:rPr>
            </w:pPr>
            <w:r w:rsidRPr="00712B16">
              <w:rPr>
                <w:rFonts w:ascii="Times New Roman" w:hAnsi="Times New Roman" w:cs="Times New Roman"/>
                <w:i/>
              </w:rPr>
              <w:t>CASH</w:t>
            </w:r>
          </w:p>
        </w:tc>
        <w:tc>
          <w:tcPr>
            <w:tcW w:w="5812" w:type="dxa"/>
          </w:tcPr>
          <w:p w14:paraId="726EF055" w14:textId="77777777" w:rsidR="009032E8" w:rsidRPr="00712B16" w:rsidRDefault="00E051A3">
            <w:pPr>
              <w:pStyle w:val="1"/>
              <w:spacing w:after="0" w:line="240" w:lineRule="auto"/>
              <w:jc w:val="both"/>
              <w:rPr>
                <w:iCs/>
                <w:sz w:val="22"/>
                <w:szCs w:val="22"/>
              </w:rPr>
            </w:pPr>
            <w:r w:rsidRPr="00712B16">
              <w:rPr>
                <w:iCs/>
                <w:sz w:val="22"/>
                <w:szCs w:val="22"/>
              </w:rPr>
              <w:t>Cash and cash equivalents (Compustat #CHE) divided by total assets (Compustat #AT).</w:t>
            </w:r>
          </w:p>
        </w:tc>
      </w:tr>
      <w:tr w:rsidR="00712B16" w:rsidRPr="00712B16" w14:paraId="1D181A02" w14:textId="77777777">
        <w:tc>
          <w:tcPr>
            <w:tcW w:w="2547" w:type="dxa"/>
          </w:tcPr>
          <w:p w14:paraId="127D95F0" w14:textId="77777777" w:rsidR="009032E8" w:rsidRPr="00712B16" w:rsidRDefault="00E051A3">
            <w:pPr>
              <w:pStyle w:val="2"/>
              <w:spacing w:after="0" w:line="240" w:lineRule="auto"/>
              <w:jc w:val="both"/>
              <w:rPr>
                <w:rFonts w:ascii="Times New Roman" w:hAnsi="Times New Roman" w:cs="Times New Roman"/>
                <w:i/>
              </w:rPr>
            </w:pPr>
            <w:r w:rsidRPr="00712B16">
              <w:rPr>
                <w:rFonts w:ascii="Times New Roman" w:hAnsi="Times New Roman" w:cs="Times New Roman"/>
                <w:i/>
              </w:rPr>
              <w:t>PPE</w:t>
            </w:r>
          </w:p>
        </w:tc>
        <w:tc>
          <w:tcPr>
            <w:tcW w:w="5812" w:type="dxa"/>
          </w:tcPr>
          <w:p w14:paraId="76EDD52D" w14:textId="794C5B46" w:rsidR="009032E8" w:rsidRPr="00712B16" w:rsidRDefault="00E051A3">
            <w:pPr>
              <w:pStyle w:val="1"/>
              <w:spacing w:after="0" w:line="240" w:lineRule="auto"/>
              <w:jc w:val="both"/>
              <w:rPr>
                <w:iCs/>
                <w:sz w:val="22"/>
                <w:szCs w:val="22"/>
              </w:rPr>
            </w:pPr>
            <w:r w:rsidRPr="00712B16">
              <w:rPr>
                <w:iCs/>
                <w:sz w:val="22"/>
                <w:szCs w:val="22"/>
              </w:rPr>
              <w:t>Property</w:t>
            </w:r>
            <w:r w:rsidR="00C03160" w:rsidRPr="00712B16">
              <w:rPr>
                <w:iCs/>
                <w:sz w:val="22"/>
                <w:szCs w:val="22"/>
              </w:rPr>
              <w:t>,</w:t>
            </w:r>
            <w:r w:rsidRPr="00712B16">
              <w:rPr>
                <w:iCs/>
                <w:sz w:val="22"/>
                <w:szCs w:val="22"/>
              </w:rPr>
              <w:t xml:space="preserve"> plant</w:t>
            </w:r>
            <w:r w:rsidR="00282F6A" w:rsidRPr="00712B16">
              <w:rPr>
                <w:iCs/>
                <w:sz w:val="22"/>
                <w:szCs w:val="22"/>
              </w:rPr>
              <w:t>,</w:t>
            </w:r>
            <w:r w:rsidRPr="00712B16">
              <w:rPr>
                <w:iCs/>
                <w:sz w:val="22"/>
                <w:szCs w:val="22"/>
              </w:rPr>
              <w:t xml:space="preserve"> and equipment (Compustat #PPEGT) divided by total assets (Compustat #AT).</w:t>
            </w:r>
          </w:p>
        </w:tc>
      </w:tr>
      <w:tr w:rsidR="00712B16" w:rsidRPr="00712B16" w14:paraId="57BA3C3D" w14:textId="77777777">
        <w:tc>
          <w:tcPr>
            <w:tcW w:w="2547" w:type="dxa"/>
          </w:tcPr>
          <w:p w14:paraId="40AA7F8A" w14:textId="77777777" w:rsidR="009032E8" w:rsidRPr="00712B16" w:rsidRDefault="00E051A3">
            <w:pPr>
              <w:pStyle w:val="2"/>
              <w:spacing w:after="0" w:line="240" w:lineRule="auto"/>
              <w:jc w:val="both"/>
              <w:rPr>
                <w:rFonts w:ascii="Times New Roman" w:hAnsi="Times New Roman" w:cs="Times New Roman"/>
                <w:i/>
              </w:rPr>
            </w:pPr>
            <w:r w:rsidRPr="00712B16">
              <w:rPr>
                <w:rFonts w:ascii="Times New Roman" w:hAnsi="Times New Roman" w:cs="Times New Roman"/>
                <w:i/>
              </w:rPr>
              <w:t>INTANG</w:t>
            </w:r>
          </w:p>
        </w:tc>
        <w:tc>
          <w:tcPr>
            <w:tcW w:w="5812" w:type="dxa"/>
          </w:tcPr>
          <w:p w14:paraId="67EBAF8A" w14:textId="77777777" w:rsidR="009032E8" w:rsidRPr="00712B16" w:rsidRDefault="00E051A3">
            <w:pPr>
              <w:pStyle w:val="1"/>
              <w:spacing w:after="0" w:line="240" w:lineRule="auto"/>
              <w:jc w:val="both"/>
              <w:rPr>
                <w:iCs/>
                <w:sz w:val="22"/>
                <w:szCs w:val="22"/>
              </w:rPr>
            </w:pPr>
            <w:r w:rsidRPr="00712B16">
              <w:rPr>
                <w:iCs/>
                <w:sz w:val="22"/>
                <w:szCs w:val="22"/>
              </w:rPr>
              <w:t>The ratio of intangible assets (Compustat #INTAN) to total assets (Compustat #AT).</w:t>
            </w:r>
          </w:p>
        </w:tc>
      </w:tr>
      <w:tr w:rsidR="00712B16" w:rsidRPr="00712B16" w14:paraId="1178647F" w14:textId="77777777">
        <w:tc>
          <w:tcPr>
            <w:tcW w:w="2547" w:type="dxa"/>
          </w:tcPr>
          <w:p w14:paraId="1EA5DAB6" w14:textId="77777777" w:rsidR="009032E8" w:rsidRPr="00712B16" w:rsidRDefault="00E051A3">
            <w:pPr>
              <w:pStyle w:val="2"/>
              <w:spacing w:after="0" w:line="240" w:lineRule="auto"/>
              <w:jc w:val="both"/>
              <w:rPr>
                <w:rFonts w:ascii="Times New Roman" w:hAnsi="Times New Roman" w:cs="Times New Roman"/>
                <w:i/>
              </w:rPr>
            </w:pPr>
            <w:r w:rsidRPr="00712B16">
              <w:rPr>
                <w:rFonts w:ascii="Times New Roman" w:hAnsi="Times New Roman" w:cs="Times New Roman"/>
                <w:i/>
              </w:rPr>
              <w:t>FOREIGN</w:t>
            </w:r>
          </w:p>
        </w:tc>
        <w:tc>
          <w:tcPr>
            <w:tcW w:w="5812" w:type="dxa"/>
          </w:tcPr>
          <w:p w14:paraId="5BC436D5" w14:textId="77777777" w:rsidR="009032E8" w:rsidRPr="00712B16" w:rsidRDefault="00E051A3">
            <w:pPr>
              <w:pStyle w:val="1"/>
              <w:spacing w:after="0" w:line="240" w:lineRule="auto"/>
              <w:jc w:val="both"/>
              <w:rPr>
                <w:iCs/>
                <w:sz w:val="22"/>
                <w:szCs w:val="22"/>
              </w:rPr>
            </w:pPr>
            <w:r w:rsidRPr="00712B16">
              <w:rPr>
                <w:iCs/>
                <w:sz w:val="22"/>
                <w:szCs w:val="22"/>
              </w:rPr>
              <w:t>Categorical variable, assigned 1 if firms have foreign sales (Compustat #PIFO), and 0 otherwise.</w:t>
            </w:r>
          </w:p>
        </w:tc>
      </w:tr>
      <w:tr w:rsidR="00712B16" w:rsidRPr="00712B16" w14:paraId="5A443F24" w14:textId="77777777">
        <w:tc>
          <w:tcPr>
            <w:tcW w:w="2547" w:type="dxa"/>
          </w:tcPr>
          <w:p w14:paraId="52B40AD1" w14:textId="77777777" w:rsidR="009032E8" w:rsidRPr="00712B16" w:rsidRDefault="00E051A3">
            <w:pPr>
              <w:pStyle w:val="2"/>
              <w:spacing w:after="0" w:line="240" w:lineRule="auto"/>
              <w:jc w:val="both"/>
              <w:rPr>
                <w:rFonts w:ascii="Times New Roman" w:hAnsi="Times New Roman" w:cs="Times New Roman"/>
                <w:i/>
              </w:rPr>
            </w:pPr>
            <w:r w:rsidRPr="00712B16">
              <w:rPr>
                <w:rFonts w:ascii="Times New Roman" w:hAnsi="Times New Roman" w:cs="Times New Roman"/>
                <w:i/>
              </w:rPr>
              <w:t>R&amp;D</w:t>
            </w:r>
          </w:p>
        </w:tc>
        <w:tc>
          <w:tcPr>
            <w:tcW w:w="5812" w:type="dxa"/>
          </w:tcPr>
          <w:p w14:paraId="600FD3FB" w14:textId="77777777" w:rsidR="009032E8" w:rsidRPr="00712B16" w:rsidRDefault="00E051A3">
            <w:pPr>
              <w:pStyle w:val="1"/>
              <w:spacing w:after="0" w:line="240" w:lineRule="auto"/>
              <w:jc w:val="both"/>
              <w:rPr>
                <w:iCs/>
                <w:sz w:val="22"/>
                <w:szCs w:val="22"/>
              </w:rPr>
            </w:pPr>
            <w:r w:rsidRPr="00712B16">
              <w:rPr>
                <w:iCs/>
                <w:sz w:val="22"/>
                <w:szCs w:val="22"/>
              </w:rPr>
              <w:t>Research and development expense (Compustat #</w:t>
            </w:r>
            <w:r w:rsidRPr="00712B16">
              <w:rPr>
                <w:sz w:val="22"/>
                <w:szCs w:val="22"/>
                <w:lang w:val="en-AU"/>
              </w:rPr>
              <w:t xml:space="preserve"> XRD</w:t>
            </w:r>
            <w:r w:rsidRPr="00712B16">
              <w:rPr>
                <w:iCs/>
                <w:sz w:val="22"/>
                <w:szCs w:val="22"/>
              </w:rPr>
              <w:t>) divided by total sales (Compustat #</w:t>
            </w:r>
            <w:r w:rsidRPr="00712B16">
              <w:rPr>
                <w:sz w:val="22"/>
                <w:szCs w:val="22"/>
                <w:lang w:val="en-AU"/>
              </w:rPr>
              <w:t xml:space="preserve"> SALE</w:t>
            </w:r>
            <w:r w:rsidRPr="00712B16">
              <w:rPr>
                <w:iCs/>
                <w:sz w:val="22"/>
                <w:szCs w:val="22"/>
              </w:rPr>
              <w:t>).</w:t>
            </w:r>
          </w:p>
        </w:tc>
      </w:tr>
      <w:tr w:rsidR="00712B16" w:rsidRPr="00712B16" w14:paraId="09AAFB58" w14:textId="77777777">
        <w:tc>
          <w:tcPr>
            <w:tcW w:w="2547" w:type="dxa"/>
          </w:tcPr>
          <w:p w14:paraId="073724B1" w14:textId="77777777" w:rsidR="009032E8" w:rsidRPr="00712B16" w:rsidRDefault="00E051A3">
            <w:pPr>
              <w:pStyle w:val="2"/>
              <w:spacing w:after="0" w:line="240" w:lineRule="auto"/>
              <w:jc w:val="both"/>
              <w:rPr>
                <w:rFonts w:ascii="Times New Roman" w:hAnsi="Times New Roman" w:cs="Times New Roman"/>
                <w:i/>
              </w:rPr>
            </w:pPr>
            <w:r w:rsidRPr="00712B16">
              <w:rPr>
                <w:rFonts w:ascii="Times New Roman" w:hAnsi="Times New Roman" w:cs="Times New Roman"/>
                <w:i/>
              </w:rPr>
              <w:t>SGA</w:t>
            </w:r>
          </w:p>
        </w:tc>
        <w:tc>
          <w:tcPr>
            <w:tcW w:w="5812" w:type="dxa"/>
          </w:tcPr>
          <w:p w14:paraId="69876141" w14:textId="77777777" w:rsidR="009032E8" w:rsidRPr="00712B16" w:rsidRDefault="00E051A3">
            <w:pPr>
              <w:pStyle w:val="1"/>
              <w:spacing w:after="0" w:line="240" w:lineRule="auto"/>
              <w:jc w:val="both"/>
              <w:rPr>
                <w:iCs/>
                <w:sz w:val="22"/>
                <w:szCs w:val="22"/>
              </w:rPr>
            </w:pPr>
            <w:r w:rsidRPr="00712B16">
              <w:rPr>
                <w:iCs/>
                <w:sz w:val="22"/>
                <w:szCs w:val="22"/>
              </w:rPr>
              <w:t>Selling, general, and administrative expense (Compustat #XSGA) divided by net sales (Compustat #SALE).</w:t>
            </w:r>
          </w:p>
        </w:tc>
      </w:tr>
      <w:tr w:rsidR="00712B16" w:rsidRPr="00712B16" w14:paraId="37D09B1A" w14:textId="77777777">
        <w:tc>
          <w:tcPr>
            <w:tcW w:w="2547" w:type="dxa"/>
          </w:tcPr>
          <w:p w14:paraId="7F7914B0" w14:textId="77777777" w:rsidR="009032E8" w:rsidRPr="00712B16" w:rsidRDefault="00E051A3">
            <w:pPr>
              <w:pStyle w:val="2"/>
              <w:spacing w:after="0" w:line="240" w:lineRule="auto"/>
              <w:jc w:val="both"/>
              <w:rPr>
                <w:rFonts w:ascii="Times New Roman" w:hAnsi="Times New Roman" w:cs="Times New Roman"/>
                <w:i/>
              </w:rPr>
            </w:pPr>
            <w:r w:rsidRPr="00712B16">
              <w:rPr>
                <w:rFonts w:ascii="Times New Roman" w:hAnsi="Times New Roman" w:cs="Times New Roman"/>
                <w:i/>
              </w:rPr>
              <w:t>CAPEX</w:t>
            </w:r>
          </w:p>
        </w:tc>
        <w:tc>
          <w:tcPr>
            <w:tcW w:w="5812" w:type="dxa"/>
          </w:tcPr>
          <w:p w14:paraId="631BAD34" w14:textId="77777777" w:rsidR="009032E8" w:rsidRPr="00712B16" w:rsidRDefault="00E051A3">
            <w:pPr>
              <w:pStyle w:val="1"/>
              <w:spacing w:after="0" w:line="240" w:lineRule="auto"/>
              <w:jc w:val="both"/>
              <w:rPr>
                <w:iCs/>
                <w:sz w:val="22"/>
                <w:szCs w:val="22"/>
              </w:rPr>
            </w:pPr>
            <w:r w:rsidRPr="00712B16">
              <w:rPr>
                <w:iCs/>
                <w:sz w:val="22"/>
                <w:szCs w:val="22"/>
              </w:rPr>
              <w:t>Reported capital expenditures (Compustat #CAPX) divided by gross property, plant, and equipment (Compustat #PPEGT).</w:t>
            </w:r>
          </w:p>
        </w:tc>
      </w:tr>
      <w:tr w:rsidR="00712B16" w:rsidRPr="00712B16" w14:paraId="417597BD" w14:textId="77777777" w:rsidTr="00FF0ED3">
        <w:tc>
          <w:tcPr>
            <w:tcW w:w="8359" w:type="dxa"/>
            <w:gridSpan w:val="2"/>
          </w:tcPr>
          <w:p w14:paraId="66B178D6" w14:textId="3C3A9676" w:rsidR="0008408D" w:rsidRPr="00712B16" w:rsidRDefault="0008408D">
            <w:pPr>
              <w:pStyle w:val="1"/>
              <w:spacing w:after="0" w:line="240" w:lineRule="auto"/>
              <w:jc w:val="both"/>
              <w:rPr>
                <w:iCs/>
                <w:sz w:val="22"/>
                <w:szCs w:val="22"/>
              </w:rPr>
            </w:pPr>
            <w:r w:rsidRPr="00712B16">
              <w:rPr>
                <w:i/>
              </w:rPr>
              <w:t>Variables for additional tests</w:t>
            </w:r>
          </w:p>
        </w:tc>
      </w:tr>
      <w:tr w:rsidR="00712B16" w:rsidRPr="00712B16" w14:paraId="53447C0E" w14:textId="77777777">
        <w:trPr>
          <w:trHeight w:val="1097"/>
        </w:trPr>
        <w:tc>
          <w:tcPr>
            <w:tcW w:w="2547" w:type="dxa"/>
          </w:tcPr>
          <w:p w14:paraId="574AFA03" w14:textId="7B5A9327" w:rsidR="009032E8" w:rsidRPr="00712B16" w:rsidRDefault="00ED3FA5">
            <w:pPr>
              <w:pStyle w:val="2"/>
              <w:spacing w:after="0" w:line="240" w:lineRule="auto"/>
              <w:jc w:val="both"/>
              <w:rPr>
                <w:rFonts w:ascii="Times New Roman" w:hAnsi="Times New Roman" w:cs="Times New Roman"/>
                <w:i/>
              </w:rPr>
            </w:pPr>
            <w:r w:rsidRPr="00712B16">
              <w:rPr>
                <w:rFonts w:ascii="Times New Roman" w:hAnsi="Times New Roman" w:cs="Times New Roman"/>
                <w:i/>
              </w:rPr>
              <w:t>INTENSITY</w:t>
            </w:r>
            <w:r w:rsidR="00E051A3" w:rsidRPr="00712B16">
              <w:rPr>
                <w:rFonts w:ascii="Times New Roman" w:hAnsi="Times New Roman" w:cs="Times New Roman"/>
                <w:i/>
              </w:rPr>
              <w:t>_NETZERO</w:t>
            </w:r>
            <w:r w:rsidR="00282F6A" w:rsidRPr="00712B16">
              <w:rPr>
                <w:rFonts w:ascii="Times New Roman" w:hAnsi="Times New Roman" w:cs="Times New Roman"/>
                <w:i/>
              </w:rPr>
              <w:t>_RAW</w:t>
            </w:r>
          </w:p>
        </w:tc>
        <w:tc>
          <w:tcPr>
            <w:tcW w:w="5812" w:type="dxa"/>
          </w:tcPr>
          <w:p w14:paraId="72662273" w14:textId="5B33FFB6" w:rsidR="009032E8" w:rsidRPr="00712B16" w:rsidRDefault="00E051A3">
            <w:pPr>
              <w:pStyle w:val="1"/>
              <w:spacing w:after="0" w:line="240" w:lineRule="auto"/>
              <w:jc w:val="both"/>
              <w:rPr>
                <w:rFonts w:eastAsia="SimSun"/>
                <w:iCs/>
                <w:sz w:val="22"/>
                <w:szCs w:val="22"/>
              </w:rPr>
            </w:pPr>
            <w:r w:rsidRPr="00712B16">
              <w:rPr>
                <w:rFonts w:eastAsia="SimSun"/>
                <w:iCs/>
                <w:sz w:val="22"/>
                <w:szCs w:val="22"/>
              </w:rPr>
              <w:t xml:space="preserve">The </w:t>
            </w:r>
            <w:r w:rsidR="00ED3FA5" w:rsidRPr="00712B16">
              <w:rPr>
                <w:rFonts w:eastAsia="SimSun"/>
                <w:iCs/>
                <w:sz w:val="22"/>
                <w:szCs w:val="22"/>
              </w:rPr>
              <w:t xml:space="preserve">intensity </w:t>
            </w:r>
            <w:r w:rsidRPr="00712B16">
              <w:rPr>
                <w:rFonts w:eastAsia="SimSun"/>
                <w:iCs/>
                <w:sz w:val="22"/>
                <w:szCs w:val="22"/>
              </w:rPr>
              <w:t xml:space="preserve">(4, 3, 2, 1) </w:t>
            </w:r>
            <w:r w:rsidR="00282F6A" w:rsidRPr="00712B16">
              <w:rPr>
                <w:rFonts w:eastAsia="SimSun"/>
                <w:iCs/>
                <w:sz w:val="22"/>
                <w:szCs w:val="22"/>
              </w:rPr>
              <w:t>measures</w:t>
            </w:r>
            <w:r w:rsidRPr="00712B16">
              <w:rPr>
                <w:rFonts w:eastAsia="SimSun"/>
                <w:iCs/>
                <w:sz w:val="22"/>
                <w:szCs w:val="22"/>
              </w:rPr>
              <w:t xml:space="preserve"> the four levels </w:t>
            </w:r>
            <w:r w:rsidR="00282F6A" w:rsidRPr="00712B16">
              <w:rPr>
                <w:rFonts w:eastAsia="SimSun"/>
                <w:iCs/>
                <w:sz w:val="22"/>
                <w:szCs w:val="22"/>
              </w:rPr>
              <w:t xml:space="preserve">of </w:t>
            </w:r>
            <w:r w:rsidRPr="00712B16">
              <w:rPr>
                <w:rFonts w:eastAsia="SimSun"/>
                <w:iCs/>
                <w:sz w:val="22"/>
                <w:szCs w:val="22"/>
              </w:rPr>
              <w:t>pledge (in law, in policy document, in declaration/pledge</w:t>
            </w:r>
            <w:r w:rsidR="00282F6A" w:rsidRPr="00712B16">
              <w:rPr>
                <w:rFonts w:eastAsia="SimSun"/>
                <w:iCs/>
                <w:sz w:val="22"/>
                <w:szCs w:val="22"/>
              </w:rPr>
              <w:t>,</w:t>
            </w:r>
            <w:r w:rsidRPr="00712B16">
              <w:rPr>
                <w:rFonts w:eastAsia="SimSun"/>
                <w:iCs/>
                <w:sz w:val="22"/>
                <w:szCs w:val="22"/>
              </w:rPr>
              <w:t xml:space="preserve"> and proposed/in discussion) for the </w:t>
            </w:r>
            <w:r w:rsidR="005832CF" w:rsidRPr="00712B16">
              <w:rPr>
                <w:rFonts w:eastAsia="SimSun"/>
                <w:iCs/>
                <w:sz w:val="22"/>
                <w:szCs w:val="22"/>
              </w:rPr>
              <w:t>net zero</w:t>
            </w:r>
            <w:r w:rsidRPr="00712B16">
              <w:rPr>
                <w:rFonts w:eastAsia="SimSun"/>
                <w:iCs/>
                <w:sz w:val="22"/>
                <w:szCs w:val="22"/>
              </w:rPr>
              <w:t xml:space="preserve"> target</w:t>
            </w:r>
            <w:r w:rsidR="00065A17" w:rsidRPr="00712B16">
              <w:rPr>
                <w:rFonts w:eastAsia="SimSun"/>
                <w:iCs/>
                <w:sz w:val="22"/>
                <w:szCs w:val="22"/>
              </w:rPr>
              <w:t>s</w:t>
            </w:r>
            <w:r w:rsidRPr="00712B16">
              <w:rPr>
                <w:rFonts w:eastAsia="SimSun"/>
                <w:iCs/>
                <w:sz w:val="22"/>
                <w:szCs w:val="22"/>
              </w:rPr>
              <w:t xml:space="preserve"> when </w:t>
            </w:r>
            <w:r w:rsidR="00282F6A" w:rsidRPr="00712B16">
              <w:rPr>
                <w:rFonts w:eastAsia="SimSun"/>
                <w:iCs/>
                <w:sz w:val="22"/>
                <w:szCs w:val="22"/>
              </w:rPr>
              <w:t xml:space="preserve">the </w:t>
            </w:r>
            <w:r w:rsidRPr="00712B16">
              <w:rPr>
                <w:rFonts w:eastAsia="SimSun"/>
                <w:iCs/>
                <w:sz w:val="22"/>
                <w:szCs w:val="22"/>
              </w:rPr>
              <w:t xml:space="preserve">target </w:t>
            </w:r>
            <w:r w:rsidR="00897E37" w:rsidRPr="00712B16">
              <w:rPr>
                <w:rFonts w:eastAsia="SimSun"/>
                <w:iCs/>
                <w:sz w:val="22"/>
                <w:szCs w:val="22"/>
              </w:rPr>
              <w:t>commitment</w:t>
            </w:r>
            <w:r w:rsidRPr="00712B16">
              <w:rPr>
                <w:rFonts w:eastAsia="SimSun"/>
                <w:iCs/>
                <w:sz w:val="22"/>
                <w:szCs w:val="22"/>
              </w:rPr>
              <w:t xml:space="preserve"> year is in or after the fiscal year. The higher value of </w:t>
            </w:r>
            <w:r w:rsidR="00ED3FA5" w:rsidRPr="00712B16">
              <w:rPr>
                <w:rFonts w:eastAsia="SimSun"/>
                <w:iCs/>
                <w:sz w:val="22"/>
                <w:szCs w:val="22"/>
              </w:rPr>
              <w:t xml:space="preserve">intensity </w:t>
            </w:r>
            <w:r w:rsidRPr="00712B16">
              <w:rPr>
                <w:rFonts w:eastAsia="SimSun"/>
                <w:iCs/>
                <w:sz w:val="22"/>
                <w:szCs w:val="22"/>
              </w:rPr>
              <w:t xml:space="preserve">indicates </w:t>
            </w:r>
            <w:r w:rsidR="00282F6A" w:rsidRPr="00712B16">
              <w:rPr>
                <w:rFonts w:eastAsia="SimSun"/>
                <w:iCs/>
                <w:sz w:val="22"/>
                <w:szCs w:val="22"/>
              </w:rPr>
              <w:t xml:space="preserve">a </w:t>
            </w:r>
            <w:r w:rsidRPr="00712B16">
              <w:rPr>
                <w:rFonts w:eastAsia="SimSun"/>
                <w:iCs/>
                <w:sz w:val="22"/>
                <w:szCs w:val="22"/>
              </w:rPr>
              <w:t xml:space="preserve">higher pledge level for </w:t>
            </w:r>
            <w:r w:rsidR="0015436B" w:rsidRPr="00712B16">
              <w:rPr>
                <w:rFonts w:eastAsia="SimSun"/>
                <w:iCs/>
                <w:sz w:val="22"/>
                <w:szCs w:val="22"/>
              </w:rPr>
              <w:t xml:space="preserve">the </w:t>
            </w:r>
            <w:r w:rsidR="005832CF" w:rsidRPr="00712B16">
              <w:rPr>
                <w:rFonts w:eastAsia="SimSun"/>
                <w:iCs/>
                <w:sz w:val="22"/>
                <w:szCs w:val="22"/>
              </w:rPr>
              <w:t>net zero</w:t>
            </w:r>
            <w:r w:rsidRPr="00712B16">
              <w:rPr>
                <w:rFonts w:eastAsia="SimSun"/>
                <w:iCs/>
                <w:sz w:val="22"/>
                <w:szCs w:val="22"/>
              </w:rPr>
              <w:t xml:space="preserve"> target by country. 0 represents the </w:t>
            </w:r>
            <w:r w:rsidR="005832CF" w:rsidRPr="00712B16">
              <w:rPr>
                <w:rFonts w:eastAsia="SimSun"/>
                <w:iCs/>
                <w:sz w:val="22"/>
                <w:szCs w:val="22"/>
              </w:rPr>
              <w:t>net zero</w:t>
            </w:r>
            <w:r w:rsidRPr="00712B16">
              <w:rPr>
                <w:rFonts w:eastAsia="SimSun"/>
                <w:iCs/>
                <w:sz w:val="22"/>
                <w:szCs w:val="22"/>
              </w:rPr>
              <w:t xml:space="preserve"> target</w:t>
            </w:r>
            <w:r w:rsidR="00282F6A" w:rsidRPr="00712B16">
              <w:rPr>
                <w:rFonts w:eastAsia="SimSun"/>
                <w:iCs/>
                <w:sz w:val="22"/>
                <w:szCs w:val="22"/>
              </w:rPr>
              <w:t>,</w:t>
            </w:r>
            <w:r w:rsidR="00065A17" w:rsidRPr="00712B16">
              <w:rPr>
                <w:rFonts w:eastAsia="SimSun"/>
                <w:iCs/>
                <w:sz w:val="22"/>
                <w:szCs w:val="22"/>
              </w:rPr>
              <w:t xml:space="preserve"> </w:t>
            </w:r>
            <w:r w:rsidR="000A40B7" w:rsidRPr="00712B16">
              <w:rPr>
                <w:rFonts w:eastAsia="SimSun"/>
                <w:iCs/>
                <w:sz w:val="22"/>
                <w:szCs w:val="22"/>
              </w:rPr>
              <w:t>which</w:t>
            </w:r>
            <w:r w:rsidRPr="00712B16">
              <w:rPr>
                <w:rFonts w:eastAsia="SimSun"/>
                <w:iCs/>
                <w:sz w:val="22"/>
                <w:szCs w:val="22"/>
              </w:rPr>
              <w:t xml:space="preserve"> </w:t>
            </w:r>
            <w:r w:rsidR="00282F6A" w:rsidRPr="00712B16">
              <w:rPr>
                <w:rFonts w:eastAsia="SimSun"/>
                <w:iCs/>
                <w:sz w:val="22"/>
                <w:szCs w:val="22"/>
              </w:rPr>
              <w:t>the country has not committed to</w:t>
            </w:r>
            <w:r w:rsidRPr="00712B16">
              <w:rPr>
                <w:rFonts w:eastAsia="SimSun"/>
                <w:iCs/>
                <w:sz w:val="22"/>
                <w:szCs w:val="22"/>
              </w:rPr>
              <w:t xml:space="preserve"> before the fiscal year. Data is sourced from </w:t>
            </w:r>
            <w:r w:rsidR="00282F6A" w:rsidRPr="00712B16">
              <w:rPr>
                <w:rFonts w:eastAsia="SimSun"/>
                <w:iCs/>
                <w:sz w:val="22"/>
                <w:szCs w:val="22"/>
              </w:rPr>
              <w:t xml:space="preserve">the </w:t>
            </w:r>
            <w:r w:rsidRPr="00712B16">
              <w:rPr>
                <w:rFonts w:eastAsia="SimSun"/>
                <w:iCs/>
                <w:sz w:val="22"/>
                <w:szCs w:val="22"/>
              </w:rPr>
              <w:t>Energy &amp; Climate Intelligence Unit.</w:t>
            </w:r>
          </w:p>
        </w:tc>
      </w:tr>
      <w:tr w:rsidR="00712B16" w:rsidRPr="00712B16" w14:paraId="0144FFB1" w14:textId="77777777">
        <w:trPr>
          <w:trHeight w:val="1097"/>
        </w:trPr>
        <w:tc>
          <w:tcPr>
            <w:tcW w:w="2547" w:type="dxa"/>
          </w:tcPr>
          <w:p w14:paraId="0739A2B6" w14:textId="6EA219CA" w:rsidR="00282F6A" w:rsidRPr="00712B16" w:rsidRDefault="00282F6A" w:rsidP="00282F6A">
            <w:pPr>
              <w:pStyle w:val="2"/>
              <w:spacing w:after="0" w:line="240" w:lineRule="auto"/>
              <w:jc w:val="both"/>
              <w:rPr>
                <w:rFonts w:ascii="Times New Roman" w:hAnsi="Times New Roman" w:cs="Times New Roman"/>
                <w:i/>
              </w:rPr>
            </w:pPr>
            <w:r w:rsidRPr="00712B16">
              <w:rPr>
                <w:rFonts w:ascii="Times New Roman" w:hAnsi="Times New Roman" w:cs="Times New Roman"/>
                <w:i/>
              </w:rPr>
              <w:t>INTENSITY_NETZERO_SQUARE</w:t>
            </w:r>
          </w:p>
        </w:tc>
        <w:tc>
          <w:tcPr>
            <w:tcW w:w="5812" w:type="dxa"/>
          </w:tcPr>
          <w:p w14:paraId="4923E640" w14:textId="68FD2C58" w:rsidR="00282F6A" w:rsidRPr="00712B16" w:rsidRDefault="00282F6A" w:rsidP="00282F6A">
            <w:pPr>
              <w:pStyle w:val="1"/>
              <w:spacing w:after="0" w:line="240" w:lineRule="auto"/>
              <w:jc w:val="both"/>
              <w:rPr>
                <w:rFonts w:eastAsia="SimSun"/>
                <w:iCs/>
                <w:sz w:val="22"/>
                <w:szCs w:val="22"/>
              </w:rPr>
            </w:pPr>
            <w:r w:rsidRPr="00712B16">
              <w:rPr>
                <w:rFonts w:eastAsia="SimSun"/>
                <w:iCs/>
                <w:sz w:val="22"/>
                <w:szCs w:val="22"/>
              </w:rPr>
              <w:t>The intensity square (16, 9, 4, 1) measures the four levels of pledge (in law, in policy document, in declaration/pledge, and proposed/in discussion) for the net zero targets when the target commitment year is in or after the fiscal year. The higher value of intensity indicates a higher pledge level for the net zero target by country. 0 represents the net zero target, which the country has not committed to before the fiscal year. Data is sourced from the Energy &amp; Climate Intelligence Unit.</w:t>
            </w:r>
          </w:p>
        </w:tc>
      </w:tr>
      <w:tr w:rsidR="00712B16" w:rsidRPr="00712B16" w14:paraId="5AFFF1C4" w14:textId="77777777">
        <w:trPr>
          <w:trHeight w:val="1097"/>
        </w:trPr>
        <w:tc>
          <w:tcPr>
            <w:tcW w:w="2547" w:type="dxa"/>
          </w:tcPr>
          <w:p w14:paraId="75507A41" w14:textId="7DC976F0" w:rsidR="00E50150" w:rsidRPr="00712B16" w:rsidRDefault="00E50150">
            <w:pPr>
              <w:pStyle w:val="2"/>
              <w:spacing w:after="0" w:line="240" w:lineRule="auto"/>
              <w:jc w:val="both"/>
              <w:rPr>
                <w:rFonts w:ascii="Times New Roman" w:hAnsi="Times New Roman" w:cs="Times New Roman"/>
                <w:i/>
              </w:rPr>
            </w:pPr>
            <w:r w:rsidRPr="00712B16">
              <w:rPr>
                <w:rFonts w:ascii="Times New Roman" w:hAnsi="Times New Roman" w:cs="Times New Roman"/>
                <w:i/>
              </w:rPr>
              <w:t>LAW/POLICY_1</w:t>
            </w:r>
          </w:p>
        </w:tc>
        <w:tc>
          <w:tcPr>
            <w:tcW w:w="5812" w:type="dxa"/>
          </w:tcPr>
          <w:p w14:paraId="2B6EF6D4" w14:textId="27EB9958" w:rsidR="00E50150" w:rsidRPr="00712B16" w:rsidRDefault="00E50150">
            <w:pPr>
              <w:pStyle w:val="1"/>
              <w:spacing w:after="0" w:line="240" w:lineRule="auto"/>
              <w:jc w:val="both"/>
              <w:rPr>
                <w:rFonts w:eastAsia="SimSun"/>
                <w:iCs/>
                <w:sz w:val="22"/>
                <w:szCs w:val="22"/>
              </w:rPr>
            </w:pPr>
            <w:r w:rsidRPr="00712B16">
              <w:rPr>
                <w:rFonts w:eastAsia="SimSun"/>
                <w:iCs/>
                <w:sz w:val="22"/>
                <w:szCs w:val="22"/>
              </w:rPr>
              <w:t xml:space="preserve">Coded one if </w:t>
            </w:r>
            <w:r w:rsidRPr="00712B16">
              <w:rPr>
                <w:rFonts w:eastAsia="SimSun"/>
                <w:iCs/>
                <w:sz w:val="22"/>
                <w:szCs w:val="22"/>
                <w:lang w:val="en-AU"/>
              </w:rPr>
              <w:t xml:space="preserve">the net zero commitment of a particular country is either in law or in the official policy document, and zero otherwise (including either </w:t>
            </w:r>
            <w:r w:rsidRPr="00712B16">
              <w:rPr>
                <w:rFonts w:eastAsia="SimSun"/>
                <w:iCs/>
                <w:sz w:val="22"/>
                <w:szCs w:val="22"/>
                <w:lang w:val="en-AU"/>
              </w:rPr>
              <w:lastRenderedPageBreak/>
              <w:t>declaration/pledge or discussion/proposal or no commitment to net zero transition).</w:t>
            </w:r>
          </w:p>
        </w:tc>
      </w:tr>
      <w:tr w:rsidR="00712B16" w:rsidRPr="00712B16" w14:paraId="21855B1B" w14:textId="77777777" w:rsidTr="00E50150">
        <w:trPr>
          <w:trHeight w:val="852"/>
        </w:trPr>
        <w:tc>
          <w:tcPr>
            <w:tcW w:w="2547" w:type="dxa"/>
          </w:tcPr>
          <w:p w14:paraId="75BD2425" w14:textId="18B0BACF" w:rsidR="00E50150" w:rsidRPr="00712B16" w:rsidRDefault="00E50150">
            <w:pPr>
              <w:pStyle w:val="2"/>
              <w:spacing w:after="0" w:line="240" w:lineRule="auto"/>
              <w:jc w:val="both"/>
              <w:rPr>
                <w:rFonts w:ascii="Times New Roman" w:hAnsi="Times New Roman" w:cs="Times New Roman"/>
                <w:i/>
              </w:rPr>
            </w:pPr>
            <w:r w:rsidRPr="00712B16">
              <w:rPr>
                <w:rFonts w:ascii="Times New Roman" w:hAnsi="Times New Roman" w:cs="Times New Roman"/>
                <w:i/>
              </w:rPr>
              <w:lastRenderedPageBreak/>
              <w:t>LAW/POLICY_2</w:t>
            </w:r>
          </w:p>
        </w:tc>
        <w:tc>
          <w:tcPr>
            <w:tcW w:w="5812" w:type="dxa"/>
          </w:tcPr>
          <w:p w14:paraId="74209873" w14:textId="0985AF55" w:rsidR="00E50150" w:rsidRPr="00712B16" w:rsidRDefault="00E50150">
            <w:pPr>
              <w:pStyle w:val="1"/>
              <w:spacing w:after="0" w:line="240" w:lineRule="auto"/>
              <w:jc w:val="both"/>
              <w:rPr>
                <w:rFonts w:eastAsia="SimSun"/>
                <w:iCs/>
                <w:sz w:val="22"/>
                <w:szCs w:val="22"/>
              </w:rPr>
            </w:pPr>
            <w:r w:rsidRPr="00712B16">
              <w:rPr>
                <w:rFonts w:eastAsia="SimSun"/>
                <w:iCs/>
                <w:sz w:val="22"/>
                <w:szCs w:val="22"/>
              </w:rPr>
              <w:t xml:space="preserve">Coded one if </w:t>
            </w:r>
            <w:r w:rsidRPr="00712B16">
              <w:rPr>
                <w:rFonts w:eastAsia="SimSun"/>
                <w:iCs/>
                <w:sz w:val="22"/>
                <w:szCs w:val="22"/>
                <w:lang w:val="en-AU"/>
              </w:rPr>
              <w:t>the net zero commitment of a particular country is either in law or in the official policy document, and zero if it is in either declaration/pledge or discussion/proposal.</w:t>
            </w:r>
          </w:p>
        </w:tc>
      </w:tr>
      <w:tr w:rsidR="00712B16" w:rsidRPr="00712B16" w14:paraId="66B3453C" w14:textId="77777777" w:rsidTr="0027298A">
        <w:trPr>
          <w:trHeight w:val="644"/>
        </w:trPr>
        <w:tc>
          <w:tcPr>
            <w:tcW w:w="2547" w:type="dxa"/>
          </w:tcPr>
          <w:p w14:paraId="0557FCAE" w14:textId="397973ED" w:rsidR="009032E8" w:rsidRPr="00712B16" w:rsidRDefault="00E051A3">
            <w:pPr>
              <w:pStyle w:val="2"/>
              <w:spacing w:after="0" w:line="240" w:lineRule="auto"/>
              <w:jc w:val="both"/>
              <w:rPr>
                <w:rFonts w:ascii="Times New Roman" w:hAnsi="Times New Roman" w:cs="Times New Roman"/>
                <w:i/>
              </w:rPr>
            </w:pPr>
            <w:r w:rsidRPr="00712B16">
              <w:rPr>
                <w:rFonts w:ascii="Times New Roman" w:hAnsi="Times New Roman" w:cs="Times New Roman"/>
                <w:i/>
              </w:rPr>
              <w:t>FIR</w:t>
            </w:r>
            <w:r w:rsidR="0033020B" w:rsidRPr="00712B16">
              <w:rPr>
                <w:rFonts w:ascii="Times New Roman" w:hAnsi="Times New Roman" w:cs="Times New Roman"/>
                <w:i/>
              </w:rPr>
              <w:t>M</w:t>
            </w:r>
            <w:r w:rsidRPr="00712B16">
              <w:rPr>
                <w:rFonts w:ascii="Times New Roman" w:hAnsi="Times New Roman" w:cs="Times New Roman"/>
                <w:i/>
              </w:rPr>
              <w:t>_NETZERO</w:t>
            </w:r>
          </w:p>
        </w:tc>
        <w:tc>
          <w:tcPr>
            <w:tcW w:w="5812" w:type="dxa"/>
          </w:tcPr>
          <w:p w14:paraId="1B855FA7" w14:textId="7979D759" w:rsidR="009032E8" w:rsidRPr="00712B16" w:rsidRDefault="005832CF">
            <w:pPr>
              <w:pStyle w:val="1"/>
              <w:spacing w:after="0" w:line="240" w:lineRule="auto"/>
              <w:jc w:val="both"/>
              <w:rPr>
                <w:rFonts w:eastAsia="SimSun"/>
                <w:iCs/>
                <w:sz w:val="22"/>
                <w:szCs w:val="22"/>
              </w:rPr>
            </w:pPr>
            <w:r w:rsidRPr="00712B16">
              <w:rPr>
                <w:rFonts w:eastAsia="SimSun"/>
                <w:iCs/>
                <w:sz w:val="22"/>
                <w:szCs w:val="22"/>
              </w:rPr>
              <w:t>Net zero</w:t>
            </w:r>
            <w:r w:rsidR="00E051A3" w:rsidRPr="00712B16">
              <w:rPr>
                <w:rFonts w:eastAsia="SimSun"/>
                <w:iCs/>
                <w:sz w:val="22"/>
                <w:szCs w:val="22"/>
              </w:rPr>
              <w:t xml:space="preserve"> </w:t>
            </w:r>
            <w:r w:rsidR="00897E37" w:rsidRPr="00712B16">
              <w:rPr>
                <w:rFonts w:eastAsia="SimSun"/>
                <w:iCs/>
                <w:sz w:val="22"/>
                <w:szCs w:val="22"/>
              </w:rPr>
              <w:t>target commitment</w:t>
            </w:r>
            <w:r w:rsidR="00E051A3" w:rsidRPr="00712B16">
              <w:rPr>
                <w:rFonts w:eastAsia="SimSun"/>
                <w:iCs/>
                <w:sz w:val="22"/>
                <w:szCs w:val="22"/>
              </w:rPr>
              <w:t xml:space="preserve"> at the firm-level is coded 1 if a firm has </w:t>
            </w:r>
            <w:r w:rsidR="000A40B7" w:rsidRPr="00712B16">
              <w:rPr>
                <w:rFonts w:eastAsia="SimSun"/>
                <w:iCs/>
                <w:sz w:val="22"/>
                <w:szCs w:val="22"/>
              </w:rPr>
              <w:t>committed to</w:t>
            </w:r>
            <w:r w:rsidR="00E051A3" w:rsidRPr="00712B16">
              <w:rPr>
                <w:rFonts w:eastAsia="SimSun"/>
                <w:iCs/>
                <w:sz w:val="22"/>
                <w:szCs w:val="22"/>
              </w:rPr>
              <w:t xml:space="preserve"> it, and 0 otherwise. Data is sourced from the website of individual firms.</w:t>
            </w:r>
          </w:p>
        </w:tc>
      </w:tr>
      <w:tr w:rsidR="00712B16" w:rsidRPr="00712B16" w14:paraId="65232B38" w14:textId="77777777" w:rsidTr="0027298A">
        <w:trPr>
          <w:trHeight w:val="442"/>
        </w:trPr>
        <w:tc>
          <w:tcPr>
            <w:tcW w:w="2547" w:type="dxa"/>
          </w:tcPr>
          <w:p w14:paraId="0673F826" w14:textId="77777777" w:rsidR="009032E8" w:rsidRPr="00712B16" w:rsidRDefault="00E051A3">
            <w:pPr>
              <w:pStyle w:val="2"/>
              <w:spacing w:after="0"/>
              <w:jc w:val="both"/>
              <w:rPr>
                <w:rFonts w:ascii="Times New Roman" w:hAnsi="Times New Roman" w:cs="Times New Roman"/>
                <w:i/>
              </w:rPr>
            </w:pPr>
            <w:r w:rsidRPr="00712B16">
              <w:rPr>
                <w:rFonts w:ascii="Times New Roman" w:eastAsia="Times New Roman" w:hAnsi="Times New Roman" w:cs="Times New Roman"/>
                <w:i/>
                <w:iCs/>
                <w:lang w:val="en-US"/>
              </w:rPr>
              <w:t>DISACC</w:t>
            </w:r>
          </w:p>
        </w:tc>
        <w:tc>
          <w:tcPr>
            <w:tcW w:w="5812" w:type="dxa"/>
          </w:tcPr>
          <w:p w14:paraId="2A038C1E" w14:textId="77777777" w:rsidR="009032E8" w:rsidRPr="00712B16" w:rsidRDefault="00E051A3">
            <w:pPr>
              <w:pStyle w:val="1"/>
              <w:spacing w:after="0" w:line="240" w:lineRule="auto"/>
              <w:jc w:val="both"/>
              <w:rPr>
                <w:iCs/>
                <w:sz w:val="22"/>
                <w:szCs w:val="22"/>
              </w:rPr>
            </w:pPr>
            <w:r w:rsidRPr="00712B16">
              <w:rPr>
                <w:sz w:val="22"/>
                <w:szCs w:val="22"/>
              </w:rPr>
              <w:t xml:space="preserve">Signed values of discretionary accruals which employ the Modified Jones Model </w:t>
            </w:r>
            <w:r w:rsidRPr="00712B16">
              <w:rPr>
                <w:sz w:val="22"/>
                <w:szCs w:val="22"/>
                <w:lang w:val="en-AU" w:eastAsia="en-US"/>
              </w:rPr>
              <w:t xml:space="preserve">described in </w:t>
            </w:r>
            <w:r w:rsidRPr="00712B16">
              <w:rPr>
                <w:sz w:val="22"/>
                <w:szCs w:val="22"/>
              </w:rPr>
              <w:t xml:space="preserve">Dechow </w:t>
            </w:r>
            <w:r w:rsidRPr="00712B16">
              <w:rPr>
                <w:i/>
                <w:sz w:val="22"/>
                <w:szCs w:val="22"/>
              </w:rPr>
              <w:t>et al</w:t>
            </w:r>
            <w:r w:rsidRPr="00712B16">
              <w:rPr>
                <w:sz w:val="22"/>
                <w:szCs w:val="22"/>
              </w:rPr>
              <w:t>. (1995).</w:t>
            </w:r>
          </w:p>
        </w:tc>
      </w:tr>
      <w:tr w:rsidR="00712B16" w:rsidRPr="00712B16" w14:paraId="18821183" w14:textId="77777777" w:rsidTr="0027298A">
        <w:trPr>
          <w:trHeight w:val="776"/>
        </w:trPr>
        <w:tc>
          <w:tcPr>
            <w:tcW w:w="2547" w:type="dxa"/>
          </w:tcPr>
          <w:p w14:paraId="4A835632" w14:textId="5E122507" w:rsidR="003D1E2E" w:rsidRPr="00712B16" w:rsidRDefault="003D1E2E" w:rsidP="00DA3CA8">
            <w:pPr>
              <w:pStyle w:val="2"/>
              <w:spacing w:after="0" w:line="240" w:lineRule="auto"/>
              <w:jc w:val="both"/>
              <w:rPr>
                <w:rFonts w:ascii="Times New Roman" w:hAnsi="Times New Roman" w:cs="Times New Roman"/>
                <w:i/>
              </w:rPr>
            </w:pPr>
            <w:r w:rsidRPr="00712B16">
              <w:rPr>
                <w:rFonts w:ascii="Times New Roman" w:hAnsi="Times New Roman" w:cs="Times New Roman"/>
                <w:i/>
              </w:rPr>
              <w:t>ENVRN_SCORE</w:t>
            </w:r>
          </w:p>
        </w:tc>
        <w:tc>
          <w:tcPr>
            <w:tcW w:w="5812" w:type="dxa"/>
          </w:tcPr>
          <w:p w14:paraId="2B8E98A1" w14:textId="77777777" w:rsidR="003D1E2E" w:rsidRPr="00712B16" w:rsidRDefault="003D1E2E" w:rsidP="00DA3CA8">
            <w:pPr>
              <w:pStyle w:val="1"/>
              <w:spacing w:after="0" w:line="240" w:lineRule="auto"/>
              <w:jc w:val="both"/>
              <w:rPr>
                <w:rFonts w:eastAsia="SimSun"/>
                <w:iCs/>
                <w:sz w:val="22"/>
                <w:szCs w:val="22"/>
              </w:rPr>
            </w:pPr>
            <w:r w:rsidRPr="00712B16">
              <w:rPr>
                <w:rFonts w:eastAsia="SimSun"/>
                <w:iCs/>
                <w:sz w:val="22"/>
                <w:szCs w:val="22"/>
              </w:rPr>
              <w:t>A measure of a firm’s environmental performance, constructed based on three</w:t>
            </w:r>
            <w:r w:rsidRPr="00712B16">
              <w:rPr>
                <w:rFonts w:eastAsiaTheme="minorHAnsi"/>
                <w:lang w:eastAsia="en-US"/>
              </w:rPr>
              <w:t xml:space="preserve"> </w:t>
            </w:r>
            <w:r w:rsidRPr="00712B16">
              <w:rPr>
                <w:rFonts w:eastAsia="SimSun"/>
                <w:iCs/>
                <w:sz w:val="22"/>
                <w:szCs w:val="22"/>
                <w:lang w:val="en-US"/>
              </w:rPr>
              <w:t xml:space="preserve">categories obtained from the Refinitiv database, namely </w:t>
            </w:r>
            <w:proofErr w:type="spellStart"/>
            <w:r w:rsidRPr="00712B16">
              <w:rPr>
                <w:rFonts w:eastAsia="SimSun"/>
                <w:iCs/>
                <w:sz w:val="22"/>
                <w:szCs w:val="22"/>
                <w:lang w:val="en-US"/>
              </w:rPr>
              <w:t>i</w:t>
            </w:r>
            <w:proofErr w:type="spellEnd"/>
            <w:r w:rsidRPr="00712B16">
              <w:rPr>
                <w:rFonts w:eastAsia="SimSun"/>
                <w:iCs/>
                <w:sz w:val="22"/>
                <w:szCs w:val="22"/>
                <w:lang w:val="en-US"/>
              </w:rPr>
              <w:t>) emissions, ii) resource use, and iii) innovation.</w:t>
            </w:r>
          </w:p>
        </w:tc>
      </w:tr>
      <w:tr w:rsidR="00712B16" w:rsidRPr="00712B16" w14:paraId="4EB49E6E" w14:textId="77777777" w:rsidTr="0027298A">
        <w:trPr>
          <w:trHeight w:val="830"/>
        </w:trPr>
        <w:tc>
          <w:tcPr>
            <w:tcW w:w="2547" w:type="dxa"/>
          </w:tcPr>
          <w:p w14:paraId="50E68AD5" w14:textId="77777777" w:rsidR="003D1E2E" w:rsidRPr="00712B16" w:rsidRDefault="003D1E2E" w:rsidP="00DA3CA8">
            <w:pPr>
              <w:pStyle w:val="2"/>
              <w:spacing w:after="0" w:line="240" w:lineRule="auto"/>
              <w:jc w:val="both"/>
              <w:rPr>
                <w:rFonts w:ascii="Times New Roman" w:hAnsi="Times New Roman" w:cs="Times New Roman"/>
                <w:i/>
              </w:rPr>
            </w:pPr>
            <w:r w:rsidRPr="00712B16">
              <w:rPr>
                <w:rFonts w:ascii="Times New Roman" w:hAnsi="Times New Roman" w:cs="Times New Roman"/>
                <w:i/>
              </w:rPr>
              <w:t>SOCIAL_SCORE</w:t>
            </w:r>
          </w:p>
        </w:tc>
        <w:tc>
          <w:tcPr>
            <w:tcW w:w="5812" w:type="dxa"/>
          </w:tcPr>
          <w:p w14:paraId="3768E8B8" w14:textId="77777777" w:rsidR="003D1E2E" w:rsidRPr="00712B16" w:rsidRDefault="003D1E2E" w:rsidP="00DA3CA8">
            <w:pPr>
              <w:pStyle w:val="1"/>
              <w:spacing w:after="0" w:line="240" w:lineRule="auto"/>
              <w:jc w:val="both"/>
              <w:rPr>
                <w:rFonts w:eastAsia="SimSun"/>
                <w:iCs/>
                <w:sz w:val="22"/>
                <w:szCs w:val="22"/>
              </w:rPr>
            </w:pPr>
            <w:r w:rsidRPr="00712B16">
              <w:rPr>
                <w:rFonts w:eastAsia="SimSun"/>
                <w:iCs/>
                <w:sz w:val="22"/>
                <w:szCs w:val="22"/>
              </w:rPr>
              <w:t>A measure of a firm’s social performance, constructed based on</w:t>
            </w:r>
            <w:r w:rsidRPr="00712B16">
              <w:rPr>
                <w:rFonts w:eastAsiaTheme="minorHAnsi"/>
                <w:lang w:eastAsia="en-US"/>
              </w:rPr>
              <w:t xml:space="preserve"> </w:t>
            </w:r>
            <w:r w:rsidRPr="00712B16">
              <w:rPr>
                <w:rFonts w:eastAsia="SimSun"/>
                <w:iCs/>
                <w:sz w:val="22"/>
                <w:szCs w:val="22"/>
                <w:lang w:val="en-US"/>
              </w:rPr>
              <w:t xml:space="preserve">four categories obtained from the Refinitiv database, namely </w:t>
            </w:r>
            <w:proofErr w:type="spellStart"/>
            <w:r w:rsidRPr="00712B16">
              <w:rPr>
                <w:rFonts w:eastAsia="SimSun"/>
                <w:iCs/>
                <w:sz w:val="22"/>
                <w:szCs w:val="22"/>
                <w:lang w:val="en-US"/>
              </w:rPr>
              <w:t>i</w:t>
            </w:r>
            <w:proofErr w:type="spellEnd"/>
            <w:r w:rsidRPr="00712B16">
              <w:rPr>
                <w:rFonts w:eastAsia="SimSun"/>
                <w:iCs/>
                <w:sz w:val="22"/>
                <w:szCs w:val="22"/>
                <w:lang w:val="en-US"/>
              </w:rPr>
              <w:t>) community, ii) human rights, iii) product responsibility, and iv) workforce.</w:t>
            </w:r>
            <w:r w:rsidRPr="00712B16">
              <w:rPr>
                <w:rFonts w:eastAsia="SimSun"/>
                <w:iCs/>
                <w:sz w:val="22"/>
                <w:szCs w:val="22"/>
              </w:rPr>
              <w:t xml:space="preserve"> </w:t>
            </w:r>
          </w:p>
        </w:tc>
      </w:tr>
      <w:tr w:rsidR="00712B16" w:rsidRPr="00712B16" w14:paraId="59916ECC" w14:textId="77777777" w:rsidTr="00DA3CA8">
        <w:trPr>
          <w:trHeight w:val="1097"/>
        </w:trPr>
        <w:tc>
          <w:tcPr>
            <w:tcW w:w="2547" w:type="dxa"/>
          </w:tcPr>
          <w:p w14:paraId="022EB5A9" w14:textId="77777777" w:rsidR="003D1E2E" w:rsidRPr="00712B16" w:rsidRDefault="003D1E2E" w:rsidP="00DA3CA8">
            <w:pPr>
              <w:pStyle w:val="2"/>
              <w:spacing w:after="0" w:line="240" w:lineRule="auto"/>
              <w:jc w:val="both"/>
              <w:rPr>
                <w:rFonts w:ascii="Times New Roman" w:hAnsi="Times New Roman" w:cs="Times New Roman"/>
                <w:i/>
              </w:rPr>
            </w:pPr>
            <w:r w:rsidRPr="00712B16">
              <w:rPr>
                <w:rFonts w:ascii="Times New Roman" w:hAnsi="Times New Roman" w:cs="Times New Roman"/>
                <w:i/>
              </w:rPr>
              <w:t>CORPGOV_SCORE</w:t>
            </w:r>
          </w:p>
        </w:tc>
        <w:tc>
          <w:tcPr>
            <w:tcW w:w="5812" w:type="dxa"/>
          </w:tcPr>
          <w:p w14:paraId="54FBC3C0" w14:textId="77777777" w:rsidR="003D1E2E" w:rsidRPr="00712B16" w:rsidRDefault="003D1E2E" w:rsidP="00DA3CA8">
            <w:pPr>
              <w:pStyle w:val="1"/>
              <w:spacing w:after="0" w:line="240" w:lineRule="auto"/>
              <w:jc w:val="both"/>
              <w:rPr>
                <w:rFonts w:eastAsia="SimSun"/>
                <w:iCs/>
                <w:sz w:val="22"/>
                <w:szCs w:val="22"/>
              </w:rPr>
            </w:pPr>
            <w:r w:rsidRPr="00712B16">
              <w:rPr>
                <w:rFonts w:eastAsia="SimSun"/>
                <w:iCs/>
                <w:sz w:val="22"/>
                <w:szCs w:val="22"/>
              </w:rPr>
              <w:t xml:space="preserve">A measure of a firm’s corporate governance performance, constructed based on </w:t>
            </w:r>
            <w:r w:rsidRPr="00712B16">
              <w:rPr>
                <w:rFonts w:eastAsia="SimSun"/>
                <w:iCs/>
                <w:sz w:val="22"/>
                <w:szCs w:val="22"/>
                <w:lang w:val="en-US"/>
              </w:rPr>
              <w:t xml:space="preserve">three categories obtained from the Refinitiv database, namely </w:t>
            </w:r>
            <w:proofErr w:type="spellStart"/>
            <w:r w:rsidRPr="00712B16">
              <w:rPr>
                <w:rFonts w:eastAsia="SimSun"/>
                <w:iCs/>
                <w:sz w:val="22"/>
                <w:szCs w:val="22"/>
                <w:lang w:val="en-US"/>
              </w:rPr>
              <w:t>i</w:t>
            </w:r>
            <w:proofErr w:type="spellEnd"/>
            <w:r w:rsidRPr="00712B16">
              <w:rPr>
                <w:rFonts w:eastAsia="SimSun"/>
                <w:iCs/>
                <w:sz w:val="22"/>
                <w:szCs w:val="22"/>
                <w:lang w:val="en-US"/>
              </w:rPr>
              <w:t>) shareholders, ii) CSR strategy, and iii) management.</w:t>
            </w:r>
          </w:p>
        </w:tc>
      </w:tr>
      <w:tr w:rsidR="00712B16" w:rsidRPr="00712B16" w14:paraId="748FEBE4" w14:textId="77777777" w:rsidTr="0027298A">
        <w:trPr>
          <w:trHeight w:val="756"/>
        </w:trPr>
        <w:tc>
          <w:tcPr>
            <w:tcW w:w="2547" w:type="dxa"/>
          </w:tcPr>
          <w:p w14:paraId="3B5474FB" w14:textId="77777777" w:rsidR="003D1E2E" w:rsidRPr="00712B16" w:rsidRDefault="003D1E2E" w:rsidP="00DA3CA8">
            <w:pPr>
              <w:pStyle w:val="2"/>
              <w:spacing w:after="0" w:line="240" w:lineRule="auto"/>
              <w:jc w:val="both"/>
              <w:rPr>
                <w:rFonts w:ascii="Times New Roman" w:hAnsi="Times New Roman" w:cs="Times New Roman"/>
                <w:i/>
              </w:rPr>
            </w:pPr>
            <w:r w:rsidRPr="00712B16">
              <w:rPr>
                <w:rFonts w:ascii="Times New Roman" w:hAnsi="Times New Roman" w:cs="Times New Roman"/>
                <w:i/>
              </w:rPr>
              <w:t>CSR</w:t>
            </w:r>
          </w:p>
        </w:tc>
        <w:tc>
          <w:tcPr>
            <w:tcW w:w="5812" w:type="dxa"/>
          </w:tcPr>
          <w:p w14:paraId="3218981A" w14:textId="77777777" w:rsidR="003D1E2E" w:rsidRPr="00712B16" w:rsidRDefault="003D1E2E" w:rsidP="00DA3CA8">
            <w:pPr>
              <w:pStyle w:val="1"/>
              <w:spacing w:after="0" w:line="240" w:lineRule="auto"/>
              <w:jc w:val="both"/>
              <w:rPr>
                <w:rFonts w:eastAsia="SimSun"/>
                <w:iCs/>
                <w:sz w:val="22"/>
                <w:szCs w:val="22"/>
              </w:rPr>
            </w:pPr>
            <w:r w:rsidRPr="00712B16">
              <w:rPr>
                <w:rFonts w:eastAsia="SimSun"/>
                <w:iCs/>
                <w:sz w:val="22"/>
                <w:szCs w:val="22"/>
              </w:rPr>
              <w:t xml:space="preserve">A firm’s overall CSR performance, measured as the sum of the scores related to environmental, social, and governance performance </w:t>
            </w:r>
            <w:r w:rsidRPr="00712B16">
              <w:rPr>
                <w:rFonts w:eastAsia="SimSun"/>
                <w:iCs/>
                <w:sz w:val="22"/>
                <w:szCs w:val="22"/>
                <w:lang w:val="en-US"/>
              </w:rPr>
              <w:t>obtained from the Refinitiv database</w:t>
            </w:r>
            <w:r w:rsidRPr="00712B16">
              <w:rPr>
                <w:rFonts w:eastAsia="SimSun"/>
                <w:iCs/>
                <w:sz w:val="22"/>
                <w:szCs w:val="22"/>
              </w:rPr>
              <w:t>.</w:t>
            </w:r>
          </w:p>
        </w:tc>
      </w:tr>
      <w:tr w:rsidR="001B0379" w:rsidRPr="00712B16" w14:paraId="6AF158CC" w14:textId="77777777" w:rsidTr="0027298A">
        <w:trPr>
          <w:trHeight w:val="205"/>
        </w:trPr>
        <w:tc>
          <w:tcPr>
            <w:tcW w:w="2547" w:type="dxa"/>
          </w:tcPr>
          <w:p w14:paraId="4A9F8B00" w14:textId="77777777" w:rsidR="001B0379" w:rsidRPr="00712B16" w:rsidRDefault="001B0379" w:rsidP="00DA3CA8">
            <w:pPr>
              <w:pStyle w:val="2"/>
              <w:spacing w:after="0"/>
              <w:jc w:val="both"/>
              <w:rPr>
                <w:rFonts w:ascii="Times New Roman" w:hAnsi="Times New Roman" w:cs="Times New Roman"/>
                <w:i/>
                <w:sz w:val="24"/>
                <w:szCs w:val="24"/>
              </w:rPr>
            </w:pPr>
            <w:r w:rsidRPr="00712B16">
              <w:rPr>
                <w:rFonts w:ascii="Times New Roman" w:hAnsi="Times New Roman" w:cs="Times New Roman"/>
                <w:i/>
              </w:rPr>
              <w:t>PARIS_AGREEMENT</w:t>
            </w:r>
          </w:p>
        </w:tc>
        <w:tc>
          <w:tcPr>
            <w:tcW w:w="5812" w:type="dxa"/>
          </w:tcPr>
          <w:p w14:paraId="65A44B80" w14:textId="77777777" w:rsidR="001B0379" w:rsidRPr="00712B16" w:rsidRDefault="001B0379" w:rsidP="00DA3CA8">
            <w:pPr>
              <w:pStyle w:val="1"/>
              <w:spacing w:after="0" w:line="240" w:lineRule="auto"/>
              <w:jc w:val="both"/>
              <w:rPr>
                <w:iCs/>
              </w:rPr>
            </w:pPr>
            <w:r w:rsidRPr="00712B16">
              <w:rPr>
                <w:rFonts w:eastAsia="SimSun"/>
                <w:iCs/>
                <w:sz w:val="22"/>
                <w:szCs w:val="22"/>
              </w:rPr>
              <w:t>Coded 1 for the post-2015 period, and 0 otherwise.</w:t>
            </w:r>
          </w:p>
        </w:tc>
      </w:tr>
    </w:tbl>
    <w:p w14:paraId="01FC218B" w14:textId="560762B4" w:rsidR="009032E8" w:rsidRPr="00712B16" w:rsidRDefault="009032E8">
      <w:pPr>
        <w:spacing w:line="480" w:lineRule="auto"/>
        <w:ind w:left="720" w:hanging="720"/>
        <w:jc w:val="both"/>
        <w:rPr>
          <w:rFonts w:ascii="Times New Roman" w:hAnsi="Times New Roman" w:cs="Times New Roman"/>
        </w:rPr>
      </w:pPr>
    </w:p>
    <w:p w14:paraId="74626C1A" w14:textId="7EDA240B" w:rsidR="006E0A2A" w:rsidRPr="00712B16" w:rsidRDefault="006E0A2A">
      <w:pPr>
        <w:spacing w:line="480" w:lineRule="auto"/>
        <w:ind w:left="720" w:hanging="720"/>
        <w:jc w:val="both"/>
        <w:rPr>
          <w:rFonts w:ascii="Times New Roman" w:hAnsi="Times New Roman" w:cs="Times New Roman"/>
        </w:rPr>
      </w:pPr>
    </w:p>
    <w:p w14:paraId="7C9F5F88" w14:textId="77777777" w:rsidR="00522E41" w:rsidRPr="00712B16" w:rsidRDefault="00522E41">
      <w:pPr>
        <w:spacing w:line="480" w:lineRule="auto"/>
        <w:ind w:left="720" w:hanging="720"/>
        <w:jc w:val="both"/>
        <w:rPr>
          <w:rFonts w:ascii="Times New Roman" w:eastAsiaTheme="majorEastAsia" w:hAnsi="Times New Roman" w:cs="Times New Roman"/>
          <w:b/>
        </w:rPr>
        <w:sectPr w:rsidR="00522E41" w:rsidRPr="00712B16" w:rsidSect="00E225B0">
          <w:footerReference w:type="default" r:id="rId14"/>
          <w:pgSz w:w="11906" w:h="16838"/>
          <w:pgMar w:top="1440" w:right="1797" w:bottom="1440" w:left="1797" w:header="709" w:footer="709" w:gutter="0"/>
          <w:cols w:space="708"/>
          <w:docGrid w:linePitch="360"/>
        </w:sectPr>
      </w:pPr>
    </w:p>
    <w:p w14:paraId="0D3371C7" w14:textId="131CF381" w:rsidR="00021525" w:rsidRPr="00712B16" w:rsidRDefault="001D60F5" w:rsidP="00DC688F">
      <w:pPr>
        <w:pStyle w:val="NoSpacing"/>
        <w:jc w:val="both"/>
        <w:rPr>
          <w:rFonts w:ascii="Times New Roman" w:hAnsi="Times New Roman" w:cs="Times New Roman"/>
          <w:b/>
          <w:iCs/>
          <w:sz w:val="24"/>
          <w:szCs w:val="24"/>
          <w:lang w:val="en-GB"/>
        </w:rPr>
      </w:pPr>
      <w:r w:rsidRPr="00712B16">
        <w:rPr>
          <w:rFonts w:ascii="Times New Roman" w:eastAsiaTheme="majorEastAsia" w:hAnsi="Times New Roman" w:cs="Times New Roman"/>
          <w:b/>
          <w:sz w:val="24"/>
          <w:szCs w:val="24"/>
        </w:rPr>
        <w:lastRenderedPageBreak/>
        <w:t>Supplementary material</w:t>
      </w:r>
      <w:r w:rsidR="00021525" w:rsidRPr="00712B16">
        <w:rPr>
          <w:rFonts w:ascii="Times New Roman" w:hAnsi="Times New Roman" w:cs="Times New Roman"/>
          <w:b/>
          <w:iCs/>
          <w:sz w:val="24"/>
          <w:szCs w:val="24"/>
          <w:lang w:val="en-GB"/>
        </w:rPr>
        <w:t xml:space="preserve"> </w:t>
      </w:r>
      <w:r w:rsidR="00207AB5" w:rsidRPr="00712B16">
        <w:rPr>
          <w:rFonts w:ascii="Times New Roman" w:hAnsi="Times New Roman" w:cs="Times New Roman"/>
          <w:b/>
          <w:iCs/>
          <w:sz w:val="24"/>
          <w:szCs w:val="24"/>
          <w:lang w:val="en-GB"/>
        </w:rPr>
        <w:t>B</w:t>
      </w:r>
      <w:r w:rsidR="00CD581A" w:rsidRPr="00712B16">
        <w:rPr>
          <w:rFonts w:ascii="Times New Roman" w:hAnsi="Times New Roman" w:cs="Times New Roman"/>
          <w:b/>
          <w:iCs/>
          <w:sz w:val="24"/>
          <w:szCs w:val="24"/>
          <w:lang w:val="en-GB"/>
        </w:rPr>
        <w:t>:</w:t>
      </w:r>
      <w:r w:rsidR="00021525" w:rsidRPr="00712B16">
        <w:rPr>
          <w:rFonts w:ascii="Times New Roman" w:hAnsi="Times New Roman" w:cs="Times New Roman"/>
          <w:b/>
          <w:iCs/>
          <w:sz w:val="24"/>
          <w:szCs w:val="24"/>
          <w:lang w:val="en-GB"/>
        </w:rPr>
        <w:t xml:space="preserve"> Explanation of the coding of our net zero variable</w:t>
      </w:r>
    </w:p>
    <w:p w14:paraId="09A08B6E" w14:textId="17182017" w:rsidR="00021525" w:rsidRPr="00712B16" w:rsidRDefault="00021525" w:rsidP="00F5282F">
      <w:pPr>
        <w:spacing w:after="0" w:line="240" w:lineRule="auto"/>
        <w:jc w:val="both"/>
        <w:rPr>
          <w:rFonts w:ascii="Times New Roman" w:eastAsia="Calibri" w:hAnsi="Times New Roman" w:cs="Times New Roman"/>
          <w:sz w:val="24"/>
          <w:szCs w:val="24"/>
          <w:lang w:val="en-NZ" w:eastAsia="en-US"/>
        </w:rPr>
      </w:pPr>
      <w:r w:rsidRPr="00712B16">
        <w:rPr>
          <w:rFonts w:ascii="Times New Roman" w:eastAsia="Calibri" w:hAnsi="Times New Roman" w:cs="Times New Roman"/>
          <w:sz w:val="24"/>
          <w:szCs w:val="24"/>
          <w:lang w:val="en-NZ" w:eastAsia="en-US"/>
        </w:rPr>
        <w:t xml:space="preserve">We manually collected the net zero target data from </w:t>
      </w:r>
      <w:r w:rsidR="00C03160" w:rsidRPr="00712B16">
        <w:rPr>
          <w:rFonts w:ascii="Times New Roman" w:eastAsia="Calibri" w:hAnsi="Times New Roman" w:cs="Times New Roman"/>
          <w:sz w:val="24"/>
          <w:szCs w:val="24"/>
          <w:lang w:val="en-NZ" w:eastAsia="en-US"/>
        </w:rPr>
        <w:t xml:space="preserve">the </w:t>
      </w:r>
      <w:r w:rsidRPr="00712B16">
        <w:rPr>
          <w:rFonts w:ascii="Times New Roman" w:eastAsia="Calibri" w:hAnsi="Times New Roman" w:cs="Times New Roman"/>
          <w:sz w:val="24"/>
          <w:szCs w:val="24"/>
          <w:lang w:val="en-NZ" w:eastAsia="en-US"/>
        </w:rPr>
        <w:t>Energy &amp; Climate Intelligence Unit (2022)</w:t>
      </w:r>
      <w:r w:rsidR="00C03160" w:rsidRPr="00712B16">
        <w:rPr>
          <w:rFonts w:ascii="Times New Roman" w:eastAsia="Calibri" w:hAnsi="Times New Roman" w:cs="Times New Roman"/>
          <w:sz w:val="24"/>
          <w:szCs w:val="24"/>
          <w:lang w:val="en-NZ" w:eastAsia="en-US"/>
        </w:rPr>
        <w:t>,</w:t>
      </w:r>
      <w:r w:rsidRPr="00712B16">
        <w:rPr>
          <w:rFonts w:ascii="Times New Roman" w:eastAsia="Calibri" w:hAnsi="Times New Roman" w:cs="Times New Roman"/>
          <w:sz w:val="24"/>
          <w:szCs w:val="24"/>
          <w:lang w:val="en-NZ" w:eastAsia="en-US"/>
        </w:rPr>
        <w:t xml:space="preserve"> which shows the commitment levels of each country for each year during our sample period. All countries begin the time series with a score of zero (i.e., no discussion)</w:t>
      </w:r>
      <w:r w:rsidR="00C03160" w:rsidRPr="00712B16">
        <w:rPr>
          <w:rFonts w:ascii="Times New Roman" w:eastAsia="Calibri" w:hAnsi="Times New Roman" w:cs="Times New Roman"/>
          <w:sz w:val="24"/>
          <w:szCs w:val="24"/>
          <w:lang w:val="en-NZ" w:eastAsia="en-US"/>
        </w:rPr>
        <w:t>,</w:t>
      </w:r>
      <w:r w:rsidRPr="00712B16">
        <w:rPr>
          <w:rFonts w:ascii="Times New Roman" w:eastAsia="Calibri" w:hAnsi="Times New Roman" w:cs="Times New Roman"/>
          <w:sz w:val="24"/>
          <w:szCs w:val="24"/>
          <w:lang w:val="en-NZ" w:eastAsia="en-US"/>
        </w:rPr>
        <w:t xml:space="preserve"> and subsequently, we progressively updated the net zero variable to accurately reflect the change in the country’s net zero commitment levels throughout our sample period based on data availability. To illustrate this point, we have used Germany as </w:t>
      </w:r>
      <w:r w:rsidR="00207AB5" w:rsidRPr="00712B16">
        <w:rPr>
          <w:rFonts w:ascii="Times New Roman" w:eastAsia="Calibri" w:hAnsi="Times New Roman" w:cs="Times New Roman"/>
          <w:sz w:val="24"/>
          <w:szCs w:val="24"/>
          <w:lang w:val="en-NZ" w:eastAsia="en-US"/>
        </w:rPr>
        <w:t xml:space="preserve">the </w:t>
      </w:r>
      <w:r w:rsidRPr="00712B16">
        <w:rPr>
          <w:rFonts w:ascii="Times New Roman" w:eastAsia="Calibri" w:hAnsi="Times New Roman" w:cs="Times New Roman"/>
          <w:sz w:val="24"/>
          <w:szCs w:val="24"/>
          <w:lang w:val="en-NZ" w:eastAsia="en-US"/>
        </w:rPr>
        <w:t>example for how the coding of our net zero intensity variable for these countries has changed in accordance with the change in the net zero commitment level. We summarize the details of the net zero commitment for th</w:t>
      </w:r>
      <w:r w:rsidR="00207AB5" w:rsidRPr="00712B16">
        <w:rPr>
          <w:rFonts w:ascii="Times New Roman" w:eastAsia="Calibri" w:hAnsi="Times New Roman" w:cs="Times New Roman"/>
          <w:sz w:val="24"/>
          <w:szCs w:val="24"/>
          <w:lang w:val="en-NZ" w:eastAsia="en-US"/>
        </w:rPr>
        <w:t>is</w:t>
      </w:r>
      <w:r w:rsidRPr="00712B16">
        <w:rPr>
          <w:rFonts w:ascii="Times New Roman" w:eastAsia="Calibri" w:hAnsi="Times New Roman" w:cs="Times New Roman"/>
          <w:sz w:val="24"/>
          <w:szCs w:val="24"/>
          <w:lang w:val="en-NZ" w:eastAsia="en-US"/>
        </w:rPr>
        <w:t xml:space="preserve"> countr</w:t>
      </w:r>
      <w:r w:rsidR="00207AB5" w:rsidRPr="00712B16">
        <w:rPr>
          <w:rFonts w:ascii="Times New Roman" w:eastAsia="Calibri" w:hAnsi="Times New Roman" w:cs="Times New Roman"/>
          <w:sz w:val="24"/>
          <w:szCs w:val="24"/>
          <w:lang w:val="en-NZ" w:eastAsia="en-US"/>
        </w:rPr>
        <w:t>y</w:t>
      </w:r>
      <w:r w:rsidRPr="00712B16">
        <w:rPr>
          <w:rFonts w:ascii="Times New Roman" w:eastAsia="Calibri" w:hAnsi="Times New Roman" w:cs="Times New Roman"/>
          <w:sz w:val="24"/>
          <w:szCs w:val="24"/>
          <w:lang w:val="en-NZ" w:eastAsia="en-US"/>
        </w:rPr>
        <w:t xml:space="preserve"> in</w:t>
      </w:r>
      <w:r w:rsidR="00691C47" w:rsidRPr="00712B16">
        <w:rPr>
          <w:rFonts w:ascii="Times New Roman" w:eastAsia="Calibri" w:hAnsi="Times New Roman" w:cs="Times New Roman"/>
          <w:sz w:val="24"/>
          <w:szCs w:val="24"/>
          <w:lang w:val="en-NZ" w:eastAsia="en-US"/>
        </w:rPr>
        <w:t xml:space="preserve"> Table of</w:t>
      </w:r>
      <w:r w:rsidR="00B27F8B" w:rsidRPr="00712B16">
        <w:rPr>
          <w:rFonts w:ascii="Times New Roman" w:hAnsi="Times New Roman" w:cs="Times New Roman"/>
          <w:sz w:val="24"/>
          <w:szCs w:val="24"/>
        </w:rPr>
        <w:t xml:space="preserve"> Supplementary Material B</w:t>
      </w:r>
      <w:r w:rsidRPr="00712B16">
        <w:rPr>
          <w:rFonts w:ascii="Times New Roman" w:eastAsia="Calibri" w:hAnsi="Times New Roman" w:cs="Times New Roman"/>
          <w:sz w:val="24"/>
          <w:szCs w:val="24"/>
          <w:lang w:val="en-NZ" w:eastAsia="en-US"/>
        </w:rPr>
        <w:t>.</w:t>
      </w:r>
    </w:p>
    <w:p w14:paraId="70A0C0D4" w14:textId="77777777" w:rsidR="00F5282F" w:rsidRPr="00712B16" w:rsidRDefault="00F5282F" w:rsidP="00DC688F">
      <w:pPr>
        <w:spacing w:after="0" w:line="240" w:lineRule="auto"/>
        <w:jc w:val="both"/>
        <w:rPr>
          <w:rFonts w:ascii="Times New Roman" w:eastAsia="Calibri" w:hAnsi="Times New Roman" w:cs="Times New Roman"/>
          <w:sz w:val="24"/>
          <w:szCs w:val="24"/>
          <w:lang w:val="en-NZ" w:eastAsia="en-US"/>
        </w:rPr>
      </w:pPr>
    </w:p>
    <w:p w14:paraId="1449B145" w14:textId="61EDF76D" w:rsidR="00021525" w:rsidRPr="00712B16" w:rsidRDefault="00021525" w:rsidP="00DC688F">
      <w:pPr>
        <w:spacing w:after="0" w:line="240" w:lineRule="auto"/>
        <w:jc w:val="both"/>
        <w:rPr>
          <w:rFonts w:ascii="Times New Roman" w:eastAsia="Calibri" w:hAnsi="Times New Roman" w:cs="Times New Roman"/>
          <w:b/>
          <w:bCs/>
          <w:sz w:val="24"/>
          <w:szCs w:val="24"/>
          <w:shd w:val="clear" w:color="auto" w:fill="FFFFFF"/>
          <w:lang w:val="en-NZ" w:eastAsia="en-US"/>
        </w:rPr>
      </w:pPr>
      <w:r w:rsidRPr="00712B16">
        <w:rPr>
          <w:rFonts w:ascii="Times New Roman" w:eastAsia="Calibri" w:hAnsi="Times New Roman" w:cs="Times New Roman"/>
          <w:sz w:val="24"/>
          <w:szCs w:val="24"/>
          <w:shd w:val="clear" w:color="auto" w:fill="FFFFFF"/>
          <w:lang w:val="en-NZ" w:eastAsia="en-US"/>
        </w:rPr>
        <w:t>Table</w:t>
      </w:r>
      <w:r w:rsidR="00691C47" w:rsidRPr="00712B16">
        <w:rPr>
          <w:rFonts w:ascii="Times New Roman" w:eastAsia="Calibri" w:hAnsi="Times New Roman" w:cs="Times New Roman"/>
          <w:sz w:val="24"/>
          <w:szCs w:val="24"/>
          <w:shd w:val="clear" w:color="auto" w:fill="FFFFFF"/>
          <w:lang w:val="en-NZ" w:eastAsia="en-US"/>
        </w:rPr>
        <w:t xml:space="preserve"> of </w:t>
      </w:r>
      <w:r w:rsidR="00B27F8B" w:rsidRPr="00712B16">
        <w:rPr>
          <w:rFonts w:ascii="Times New Roman" w:hAnsi="Times New Roman" w:cs="Times New Roman"/>
          <w:sz w:val="24"/>
          <w:szCs w:val="24"/>
        </w:rPr>
        <w:t>Supplementary Material B</w:t>
      </w:r>
      <w:r w:rsidR="00691C47" w:rsidRPr="00712B16">
        <w:rPr>
          <w:rFonts w:ascii="Times New Roman" w:eastAsia="Calibri" w:hAnsi="Times New Roman" w:cs="Times New Roman"/>
          <w:sz w:val="24"/>
          <w:szCs w:val="24"/>
          <w:shd w:val="clear" w:color="auto" w:fill="FFFFFF"/>
          <w:lang w:val="en-NZ" w:eastAsia="en-US"/>
        </w:rPr>
        <w:t>:</w:t>
      </w:r>
      <w:r w:rsidRPr="00712B16">
        <w:rPr>
          <w:rFonts w:ascii="Times New Roman" w:eastAsia="Calibri" w:hAnsi="Times New Roman" w:cs="Times New Roman"/>
          <w:sz w:val="24"/>
          <w:szCs w:val="24"/>
          <w:shd w:val="clear" w:color="auto" w:fill="FFFFFF"/>
          <w:lang w:val="en-NZ" w:eastAsia="en-US"/>
        </w:rPr>
        <w:t xml:space="preserve"> Change in net zero commitment level for Germany</w:t>
      </w:r>
    </w:p>
    <w:tbl>
      <w:tblPr>
        <w:tblStyle w:val="TableGrid21"/>
        <w:tblW w:w="8364" w:type="dxa"/>
        <w:tblInd w:w="-5" w:type="dxa"/>
        <w:tblLayout w:type="fixed"/>
        <w:tblLook w:val="04A0" w:firstRow="1" w:lastRow="0" w:firstColumn="1" w:lastColumn="0" w:noHBand="0" w:noVBand="1"/>
      </w:tblPr>
      <w:tblGrid>
        <w:gridCol w:w="3402"/>
        <w:gridCol w:w="1418"/>
        <w:gridCol w:w="1984"/>
        <w:gridCol w:w="1560"/>
      </w:tblGrid>
      <w:tr w:rsidR="00712B16" w:rsidRPr="00712B16" w14:paraId="6B87A778" w14:textId="77777777" w:rsidTr="00B3079A">
        <w:trPr>
          <w:trHeight w:val="629"/>
        </w:trPr>
        <w:tc>
          <w:tcPr>
            <w:tcW w:w="3402" w:type="dxa"/>
          </w:tcPr>
          <w:p w14:paraId="6A224DA6" w14:textId="77777777" w:rsidR="00021525" w:rsidRPr="00712B16" w:rsidRDefault="00021525" w:rsidP="00F5282F">
            <w:pPr>
              <w:widowControl w:val="0"/>
              <w:spacing w:after="0" w:line="240" w:lineRule="auto"/>
              <w:jc w:val="both"/>
              <w:rPr>
                <w:rFonts w:ascii="Times New Roman" w:eastAsia="DengXian" w:hAnsi="Times New Roman" w:cs="Times New Roman"/>
                <w:b/>
                <w:bCs/>
                <w:sz w:val="24"/>
                <w:szCs w:val="24"/>
              </w:rPr>
            </w:pPr>
            <w:r w:rsidRPr="00712B16">
              <w:rPr>
                <w:rFonts w:ascii="Times New Roman" w:eastAsia="DengXian" w:hAnsi="Times New Roman" w:cs="Times New Roman"/>
                <w:b/>
                <w:bCs/>
                <w:sz w:val="24"/>
                <w:szCs w:val="24"/>
              </w:rPr>
              <w:t>Evidence</w:t>
            </w:r>
          </w:p>
        </w:tc>
        <w:tc>
          <w:tcPr>
            <w:tcW w:w="1418" w:type="dxa"/>
          </w:tcPr>
          <w:p w14:paraId="4109D23D" w14:textId="77777777" w:rsidR="00021525" w:rsidRPr="00712B16" w:rsidRDefault="00021525" w:rsidP="00F5282F">
            <w:pPr>
              <w:widowControl w:val="0"/>
              <w:spacing w:after="0" w:line="240" w:lineRule="auto"/>
              <w:jc w:val="both"/>
              <w:rPr>
                <w:rFonts w:ascii="Times New Roman" w:eastAsia="DengXian" w:hAnsi="Times New Roman" w:cs="Times New Roman"/>
                <w:b/>
                <w:bCs/>
                <w:sz w:val="24"/>
                <w:szCs w:val="24"/>
              </w:rPr>
            </w:pPr>
            <w:r w:rsidRPr="00712B16">
              <w:rPr>
                <w:rFonts w:ascii="Times New Roman" w:eastAsia="DengXian" w:hAnsi="Times New Roman" w:cs="Times New Roman"/>
                <w:b/>
                <w:bCs/>
                <w:sz w:val="24"/>
                <w:szCs w:val="24"/>
              </w:rPr>
              <w:t xml:space="preserve">Status </w:t>
            </w:r>
          </w:p>
        </w:tc>
        <w:tc>
          <w:tcPr>
            <w:tcW w:w="1984" w:type="dxa"/>
          </w:tcPr>
          <w:p w14:paraId="30D34E72" w14:textId="77777777" w:rsidR="00021525" w:rsidRPr="00712B16" w:rsidRDefault="00021525" w:rsidP="00F5282F">
            <w:pPr>
              <w:widowControl w:val="0"/>
              <w:spacing w:after="0" w:line="240" w:lineRule="auto"/>
              <w:jc w:val="both"/>
              <w:rPr>
                <w:rFonts w:ascii="Times New Roman" w:eastAsia="DengXian" w:hAnsi="Times New Roman" w:cs="Times New Roman"/>
                <w:b/>
                <w:bCs/>
                <w:sz w:val="24"/>
                <w:szCs w:val="24"/>
              </w:rPr>
            </w:pPr>
            <w:r w:rsidRPr="00712B16">
              <w:rPr>
                <w:rFonts w:ascii="Times New Roman" w:eastAsia="DengXian" w:hAnsi="Times New Roman" w:cs="Times New Roman"/>
                <w:b/>
                <w:bCs/>
                <w:sz w:val="24"/>
                <w:szCs w:val="24"/>
              </w:rPr>
              <w:t>Year(s) in the sample period</w:t>
            </w:r>
          </w:p>
        </w:tc>
        <w:tc>
          <w:tcPr>
            <w:tcW w:w="1560" w:type="dxa"/>
          </w:tcPr>
          <w:p w14:paraId="35752E8D" w14:textId="50E62B19" w:rsidR="00021525" w:rsidRPr="00712B16" w:rsidRDefault="00706306" w:rsidP="00F5282F">
            <w:pPr>
              <w:widowControl w:val="0"/>
              <w:spacing w:after="0" w:line="240" w:lineRule="auto"/>
              <w:jc w:val="both"/>
              <w:rPr>
                <w:rFonts w:ascii="Times New Roman" w:eastAsia="DengXian" w:hAnsi="Times New Roman" w:cs="Times New Roman"/>
                <w:b/>
                <w:bCs/>
                <w:sz w:val="24"/>
                <w:szCs w:val="24"/>
              </w:rPr>
            </w:pPr>
            <w:r w:rsidRPr="00712B16">
              <w:rPr>
                <w:rFonts w:ascii="Times New Roman" w:eastAsia="DengXian" w:hAnsi="Times New Roman" w:cs="Times New Roman"/>
                <w:b/>
                <w:bCs/>
                <w:sz w:val="24"/>
                <w:szCs w:val="24"/>
              </w:rPr>
              <w:t>Coding for the net zero intensity variable</w:t>
            </w:r>
          </w:p>
        </w:tc>
      </w:tr>
      <w:tr w:rsidR="00712B16" w:rsidRPr="00712B16" w14:paraId="4C59CD46" w14:textId="77777777" w:rsidTr="00B3079A">
        <w:tc>
          <w:tcPr>
            <w:tcW w:w="3402" w:type="dxa"/>
          </w:tcPr>
          <w:p w14:paraId="4E30950A" w14:textId="77777777" w:rsidR="00021525" w:rsidRPr="00712B16" w:rsidRDefault="00021525" w:rsidP="00F5282F">
            <w:pPr>
              <w:widowControl w:val="0"/>
              <w:spacing w:after="0" w:line="240" w:lineRule="auto"/>
              <w:jc w:val="both"/>
              <w:rPr>
                <w:rFonts w:ascii="Times New Roman" w:eastAsia="DengXian" w:hAnsi="Times New Roman" w:cs="Times New Roman"/>
                <w:sz w:val="24"/>
                <w:szCs w:val="24"/>
              </w:rPr>
            </w:pPr>
            <w:r w:rsidRPr="00712B16">
              <w:rPr>
                <w:rFonts w:ascii="Times New Roman" w:eastAsia="DengXian" w:hAnsi="Times New Roman" w:cs="Times New Roman"/>
                <w:sz w:val="24"/>
                <w:szCs w:val="24"/>
              </w:rPr>
              <w:t>Not applicable</w:t>
            </w:r>
          </w:p>
        </w:tc>
        <w:tc>
          <w:tcPr>
            <w:tcW w:w="1418" w:type="dxa"/>
          </w:tcPr>
          <w:p w14:paraId="38D27095" w14:textId="77777777" w:rsidR="00021525" w:rsidRPr="00712B16" w:rsidRDefault="00021525" w:rsidP="00F5282F">
            <w:pPr>
              <w:widowControl w:val="0"/>
              <w:spacing w:after="0" w:line="240" w:lineRule="auto"/>
              <w:jc w:val="both"/>
              <w:rPr>
                <w:rFonts w:ascii="Times New Roman" w:eastAsia="DengXian" w:hAnsi="Times New Roman" w:cs="Times New Roman"/>
                <w:sz w:val="24"/>
                <w:szCs w:val="24"/>
              </w:rPr>
            </w:pPr>
            <w:r w:rsidRPr="00712B16">
              <w:rPr>
                <w:rFonts w:ascii="Times New Roman" w:eastAsia="DengXian" w:hAnsi="Times New Roman" w:cs="Times New Roman"/>
                <w:sz w:val="24"/>
                <w:szCs w:val="24"/>
              </w:rPr>
              <w:t>Not applicable</w:t>
            </w:r>
          </w:p>
        </w:tc>
        <w:tc>
          <w:tcPr>
            <w:tcW w:w="1984" w:type="dxa"/>
          </w:tcPr>
          <w:p w14:paraId="7C35D6B2" w14:textId="77777777" w:rsidR="00021525" w:rsidRPr="00712B16" w:rsidRDefault="00021525" w:rsidP="00F5282F">
            <w:pPr>
              <w:widowControl w:val="0"/>
              <w:spacing w:after="0" w:line="240" w:lineRule="auto"/>
              <w:jc w:val="both"/>
              <w:rPr>
                <w:rFonts w:ascii="Times New Roman" w:eastAsia="DengXian" w:hAnsi="Times New Roman" w:cs="Times New Roman"/>
                <w:sz w:val="24"/>
                <w:szCs w:val="24"/>
              </w:rPr>
            </w:pPr>
            <w:r w:rsidRPr="00712B16">
              <w:rPr>
                <w:rFonts w:ascii="Times New Roman" w:eastAsia="DengXian" w:hAnsi="Times New Roman" w:cs="Times New Roman"/>
                <w:sz w:val="24"/>
                <w:szCs w:val="24"/>
              </w:rPr>
              <w:t>2011-2015</w:t>
            </w:r>
          </w:p>
        </w:tc>
        <w:tc>
          <w:tcPr>
            <w:tcW w:w="1560" w:type="dxa"/>
          </w:tcPr>
          <w:p w14:paraId="387A7150" w14:textId="77777777" w:rsidR="00021525" w:rsidRPr="00712B16" w:rsidRDefault="00021525" w:rsidP="00F5282F">
            <w:pPr>
              <w:widowControl w:val="0"/>
              <w:spacing w:after="0" w:line="240" w:lineRule="auto"/>
              <w:jc w:val="both"/>
              <w:rPr>
                <w:rFonts w:ascii="Times New Roman" w:eastAsia="DengXian" w:hAnsi="Times New Roman" w:cs="Times New Roman"/>
                <w:sz w:val="24"/>
                <w:szCs w:val="24"/>
              </w:rPr>
            </w:pPr>
            <w:r w:rsidRPr="00712B16">
              <w:rPr>
                <w:rFonts w:ascii="Times New Roman" w:eastAsia="DengXian" w:hAnsi="Times New Roman" w:cs="Times New Roman"/>
                <w:sz w:val="24"/>
                <w:szCs w:val="24"/>
              </w:rPr>
              <w:t>0</w:t>
            </w:r>
          </w:p>
        </w:tc>
      </w:tr>
      <w:tr w:rsidR="00712B16" w:rsidRPr="00712B16" w14:paraId="3550A81E" w14:textId="77777777" w:rsidTr="00B3079A">
        <w:tc>
          <w:tcPr>
            <w:tcW w:w="3402" w:type="dxa"/>
          </w:tcPr>
          <w:p w14:paraId="2C24CDA6" w14:textId="77777777" w:rsidR="00021525" w:rsidRPr="00712B16" w:rsidRDefault="00021525" w:rsidP="00F5282F">
            <w:pPr>
              <w:widowControl w:val="0"/>
              <w:spacing w:after="0" w:line="240" w:lineRule="auto"/>
              <w:jc w:val="both"/>
              <w:rPr>
                <w:rFonts w:ascii="Times New Roman" w:eastAsia="DengXian" w:hAnsi="Times New Roman" w:cs="Times New Roman"/>
                <w:sz w:val="24"/>
                <w:szCs w:val="24"/>
                <w:lang w:val="en-AU"/>
              </w:rPr>
            </w:pPr>
            <w:r w:rsidRPr="00712B16">
              <w:rPr>
                <w:rFonts w:ascii="Times New Roman" w:eastAsia="DengXian" w:hAnsi="Times New Roman" w:cs="Times New Roman"/>
                <w:sz w:val="24"/>
                <w:szCs w:val="24"/>
              </w:rPr>
              <w:t>Germany outlined domestic reduction targets for 2020, 2030, and 2040, which were still at the discussion stage in 2016.</w:t>
            </w:r>
          </w:p>
        </w:tc>
        <w:tc>
          <w:tcPr>
            <w:tcW w:w="1418" w:type="dxa"/>
          </w:tcPr>
          <w:p w14:paraId="1AF21D44" w14:textId="77777777" w:rsidR="00021525" w:rsidRPr="00712B16" w:rsidRDefault="00021525" w:rsidP="00F5282F">
            <w:pPr>
              <w:widowControl w:val="0"/>
              <w:spacing w:after="0" w:line="240" w:lineRule="auto"/>
              <w:jc w:val="both"/>
              <w:rPr>
                <w:rFonts w:ascii="Times New Roman" w:eastAsia="DengXian" w:hAnsi="Times New Roman" w:cs="Times New Roman"/>
                <w:sz w:val="24"/>
                <w:szCs w:val="24"/>
              </w:rPr>
            </w:pPr>
            <w:r w:rsidRPr="00712B16">
              <w:rPr>
                <w:rFonts w:ascii="Times New Roman" w:eastAsia="DengXian" w:hAnsi="Times New Roman" w:cs="Times New Roman"/>
                <w:sz w:val="24"/>
                <w:szCs w:val="24"/>
              </w:rPr>
              <w:t>Proposed/in discussion</w:t>
            </w:r>
          </w:p>
        </w:tc>
        <w:tc>
          <w:tcPr>
            <w:tcW w:w="1984" w:type="dxa"/>
          </w:tcPr>
          <w:p w14:paraId="555989E0" w14:textId="77777777" w:rsidR="00021525" w:rsidRPr="00712B16" w:rsidRDefault="00021525" w:rsidP="00F5282F">
            <w:pPr>
              <w:widowControl w:val="0"/>
              <w:spacing w:after="0" w:line="240" w:lineRule="auto"/>
              <w:jc w:val="both"/>
              <w:rPr>
                <w:rFonts w:ascii="Times New Roman" w:eastAsia="DengXian" w:hAnsi="Times New Roman" w:cs="Times New Roman"/>
                <w:sz w:val="24"/>
                <w:szCs w:val="24"/>
              </w:rPr>
            </w:pPr>
            <w:r w:rsidRPr="00712B16">
              <w:rPr>
                <w:rFonts w:ascii="Times New Roman" w:eastAsia="DengXian" w:hAnsi="Times New Roman" w:cs="Times New Roman"/>
                <w:sz w:val="24"/>
                <w:szCs w:val="24"/>
              </w:rPr>
              <w:t>2016-2018</w:t>
            </w:r>
          </w:p>
        </w:tc>
        <w:tc>
          <w:tcPr>
            <w:tcW w:w="1560" w:type="dxa"/>
          </w:tcPr>
          <w:p w14:paraId="670B3DD9" w14:textId="77777777" w:rsidR="00021525" w:rsidRPr="00712B16" w:rsidRDefault="00021525" w:rsidP="00F5282F">
            <w:pPr>
              <w:widowControl w:val="0"/>
              <w:spacing w:after="0" w:line="240" w:lineRule="auto"/>
              <w:jc w:val="both"/>
              <w:rPr>
                <w:rFonts w:ascii="Times New Roman" w:eastAsia="DengXian" w:hAnsi="Times New Roman" w:cs="Times New Roman"/>
                <w:sz w:val="24"/>
                <w:szCs w:val="24"/>
              </w:rPr>
            </w:pPr>
            <w:r w:rsidRPr="00712B16">
              <w:rPr>
                <w:rFonts w:ascii="Times New Roman" w:eastAsia="DengXian" w:hAnsi="Times New Roman" w:cs="Times New Roman"/>
                <w:sz w:val="24"/>
                <w:szCs w:val="24"/>
              </w:rPr>
              <w:t>1</w:t>
            </w:r>
          </w:p>
        </w:tc>
      </w:tr>
      <w:tr w:rsidR="00712B16" w:rsidRPr="00712B16" w14:paraId="0FF9AB55" w14:textId="77777777" w:rsidTr="00B3079A">
        <w:tc>
          <w:tcPr>
            <w:tcW w:w="3402" w:type="dxa"/>
          </w:tcPr>
          <w:p w14:paraId="724E4B28" w14:textId="6F7054DF" w:rsidR="00021525" w:rsidRPr="00712B16" w:rsidRDefault="00021525" w:rsidP="00F5282F">
            <w:pPr>
              <w:widowControl w:val="0"/>
              <w:spacing w:after="0" w:line="240" w:lineRule="auto"/>
              <w:jc w:val="both"/>
              <w:rPr>
                <w:rFonts w:ascii="Times New Roman" w:eastAsia="DengXian" w:hAnsi="Times New Roman" w:cs="Times New Roman"/>
                <w:sz w:val="24"/>
                <w:szCs w:val="24"/>
              </w:rPr>
            </w:pPr>
            <w:r w:rsidRPr="00712B16">
              <w:rPr>
                <w:rFonts w:ascii="Times New Roman" w:eastAsia="DengXian" w:hAnsi="Times New Roman" w:cs="Times New Roman"/>
                <w:sz w:val="24"/>
                <w:szCs w:val="24"/>
              </w:rPr>
              <w:t>In 2019, Chancellor Angela Merkel pledged to make Germany carbon neutral by 2050 (Climate Home News, 2019</w:t>
            </w:r>
            <w:r w:rsidR="008E241E" w:rsidRPr="00712B16">
              <w:rPr>
                <w:rFonts w:ascii="Times New Roman" w:eastAsia="DengXian" w:hAnsi="Times New Roman" w:cs="Times New Roman"/>
                <w:sz w:val="24"/>
                <w:szCs w:val="24"/>
              </w:rPr>
              <w:t>a</w:t>
            </w:r>
            <w:r w:rsidRPr="00712B16">
              <w:rPr>
                <w:rFonts w:ascii="Times New Roman" w:eastAsia="DengXian" w:hAnsi="Times New Roman" w:cs="Times New Roman"/>
                <w:sz w:val="24"/>
                <w:szCs w:val="24"/>
              </w:rPr>
              <w:t xml:space="preserve">). </w:t>
            </w:r>
          </w:p>
        </w:tc>
        <w:tc>
          <w:tcPr>
            <w:tcW w:w="1418" w:type="dxa"/>
          </w:tcPr>
          <w:p w14:paraId="40A62994" w14:textId="77777777" w:rsidR="00021525" w:rsidRPr="00712B16" w:rsidRDefault="00021525" w:rsidP="00F5282F">
            <w:pPr>
              <w:widowControl w:val="0"/>
              <w:spacing w:after="0" w:line="240" w:lineRule="auto"/>
              <w:jc w:val="both"/>
              <w:rPr>
                <w:rFonts w:ascii="Times New Roman" w:eastAsia="DengXian" w:hAnsi="Times New Roman" w:cs="Times New Roman"/>
                <w:sz w:val="24"/>
                <w:szCs w:val="24"/>
              </w:rPr>
            </w:pPr>
            <w:r w:rsidRPr="00712B16">
              <w:rPr>
                <w:rFonts w:ascii="Times New Roman" w:eastAsia="DengXian" w:hAnsi="Times New Roman" w:cs="Times New Roman"/>
                <w:sz w:val="24"/>
                <w:szCs w:val="24"/>
                <w:lang w:val="en-AU"/>
              </w:rPr>
              <w:t>Declaration</w:t>
            </w:r>
          </w:p>
          <w:p w14:paraId="4195E9E8" w14:textId="77777777" w:rsidR="00021525" w:rsidRPr="00712B16" w:rsidRDefault="00021525" w:rsidP="00F5282F">
            <w:pPr>
              <w:widowControl w:val="0"/>
              <w:spacing w:after="0" w:line="240" w:lineRule="auto"/>
              <w:jc w:val="both"/>
              <w:rPr>
                <w:rFonts w:ascii="Times New Roman" w:eastAsia="DengXian" w:hAnsi="Times New Roman" w:cs="Times New Roman"/>
                <w:sz w:val="24"/>
                <w:szCs w:val="24"/>
              </w:rPr>
            </w:pPr>
            <w:r w:rsidRPr="00712B16">
              <w:rPr>
                <w:rFonts w:ascii="Times New Roman" w:eastAsia="DengXian" w:hAnsi="Times New Roman" w:cs="Times New Roman"/>
                <w:sz w:val="24"/>
                <w:szCs w:val="24"/>
                <w:lang w:val="en-AU"/>
              </w:rPr>
              <w:t>/</w:t>
            </w:r>
            <w:proofErr w:type="gramStart"/>
            <w:r w:rsidRPr="00712B16">
              <w:rPr>
                <w:rFonts w:ascii="Times New Roman" w:eastAsia="DengXian" w:hAnsi="Times New Roman" w:cs="Times New Roman"/>
                <w:sz w:val="24"/>
                <w:szCs w:val="24"/>
                <w:lang w:val="en-AU"/>
              </w:rPr>
              <w:t>pledge</w:t>
            </w:r>
            <w:proofErr w:type="gramEnd"/>
          </w:p>
        </w:tc>
        <w:tc>
          <w:tcPr>
            <w:tcW w:w="1984" w:type="dxa"/>
          </w:tcPr>
          <w:p w14:paraId="2F3B4CA3" w14:textId="77777777" w:rsidR="00021525" w:rsidRPr="00712B16" w:rsidRDefault="00021525" w:rsidP="00F5282F">
            <w:pPr>
              <w:widowControl w:val="0"/>
              <w:spacing w:after="0" w:line="240" w:lineRule="auto"/>
              <w:jc w:val="both"/>
              <w:rPr>
                <w:rFonts w:ascii="Times New Roman" w:eastAsia="DengXian" w:hAnsi="Times New Roman" w:cs="Times New Roman"/>
                <w:sz w:val="24"/>
                <w:szCs w:val="24"/>
                <w:lang w:val="en-AU"/>
              </w:rPr>
            </w:pPr>
            <w:r w:rsidRPr="00712B16">
              <w:rPr>
                <w:rFonts w:ascii="Times New Roman" w:eastAsia="DengXian" w:hAnsi="Times New Roman" w:cs="Times New Roman"/>
                <w:sz w:val="24"/>
                <w:szCs w:val="24"/>
              </w:rPr>
              <w:t>2019</w:t>
            </w:r>
          </w:p>
        </w:tc>
        <w:tc>
          <w:tcPr>
            <w:tcW w:w="1560" w:type="dxa"/>
          </w:tcPr>
          <w:p w14:paraId="10F7DD83" w14:textId="77777777" w:rsidR="00021525" w:rsidRPr="00712B16" w:rsidRDefault="00021525" w:rsidP="00F5282F">
            <w:pPr>
              <w:widowControl w:val="0"/>
              <w:spacing w:after="0" w:line="240" w:lineRule="auto"/>
              <w:jc w:val="both"/>
              <w:rPr>
                <w:rFonts w:ascii="Times New Roman" w:eastAsia="DengXian" w:hAnsi="Times New Roman" w:cs="Times New Roman"/>
                <w:sz w:val="24"/>
                <w:szCs w:val="24"/>
              </w:rPr>
            </w:pPr>
            <w:r w:rsidRPr="00712B16">
              <w:rPr>
                <w:rFonts w:ascii="Times New Roman" w:eastAsia="DengXian" w:hAnsi="Times New Roman" w:cs="Times New Roman"/>
                <w:sz w:val="24"/>
                <w:szCs w:val="24"/>
              </w:rPr>
              <w:t>2</w:t>
            </w:r>
          </w:p>
        </w:tc>
      </w:tr>
      <w:tr w:rsidR="00712B16" w:rsidRPr="00712B16" w14:paraId="2356DCF7" w14:textId="77777777" w:rsidTr="00B3079A">
        <w:trPr>
          <w:trHeight w:val="963"/>
        </w:trPr>
        <w:tc>
          <w:tcPr>
            <w:tcW w:w="3402" w:type="dxa"/>
          </w:tcPr>
          <w:p w14:paraId="782E8CF4" w14:textId="77777777" w:rsidR="00021525" w:rsidRPr="00712B16" w:rsidRDefault="00021525" w:rsidP="00F5282F">
            <w:pPr>
              <w:widowControl w:val="0"/>
              <w:spacing w:after="0" w:line="240" w:lineRule="auto"/>
              <w:jc w:val="both"/>
              <w:rPr>
                <w:rFonts w:ascii="Times New Roman" w:eastAsia="DengXian" w:hAnsi="Times New Roman" w:cs="Times New Roman"/>
                <w:sz w:val="24"/>
                <w:szCs w:val="24"/>
              </w:rPr>
            </w:pPr>
            <w:r w:rsidRPr="00712B16">
              <w:rPr>
                <w:rFonts w:ascii="Times New Roman" w:eastAsia="DengXian" w:hAnsi="Times New Roman" w:cs="Times New Roman"/>
                <w:sz w:val="24"/>
                <w:szCs w:val="24"/>
              </w:rPr>
              <w:t xml:space="preserve">Germany’s Integrated National Energy and Climate Plan is classified as having policy status in 2020 (European Commission, 2020).  </w:t>
            </w:r>
          </w:p>
        </w:tc>
        <w:tc>
          <w:tcPr>
            <w:tcW w:w="1418" w:type="dxa"/>
          </w:tcPr>
          <w:p w14:paraId="2CE26BDF" w14:textId="77777777" w:rsidR="00021525" w:rsidRPr="00712B16" w:rsidRDefault="00021525" w:rsidP="00F5282F">
            <w:pPr>
              <w:widowControl w:val="0"/>
              <w:spacing w:after="0" w:line="240" w:lineRule="auto"/>
              <w:jc w:val="both"/>
              <w:rPr>
                <w:rFonts w:ascii="Times New Roman" w:eastAsia="DengXian" w:hAnsi="Times New Roman" w:cs="Times New Roman"/>
                <w:sz w:val="24"/>
                <w:szCs w:val="24"/>
              </w:rPr>
            </w:pPr>
            <w:r w:rsidRPr="00712B16">
              <w:rPr>
                <w:rFonts w:ascii="Times New Roman" w:eastAsia="DengXian" w:hAnsi="Times New Roman" w:cs="Times New Roman"/>
                <w:sz w:val="24"/>
                <w:szCs w:val="24"/>
              </w:rPr>
              <w:t>In policy document</w:t>
            </w:r>
          </w:p>
        </w:tc>
        <w:tc>
          <w:tcPr>
            <w:tcW w:w="1984" w:type="dxa"/>
          </w:tcPr>
          <w:p w14:paraId="05510DFA" w14:textId="77777777" w:rsidR="00021525" w:rsidRPr="00712B16" w:rsidRDefault="00021525" w:rsidP="00F5282F">
            <w:pPr>
              <w:widowControl w:val="0"/>
              <w:spacing w:after="0" w:line="240" w:lineRule="auto"/>
              <w:jc w:val="both"/>
              <w:rPr>
                <w:rFonts w:ascii="Times New Roman" w:eastAsia="DengXian" w:hAnsi="Times New Roman" w:cs="Times New Roman"/>
                <w:sz w:val="24"/>
                <w:szCs w:val="24"/>
              </w:rPr>
            </w:pPr>
            <w:r w:rsidRPr="00712B16">
              <w:rPr>
                <w:rFonts w:ascii="Times New Roman" w:eastAsia="DengXian" w:hAnsi="Times New Roman" w:cs="Times New Roman"/>
                <w:sz w:val="24"/>
                <w:szCs w:val="24"/>
              </w:rPr>
              <w:t>2020</w:t>
            </w:r>
          </w:p>
        </w:tc>
        <w:tc>
          <w:tcPr>
            <w:tcW w:w="1560" w:type="dxa"/>
          </w:tcPr>
          <w:p w14:paraId="1191D9A2" w14:textId="77777777" w:rsidR="00021525" w:rsidRPr="00712B16" w:rsidRDefault="00021525" w:rsidP="00F5282F">
            <w:pPr>
              <w:widowControl w:val="0"/>
              <w:spacing w:after="0" w:line="240" w:lineRule="auto"/>
              <w:jc w:val="both"/>
              <w:rPr>
                <w:rFonts w:ascii="Times New Roman" w:eastAsia="DengXian" w:hAnsi="Times New Roman" w:cs="Times New Roman"/>
                <w:sz w:val="24"/>
                <w:szCs w:val="24"/>
              </w:rPr>
            </w:pPr>
            <w:r w:rsidRPr="00712B16">
              <w:rPr>
                <w:rFonts w:ascii="Times New Roman" w:eastAsia="DengXian" w:hAnsi="Times New Roman" w:cs="Times New Roman"/>
                <w:sz w:val="24"/>
                <w:szCs w:val="24"/>
              </w:rPr>
              <w:t>3</w:t>
            </w:r>
          </w:p>
        </w:tc>
      </w:tr>
      <w:tr w:rsidR="00712B16" w:rsidRPr="00712B16" w14:paraId="0CC726BF" w14:textId="77777777" w:rsidTr="00B3079A">
        <w:tc>
          <w:tcPr>
            <w:tcW w:w="3402" w:type="dxa"/>
          </w:tcPr>
          <w:p w14:paraId="5667C3A6" w14:textId="77777777" w:rsidR="00021525" w:rsidRPr="00712B16" w:rsidRDefault="00021525" w:rsidP="00F5282F">
            <w:pPr>
              <w:widowControl w:val="0"/>
              <w:spacing w:after="0" w:line="240" w:lineRule="auto"/>
              <w:jc w:val="both"/>
              <w:rPr>
                <w:rFonts w:ascii="Times New Roman" w:eastAsia="DengXian" w:hAnsi="Times New Roman" w:cs="Times New Roman"/>
                <w:sz w:val="24"/>
                <w:szCs w:val="24"/>
              </w:rPr>
            </w:pPr>
            <w:r w:rsidRPr="00712B16">
              <w:rPr>
                <w:rFonts w:ascii="Times New Roman" w:eastAsia="DengXian" w:hAnsi="Times New Roman" w:cs="Times New Roman"/>
                <w:sz w:val="24"/>
                <w:szCs w:val="24"/>
              </w:rPr>
              <w:t xml:space="preserve">In June 2021, Germany adopted its 2045 net zero target in its revised climate law (Climate Action Tracker, 2025). </w:t>
            </w:r>
          </w:p>
        </w:tc>
        <w:tc>
          <w:tcPr>
            <w:tcW w:w="1418" w:type="dxa"/>
          </w:tcPr>
          <w:p w14:paraId="65C9A1ED" w14:textId="77777777" w:rsidR="00021525" w:rsidRPr="00712B16" w:rsidRDefault="00021525" w:rsidP="00F5282F">
            <w:pPr>
              <w:widowControl w:val="0"/>
              <w:spacing w:after="0" w:line="240" w:lineRule="auto"/>
              <w:jc w:val="both"/>
              <w:rPr>
                <w:rFonts w:ascii="Times New Roman" w:eastAsia="DengXian" w:hAnsi="Times New Roman" w:cs="Times New Roman"/>
                <w:sz w:val="24"/>
                <w:szCs w:val="24"/>
              </w:rPr>
            </w:pPr>
            <w:r w:rsidRPr="00712B16">
              <w:rPr>
                <w:rFonts w:ascii="Times New Roman" w:eastAsia="DengXian" w:hAnsi="Times New Roman" w:cs="Times New Roman"/>
                <w:sz w:val="24"/>
                <w:szCs w:val="24"/>
              </w:rPr>
              <w:t>In law</w:t>
            </w:r>
          </w:p>
        </w:tc>
        <w:tc>
          <w:tcPr>
            <w:tcW w:w="1984" w:type="dxa"/>
          </w:tcPr>
          <w:p w14:paraId="0355ED26" w14:textId="77777777" w:rsidR="00021525" w:rsidRPr="00712B16" w:rsidRDefault="00021525" w:rsidP="00F5282F">
            <w:pPr>
              <w:widowControl w:val="0"/>
              <w:spacing w:after="0" w:line="240" w:lineRule="auto"/>
              <w:jc w:val="both"/>
              <w:rPr>
                <w:rFonts w:ascii="Times New Roman" w:eastAsia="DengXian" w:hAnsi="Times New Roman" w:cs="Times New Roman"/>
                <w:sz w:val="24"/>
                <w:szCs w:val="24"/>
              </w:rPr>
            </w:pPr>
            <w:r w:rsidRPr="00712B16">
              <w:rPr>
                <w:rFonts w:ascii="Times New Roman" w:eastAsia="DengXian" w:hAnsi="Times New Roman" w:cs="Times New Roman"/>
                <w:sz w:val="24"/>
                <w:szCs w:val="24"/>
              </w:rPr>
              <w:t>2021</w:t>
            </w:r>
          </w:p>
        </w:tc>
        <w:tc>
          <w:tcPr>
            <w:tcW w:w="1560" w:type="dxa"/>
          </w:tcPr>
          <w:p w14:paraId="12777B70" w14:textId="77777777" w:rsidR="00021525" w:rsidRPr="00712B16" w:rsidRDefault="00021525" w:rsidP="00F5282F">
            <w:pPr>
              <w:widowControl w:val="0"/>
              <w:spacing w:after="0" w:line="240" w:lineRule="auto"/>
              <w:jc w:val="both"/>
              <w:rPr>
                <w:rFonts w:ascii="Times New Roman" w:eastAsia="DengXian" w:hAnsi="Times New Roman" w:cs="Times New Roman"/>
                <w:sz w:val="24"/>
                <w:szCs w:val="24"/>
              </w:rPr>
            </w:pPr>
            <w:r w:rsidRPr="00712B16">
              <w:rPr>
                <w:rFonts w:ascii="Times New Roman" w:eastAsia="DengXian" w:hAnsi="Times New Roman" w:cs="Times New Roman"/>
                <w:sz w:val="24"/>
                <w:szCs w:val="24"/>
              </w:rPr>
              <w:t>4</w:t>
            </w:r>
          </w:p>
        </w:tc>
      </w:tr>
    </w:tbl>
    <w:p w14:paraId="7E672E52" w14:textId="77777777" w:rsidR="00B3079A" w:rsidRPr="00712B16" w:rsidRDefault="00B3079A" w:rsidP="00DC688F">
      <w:pPr>
        <w:spacing w:after="0" w:line="240" w:lineRule="auto"/>
        <w:jc w:val="both"/>
        <w:rPr>
          <w:rFonts w:ascii="Times New Roman" w:eastAsia="Calibri" w:hAnsi="Times New Roman" w:cs="Times New Roman"/>
          <w:sz w:val="24"/>
          <w:szCs w:val="24"/>
          <w:lang w:val="en-NZ" w:eastAsia="en-US"/>
        </w:rPr>
      </w:pPr>
    </w:p>
    <w:p w14:paraId="1674E059" w14:textId="6DC8C950" w:rsidR="00021525" w:rsidRPr="00712B16" w:rsidRDefault="00021525" w:rsidP="00DC688F">
      <w:pPr>
        <w:spacing w:after="0" w:line="240" w:lineRule="auto"/>
        <w:jc w:val="both"/>
        <w:rPr>
          <w:rFonts w:ascii="Times New Roman" w:eastAsia="Calibri" w:hAnsi="Times New Roman" w:cs="Times New Roman"/>
          <w:sz w:val="24"/>
          <w:szCs w:val="24"/>
          <w:lang w:val="en-NZ" w:eastAsia="en-US"/>
        </w:rPr>
      </w:pPr>
      <w:r w:rsidRPr="00712B16">
        <w:rPr>
          <w:rFonts w:ascii="Times New Roman" w:eastAsia="Calibri" w:hAnsi="Times New Roman" w:cs="Times New Roman"/>
          <w:sz w:val="24"/>
          <w:szCs w:val="24"/>
          <w:lang w:val="en-NZ" w:eastAsia="en-US"/>
        </w:rPr>
        <w:t xml:space="preserve">As shown in Table </w:t>
      </w:r>
      <w:r w:rsidR="00691C47" w:rsidRPr="00712B16">
        <w:rPr>
          <w:rFonts w:ascii="Times New Roman" w:eastAsia="Calibri" w:hAnsi="Times New Roman" w:cs="Times New Roman"/>
          <w:sz w:val="24"/>
          <w:szCs w:val="24"/>
          <w:lang w:val="en-NZ" w:eastAsia="en-US"/>
        </w:rPr>
        <w:t xml:space="preserve">of </w:t>
      </w:r>
      <w:r w:rsidR="00B27F8B" w:rsidRPr="00712B16">
        <w:rPr>
          <w:rFonts w:ascii="Times New Roman" w:hAnsi="Times New Roman" w:cs="Times New Roman"/>
          <w:sz w:val="24"/>
          <w:szCs w:val="24"/>
        </w:rPr>
        <w:t>Supplementary Material B</w:t>
      </w:r>
      <w:r w:rsidRPr="00712B16">
        <w:rPr>
          <w:rFonts w:ascii="Times New Roman" w:eastAsia="Calibri" w:hAnsi="Times New Roman" w:cs="Times New Roman"/>
          <w:sz w:val="24"/>
          <w:szCs w:val="24"/>
          <w:lang w:val="en-NZ" w:eastAsia="en-US"/>
        </w:rPr>
        <w:t>, Germany is coded zero (i.e., no discussion) for the period 2011-2015 before the country made any commitment to the net zero target. Between 2016-2018, we coded their net zero commitment as 1 (proposed/in discussion). We continue to update our coding based on the progress in their commitment level by assigning a score of 2 (declaration/pledge) in 2019, 3 (in policy document) in 2020, and 4 (in law) in 2021.</w:t>
      </w:r>
    </w:p>
    <w:p w14:paraId="25BF11DC" w14:textId="20992C4D" w:rsidR="00A97CD6" w:rsidRPr="00712B16" w:rsidRDefault="00A97CD6" w:rsidP="00F5282F">
      <w:pPr>
        <w:spacing w:after="0" w:line="240" w:lineRule="auto"/>
        <w:rPr>
          <w:rFonts w:ascii="Times New Roman" w:eastAsia="Calibri" w:hAnsi="Times New Roman" w:cs="Times New Roman"/>
          <w:sz w:val="24"/>
          <w:szCs w:val="24"/>
          <w:lang w:val="en-NZ" w:eastAsia="en-US"/>
        </w:rPr>
      </w:pPr>
    </w:p>
    <w:sectPr w:rsidR="00A97CD6" w:rsidRPr="00712B16" w:rsidSect="00522E41">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3EDF1" w14:textId="77777777" w:rsidR="003767D7" w:rsidRDefault="003767D7">
      <w:pPr>
        <w:spacing w:line="240" w:lineRule="auto"/>
      </w:pPr>
      <w:r>
        <w:separator/>
      </w:r>
    </w:p>
  </w:endnote>
  <w:endnote w:type="continuationSeparator" w:id="0">
    <w:p w14:paraId="37387598" w14:textId="77777777" w:rsidR="003767D7" w:rsidRDefault="003767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dy CS)">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785564"/>
      <w:docPartObj>
        <w:docPartGallery w:val="Page Numbers (Bottom of Page)"/>
        <w:docPartUnique/>
      </w:docPartObj>
    </w:sdtPr>
    <w:sdtEndPr>
      <w:rPr>
        <w:noProof/>
      </w:rPr>
    </w:sdtEndPr>
    <w:sdtContent>
      <w:p w14:paraId="31DBC823" w14:textId="3E4F3259" w:rsidR="00FF0ED3" w:rsidRDefault="00FF0ED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ABF74C" w14:textId="77777777" w:rsidR="00FF0ED3" w:rsidRDefault="00FF0E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D183A" w14:textId="77777777" w:rsidR="003767D7" w:rsidRDefault="003767D7">
      <w:pPr>
        <w:spacing w:after="0"/>
      </w:pPr>
      <w:r>
        <w:separator/>
      </w:r>
    </w:p>
  </w:footnote>
  <w:footnote w:type="continuationSeparator" w:id="0">
    <w:p w14:paraId="76DE2DB5" w14:textId="77777777" w:rsidR="003767D7" w:rsidRDefault="003767D7">
      <w:pPr>
        <w:spacing w:after="0"/>
      </w:pPr>
      <w:r>
        <w:continuationSeparator/>
      </w:r>
    </w:p>
  </w:footnote>
  <w:footnote w:id="1">
    <w:p w14:paraId="59C63C54" w14:textId="05FF7FCB" w:rsidR="00FF0ED3" w:rsidRPr="00B11A80" w:rsidRDefault="00FF0ED3" w:rsidP="00A60039">
      <w:pPr>
        <w:pStyle w:val="FootnoteText"/>
        <w:jc w:val="both"/>
        <w:rPr>
          <w:rFonts w:ascii="Times New Roman" w:hAnsi="Times New Roman" w:cs="Times New Roman"/>
          <w:lang w:val="en-AU"/>
        </w:rPr>
      </w:pPr>
      <w:r w:rsidRPr="00A60039">
        <w:rPr>
          <w:rStyle w:val="FootnoteReference"/>
          <w:rFonts w:ascii="Times New Roman" w:hAnsi="Times New Roman" w:cs="Times New Roman"/>
        </w:rPr>
        <w:footnoteRef/>
      </w:r>
      <w:r w:rsidRPr="00A60039">
        <w:rPr>
          <w:rFonts w:ascii="Times New Roman" w:hAnsi="Times New Roman" w:cs="Times New Roman"/>
        </w:rPr>
        <w:t xml:space="preserve"> The release of greenhouse gas (GHG) </w:t>
      </w:r>
      <w:r w:rsidRPr="00B11A80">
        <w:rPr>
          <w:rFonts w:ascii="Times New Roman" w:hAnsi="Times New Roman" w:cs="Times New Roman"/>
        </w:rPr>
        <w:t>emissions into the atmosphere has been a significant contributor to the phenomena of global warming and climate change (Dehghani-</w:t>
      </w:r>
      <w:proofErr w:type="spellStart"/>
      <w:r w:rsidRPr="00B11A80">
        <w:rPr>
          <w:rFonts w:ascii="Times New Roman" w:hAnsi="Times New Roman" w:cs="Times New Roman"/>
        </w:rPr>
        <w:t>Sanij</w:t>
      </w:r>
      <w:proofErr w:type="spellEnd"/>
      <w:r w:rsidRPr="00B11A80">
        <w:rPr>
          <w:rFonts w:ascii="Times New Roman" w:hAnsi="Times New Roman" w:cs="Times New Roman"/>
        </w:rPr>
        <w:t xml:space="preserve"> &amp; Bahadori, 2021; Hook &amp; Tang, 2013). As a result of climate change, the rise in temperatures has had far-reaching impacts on numerous facets of human life, including the trajectory of global economic growth. The World Economic Forum (2022) has expressly ranked ‘climate action failure’ and ‘extreme weather’ as the most serious and second-most serious global risks, respectively, for the upcoming decade. These threats, in turn, prompt countries </w:t>
      </w:r>
      <w:r>
        <w:rPr>
          <w:rFonts w:ascii="Times New Roman" w:hAnsi="Times New Roman" w:cs="Times New Roman"/>
        </w:rPr>
        <w:t>to commit to</w:t>
      </w:r>
      <w:r w:rsidRPr="00B11A80">
        <w:rPr>
          <w:rFonts w:ascii="Times New Roman" w:hAnsi="Times New Roman" w:cs="Times New Roman"/>
        </w:rPr>
        <w:t xml:space="preserve"> a </w:t>
      </w:r>
      <w:r>
        <w:rPr>
          <w:rFonts w:ascii="Times New Roman" w:hAnsi="Times New Roman" w:cs="Times New Roman"/>
        </w:rPr>
        <w:t>net zero</w:t>
      </w:r>
      <w:r w:rsidRPr="00B11A80">
        <w:rPr>
          <w:rFonts w:ascii="Times New Roman" w:hAnsi="Times New Roman" w:cs="Times New Roman"/>
        </w:rPr>
        <w:t xml:space="preserve"> target.  </w:t>
      </w:r>
    </w:p>
  </w:footnote>
  <w:footnote w:id="2">
    <w:p w14:paraId="355A3E0F" w14:textId="35D65242" w:rsidR="00FF0ED3" w:rsidRPr="00435AB5" w:rsidRDefault="00FF0ED3" w:rsidP="00BC790F">
      <w:pPr>
        <w:pStyle w:val="FootnoteText"/>
        <w:jc w:val="both"/>
        <w:rPr>
          <w:rFonts w:ascii="Times New Roman" w:hAnsi="Times New Roman" w:cs="Times New Roman"/>
          <w:lang w:val="en-AU"/>
        </w:rPr>
      </w:pPr>
      <w:r w:rsidRPr="002325DD">
        <w:rPr>
          <w:rStyle w:val="FootnoteReference"/>
          <w:rFonts w:ascii="Times New Roman" w:hAnsi="Times New Roman" w:cs="Times New Roman"/>
        </w:rPr>
        <w:footnoteRef/>
      </w:r>
      <w:r w:rsidRPr="002325DD">
        <w:rPr>
          <w:rFonts w:ascii="Times New Roman" w:hAnsi="Times New Roman" w:cs="Times New Roman"/>
        </w:rPr>
        <w:t xml:space="preserve"> For countries that have committed to a net zero target, the governments introduce public policy interventions aimed at businesses, requiring them to modify their operations in line with the net zero target (PwC Global, 2021). The policy interventions encompass various measures, such as prohibiting and phasing out high-pollution activities, reforming fossil fuel subsidies, implementing taxation measures, setting standards for new products and fuel, and enforcing mandatory disclosure of environmental, social, and governance (ESG) performance and climate risk. These interventions aim to address and mitigate the environmental impact of industries and promote sustainability practices in businesses.</w:t>
      </w:r>
    </w:p>
  </w:footnote>
  <w:footnote w:id="3">
    <w:p w14:paraId="64BC651F" w14:textId="3CA6FF79" w:rsidR="00FF0ED3" w:rsidRPr="007026A1" w:rsidRDefault="00FF0ED3" w:rsidP="00102CEA">
      <w:pPr>
        <w:pStyle w:val="FootnoteText"/>
        <w:jc w:val="both"/>
        <w:rPr>
          <w:rFonts w:ascii="Times New Roman" w:hAnsi="Times New Roman" w:cs="Times New Roman"/>
          <w:lang w:val="en-AU"/>
        </w:rPr>
      </w:pPr>
      <w:r w:rsidRPr="00095ACE">
        <w:rPr>
          <w:rStyle w:val="FootnoteReference"/>
          <w:rFonts w:ascii="Times New Roman" w:hAnsi="Times New Roman" w:cs="Times New Roman"/>
        </w:rPr>
        <w:footnoteRef/>
      </w:r>
      <w:r w:rsidRPr="00095ACE">
        <w:rPr>
          <w:rFonts w:ascii="Times New Roman" w:hAnsi="Times New Roman" w:cs="Times New Roman"/>
        </w:rPr>
        <w:t xml:space="preserve"> In addition to governmental pressure</w:t>
      </w:r>
      <w:r w:rsidRPr="007026A1">
        <w:rPr>
          <w:rFonts w:ascii="Times New Roman" w:hAnsi="Times New Roman" w:cs="Times New Roman"/>
        </w:rPr>
        <w:t>, some notable financial institutions and investors have also begun advocating for net zero targets, thereby requiring firms to reduce carbon emissions. This demonstrates their commitment to a net zero investment portfolio by allocating their assets to firms dedicated to reducing their carbon footprints (Energetics, 2021). Consequently, the race to achieve a net zero target prompts countries and firms to take the necessary steps to mitigate the risks of destruction caused by climate change (United Nations, 2020). Therefore, the issue of net zero target commitment and its consequences are worthy of investigation, given that the transition to net zero necessitates substantial financial commitments from both countries and firms</w:t>
      </w:r>
    </w:p>
  </w:footnote>
  <w:footnote w:id="4">
    <w:p w14:paraId="6A4BDE13" w14:textId="01847D8A" w:rsidR="00FF0ED3" w:rsidRPr="00435AB5" w:rsidRDefault="00FF0ED3" w:rsidP="00E37098">
      <w:pPr>
        <w:pStyle w:val="FootnoteText"/>
        <w:jc w:val="both"/>
        <w:rPr>
          <w:rFonts w:ascii="Times New Roman" w:hAnsi="Times New Roman" w:cs="Times New Roman"/>
          <w:lang w:val="en-AU"/>
        </w:rPr>
      </w:pPr>
      <w:r w:rsidRPr="00D4601C">
        <w:rPr>
          <w:rStyle w:val="FootnoteReference"/>
          <w:rFonts w:ascii="Times New Roman" w:hAnsi="Times New Roman" w:cs="Times New Roman"/>
        </w:rPr>
        <w:footnoteRef/>
      </w:r>
      <w:r w:rsidRPr="00D4601C">
        <w:rPr>
          <w:rFonts w:ascii="Times New Roman" w:hAnsi="Times New Roman" w:cs="Times New Roman"/>
        </w:rPr>
        <w:t xml:space="preserve"> </w:t>
      </w:r>
      <w:r w:rsidRPr="00D4601C">
        <w:rPr>
          <w:rFonts w:ascii="Times New Roman" w:eastAsia="SimSun" w:hAnsi="Times New Roman" w:cs="Times New Roman"/>
          <w:lang w:bidi="ar"/>
        </w:rPr>
        <w:t xml:space="preserve">Most studies on REM have primarily focused on the opportunistic reduction of research and development (R&amp;D) expenditures to decrease corporate expenses (Roychowdhury, 2006). For instance, Dechow and Sloan (1991) suggest that CEOs reduce spending on R&amp;D to increase short-term earnings toward the end of their tenure. This view is supported by Baber </w:t>
      </w:r>
      <w:r w:rsidRPr="00D4601C">
        <w:rPr>
          <w:rFonts w:ascii="Times New Roman" w:eastAsia="SimSun" w:hAnsi="Times New Roman" w:cs="Times New Roman"/>
          <w:i/>
          <w:lang w:bidi="ar"/>
        </w:rPr>
        <w:t>et al</w:t>
      </w:r>
      <w:r w:rsidRPr="00D4601C">
        <w:rPr>
          <w:rFonts w:ascii="Times New Roman" w:eastAsia="SimSun" w:hAnsi="Times New Roman" w:cs="Times New Roman"/>
          <w:lang w:bidi="ar"/>
        </w:rPr>
        <w:t xml:space="preserve">. (1991) and Bushee (1998), who find that managers decrease R&amp;D expenditures to meet earnings benchmarks. A survey by Graham </w:t>
      </w:r>
      <w:r w:rsidRPr="00D4601C">
        <w:rPr>
          <w:rFonts w:ascii="Times New Roman" w:eastAsia="SimSun" w:hAnsi="Times New Roman" w:cs="Times New Roman"/>
          <w:i/>
          <w:lang w:bidi="ar"/>
        </w:rPr>
        <w:t>et al</w:t>
      </w:r>
      <w:r w:rsidRPr="00D4601C">
        <w:rPr>
          <w:rFonts w:ascii="Times New Roman" w:eastAsia="SimSun" w:hAnsi="Times New Roman" w:cs="Times New Roman"/>
          <w:lang w:bidi="ar"/>
        </w:rPr>
        <w:t>. (2005) documents that 80% of managers would reduce R&amp;D, advertising, and maintenance expenditures to meet short-term earnings targets. Furthermore, 55% of managers claim that they would postpone a new project with positive net present value (NPV), even though such REM may sacrifice firm value in future periods. This suggests that managers are more likely to smooth earnings through REM, even though it may negatively affect firms' long-term profitability.</w:t>
      </w:r>
    </w:p>
  </w:footnote>
  <w:footnote w:id="5">
    <w:p w14:paraId="563C2647" w14:textId="77777777" w:rsidR="00FF0ED3" w:rsidRPr="00435AB5" w:rsidRDefault="00FF0ED3" w:rsidP="008B0CA8">
      <w:pPr>
        <w:pStyle w:val="FootnoteText"/>
        <w:jc w:val="both"/>
        <w:rPr>
          <w:rFonts w:ascii="Times New Roman" w:hAnsi="Times New Roman" w:cs="Times New Roman"/>
        </w:rPr>
      </w:pPr>
      <w:r w:rsidRPr="00F675B7">
        <w:rPr>
          <w:rStyle w:val="FootnoteReference"/>
          <w:rFonts w:ascii="Times New Roman" w:hAnsi="Times New Roman" w:cs="Times New Roman"/>
        </w:rPr>
        <w:footnoteRef/>
      </w:r>
      <w:r w:rsidRPr="00F675B7">
        <w:rPr>
          <w:rFonts w:ascii="Times New Roman" w:hAnsi="Times New Roman" w:cs="Times New Roman"/>
        </w:rPr>
        <w:t xml:space="preserve"> A recent meta-analysis study by </w:t>
      </w:r>
      <w:proofErr w:type="spellStart"/>
      <w:r w:rsidRPr="00F675B7">
        <w:rPr>
          <w:rFonts w:ascii="Times New Roman" w:hAnsi="Times New Roman" w:cs="Times New Roman"/>
        </w:rPr>
        <w:t>Klaaßen</w:t>
      </w:r>
      <w:proofErr w:type="spellEnd"/>
      <w:r w:rsidRPr="00F675B7">
        <w:rPr>
          <w:rFonts w:ascii="Times New Roman" w:hAnsi="Times New Roman" w:cs="Times New Roman"/>
        </w:rPr>
        <w:t xml:space="preserve"> and Steffen (2023) investigates the required technology-level investment shifts for climate-relevant infrastructure until 2035. The study documents a steep uptick in overall investment required, with approximately €300 billion investment needed in 2021-2025, representing an increase of €87 billion compared to the previous five years. </w:t>
      </w:r>
    </w:p>
  </w:footnote>
  <w:footnote w:id="6">
    <w:p w14:paraId="5C9561E2" w14:textId="650A84B5" w:rsidR="00FF0ED3" w:rsidRPr="00435AB5" w:rsidRDefault="00FF0ED3" w:rsidP="008B0CA8">
      <w:pPr>
        <w:pStyle w:val="FootnoteText"/>
        <w:jc w:val="both"/>
        <w:rPr>
          <w:rFonts w:ascii="Times New Roman" w:hAnsi="Times New Roman" w:cs="Times New Roman"/>
        </w:rPr>
      </w:pPr>
      <w:r w:rsidRPr="00F675B7">
        <w:rPr>
          <w:rStyle w:val="FootnoteReference"/>
          <w:rFonts w:ascii="Times New Roman" w:hAnsi="Times New Roman" w:cs="Times New Roman"/>
        </w:rPr>
        <w:footnoteRef/>
      </w:r>
      <w:r w:rsidRPr="00F675B7">
        <w:rPr>
          <w:rFonts w:ascii="Times New Roman" w:hAnsi="Times New Roman" w:cs="Times New Roman"/>
        </w:rPr>
        <w:t xml:space="preserve"> T</w:t>
      </w:r>
      <w:r w:rsidRPr="00F675B7">
        <w:rPr>
          <w:rFonts w:ascii="Times New Roman" w:hAnsi="Times New Roman" w:cs="Times New Roman"/>
          <w:bCs/>
          <w:iCs/>
        </w:rPr>
        <w:t xml:space="preserve">o further illustrate the practical relevance of our research, we have now provided some anecdotal evidence of how the net zero target commitment has exerted non-trivial financial pressure on affected firms. Several of Europe's largest steelmakers such as ArcelorMittal Europe, ThyssenKrupp, and SSAB announced net zero emissions target and implement relative emissions reduction strategies. For example, ArcelorMittal Europe set the route to achieve net zero target by 2050, through breakthrough technologies at the forefront of the firm’s roadmap for steelmaking decarbonization. Especially, “Smart Carbon” </w:t>
      </w:r>
      <w:r w:rsidRPr="00F675B7">
        <w:rPr>
          <w:rFonts w:ascii="Times New Roman" w:hAnsi="Times New Roman" w:cs="Times New Roman"/>
          <w:bCs/>
          <w:iCs/>
          <w:lang w:val="en-GB"/>
        </w:rPr>
        <w:t xml:space="preserve">is a carbon neutral steelmaking route that leverages all clean energies (e.g., circular carbon, clean electricity and carbon capture and storage) within the high temperature-controlled reduction environment of steel making. Another route is direct reduced iron, which involves moving from using predominantly natural gas, to hydrogen as the key reductant in steel making. With growth in the supply of green hydrogen, the steelmaking process comes close to carbon neutrality. By investing in both routes, ArcelorMittal Europe can significantly reduce GHG emissions </w:t>
      </w:r>
      <w:r w:rsidR="00117DDC">
        <w:rPr>
          <w:rFonts w:ascii="Times New Roman" w:hAnsi="Times New Roman" w:cs="Times New Roman"/>
          <w:bCs/>
          <w:iCs/>
          <w:lang w:val="en-GB"/>
        </w:rPr>
        <w:t>for moving toward the</w:t>
      </w:r>
      <w:r w:rsidRPr="00F675B7">
        <w:rPr>
          <w:rFonts w:ascii="Times New Roman" w:hAnsi="Times New Roman" w:cs="Times New Roman"/>
          <w:bCs/>
          <w:iCs/>
          <w:lang w:val="en-GB"/>
        </w:rPr>
        <w:t xml:space="preserve"> net zero emissions target achievement </w:t>
      </w:r>
      <w:r w:rsidRPr="00F675B7">
        <w:rPr>
          <w:rFonts w:ascii="Times New Roman" w:hAnsi="Times New Roman" w:cs="Times New Roman"/>
          <w:bCs/>
          <w:iCs/>
        </w:rPr>
        <w:t>(ArcelorMittal, 2022). In December 2024, however, ArcelorMittal has announced a delay in its planned green steel investments due to challenges posed by regulatory uncertainty and the substantial economic pressures that the firm faces in achieving emissions targets.</w:t>
      </w:r>
    </w:p>
  </w:footnote>
  <w:footnote w:id="7">
    <w:p w14:paraId="336795F8" w14:textId="47581787" w:rsidR="00FF0ED3" w:rsidRPr="00EE2035" w:rsidRDefault="00FF0ED3" w:rsidP="00452C3B">
      <w:pPr>
        <w:pStyle w:val="FootnoteText"/>
        <w:jc w:val="both"/>
        <w:rPr>
          <w:rFonts w:ascii="Times New Roman" w:hAnsi="Times New Roman" w:cs="Times New Roman"/>
          <w:lang w:val="en-AU"/>
        </w:rPr>
      </w:pPr>
      <w:r>
        <w:rPr>
          <w:rStyle w:val="FootnoteReference"/>
          <w:rFonts w:ascii="Times New Roman" w:hAnsi="Times New Roman" w:cs="Times New Roman"/>
        </w:rPr>
        <w:footnoteRef/>
      </w:r>
      <w:r>
        <w:rPr>
          <w:rFonts w:ascii="Times New Roman" w:hAnsi="Times New Roman" w:cs="Times New Roman"/>
        </w:rPr>
        <w:t xml:space="preserve"> The significant reduction on the sample size with CSR score is because of the limited availability of CSR score for the sample firms. </w:t>
      </w:r>
      <w:r w:rsidRPr="00EE2035">
        <w:rPr>
          <w:rFonts w:ascii="Times New Roman" w:eastAsia="SimSun" w:hAnsi="Times New Roman" w:cs="Times New Roman"/>
          <w:bCs/>
          <w:iCs/>
        </w:rPr>
        <w:t xml:space="preserve">Refinitiv (formerly ASSET4) is a leading corporate social responsibility database which has been extensively used in the prior literature investigating CSR-related issues in different country settings (see, for example, Chen et al., 2025; </w:t>
      </w:r>
      <w:r w:rsidRPr="00EE2035">
        <w:rPr>
          <w:rFonts w:ascii="Times New Roman" w:eastAsia="SimSun" w:hAnsi="Times New Roman" w:cs="Times New Roman"/>
        </w:rPr>
        <w:t xml:space="preserve">Cheng et al., 2014; Dyck et al., 2019; </w:t>
      </w:r>
      <w:r w:rsidRPr="00EE2035">
        <w:rPr>
          <w:rFonts w:ascii="Times New Roman" w:eastAsia="SimSun" w:hAnsi="Times New Roman" w:cs="Times New Roman"/>
          <w:lang w:val="en-AU"/>
        </w:rPr>
        <w:t>Ferrell et al., 2016</w:t>
      </w:r>
      <w:r w:rsidRPr="00EE2035">
        <w:rPr>
          <w:rFonts w:ascii="Times New Roman" w:eastAsia="SimSun" w:hAnsi="Times New Roman" w:cs="Times New Roman"/>
        </w:rPr>
        <w:t>). The substantial reduction in the sample size observed in our study after merging with the Refinitiv ESG database is not uncommon and largely consistent with prior studies examining CSR at the international level (e.g., Chen et al., 2025; Cohen et al., 2023). For example, Chen et al. (2025) experience an approximately 87% decrease in their sample when they incorporate the ESG performance data from ASSET4, which is comparable to that of our study.</w:t>
      </w:r>
    </w:p>
  </w:footnote>
  <w:footnote w:id="8">
    <w:p w14:paraId="5AD80B9A" w14:textId="5603FC55" w:rsidR="00FF0ED3" w:rsidRPr="00455EAD" w:rsidRDefault="00FF0ED3" w:rsidP="00455EAD">
      <w:pPr>
        <w:pStyle w:val="FootnoteText"/>
        <w:jc w:val="both"/>
        <w:rPr>
          <w:rFonts w:ascii="Times New Roman" w:hAnsi="Times New Roman" w:cs="Times New Roman"/>
          <w:lang w:val="en-AU"/>
        </w:rPr>
      </w:pPr>
      <w:r w:rsidRPr="00455EAD">
        <w:rPr>
          <w:rStyle w:val="FootnoteReference"/>
          <w:rFonts w:ascii="Times New Roman" w:hAnsi="Times New Roman" w:cs="Times New Roman"/>
        </w:rPr>
        <w:footnoteRef/>
      </w:r>
      <w:r w:rsidRPr="00455EAD">
        <w:rPr>
          <w:rFonts w:ascii="Times New Roman" w:hAnsi="Times New Roman" w:cs="Times New Roman"/>
        </w:rPr>
        <w:t xml:space="preserve"> The use of square values indicates a stronger commitment tha</w:t>
      </w:r>
      <w:r>
        <w:rPr>
          <w:rFonts w:ascii="Times New Roman" w:hAnsi="Times New Roman" w:cs="Times New Roman"/>
        </w:rPr>
        <w:t>t</w:t>
      </w:r>
      <w:r w:rsidRPr="00455EAD">
        <w:rPr>
          <w:rFonts w:ascii="Times New Roman" w:hAnsi="Times New Roman" w:cs="Times New Roman"/>
        </w:rPr>
        <w:t xml:space="preserve"> increases exponentially with a different </w:t>
      </w:r>
      <w:r>
        <w:rPr>
          <w:rFonts w:ascii="Times New Roman" w:hAnsi="Times New Roman" w:cs="Times New Roman"/>
        </w:rPr>
        <w:t>commitment level</w:t>
      </w:r>
      <w:r w:rsidRPr="00455EAD">
        <w:rPr>
          <w:rFonts w:ascii="Times New Roman" w:hAnsi="Times New Roman" w:cs="Times New Roman"/>
        </w:rPr>
        <w:t xml:space="preserve">. </w:t>
      </w:r>
      <w:r w:rsidRPr="00455EAD">
        <w:rPr>
          <w:rFonts w:ascii="Times New Roman" w:hAnsi="Times New Roman" w:cs="Times New Roman"/>
          <w:lang w:val="en-AU"/>
        </w:rPr>
        <w:t xml:space="preserve">Squaring allows us to model the </w:t>
      </w:r>
      <w:r w:rsidRPr="00455EAD">
        <w:rPr>
          <w:rFonts w:ascii="Times New Roman" w:hAnsi="Times New Roman" w:cs="Times New Roman"/>
          <w:i/>
          <w:iCs/>
          <w:lang w:val="en-AU"/>
        </w:rPr>
        <w:t>convex escalation</w:t>
      </w:r>
      <w:r w:rsidRPr="00455EAD">
        <w:rPr>
          <w:rFonts w:ascii="Times New Roman" w:hAnsi="Times New Roman" w:cs="Times New Roman"/>
          <w:lang w:val="en-AU"/>
        </w:rPr>
        <w:t xml:space="preserve"> in regulatory intensity, where the difference between 3 (policy document) and 4 (law) is assumed to be much larger than the difference between 1 (proposal) and 2 (pledge).</w:t>
      </w:r>
      <w:r w:rsidRPr="00455EAD">
        <w:rPr>
          <w:rFonts w:ascii="Times New Roman" w:hAnsi="Times New Roman" w:cs="Times New Roman"/>
          <w:bCs/>
          <w:iCs/>
        </w:rPr>
        <w:t xml:space="preserve"> The refined score represents the different commitment levels for the net zero target, with the assumption that the impact of net zero target commitment in law (score of 16) is significantly more than the impact when it is in the policy document (score of 9) or is a declaration/pledge (score of 4).</w:t>
      </w:r>
    </w:p>
  </w:footnote>
  <w:footnote w:id="9">
    <w:p w14:paraId="3658EF4E" w14:textId="0EB95360" w:rsidR="00FF0ED3" w:rsidRPr="00435AB5" w:rsidRDefault="00FF0ED3" w:rsidP="004A0825">
      <w:pPr>
        <w:pStyle w:val="FootnoteText"/>
        <w:jc w:val="both"/>
        <w:rPr>
          <w:rFonts w:ascii="Times New Roman" w:hAnsi="Times New Roman" w:cs="Times New Roman"/>
          <w:lang w:val="en-AU"/>
        </w:rPr>
      </w:pPr>
      <w:r w:rsidRPr="002325DD">
        <w:rPr>
          <w:rStyle w:val="FootnoteReference"/>
          <w:rFonts w:ascii="Times New Roman" w:hAnsi="Times New Roman" w:cs="Times New Roman"/>
        </w:rPr>
        <w:footnoteRef/>
      </w:r>
      <w:r w:rsidRPr="002325DD">
        <w:rPr>
          <w:rFonts w:ascii="Times New Roman" w:hAnsi="Times New Roman" w:cs="Times New Roman"/>
        </w:rPr>
        <w:t xml:space="preserve"> </w:t>
      </w:r>
      <w:r w:rsidRPr="002325DD">
        <w:rPr>
          <w:rFonts w:ascii="Times New Roman" w:hAnsi="Times New Roman" w:cs="Times New Roman"/>
          <w:bCs/>
          <w:iCs/>
          <w:lang w:val="en-AU"/>
        </w:rPr>
        <w:t>We acknowledge that some studies in this literature report the mean values of the REM measures that are close to zero. One possible explanation to this observation is that this difference in descriptive statistics could be driven by the underlying nature of the sample, i.e., an inherent difference in the research setting. Specifically, most of these prior REM studies are conducted in the U.S. setting whereas our study is based on 71 countries with the exclusion of the U.S. from the main sample to avoid potential dominance of results given its significant market size and number of observations in the global study. We have also carefully reviewed the REM literature and documented a number of studies that show comparable mean values of the REM measures to those reported in our paper. For example, in a study by Kim and Sohn (2013), the mean values of abnormal cash flow from operations, abnormal production costs, and abnormal discretionary expenditures are 0.069, 0.143, and 0.141, respectively.</w:t>
      </w:r>
    </w:p>
  </w:footnote>
  <w:footnote w:id="10">
    <w:p w14:paraId="57F7047B" w14:textId="7A1E7AB3" w:rsidR="00FF0ED3" w:rsidRPr="00435AB5" w:rsidRDefault="00FF0ED3" w:rsidP="008B0777">
      <w:pPr>
        <w:pStyle w:val="FootnoteText"/>
        <w:jc w:val="both"/>
      </w:pPr>
      <w:r w:rsidRPr="00435AB5">
        <w:rPr>
          <w:rStyle w:val="FootnoteReference"/>
          <w:rFonts w:ascii="Times New Roman" w:hAnsi="Times New Roman" w:cs="Times New Roman"/>
        </w:rPr>
        <w:footnoteRef/>
      </w:r>
      <w:r w:rsidRPr="00435AB5">
        <w:rPr>
          <w:rFonts w:ascii="Times New Roman" w:hAnsi="Times New Roman" w:cs="Times New Roman"/>
        </w:rPr>
        <w:t xml:space="preserve"> Results are consistent when only firms headquartered in countries that have committed to a net zero target are included in the sample. For example, the coefficient on </w:t>
      </w:r>
      <w:r w:rsidRPr="00435AB5">
        <w:rPr>
          <w:rFonts w:ascii="Times New Roman" w:hAnsi="Times New Roman" w:cs="Times New Roman"/>
          <w:i/>
          <w:iCs/>
        </w:rPr>
        <w:t>REM_SUM</w:t>
      </w:r>
      <w:r w:rsidRPr="00435AB5">
        <w:rPr>
          <w:rFonts w:ascii="Times New Roman" w:hAnsi="Times New Roman" w:cs="Times New Roman"/>
        </w:rPr>
        <w:t xml:space="preserve"> is 0.072 and is significant at the 1 percent level (t-stat = 11.32). Similarly, the coefficients on </w:t>
      </w:r>
      <w:r w:rsidRPr="00435AB5">
        <w:rPr>
          <w:rFonts w:ascii="Times New Roman" w:hAnsi="Times New Roman" w:cs="Times New Roman"/>
          <w:i/>
          <w:iCs/>
        </w:rPr>
        <w:t>REM_CFO</w:t>
      </w:r>
      <w:r w:rsidRPr="00435AB5">
        <w:rPr>
          <w:rFonts w:ascii="Times New Roman" w:hAnsi="Times New Roman" w:cs="Times New Roman"/>
        </w:rPr>
        <w:t xml:space="preserve">, </w:t>
      </w:r>
      <w:r w:rsidRPr="00435AB5">
        <w:rPr>
          <w:rFonts w:ascii="Times New Roman" w:hAnsi="Times New Roman" w:cs="Times New Roman"/>
          <w:i/>
          <w:iCs/>
        </w:rPr>
        <w:t>REM_PRODCOST</w:t>
      </w:r>
      <w:r w:rsidRPr="00435AB5">
        <w:rPr>
          <w:rFonts w:ascii="Times New Roman" w:hAnsi="Times New Roman" w:cs="Times New Roman"/>
        </w:rPr>
        <w:t xml:space="preserve"> and </w:t>
      </w:r>
      <w:r w:rsidRPr="00435AB5">
        <w:rPr>
          <w:rFonts w:ascii="Times New Roman" w:hAnsi="Times New Roman" w:cs="Times New Roman"/>
          <w:i/>
          <w:iCs/>
        </w:rPr>
        <w:t>REM_DISEXP</w:t>
      </w:r>
      <w:r w:rsidRPr="00435AB5">
        <w:rPr>
          <w:rFonts w:ascii="Times New Roman" w:hAnsi="Times New Roman" w:cs="Times New Roman"/>
        </w:rPr>
        <w:t xml:space="preserve"> are positive and statistically significant at the 1 percent level. Results are not tabulated to conserve space.</w:t>
      </w:r>
    </w:p>
  </w:footnote>
  <w:footnote w:id="11">
    <w:p w14:paraId="3F86657C" w14:textId="57448EC6" w:rsidR="00FF0ED3" w:rsidRPr="00435AB5" w:rsidRDefault="00FF0ED3" w:rsidP="00784FEB">
      <w:pPr>
        <w:pStyle w:val="FootnoteText"/>
        <w:jc w:val="both"/>
        <w:rPr>
          <w:rFonts w:ascii="Times New Roman" w:hAnsi="Times New Roman" w:cs="Times New Roman"/>
          <w:lang w:val="en-AU"/>
        </w:rPr>
      </w:pPr>
      <w:r w:rsidRPr="002325DD">
        <w:rPr>
          <w:rStyle w:val="FootnoteReference"/>
          <w:rFonts w:ascii="Times New Roman" w:hAnsi="Times New Roman" w:cs="Times New Roman"/>
        </w:rPr>
        <w:footnoteRef/>
      </w:r>
      <w:r w:rsidRPr="002325DD">
        <w:rPr>
          <w:rFonts w:ascii="Times New Roman" w:hAnsi="Times New Roman" w:cs="Times New Roman"/>
        </w:rPr>
        <w:t xml:space="preserve"> </w:t>
      </w:r>
      <w:r w:rsidRPr="002325DD">
        <w:rPr>
          <w:rFonts w:ascii="Times New Roman" w:hAnsi="Times New Roman" w:cs="Times New Roman"/>
          <w:lang w:val="en-AU"/>
        </w:rPr>
        <w:t xml:space="preserve">To ascertain the robustness of our main findings, we </w:t>
      </w:r>
      <w:r w:rsidRPr="002325DD">
        <w:rPr>
          <w:rFonts w:ascii="Times New Roman" w:hAnsi="Times New Roman" w:cs="Times New Roman"/>
          <w:bCs/>
          <w:iCs/>
          <w:lang w:val="en-AU"/>
        </w:rPr>
        <w:t xml:space="preserve">exclude the control variables </w:t>
      </w:r>
      <w:r w:rsidRPr="002325DD">
        <w:rPr>
          <w:rFonts w:ascii="Times New Roman" w:hAnsi="Times New Roman" w:cs="Times New Roman"/>
          <w:bCs/>
          <w:i/>
          <w:lang w:val="en-AU"/>
        </w:rPr>
        <w:t>CASH</w:t>
      </w:r>
      <w:r w:rsidRPr="002325DD">
        <w:rPr>
          <w:rFonts w:ascii="Times New Roman" w:hAnsi="Times New Roman" w:cs="Times New Roman"/>
          <w:bCs/>
          <w:iCs/>
          <w:lang w:val="en-AU"/>
        </w:rPr>
        <w:t xml:space="preserve">, </w:t>
      </w:r>
      <w:r w:rsidRPr="002325DD">
        <w:rPr>
          <w:rFonts w:ascii="Times New Roman" w:hAnsi="Times New Roman" w:cs="Times New Roman"/>
          <w:bCs/>
          <w:i/>
          <w:lang w:val="en-AU"/>
        </w:rPr>
        <w:t>SGA</w:t>
      </w:r>
      <w:r w:rsidRPr="002325DD">
        <w:rPr>
          <w:rFonts w:ascii="Times New Roman" w:hAnsi="Times New Roman" w:cs="Times New Roman"/>
          <w:bCs/>
          <w:iCs/>
          <w:lang w:val="en-AU"/>
        </w:rPr>
        <w:t xml:space="preserve">, and </w:t>
      </w:r>
      <w:r w:rsidRPr="002325DD">
        <w:rPr>
          <w:rFonts w:ascii="Times New Roman" w:hAnsi="Times New Roman" w:cs="Times New Roman"/>
          <w:bCs/>
          <w:i/>
          <w:lang w:val="en-AU"/>
        </w:rPr>
        <w:t>R&amp;D</w:t>
      </w:r>
      <w:r w:rsidRPr="002325DD">
        <w:rPr>
          <w:rFonts w:ascii="Times New Roman" w:hAnsi="Times New Roman" w:cs="Times New Roman"/>
          <w:bCs/>
          <w:iCs/>
          <w:lang w:val="en-AU"/>
        </w:rPr>
        <w:t xml:space="preserve"> from our main model, and re-run our analysis. The results (</w:t>
      </w:r>
      <w:proofErr w:type="spellStart"/>
      <w:r w:rsidRPr="002325DD">
        <w:rPr>
          <w:rFonts w:ascii="Times New Roman" w:hAnsi="Times New Roman" w:cs="Times New Roman"/>
          <w:bCs/>
          <w:iCs/>
          <w:lang w:val="en-AU"/>
        </w:rPr>
        <w:t>untabulated</w:t>
      </w:r>
      <w:proofErr w:type="spellEnd"/>
      <w:r w:rsidRPr="002325DD">
        <w:rPr>
          <w:rFonts w:ascii="Times New Roman" w:hAnsi="Times New Roman" w:cs="Times New Roman"/>
          <w:bCs/>
          <w:iCs/>
          <w:lang w:val="en-AU"/>
        </w:rPr>
        <w:t xml:space="preserve">) show that </w:t>
      </w:r>
      <w:r w:rsidRPr="002325DD">
        <w:rPr>
          <w:rFonts w:ascii="Times New Roman" w:hAnsi="Times New Roman" w:cs="Times New Roman"/>
          <w:bCs/>
          <w:i/>
          <w:lang w:val="en-AU"/>
        </w:rPr>
        <w:t xml:space="preserve">COUNTRY_NETZERO </w:t>
      </w:r>
      <w:r w:rsidRPr="002325DD">
        <w:rPr>
          <w:rFonts w:ascii="Times New Roman" w:hAnsi="Times New Roman" w:cs="Times New Roman"/>
          <w:bCs/>
          <w:iCs/>
          <w:lang w:val="en-AU"/>
        </w:rPr>
        <w:t xml:space="preserve">remains positively and significantly related to all four measures of </w:t>
      </w:r>
      <w:r w:rsidRPr="002325DD">
        <w:rPr>
          <w:rFonts w:ascii="Times New Roman" w:hAnsi="Times New Roman" w:cs="Times New Roman"/>
          <w:bCs/>
          <w:i/>
          <w:lang w:val="en-AU"/>
        </w:rPr>
        <w:t xml:space="preserve">REM </w:t>
      </w:r>
      <w:r w:rsidRPr="002325DD">
        <w:rPr>
          <w:rFonts w:ascii="Times New Roman" w:hAnsi="Times New Roman" w:cs="Times New Roman"/>
          <w:bCs/>
          <w:iCs/>
          <w:lang w:val="en-AU"/>
        </w:rPr>
        <w:t>at the 1% level.</w:t>
      </w:r>
    </w:p>
  </w:footnote>
  <w:footnote w:id="12">
    <w:p w14:paraId="4A98271E" w14:textId="77777777" w:rsidR="00FF0ED3" w:rsidRPr="00435AB5" w:rsidRDefault="00FF0ED3" w:rsidP="00AB7AFA">
      <w:pPr>
        <w:spacing w:after="0"/>
        <w:jc w:val="both"/>
        <w:rPr>
          <w:rFonts w:ascii="Times New Roman" w:eastAsiaTheme="minorHAnsi" w:hAnsi="Times New Roman" w:cs="Times New Roman"/>
          <w:sz w:val="20"/>
          <w:szCs w:val="20"/>
          <w:lang w:eastAsia="en-US"/>
        </w:rPr>
      </w:pPr>
      <w:r w:rsidRPr="002325DD">
        <w:rPr>
          <w:rStyle w:val="FootnoteReference"/>
          <w:rFonts w:ascii="Times New Roman" w:hAnsi="Times New Roman" w:cs="Times New Roman"/>
          <w:sz w:val="20"/>
          <w:szCs w:val="20"/>
        </w:rPr>
        <w:footnoteRef/>
      </w:r>
      <w:r w:rsidRPr="00435AB5">
        <w:rPr>
          <w:rFonts w:ascii="Times New Roman" w:hAnsi="Times New Roman" w:cs="Times New Roman"/>
          <w:sz w:val="20"/>
          <w:szCs w:val="20"/>
        </w:rPr>
        <w:t xml:space="preserve"> Models also employ vulnerability index developed by the index of climate vulnerability for a firm in a specific country as an alternative to climate risk measure. The University of Notre Dame Global Adaptation Index employs three cross-cutting elements as the measures of climate vulnerability: the exposure of the sector to climate-related or climate-exacerbated hazards; the sensitivity of the sector to </w:t>
      </w:r>
      <w:r w:rsidRPr="00435AB5">
        <w:rPr>
          <w:rFonts w:ascii="Times New Roman" w:eastAsiaTheme="minorHAnsi" w:hAnsi="Times New Roman" w:cs="Times New Roman"/>
          <w:sz w:val="20"/>
          <w:szCs w:val="20"/>
          <w:lang w:eastAsia="en-US"/>
        </w:rPr>
        <w:t xml:space="preserve">hazardous impacts </w:t>
      </w:r>
      <w:r w:rsidRPr="00435AB5">
        <w:rPr>
          <w:rFonts w:ascii="Times New Roman" w:hAnsi="Times New Roman" w:cs="Times New Roman"/>
          <w:sz w:val="20"/>
          <w:szCs w:val="20"/>
        </w:rPr>
        <w:t xml:space="preserve">and </w:t>
      </w:r>
      <w:r w:rsidRPr="00435AB5">
        <w:rPr>
          <w:rFonts w:ascii="Times New Roman" w:eastAsiaTheme="minorHAnsi" w:hAnsi="Times New Roman" w:cs="Times New Roman"/>
          <w:sz w:val="20"/>
          <w:szCs w:val="20"/>
          <w:lang w:eastAsia="en-US"/>
        </w:rPr>
        <w:t>the adaptability of the sector to solve with or adapt to these impacts.</w:t>
      </w:r>
    </w:p>
  </w:footnote>
  <w:footnote w:id="13">
    <w:p w14:paraId="00D671B6" w14:textId="7E56253A" w:rsidR="00FF0ED3" w:rsidRDefault="00FF0ED3" w:rsidP="009B474E">
      <w:pPr>
        <w:pStyle w:val="FootnoteText"/>
        <w:jc w:val="both"/>
        <w:rPr>
          <w:lang w:val="en-AU"/>
        </w:rPr>
      </w:pPr>
      <w:r>
        <w:rPr>
          <w:rStyle w:val="FootnoteReference"/>
          <w:rFonts w:ascii="Times New Roman" w:hAnsi="Times New Roman" w:cs="Times New Roman"/>
        </w:rPr>
        <w:footnoteRef/>
      </w:r>
      <w:r>
        <w:rPr>
          <w:rFonts w:ascii="Times New Roman" w:hAnsi="Times New Roman" w:cs="Times New Roman"/>
        </w:rPr>
        <w:t xml:space="preserve"> </w:t>
      </w:r>
      <w:r w:rsidRPr="009B474E">
        <w:rPr>
          <w:rFonts w:ascii="Times New Roman" w:hAnsi="Times New Roman" w:cs="Times New Roman"/>
        </w:rPr>
        <w:t>The results remain consistent for the test of hypothesis 2 when an alternative proxy for CSR score is included in all the models, using the country-level readiness index. This readiness index, developed as part of the University of Notre Dame's Environmental Change Initiative, measures a country's ability to effectively leverage investments in adapting to the effects of climate change.</w:t>
      </w:r>
      <w:r>
        <w:rPr>
          <w:rFonts w:ascii="Times New Roman" w:hAnsi="Times New Roman" w:cs="Times New Roman"/>
        </w:rPr>
        <w:t xml:space="preserve"> </w:t>
      </w:r>
      <w:r w:rsidRPr="009B474E">
        <w:rPr>
          <w:rFonts w:ascii="Times New Roman" w:hAnsi="Times New Roman" w:cs="Times New Roman"/>
        </w:rPr>
        <w:t xml:space="preserve">The inclusion of this alternate CSR proxy further strengthens the findings and provides additional support for the conclusion that firms with higher CSR performance are better equipped to handle the challenges associated with </w:t>
      </w:r>
      <w:r>
        <w:rPr>
          <w:rFonts w:ascii="Times New Roman" w:hAnsi="Times New Roman" w:cs="Times New Roman"/>
        </w:rPr>
        <w:t>the net zero</w:t>
      </w:r>
      <w:r w:rsidRPr="009B474E">
        <w:rPr>
          <w:rFonts w:ascii="Times New Roman" w:hAnsi="Times New Roman" w:cs="Times New Roman"/>
        </w:rPr>
        <w:t xml:space="preserve"> </w:t>
      </w:r>
      <w:r>
        <w:rPr>
          <w:rFonts w:ascii="Times New Roman" w:hAnsi="Times New Roman" w:cs="Times New Roman"/>
        </w:rPr>
        <w:t>target commitment</w:t>
      </w:r>
      <w:r w:rsidRPr="009B474E">
        <w:rPr>
          <w:rFonts w:ascii="Times New Roman" w:hAnsi="Times New Roman" w:cs="Times New Roman"/>
        </w:rPr>
        <w:t xml:space="preserve"> in their respective countries. It underscores the importance of sustainable business practices and preparedness in navigating the implications of climate change initiatives and reduces the likelihood of engaging in real earnings management practices as a response to such external pressures.</w:t>
      </w:r>
    </w:p>
  </w:footnote>
  <w:footnote w:id="14">
    <w:p w14:paraId="3DD4F62F" w14:textId="57C47EEF" w:rsidR="00FF0ED3" w:rsidRPr="002E1076" w:rsidRDefault="00FF0ED3" w:rsidP="00723823">
      <w:pPr>
        <w:pStyle w:val="FootnoteText"/>
        <w:jc w:val="both"/>
      </w:pPr>
      <w:r w:rsidRPr="002E1076">
        <w:rPr>
          <w:rStyle w:val="FootnoteReference"/>
        </w:rPr>
        <w:footnoteRef/>
      </w:r>
      <w:r w:rsidRPr="002E1076">
        <w:t xml:space="preserve"> </w:t>
      </w:r>
      <w:r w:rsidRPr="002E1076">
        <w:rPr>
          <w:rFonts w:ascii="Times New Roman" w:hAnsi="Times New Roman" w:cs="Times New Roman"/>
          <w:lang w:val="en-AU"/>
        </w:rPr>
        <w:t xml:space="preserve">Since, US-listed firms comprise almost 50% of the sample, these firms are excluded from the </w:t>
      </w:r>
      <w:r>
        <w:rPr>
          <w:rFonts w:ascii="Times New Roman" w:hAnsi="Times New Roman" w:cs="Times New Roman"/>
          <w:lang w:val="en-AU"/>
        </w:rPr>
        <w:t xml:space="preserve">main </w:t>
      </w:r>
      <w:r w:rsidRPr="002E1076">
        <w:rPr>
          <w:rFonts w:ascii="Times New Roman" w:hAnsi="Times New Roman" w:cs="Times New Roman"/>
          <w:lang w:val="en-AU"/>
        </w:rPr>
        <w:t>sample so that the results are not dominated by the US firms.</w:t>
      </w:r>
      <w:r>
        <w:rPr>
          <w:rFonts w:ascii="Times New Roman" w:hAnsi="Times New Roman" w:cs="Times New Roman"/>
          <w:lang w:val="en-AU"/>
        </w:rPr>
        <w:t xml:space="preserve"> Our results based on US sample are statistically similar to our main findings. </w:t>
      </w:r>
    </w:p>
  </w:footnote>
  <w:footnote w:id="15">
    <w:p w14:paraId="2DF54337" w14:textId="77E4AA07" w:rsidR="00FF0ED3" w:rsidRPr="002E1076" w:rsidRDefault="00FF0ED3" w:rsidP="00723823">
      <w:pPr>
        <w:pStyle w:val="FootnoteText"/>
        <w:jc w:val="both"/>
        <w:rPr>
          <w:rFonts w:ascii="Times New Roman" w:hAnsi="Times New Roman" w:cs="Times New Roman"/>
          <w:lang w:val="en-AU"/>
        </w:rPr>
      </w:pPr>
      <w:r w:rsidRPr="002E1076">
        <w:rPr>
          <w:rStyle w:val="FootnoteReference"/>
          <w:rFonts w:ascii="Times New Roman" w:hAnsi="Times New Roman" w:cs="Times New Roman"/>
        </w:rPr>
        <w:footnoteRef/>
      </w:r>
      <w:r w:rsidRPr="002E1076">
        <w:rPr>
          <w:rFonts w:ascii="Times New Roman" w:hAnsi="Times New Roman" w:cs="Times New Roman"/>
        </w:rPr>
        <w:t xml:space="preserve"> </w:t>
      </w:r>
      <w:r w:rsidRPr="00EF00C6">
        <w:rPr>
          <w:rFonts w:ascii="Times New Roman" w:hAnsi="Times New Roman" w:cs="Times New Roman"/>
          <w:lang w:val="en-AU"/>
        </w:rPr>
        <w:t xml:space="preserve">Using a sample of firm-level </w:t>
      </w:r>
      <w:r>
        <w:rPr>
          <w:rFonts w:ascii="Times New Roman" w:hAnsi="Times New Roman" w:cs="Times New Roman"/>
          <w:lang w:val="en-AU"/>
        </w:rPr>
        <w:t>net zero</w:t>
      </w:r>
      <w:r w:rsidRPr="00EF00C6">
        <w:rPr>
          <w:rFonts w:ascii="Times New Roman" w:hAnsi="Times New Roman" w:cs="Times New Roman"/>
          <w:lang w:val="en-AU"/>
        </w:rPr>
        <w:t xml:space="preserve"> </w:t>
      </w:r>
      <w:r>
        <w:rPr>
          <w:rFonts w:ascii="Times New Roman" w:hAnsi="Times New Roman" w:cs="Times New Roman"/>
          <w:lang w:val="en-AU"/>
        </w:rPr>
        <w:t>target commitment</w:t>
      </w:r>
      <w:r w:rsidRPr="00EF00C6">
        <w:rPr>
          <w:rFonts w:ascii="Times New Roman" w:hAnsi="Times New Roman" w:cs="Times New Roman"/>
          <w:lang w:val="en-AU"/>
        </w:rPr>
        <w:t>, we apply a difference-in-differences (</w:t>
      </w:r>
      <w:proofErr w:type="spellStart"/>
      <w:r w:rsidRPr="00EF00C6">
        <w:rPr>
          <w:rFonts w:ascii="Times New Roman" w:hAnsi="Times New Roman" w:cs="Times New Roman"/>
          <w:lang w:val="en-AU"/>
        </w:rPr>
        <w:t>DiD</w:t>
      </w:r>
      <w:proofErr w:type="spellEnd"/>
      <w:r w:rsidRPr="00EF00C6">
        <w:rPr>
          <w:rFonts w:ascii="Times New Roman" w:hAnsi="Times New Roman" w:cs="Times New Roman"/>
          <w:lang w:val="en-AU"/>
        </w:rPr>
        <w:t xml:space="preserve">) approach, considering the country-level </w:t>
      </w:r>
      <w:r>
        <w:rPr>
          <w:rFonts w:ascii="Times New Roman" w:hAnsi="Times New Roman" w:cs="Times New Roman"/>
          <w:lang w:val="en-AU"/>
        </w:rPr>
        <w:t>commitment</w:t>
      </w:r>
      <w:r w:rsidRPr="00EF00C6">
        <w:rPr>
          <w:rFonts w:ascii="Times New Roman" w:hAnsi="Times New Roman" w:cs="Times New Roman"/>
          <w:lang w:val="en-AU"/>
        </w:rPr>
        <w:t xml:space="preserve"> as the pre- and post-</w:t>
      </w:r>
      <w:r>
        <w:rPr>
          <w:rFonts w:ascii="Times New Roman" w:hAnsi="Times New Roman" w:cs="Times New Roman"/>
          <w:lang w:val="en-AU"/>
        </w:rPr>
        <w:t>commitment</w:t>
      </w:r>
      <w:r w:rsidRPr="00EF00C6">
        <w:rPr>
          <w:rFonts w:ascii="Times New Roman" w:hAnsi="Times New Roman" w:cs="Times New Roman"/>
          <w:lang w:val="en-AU"/>
        </w:rPr>
        <w:t xml:space="preserve"> years and incorporating firm-level </w:t>
      </w:r>
      <w:r>
        <w:rPr>
          <w:rFonts w:ascii="Times New Roman" w:hAnsi="Times New Roman" w:cs="Times New Roman"/>
          <w:lang w:val="en-AU"/>
        </w:rPr>
        <w:t>commitments</w:t>
      </w:r>
      <w:r w:rsidRPr="00EF00C6">
        <w:rPr>
          <w:rFonts w:ascii="Times New Roman" w:hAnsi="Times New Roman" w:cs="Times New Roman"/>
          <w:lang w:val="en-AU"/>
        </w:rPr>
        <w:t xml:space="preserve"> in a staggered approach. The results from our </w:t>
      </w:r>
      <w:proofErr w:type="spellStart"/>
      <w:r w:rsidRPr="00EF00C6">
        <w:rPr>
          <w:rFonts w:ascii="Times New Roman" w:hAnsi="Times New Roman" w:cs="Times New Roman"/>
          <w:lang w:val="en-AU"/>
        </w:rPr>
        <w:t>DiD</w:t>
      </w:r>
      <w:proofErr w:type="spellEnd"/>
      <w:r w:rsidRPr="00EF00C6">
        <w:rPr>
          <w:rFonts w:ascii="Times New Roman" w:hAnsi="Times New Roman" w:cs="Times New Roman"/>
          <w:lang w:val="en-AU"/>
        </w:rPr>
        <w:t xml:space="preserve"> analyses are in line with the main findings using firm-level </w:t>
      </w:r>
      <w:r>
        <w:rPr>
          <w:rFonts w:ascii="Times New Roman" w:hAnsi="Times New Roman" w:cs="Times New Roman"/>
          <w:lang w:val="en-AU"/>
        </w:rPr>
        <w:t>commitment</w:t>
      </w:r>
      <w:r w:rsidRPr="00EF00C6">
        <w:rPr>
          <w:rFonts w:ascii="Times New Roman" w:hAnsi="Times New Roman" w:cs="Times New Roman"/>
          <w:lang w:val="en-AU"/>
        </w:rPr>
        <w:t xml:space="preserve"> data. However, even when we include </w:t>
      </w:r>
      <w:r w:rsidRPr="00F30D21">
        <w:rPr>
          <w:rFonts w:ascii="Times New Roman" w:hAnsi="Times New Roman" w:cs="Times New Roman"/>
          <w:i/>
          <w:lang w:val="en-AU"/>
        </w:rPr>
        <w:t>COUNTRY_NETZERO</w:t>
      </w:r>
      <w:r w:rsidRPr="00EF00C6">
        <w:rPr>
          <w:rFonts w:ascii="Times New Roman" w:hAnsi="Times New Roman" w:cs="Times New Roman"/>
          <w:lang w:val="en-AU"/>
        </w:rPr>
        <w:t xml:space="preserve"> in the same model, the results for </w:t>
      </w:r>
      <w:r w:rsidRPr="00F30D21">
        <w:rPr>
          <w:rFonts w:ascii="Times New Roman" w:hAnsi="Times New Roman" w:cs="Times New Roman"/>
          <w:i/>
          <w:lang w:val="en-AU"/>
        </w:rPr>
        <w:t>FIRM_NETZERO</w:t>
      </w:r>
      <w:r w:rsidRPr="00EF00C6">
        <w:rPr>
          <w:rFonts w:ascii="Times New Roman" w:hAnsi="Times New Roman" w:cs="Times New Roman"/>
          <w:lang w:val="en-AU"/>
        </w:rPr>
        <w:t xml:space="preserve"> remain insignificant.</w:t>
      </w:r>
    </w:p>
  </w:footnote>
  <w:footnote w:id="16">
    <w:p w14:paraId="09D83044" w14:textId="0AC81D4A" w:rsidR="00FF0ED3" w:rsidRPr="00435AB5" w:rsidRDefault="00FF0ED3" w:rsidP="001A6116">
      <w:pPr>
        <w:pStyle w:val="FootnoteText"/>
        <w:jc w:val="both"/>
        <w:rPr>
          <w:rFonts w:ascii="Times New Roman" w:hAnsi="Times New Roman" w:cs="Times New Roman"/>
          <w:lang w:val="en-AU"/>
        </w:rPr>
      </w:pPr>
      <w:r w:rsidRPr="00435AB5">
        <w:rPr>
          <w:rStyle w:val="FootnoteReference"/>
          <w:rFonts w:ascii="Times New Roman" w:hAnsi="Times New Roman" w:cs="Times New Roman"/>
        </w:rPr>
        <w:footnoteRef/>
      </w:r>
      <w:r w:rsidRPr="00435AB5">
        <w:rPr>
          <w:rFonts w:ascii="Times New Roman" w:hAnsi="Times New Roman" w:cs="Times New Roman"/>
        </w:rPr>
        <w:t xml:space="preserve"> </w:t>
      </w:r>
      <w:r w:rsidRPr="002325DD">
        <w:rPr>
          <w:rFonts w:ascii="Times New Roman" w:hAnsi="Times New Roman" w:cs="Times New Roman"/>
          <w:bCs/>
          <w:iCs/>
          <w:lang w:val="en-NZ"/>
        </w:rPr>
        <w:t xml:space="preserve">One possible solution to address the endogeneity concern is to include a firm’s voluntary commitment to the net zero targets as a control variable in our main model, and re-run our analysis. However, in refining our model to conduct this analysis, we face an inherent data availability issue given that our analysis of firm-level commitment is restricted to the top 2,000 firms by market capitalizations. Importantly, all 2,000 firms in this subsample are headquartered in the country that has committed to the net zero targets, and as a result, the value of the variable </w:t>
      </w:r>
      <w:r w:rsidRPr="002325DD">
        <w:rPr>
          <w:rFonts w:ascii="Times New Roman" w:hAnsi="Times New Roman" w:cs="Times New Roman"/>
          <w:bCs/>
          <w:i/>
          <w:lang w:val="en-NZ"/>
        </w:rPr>
        <w:t xml:space="preserve">COUNTRY_NETZERO </w:t>
      </w:r>
      <w:r w:rsidRPr="002325DD">
        <w:rPr>
          <w:rFonts w:ascii="Times New Roman" w:hAnsi="Times New Roman" w:cs="Times New Roman"/>
          <w:bCs/>
          <w:iCs/>
          <w:lang w:val="en-NZ"/>
        </w:rPr>
        <w:t xml:space="preserve">is equal to 1 in both subsamples of </w:t>
      </w:r>
      <w:proofErr w:type="spellStart"/>
      <w:r w:rsidRPr="002325DD">
        <w:rPr>
          <w:rFonts w:ascii="Times New Roman" w:hAnsi="Times New Roman" w:cs="Times New Roman"/>
          <w:bCs/>
          <w:iCs/>
          <w:lang w:val="en-NZ"/>
        </w:rPr>
        <w:t>i</w:t>
      </w:r>
      <w:proofErr w:type="spellEnd"/>
      <w:r w:rsidRPr="002325DD">
        <w:rPr>
          <w:rFonts w:ascii="Times New Roman" w:hAnsi="Times New Roman" w:cs="Times New Roman"/>
          <w:bCs/>
          <w:iCs/>
          <w:lang w:val="en-NZ"/>
        </w:rPr>
        <w:t>) firms that have voluntarily committed to the net zero targets and ii) those that did not voluntarily commit to the net zero targets. Therefore, with this limitation, we are not able to draw any meaningful inference from the test with the inclusion of a firm’s voluntary commitment to the net zero targets a control variable in our main model.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05FEC"/>
    <w:multiLevelType w:val="hybridMultilevel"/>
    <w:tmpl w:val="DC9613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59957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A4NzIyN2MxYTlmMzQ1NGE2MjU5NWRkMjhlOGMxYTAifQ=="/>
  </w:docVars>
  <w:rsids>
    <w:rsidRoot w:val="00524A33"/>
    <w:rsid w:val="00001C6F"/>
    <w:rsid w:val="00001E06"/>
    <w:rsid w:val="00006918"/>
    <w:rsid w:val="00007674"/>
    <w:rsid w:val="00007C91"/>
    <w:rsid w:val="000156D8"/>
    <w:rsid w:val="00017D4A"/>
    <w:rsid w:val="00021525"/>
    <w:rsid w:val="00021750"/>
    <w:rsid w:val="00022479"/>
    <w:rsid w:val="00023E05"/>
    <w:rsid w:val="00026BE4"/>
    <w:rsid w:val="0003141B"/>
    <w:rsid w:val="00031513"/>
    <w:rsid w:val="000315B2"/>
    <w:rsid w:val="00033062"/>
    <w:rsid w:val="000355AA"/>
    <w:rsid w:val="0003562B"/>
    <w:rsid w:val="000413F6"/>
    <w:rsid w:val="00042430"/>
    <w:rsid w:val="000427F5"/>
    <w:rsid w:val="0004523C"/>
    <w:rsid w:val="00045300"/>
    <w:rsid w:val="00046C58"/>
    <w:rsid w:val="00054CA8"/>
    <w:rsid w:val="0005529E"/>
    <w:rsid w:val="00060947"/>
    <w:rsid w:val="000624AD"/>
    <w:rsid w:val="00065A17"/>
    <w:rsid w:val="00066273"/>
    <w:rsid w:val="0007067C"/>
    <w:rsid w:val="0007461E"/>
    <w:rsid w:val="0007468A"/>
    <w:rsid w:val="00076341"/>
    <w:rsid w:val="00081D39"/>
    <w:rsid w:val="00081F79"/>
    <w:rsid w:val="00082C38"/>
    <w:rsid w:val="00082F2E"/>
    <w:rsid w:val="00083391"/>
    <w:rsid w:val="0008408D"/>
    <w:rsid w:val="00084AE3"/>
    <w:rsid w:val="00090D05"/>
    <w:rsid w:val="00090DC8"/>
    <w:rsid w:val="00095ACE"/>
    <w:rsid w:val="00095AE9"/>
    <w:rsid w:val="00097424"/>
    <w:rsid w:val="000A0CA3"/>
    <w:rsid w:val="000A1C92"/>
    <w:rsid w:val="000A2C43"/>
    <w:rsid w:val="000A32C9"/>
    <w:rsid w:val="000A40B7"/>
    <w:rsid w:val="000A6ECA"/>
    <w:rsid w:val="000B0A50"/>
    <w:rsid w:val="000B55EF"/>
    <w:rsid w:val="000B5850"/>
    <w:rsid w:val="000B7853"/>
    <w:rsid w:val="000B793F"/>
    <w:rsid w:val="000B7A23"/>
    <w:rsid w:val="000B7AA3"/>
    <w:rsid w:val="000C0AB1"/>
    <w:rsid w:val="000C3003"/>
    <w:rsid w:val="000C7A86"/>
    <w:rsid w:val="000C7CF2"/>
    <w:rsid w:val="000D1E4D"/>
    <w:rsid w:val="000D224B"/>
    <w:rsid w:val="000D3987"/>
    <w:rsid w:val="000D4C32"/>
    <w:rsid w:val="000D63D2"/>
    <w:rsid w:val="000E1685"/>
    <w:rsid w:val="000E1F07"/>
    <w:rsid w:val="000E2EB0"/>
    <w:rsid w:val="000E57D3"/>
    <w:rsid w:val="000E5DEC"/>
    <w:rsid w:val="000E6059"/>
    <w:rsid w:val="000E61CB"/>
    <w:rsid w:val="000E6896"/>
    <w:rsid w:val="000E69FB"/>
    <w:rsid w:val="000E7056"/>
    <w:rsid w:val="000E7BAA"/>
    <w:rsid w:val="000F00ED"/>
    <w:rsid w:val="000F1C77"/>
    <w:rsid w:val="000F5A46"/>
    <w:rsid w:val="0010294F"/>
    <w:rsid w:val="00102CEA"/>
    <w:rsid w:val="00110623"/>
    <w:rsid w:val="0011093D"/>
    <w:rsid w:val="0011427C"/>
    <w:rsid w:val="0011514C"/>
    <w:rsid w:val="001161D1"/>
    <w:rsid w:val="00117DDC"/>
    <w:rsid w:val="00120FF9"/>
    <w:rsid w:val="00123363"/>
    <w:rsid w:val="00126124"/>
    <w:rsid w:val="00126AFB"/>
    <w:rsid w:val="00126B7F"/>
    <w:rsid w:val="00131E4E"/>
    <w:rsid w:val="00134B8E"/>
    <w:rsid w:val="00134BE1"/>
    <w:rsid w:val="0014055B"/>
    <w:rsid w:val="00140C05"/>
    <w:rsid w:val="00144BE7"/>
    <w:rsid w:val="00144EEF"/>
    <w:rsid w:val="0014537E"/>
    <w:rsid w:val="001453AC"/>
    <w:rsid w:val="00145BE6"/>
    <w:rsid w:val="0014663A"/>
    <w:rsid w:val="0015436B"/>
    <w:rsid w:val="0015572C"/>
    <w:rsid w:val="00155B44"/>
    <w:rsid w:val="00155CA9"/>
    <w:rsid w:val="0015713A"/>
    <w:rsid w:val="001606EE"/>
    <w:rsid w:val="001609CB"/>
    <w:rsid w:val="001665D7"/>
    <w:rsid w:val="00167FA4"/>
    <w:rsid w:val="00170665"/>
    <w:rsid w:val="00172744"/>
    <w:rsid w:val="001752AC"/>
    <w:rsid w:val="00176CC3"/>
    <w:rsid w:val="00177043"/>
    <w:rsid w:val="00177F23"/>
    <w:rsid w:val="001807D3"/>
    <w:rsid w:val="00183820"/>
    <w:rsid w:val="00183EC3"/>
    <w:rsid w:val="00183F61"/>
    <w:rsid w:val="00191548"/>
    <w:rsid w:val="00191B36"/>
    <w:rsid w:val="001961EF"/>
    <w:rsid w:val="001A038D"/>
    <w:rsid w:val="001A2748"/>
    <w:rsid w:val="001A2E40"/>
    <w:rsid w:val="001A3788"/>
    <w:rsid w:val="001A3D57"/>
    <w:rsid w:val="001A3EF0"/>
    <w:rsid w:val="001A450F"/>
    <w:rsid w:val="001A597E"/>
    <w:rsid w:val="001A6116"/>
    <w:rsid w:val="001A6543"/>
    <w:rsid w:val="001A7021"/>
    <w:rsid w:val="001B0379"/>
    <w:rsid w:val="001B03C5"/>
    <w:rsid w:val="001B06DF"/>
    <w:rsid w:val="001B0F80"/>
    <w:rsid w:val="001B1526"/>
    <w:rsid w:val="001B4F33"/>
    <w:rsid w:val="001B55D2"/>
    <w:rsid w:val="001C107F"/>
    <w:rsid w:val="001C1199"/>
    <w:rsid w:val="001C23B3"/>
    <w:rsid w:val="001C2E0F"/>
    <w:rsid w:val="001C391D"/>
    <w:rsid w:val="001C4433"/>
    <w:rsid w:val="001C65DE"/>
    <w:rsid w:val="001C66E1"/>
    <w:rsid w:val="001D06B1"/>
    <w:rsid w:val="001D1DD2"/>
    <w:rsid w:val="001D229D"/>
    <w:rsid w:val="001D29D4"/>
    <w:rsid w:val="001D300C"/>
    <w:rsid w:val="001D60F5"/>
    <w:rsid w:val="001E01A8"/>
    <w:rsid w:val="001E0DCD"/>
    <w:rsid w:val="001E1E28"/>
    <w:rsid w:val="001E676D"/>
    <w:rsid w:val="001E6B19"/>
    <w:rsid w:val="001E6F2B"/>
    <w:rsid w:val="001E7E56"/>
    <w:rsid w:val="001F05F8"/>
    <w:rsid w:val="001F1585"/>
    <w:rsid w:val="001F1FB3"/>
    <w:rsid w:val="001F6BB8"/>
    <w:rsid w:val="001F7485"/>
    <w:rsid w:val="002012B3"/>
    <w:rsid w:val="00201BFB"/>
    <w:rsid w:val="002025BA"/>
    <w:rsid w:val="0020712A"/>
    <w:rsid w:val="00207AB5"/>
    <w:rsid w:val="00211B4F"/>
    <w:rsid w:val="0021388D"/>
    <w:rsid w:val="002147AF"/>
    <w:rsid w:val="00214EE7"/>
    <w:rsid w:val="00216508"/>
    <w:rsid w:val="0022113D"/>
    <w:rsid w:val="00221A37"/>
    <w:rsid w:val="00222ACB"/>
    <w:rsid w:val="0022662B"/>
    <w:rsid w:val="00231037"/>
    <w:rsid w:val="00231545"/>
    <w:rsid w:val="002325DD"/>
    <w:rsid w:val="002338A7"/>
    <w:rsid w:val="00234E04"/>
    <w:rsid w:val="00235FAE"/>
    <w:rsid w:val="0023685A"/>
    <w:rsid w:val="00237040"/>
    <w:rsid w:val="002407C3"/>
    <w:rsid w:val="00240C90"/>
    <w:rsid w:val="00240D42"/>
    <w:rsid w:val="00240E87"/>
    <w:rsid w:val="0024387A"/>
    <w:rsid w:val="00244299"/>
    <w:rsid w:val="00244A86"/>
    <w:rsid w:val="00244F51"/>
    <w:rsid w:val="00250132"/>
    <w:rsid w:val="0025183A"/>
    <w:rsid w:val="00256121"/>
    <w:rsid w:val="00256E55"/>
    <w:rsid w:val="002613CA"/>
    <w:rsid w:val="00261F17"/>
    <w:rsid w:val="0026267E"/>
    <w:rsid w:val="002641AE"/>
    <w:rsid w:val="00264949"/>
    <w:rsid w:val="002672FE"/>
    <w:rsid w:val="0026741C"/>
    <w:rsid w:val="00270714"/>
    <w:rsid w:val="00271519"/>
    <w:rsid w:val="002716E8"/>
    <w:rsid w:val="0027298A"/>
    <w:rsid w:val="002751AB"/>
    <w:rsid w:val="00275A24"/>
    <w:rsid w:val="0027613B"/>
    <w:rsid w:val="00280524"/>
    <w:rsid w:val="00282F6A"/>
    <w:rsid w:val="002842A1"/>
    <w:rsid w:val="002845F1"/>
    <w:rsid w:val="00285D65"/>
    <w:rsid w:val="00287621"/>
    <w:rsid w:val="00291231"/>
    <w:rsid w:val="00291B92"/>
    <w:rsid w:val="00293266"/>
    <w:rsid w:val="002953D9"/>
    <w:rsid w:val="00297405"/>
    <w:rsid w:val="00297442"/>
    <w:rsid w:val="002A03BC"/>
    <w:rsid w:val="002A25CA"/>
    <w:rsid w:val="002A6E3E"/>
    <w:rsid w:val="002B0877"/>
    <w:rsid w:val="002B0EF5"/>
    <w:rsid w:val="002B5C49"/>
    <w:rsid w:val="002B63A3"/>
    <w:rsid w:val="002B7932"/>
    <w:rsid w:val="002C185D"/>
    <w:rsid w:val="002C214B"/>
    <w:rsid w:val="002D02FE"/>
    <w:rsid w:val="002D0780"/>
    <w:rsid w:val="002D2301"/>
    <w:rsid w:val="002D2637"/>
    <w:rsid w:val="002D4ECE"/>
    <w:rsid w:val="002E0454"/>
    <w:rsid w:val="002E0B63"/>
    <w:rsid w:val="002E1076"/>
    <w:rsid w:val="002E1AB6"/>
    <w:rsid w:val="002E1E4D"/>
    <w:rsid w:val="002E22E0"/>
    <w:rsid w:val="002E34D9"/>
    <w:rsid w:val="002E52A2"/>
    <w:rsid w:val="002E5315"/>
    <w:rsid w:val="002F0DBE"/>
    <w:rsid w:val="002F21B8"/>
    <w:rsid w:val="002F22B0"/>
    <w:rsid w:val="002F61BE"/>
    <w:rsid w:val="00302E1D"/>
    <w:rsid w:val="00303B9C"/>
    <w:rsid w:val="00303C4E"/>
    <w:rsid w:val="00303CDF"/>
    <w:rsid w:val="00304190"/>
    <w:rsid w:val="00306057"/>
    <w:rsid w:val="0030638F"/>
    <w:rsid w:val="00307D4A"/>
    <w:rsid w:val="00312089"/>
    <w:rsid w:val="003127A3"/>
    <w:rsid w:val="003145BD"/>
    <w:rsid w:val="00314AA8"/>
    <w:rsid w:val="0031526E"/>
    <w:rsid w:val="00317203"/>
    <w:rsid w:val="003176B1"/>
    <w:rsid w:val="00320175"/>
    <w:rsid w:val="0032083B"/>
    <w:rsid w:val="003211FB"/>
    <w:rsid w:val="00321B6D"/>
    <w:rsid w:val="00322F55"/>
    <w:rsid w:val="003237A0"/>
    <w:rsid w:val="00323A46"/>
    <w:rsid w:val="003244DF"/>
    <w:rsid w:val="00324E54"/>
    <w:rsid w:val="003259C9"/>
    <w:rsid w:val="0032609D"/>
    <w:rsid w:val="00326739"/>
    <w:rsid w:val="0033020B"/>
    <w:rsid w:val="0033068A"/>
    <w:rsid w:val="003373E4"/>
    <w:rsid w:val="00337BB8"/>
    <w:rsid w:val="00343747"/>
    <w:rsid w:val="00343EBD"/>
    <w:rsid w:val="003455EF"/>
    <w:rsid w:val="00346E99"/>
    <w:rsid w:val="00362358"/>
    <w:rsid w:val="003623EA"/>
    <w:rsid w:val="00363A96"/>
    <w:rsid w:val="003655B4"/>
    <w:rsid w:val="00366EF6"/>
    <w:rsid w:val="00374B29"/>
    <w:rsid w:val="0037662B"/>
    <w:rsid w:val="003767D7"/>
    <w:rsid w:val="003804EC"/>
    <w:rsid w:val="003846AF"/>
    <w:rsid w:val="0039074B"/>
    <w:rsid w:val="00393FEC"/>
    <w:rsid w:val="00396567"/>
    <w:rsid w:val="00397096"/>
    <w:rsid w:val="003A1052"/>
    <w:rsid w:val="003A177D"/>
    <w:rsid w:val="003A180D"/>
    <w:rsid w:val="003A3ADD"/>
    <w:rsid w:val="003A4032"/>
    <w:rsid w:val="003A58A7"/>
    <w:rsid w:val="003B4BFB"/>
    <w:rsid w:val="003B5C34"/>
    <w:rsid w:val="003C0D5F"/>
    <w:rsid w:val="003C6B0D"/>
    <w:rsid w:val="003D1E2E"/>
    <w:rsid w:val="003D381F"/>
    <w:rsid w:val="003D3837"/>
    <w:rsid w:val="003D5575"/>
    <w:rsid w:val="003D59EF"/>
    <w:rsid w:val="003E3F65"/>
    <w:rsid w:val="003E4DE0"/>
    <w:rsid w:val="003E7EED"/>
    <w:rsid w:val="003F06C4"/>
    <w:rsid w:val="003F1F6A"/>
    <w:rsid w:val="003F37CC"/>
    <w:rsid w:val="003F6A09"/>
    <w:rsid w:val="003F7BA1"/>
    <w:rsid w:val="00400895"/>
    <w:rsid w:val="0040187B"/>
    <w:rsid w:val="00401FBA"/>
    <w:rsid w:val="0040314C"/>
    <w:rsid w:val="00405142"/>
    <w:rsid w:val="00407D53"/>
    <w:rsid w:val="00411981"/>
    <w:rsid w:val="00413B0F"/>
    <w:rsid w:val="004143BF"/>
    <w:rsid w:val="00420E71"/>
    <w:rsid w:val="00422855"/>
    <w:rsid w:val="0042384D"/>
    <w:rsid w:val="004245C1"/>
    <w:rsid w:val="00426401"/>
    <w:rsid w:val="00426D9C"/>
    <w:rsid w:val="00427A81"/>
    <w:rsid w:val="004317AD"/>
    <w:rsid w:val="00431EF8"/>
    <w:rsid w:val="004335A8"/>
    <w:rsid w:val="004337C7"/>
    <w:rsid w:val="004342FC"/>
    <w:rsid w:val="00434E64"/>
    <w:rsid w:val="00435AB5"/>
    <w:rsid w:val="0043670F"/>
    <w:rsid w:val="00436785"/>
    <w:rsid w:val="004422D9"/>
    <w:rsid w:val="004429B7"/>
    <w:rsid w:val="004431CC"/>
    <w:rsid w:val="00443F26"/>
    <w:rsid w:val="00446B2F"/>
    <w:rsid w:val="004473EE"/>
    <w:rsid w:val="00450754"/>
    <w:rsid w:val="00450A5F"/>
    <w:rsid w:val="00452C3B"/>
    <w:rsid w:val="0045395F"/>
    <w:rsid w:val="00454B86"/>
    <w:rsid w:val="0045578E"/>
    <w:rsid w:val="00455EAD"/>
    <w:rsid w:val="00460451"/>
    <w:rsid w:val="004631E0"/>
    <w:rsid w:val="004635FA"/>
    <w:rsid w:val="00464BA8"/>
    <w:rsid w:val="00464E77"/>
    <w:rsid w:val="0046596F"/>
    <w:rsid w:val="00466248"/>
    <w:rsid w:val="00466C65"/>
    <w:rsid w:val="00472905"/>
    <w:rsid w:val="00474EBD"/>
    <w:rsid w:val="00475E04"/>
    <w:rsid w:val="00477C86"/>
    <w:rsid w:val="0048166B"/>
    <w:rsid w:val="00484A69"/>
    <w:rsid w:val="00485707"/>
    <w:rsid w:val="00486BBF"/>
    <w:rsid w:val="00487989"/>
    <w:rsid w:val="004947E5"/>
    <w:rsid w:val="0049570A"/>
    <w:rsid w:val="004A0825"/>
    <w:rsid w:val="004A102E"/>
    <w:rsid w:val="004A2238"/>
    <w:rsid w:val="004B2521"/>
    <w:rsid w:val="004B4FFD"/>
    <w:rsid w:val="004B5670"/>
    <w:rsid w:val="004B647D"/>
    <w:rsid w:val="004B7743"/>
    <w:rsid w:val="004C2C8F"/>
    <w:rsid w:val="004C587C"/>
    <w:rsid w:val="004C680F"/>
    <w:rsid w:val="004D0C9A"/>
    <w:rsid w:val="004D24DF"/>
    <w:rsid w:val="004D4C88"/>
    <w:rsid w:val="004D5470"/>
    <w:rsid w:val="004D575E"/>
    <w:rsid w:val="004D7FFA"/>
    <w:rsid w:val="004E3EDA"/>
    <w:rsid w:val="004E4B8E"/>
    <w:rsid w:val="004E6227"/>
    <w:rsid w:val="004E722F"/>
    <w:rsid w:val="004F0E0B"/>
    <w:rsid w:val="004F52E8"/>
    <w:rsid w:val="004F6E4A"/>
    <w:rsid w:val="004F7C6A"/>
    <w:rsid w:val="004F7CC2"/>
    <w:rsid w:val="005022D7"/>
    <w:rsid w:val="00502C63"/>
    <w:rsid w:val="00504D32"/>
    <w:rsid w:val="0050577B"/>
    <w:rsid w:val="00510815"/>
    <w:rsid w:val="00510E73"/>
    <w:rsid w:val="005146EF"/>
    <w:rsid w:val="00520E14"/>
    <w:rsid w:val="00522C14"/>
    <w:rsid w:val="00522E41"/>
    <w:rsid w:val="00524577"/>
    <w:rsid w:val="00524A33"/>
    <w:rsid w:val="005255CF"/>
    <w:rsid w:val="00525A7B"/>
    <w:rsid w:val="00530554"/>
    <w:rsid w:val="00535641"/>
    <w:rsid w:val="005404CC"/>
    <w:rsid w:val="00540A38"/>
    <w:rsid w:val="00541CD5"/>
    <w:rsid w:val="00542297"/>
    <w:rsid w:val="005443AD"/>
    <w:rsid w:val="005460D2"/>
    <w:rsid w:val="005461F1"/>
    <w:rsid w:val="00547150"/>
    <w:rsid w:val="00550897"/>
    <w:rsid w:val="0055133D"/>
    <w:rsid w:val="00551C01"/>
    <w:rsid w:val="00552D05"/>
    <w:rsid w:val="00566909"/>
    <w:rsid w:val="00570138"/>
    <w:rsid w:val="00570A33"/>
    <w:rsid w:val="00573609"/>
    <w:rsid w:val="00574853"/>
    <w:rsid w:val="005754DD"/>
    <w:rsid w:val="00575DE9"/>
    <w:rsid w:val="0058050D"/>
    <w:rsid w:val="005820C2"/>
    <w:rsid w:val="005832CF"/>
    <w:rsid w:val="00584CCF"/>
    <w:rsid w:val="005865B0"/>
    <w:rsid w:val="00590ABA"/>
    <w:rsid w:val="00592244"/>
    <w:rsid w:val="0059442F"/>
    <w:rsid w:val="005A1A6D"/>
    <w:rsid w:val="005A1C89"/>
    <w:rsid w:val="005A3DF0"/>
    <w:rsid w:val="005A60F1"/>
    <w:rsid w:val="005B2D1E"/>
    <w:rsid w:val="005B6484"/>
    <w:rsid w:val="005B7D0E"/>
    <w:rsid w:val="005C3831"/>
    <w:rsid w:val="005C3A8A"/>
    <w:rsid w:val="005C5A48"/>
    <w:rsid w:val="005C710F"/>
    <w:rsid w:val="005C7D43"/>
    <w:rsid w:val="005C7D59"/>
    <w:rsid w:val="005D3F08"/>
    <w:rsid w:val="005D7166"/>
    <w:rsid w:val="005D753F"/>
    <w:rsid w:val="005E073B"/>
    <w:rsid w:val="005E2A2D"/>
    <w:rsid w:val="005E4328"/>
    <w:rsid w:val="005E5073"/>
    <w:rsid w:val="005E57AE"/>
    <w:rsid w:val="005E5F01"/>
    <w:rsid w:val="005F0DB9"/>
    <w:rsid w:val="005F1626"/>
    <w:rsid w:val="005F2B1B"/>
    <w:rsid w:val="005F7E8D"/>
    <w:rsid w:val="00600306"/>
    <w:rsid w:val="0060070E"/>
    <w:rsid w:val="00600906"/>
    <w:rsid w:val="0060126C"/>
    <w:rsid w:val="006026C0"/>
    <w:rsid w:val="006033DF"/>
    <w:rsid w:val="006058C6"/>
    <w:rsid w:val="00605CAC"/>
    <w:rsid w:val="00615111"/>
    <w:rsid w:val="006271C1"/>
    <w:rsid w:val="006323E9"/>
    <w:rsid w:val="00634D95"/>
    <w:rsid w:val="00635E07"/>
    <w:rsid w:val="00636950"/>
    <w:rsid w:val="00637EC6"/>
    <w:rsid w:val="00640C08"/>
    <w:rsid w:val="00645E39"/>
    <w:rsid w:val="00646729"/>
    <w:rsid w:val="0065065F"/>
    <w:rsid w:val="00653718"/>
    <w:rsid w:val="00655C13"/>
    <w:rsid w:val="006579B2"/>
    <w:rsid w:val="00664606"/>
    <w:rsid w:val="00664F69"/>
    <w:rsid w:val="00667E57"/>
    <w:rsid w:val="00667F0A"/>
    <w:rsid w:val="006714EB"/>
    <w:rsid w:val="00672D18"/>
    <w:rsid w:val="00673DB7"/>
    <w:rsid w:val="00673DE1"/>
    <w:rsid w:val="00675A43"/>
    <w:rsid w:val="00681F44"/>
    <w:rsid w:val="00682484"/>
    <w:rsid w:val="006833FD"/>
    <w:rsid w:val="00683A25"/>
    <w:rsid w:val="00684069"/>
    <w:rsid w:val="00684322"/>
    <w:rsid w:val="006847AE"/>
    <w:rsid w:val="006861EA"/>
    <w:rsid w:val="00686758"/>
    <w:rsid w:val="00686BEF"/>
    <w:rsid w:val="006879C3"/>
    <w:rsid w:val="00690CFA"/>
    <w:rsid w:val="00691C47"/>
    <w:rsid w:val="00693607"/>
    <w:rsid w:val="00694000"/>
    <w:rsid w:val="00694961"/>
    <w:rsid w:val="006951A6"/>
    <w:rsid w:val="00695DAF"/>
    <w:rsid w:val="006A09D7"/>
    <w:rsid w:val="006A10ED"/>
    <w:rsid w:val="006A26B6"/>
    <w:rsid w:val="006A5B30"/>
    <w:rsid w:val="006A5F05"/>
    <w:rsid w:val="006A71B6"/>
    <w:rsid w:val="006B1158"/>
    <w:rsid w:val="006B1453"/>
    <w:rsid w:val="006B27B1"/>
    <w:rsid w:val="006B3C5A"/>
    <w:rsid w:val="006B4E15"/>
    <w:rsid w:val="006B736F"/>
    <w:rsid w:val="006C02E3"/>
    <w:rsid w:val="006C1B02"/>
    <w:rsid w:val="006C565F"/>
    <w:rsid w:val="006C6386"/>
    <w:rsid w:val="006C735B"/>
    <w:rsid w:val="006C7D4E"/>
    <w:rsid w:val="006D1984"/>
    <w:rsid w:val="006D3838"/>
    <w:rsid w:val="006D44C3"/>
    <w:rsid w:val="006D6058"/>
    <w:rsid w:val="006D6D00"/>
    <w:rsid w:val="006D6D7B"/>
    <w:rsid w:val="006D6FAD"/>
    <w:rsid w:val="006E065F"/>
    <w:rsid w:val="006E0A2A"/>
    <w:rsid w:val="006E1B1A"/>
    <w:rsid w:val="006E4770"/>
    <w:rsid w:val="006E6691"/>
    <w:rsid w:val="006F368F"/>
    <w:rsid w:val="00701274"/>
    <w:rsid w:val="007026A1"/>
    <w:rsid w:val="007026B6"/>
    <w:rsid w:val="007040CE"/>
    <w:rsid w:val="00705AF7"/>
    <w:rsid w:val="00706306"/>
    <w:rsid w:val="007071F1"/>
    <w:rsid w:val="00707D6E"/>
    <w:rsid w:val="00712B16"/>
    <w:rsid w:val="00715030"/>
    <w:rsid w:val="0071683C"/>
    <w:rsid w:val="007178B3"/>
    <w:rsid w:val="00721A39"/>
    <w:rsid w:val="00722C6A"/>
    <w:rsid w:val="00723823"/>
    <w:rsid w:val="007245EE"/>
    <w:rsid w:val="00724DEC"/>
    <w:rsid w:val="0072544F"/>
    <w:rsid w:val="00725F8F"/>
    <w:rsid w:val="00730CDE"/>
    <w:rsid w:val="00732BE7"/>
    <w:rsid w:val="00732ED0"/>
    <w:rsid w:val="007335E8"/>
    <w:rsid w:val="007336A8"/>
    <w:rsid w:val="00733BA0"/>
    <w:rsid w:val="00733ECF"/>
    <w:rsid w:val="00734452"/>
    <w:rsid w:val="00735897"/>
    <w:rsid w:val="00740687"/>
    <w:rsid w:val="00740C12"/>
    <w:rsid w:val="007422E9"/>
    <w:rsid w:val="007456DB"/>
    <w:rsid w:val="00745CD1"/>
    <w:rsid w:val="007502C5"/>
    <w:rsid w:val="00750C80"/>
    <w:rsid w:val="00751C58"/>
    <w:rsid w:val="007527D1"/>
    <w:rsid w:val="00756062"/>
    <w:rsid w:val="00756075"/>
    <w:rsid w:val="007603B5"/>
    <w:rsid w:val="00761453"/>
    <w:rsid w:val="00762883"/>
    <w:rsid w:val="00763410"/>
    <w:rsid w:val="00764304"/>
    <w:rsid w:val="00764649"/>
    <w:rsid w:val="007651D9"/>
    <w:rsid w:val="007655D1"/>
    <w:rsid w:val="0076562D"/>
    <w:rsid w:val="00767983"/>
    <w:rsid w:val="007706F6"/>
    <w:rsid w:val="007723A2"/>
    <w:rsid w:val="00773594"/>
    <w:rsid w:val="007745C8"/>
    <w:rsid w:val="0077604B"/>
    <w:rsid w:val="007818F9"/>
    <w:rsid w:val="00783068"/>
    <w:rsid w:val="007844AC"/>
    <w:rsid w:val="00784AF9"/>
    <w:rsid w:val="00784FEB"/>
    <w:rsid w:val="0078530A"/>
    <w:rsid w:val="00793194"/>
    <w:rsid w:val="007948B8"/>
    <w:rsid w:val="00795C8D"/>
    <w:rsid w:val="00795E8F"/>
    <w:rsid w:val="0079760C"/>
    <w:rsid w:val="007A0554"/>
    <w:rsid w:val="007A0BF8"/>
    <w:rsid w:val="007A164E"/>
    <w:rsid w:val="007A5D02"/>
    <w:rsid w:val="007A773F"/>
    <w:rsid w:val="007B0360"/>
    <w:rsid w:val="007B2236"/>
    <w:rsid w:val="007B5E33"/>
    <w:rsid w:val="007B7F5F"/>
    <w:rsid w:val="007C2055"/>
    <w:rsid w:val="007C2526"/>
    <w:rsid w:val="007C3A5D"/>
    <w:rsid w:val="007C3D81"/>
    <w:rsid w:val="007C702B"/>
    <w:rsid w:val="007C7061"/>
    <w:rsid w:val="007C7AB5"/>
    <w:rsid w:val="007D192F"/>
    <w:rsid w:val="007D241E"/>
    <w:rsid w:val="007D29D1"/>
    <w:rsid w:val="007D38BC"/>
    <w:rsid w:val="007D74FD"/>
    <w:rsid w:val="007D78BD"/>
    <w:rsid w:val="007E255F"/>
    <w:rsid w:val="007E2976"/>
    <w:rsid w:val="007E41A0"/>
    <w:rsid w:val="007E5873"/>
    <w:rsid w:val="007E61DE"/>
    <w:rsid w:val="007F57BB"/>
    <w:rsid w:val="00800D32"/>
    <w:rsid w:val="008013AF"/>
    <w:rsid w:val="008045E5"/>
    <w:rsid w:val="0080476A"/>
    <w:rsid w:val="0080592F"/>
    <w:rsid w:val="00805CFF"/>
    <w:rsid w:val="00805D11"/>
    <w:rsid w:val="00807113"/>
    <w:rsid w:val="008105EC"/>
    <w:rsid w:val="00810EC5"/>
    <w:rsid w:val="008113A9"/>
    <w:rsid w:val="00813B00"/>
    <w:rsid w:val="008146F2"/>
    <w:rsid w:val="008147E3"/>
    <w:rsid w:val="00815EEE"/>
    <w:rsid w:val="00816B70"/>
    <w:rsid w:val="00817088"/>
    <w:rsid w:val="008178C8"/>
    <w:rsid w:val="0082043D"/>
    <w:rsid w:val="00821E2B"/>
    <w:rsid w:val="008226FD"/>
    <w:rsid w:val="00823FBB"/>
    <w:rsid w:val="008245DE"/>
    <w:rsid w:val="00824A05"/>
    <w:rsid w:val="00826404"/>
    <w:rsid w:val="00835857"/>
    <w:rsid w:val="008358E6"/>
    <w:rsid w:val="008367D8"/>
    <w:rsid w:val="008374D7"/>
    <w:rsid w:val="00837774"/>
    <w:rsid w:val="00837CFE"/>
    <w:rsid w:val="00840432"/>
    <w:rsid w:val="00841861"/>
    <w:rsid w:val="00841EEA"/>
    <w:rsid w:val="00845364"/>
    <w:rsid w:val="00853675"/>
    <w:rsid w:val="00860728"/>
    <w:rsid w:val="00861447"/>
    <w:rsid w:val="008615FB"/>
    <w:rsid w:val="00861F8D"/>
    <w:rsid w:val="00861FF6"/>
    <w:rsid w:val="00862369"/>
    <w:rsid w:val="00862920"/>
    <w:rsid w:val="0086453D"/>
    <w:rsid w:val="00864CD8"/>
    <w:rsid w:val="00866311"/>
    <w:rsid w:val="00870FB1"/>
    <w:rsid w:val="00872C6D"/>
    <w:rsid w:val="00872F3F"/>
    <w:rsid w:val="008820B5"/>
    <w:rsid w:val="00882D94"/>
    <w:rsid w:val="00884838"/>
    <w:rsid w:val="00887814"/>
    <w:rsid w:val="008922AF"/>
    <w:rsid w:val="0089238A"/>
    <w:rsid w:val="008933A9"/>
    <w:rsid w:val="008958B8"/>
    <w:rsid w:val="00895D0A"/>
    <w:rsid w:val="00896584"/>
    <w:rsid w:val="00896DFD"/>
    <w:rsid w:val="00897E37"/>
    <w:rsid w:val="008A0964"/>
    <w:rsid w:val="008A113F"/>
    <w:rsid w:val="008A1EA5"/>
    <w:rsid w:val="008A2842"/>
    <w:rsid w:val="008A3640"/>
    <w:rsid w:val="008A748B"/>
    <w:rsid w:val="008A7794"/>
    <w:rsid w:val="008B0777"/>
    <w:rsid w:val="008B0A5B"/>
    <w:rsid w:val="008B0CA8"/>
    <w:rsid w:val="008B51C4"/>
    <w:rsid w:val="008B5382"/>
    <w:rsid w:val="008B5AA4"/>
    <w:rsid w:val="008B7537"/>
    <w:rsid w:val="008C0123"/>
    <w:rsid w:val="008C40C5"/>
    <w:rsid w:val="008C79D2"/>
    <w:rsid w:val="008D0E68"/>
    <w:rsid w:val="008D1FC7"/>
    <w:rsid w:val="008D4D53"/>
    <w:rsid w:val="008D510D"/>
    <w:rsid w:val="008D589A"/>
    <w:rsid w:val="008D75AC"/>
    <w:rsid w:val="008E0483"/>
    <w:rsid w:val="008E05F8"/>
    <w:rsid w:val="008E09AF"/>
    <w:rsid w:val="008E241E"/>
    <w:rsid w:val="008E2ED9"/>
    <w:rsid w:val="008E554C"/>
    <w:rsid w:val="008E5A42"/>
    <w:rsid w:val="008E7301"/>
    <w:rsid w:val="008E7680"/>
    <w:rsid w:val="008F5266"/>
    <w:rsid w:val="008F53D3"/>
    <w:rsid w:val="008F5DCC"/>
    <w:rsid w:val="008F6634"/>
    <w:rsid w:val="008F6906"/>
    <w:rsid w:val="008F71B9"/>
    <w:rsid w:val="0090090B"/>
    <w:rsid w:val="00901C6C"/>
    <w:rsid w:val="009032E8"/>
    <w:rsid w:val="00903F1B"/>
    <w:rsid w:val="009120C4"/>
    <w:rsid w:val="0091275C"/>
    <w:rsid w:val="00912BDE"/>
    <w:rsid w:val="00912FE5"/>
    <w:rsid w:val="00913589"/>
    <w:rsid w:val="0091452A"/>
    <w:rsid w:val="009250F7"/>
    <w:rsid w:val="0092516F"/>
    <w:rsid w:val="00926168"/>
    <w:rsid w:val="009274B0"/>
    <w:rsid w:val="009317D5"/>
    <w:rsid w:val="00931BAB"/>
    <w:rsid w:val="00941F99"/>
    <w:rsid w:val="00946C6D"/>
    <w:rsid w:val="0094768C"/>
    <w:rsid w:val="009507AE"/>
    <w:rsid w:val="00951538"/>
    <w:rsid w:val="00951BB8"/>
    <w:rsid w:val="009522AF"/>
    <w:rsid w:val="00952CB8"/>
    <w:rsid w:val="00952E26"/>
    <w:rsid w:val="009559B8"/>
    <w:rsid w:val="0095661F"/>
    <w:rsid w:val="0096013E"/>
    <w:rsid w:val="0096090F"/>
    <w:rsid w:val="0096500F"/>
    <w:rsid w:val="00972351"/>
    <w:rsid w:val="00972DA6"/>
    <w:rsid w:val="0097417B"/>
    <w:rsid w:val="00974F22"/>
    <w:rsid w:val="009761C7"/>
    <w:rsid w:val="0097695D"/>
    <w:rsid w:val="009811E8"/>
    <w:rsid w:val="0098177E"/>
    <w:rsid w:val="009827F8"/>
    <w:rsid w:val="0098468A"/>
    <w:rsid w:val="00986934"/>
    <w:rsid w:val="00986A60"/>
    <w:rsid w:val="00987D3B"/>
    <w:rsid w:val="00990F3B"/>
    <w:rsid w:val="009925E5"/>
    <w:rsid w:val="0099452C"/>
    <w:rsid w:val="00996B53"/>
    <w:rsid w:val="00996E84"/>
    <w:rsid w:val="009A0AA3"/>
    <w:rsid w:val="009A1FD6"/>
    <w:rsid w:val="009A2A66"/>
    <w:rsid w:val="009A34E0"/>
    <w:rsid w:val="009A5AA1"/>
    <w:rsid w:val="009A5F29"/>
    <w:rsid w:val="009A6585"/>
    <w:rsid w:val="009B14D7"/>
    <w:rsid w:val="009B1805"/>
    <w:rsid w:val="009B474E"/>
    <w:rsid w:val="009B5AE2"/>
    <w:rsid w:val="009B67CB"/>
    <w:rsid w:val="009C0DFB"/>
    <w:rsid w:val="009C1FA4"/>
    <w:rsid w:val="009C27E1"/>
    <w:rsid w:val="009C352B"/>
    <w:rsid w:val="009C3915"/>
    <w:rsid w:val="009C399C"/>
    <w:rsid w:val="009C4183"/>
    <w:rsid w:val="009C4F66"/>
    <w:rsid w:val="009D0F95"/>
    <w:rsid w:val="009D25A1"/>
    <w:rsid w:val="009D3E54"/>
    <w:rsid w:val="009D421D"/>
    <w:rsid w:val="009D6CBC"/>
    <w:rsid w:val="009E0723"/>
    <w:rsid w:val="009E088B"/>
    <w:rsid w:val="009E266C"/>
    <w:rsid w:val="009E42F4"/>
    <w:rsid w:val="009E75C9"/>
    <w:rsid w:val="009F3396"/>
    <w:rsid w:val="009F71CF"/>
    <w:rsid w:val="009F7ED9"/>
    <w:rsid w:val="00A00B01"/>
    <w:rsid w:val="00A0390F"/>
    <w:rsid w:val="00A03B68"/>
    <w:rsid w:val="00A05D19"/>
    <w:rsid w:val="00A10BD9"/>
    <w:rsid w:val="00A126FA"/>
    <w:rsid w:val="00A150A9"/>
    <w:rsid w:val="00A15534"/>
    <w:rsid w:val="00A15883"/>
    <w:rsid w:val="00A169F6"/>
    <w:rsid w:val="00A16C73"/>
    <w:rsid w:val="00A17104"/>
    <w:rsid w:val="00A20230"/>
    <w:rsid w:val="00A20537"/>
    <w:rsid w:val="00A22069"/>
    <w:rsid w:val="00A2340F"/>
    <w:rsid w:val="00A24201"/>
    <w:rsid w:val="00A252F8"/>
    <w:rsid w:val="00A26DB9"/>
    <w:rsid w:val="00A27F15"/>
    <w:rsid w:val="00A320D5"/>
    <w:rsid w:val="00A33469"/>
    <w:rsid w:val="00A338D1"/>
    <w:rsid w:val="00A34243"/>
    <w:rsid w:val="00A37E28"/>
    <w:rsid w:val="00A40480"/>
    <w:rsid w:val="00A4195A"/>
    <w:rsid w:val="00A4271E"/>
    <w:rsid w:val="00A43043"/>
    <w:rsid w:val="00A451F9"/>
    <w:rsid w:val="00A505A7"/>
    <w:rsid w:val="00A508E4"/>
    <w:rsid w:val="00A50A47"/>
    <w:rsid w:val="00A51950"/>
    <w:rsid w:val="00A52B08"/>
    <w:rsid w:val="00A52CD5"/>
    <w:rsid w:val="00A53E53"/>
    <w:rsid w:val="00A60039"/>
    <w:rsid w:val="00A61521"/>
    <w:rsid w:val="00A62E47"/>
    <w:rsid w:val="00A65208"/>
    <w:rsid w:val="00A67F1A"/>
    <w:rsid w:val="00A70071"/>
    <w:rsid w:val="00A702BD"/>
    <w:rsid w:val="00A7149D"/>
    <w:rsid w:val="00A72239"/>
    <w:rsid w:val="00A753FB"/>
    <w:rsid w:val="00A754C1"/>
    <w:rsid w:val="00A77EE1"/>
    <w:rsid w:val="00A80AC2"/>
    <w:rsid w:val="00A81291"/>
    <w:rsid w:val="00A81FDB"/>
    <w:rsid w:val="00A82BF4"/>
    <w:rsid w:val="00A8302E"/>
    <w:rsid w:val="00A86DDB"/>
    <w:rsid w:val="00A87741"/>
    <w:rsid w:val="00A90947"/>
    <w:rsid w:val="00A91951"/>
    <w:rsid w:val="00A92E4F"/>
    <w:rsid w:val="00A964F9"/>
    <w:rsid w:val="00A96AEB"/>
    <w:rsid w:val="00A96CAF"/>
    <w:rsid w:val="00A970C4"/>
    <w:rsid w:val="00A977B6"/>
    <w:rsid w:val="00A97CD6"/>
    <w:rsid w:val="00AA0AB4"/>
    <w:rsid w:val="00AA14C3"/>
    <w:rsid w:val="00AA16FD"/>
    <w:rsid w:val="00AA55F2"/>
    <w:rsid w:val="00AB0799"/>
    <w:rsid w:val="00AB2DBA"/>
    <w:rsid w:val="00AB2F0B"/>
    <w:rsid w:val="00AB3E68"/>
    <w:rsid w:val="00AB5201"/>
    <w:rsid w:val="00AB6808"/>
    <w:rsid w:val="00AB7961"/>
    <w:rsid w:val="00AB7AFA"/>
    <w:rsid w:val="00AC03F4"/>
    <w:rsid w:val="00AC0560"/>
    <w:rsid w:val="00AC147D"/>
    <w:rsid w:val="00AC148D"/>
    <w:rsid w:val="00AC2F26"/>
    <w:rsid w:val="00AC4173"/>
    <w:rsid w:val="00AC5272"/>
    <w:rsid w:val="00AC6DFE"/>
    <w:rsid w:val="00AC77FB"/>
    <w:rsid w:val="00AC7AF8"/>
    <w:rsid w:val="00AD0B17"/>
    <w:rsid w:val="00AD15B3"/>
    <w:rsid w:val="00AD1830"/>
    <w:rsid w:val="00AD31B0"/>
    <w:rsid w:val="00AD41B9"/>
    <w:rsid w:val="00AE1261"/>
    <w:rsid w:val="00AE13FE"/>
    <w:rsid w:val="00AE2A01"/>
    <w:rsid w:val="00AE4D48"/>
    <w:rsid w:val="00AE5A0C"/>
    <w:rsid w:val="00AE6BED"/>
    <w:rsid w:val="00AE747E"/>
    <w:rsid w:val="00AF06A1"/>
    <w:rsid w:val="00AF408F"/>
    <w:rsid w:val="00AF5D33"/>
    <w:rsid w:val="00AF6C4C"/>
    <w:rsid w:val="00B04115"/>
    <w:rsid w:val="00B04E0A"/>
    <w:rsid w:val="00B06E60"/>
    <w:rsid w:val="00B078D8"/>
    <w:rsid w:val="00B11A80"/>
    <w:rsid w:val="00B15BFA"/>
    <w:rsid w:val="00B17A53"/>
    <w:rsid w:val="00B202AA"/>
    <w:rsid w:val="00B20831"/>
    <w:rsid w:val="00B20930"/>
    <w:rsid w:val="00B2110E"/>
    <w:rsid w:val="00B21154"/>
    <w:rsid w:val="00B224DA"/>
    <w:rsid w:val="00B23C29"/>
    <w:rsid w:val="00B25C85"/>
    <w:rsid w:val="00B26097"/>
    <w:rsid w:val="00B278DB"/>
    <w:rsid w:val="00B27F8B"/>
    <w:rsid w:val="00B3079A"/>
    <w:rsid w:val="00B31F5C"/>
    <w:rsid w:val="00B36D65"/>
    <w:rsid w:val="00B36EAC"/>
    <w:rsid w:val="00B36EBF"/>
    <w:rsid w:val="00B405BA"/>
    <w:rsid w:val="00B40A1E"/>
    <w:rsid w:val="00B416A9"/>
    <w:rsid w:val="00B43BB8"/>
    <w:rsid w:val="00B453F5"/>
    <w:rsid w:val="00B465EB"/>
    <w:rsid w:val="00B46880"/>
    <w:rsid w:val="00B47849"/>
    <w:rsid w:val="00B51313"/>
    <w:rsid w:val="00B51CA0"/>
    <w:rsid w:val="00B5312E"/>
    <w:rsid w:val="00B5453C"/>
    <w:rsid w:val="00B564C5"/>
    <w:rsid w:val="00B60765"/>
    <w:rsid w:val="00B609D9"/>
    <w:rsid w:val="00B61B0F"/>
    <w:rsid w:val="00B63384"/>
    <w:rsid w:val="00B63724"/>
    <w:rsid w:val="00B63B27"/>
    <w:rsid w:val="00B662BA"/>
    <w:rsid w:val="00B667D4"/>
    <w:rsid w:val="00B66C49"/>
    <w:rsid w:val="00B7290E"/>
    <w:rsid w:val="00B73A7D"/>
    <w:rsid w:val="00B73B2A"/>
    <w:rsid w:val="00B755AB"/>
    <w:rsid w:val="00B76921"/>
    <w:rsid w:val="00B8185C"/>
    <w:rsid w:val="00B81BFF"/>
    <w:rsid w:val="00B822C6"/>
    <w:rsid w:val="00B8521E"/>
    <w:rsid w:val="00B85438"/>
    <w:rsid w:val="00B87E85"/>
    <w:rsid w:val="00B90192"/>
    <w:rsid w:val="00B9039A"/>
    <w:rsid w:val="00B90A38"/>
    <w:rsid w:val="00B94519"/>
    <w:rsid w:val="00B94C4C"/>
    <w:rsid w:val="00B9697D"/>
    <w:rsid w:val="00B9703B"/>
    <w:rsid w:val="00B97D0C"/>
    <w:rsid w:val="00BA1138"/>
    <w:rsid w:val="00BA1E05"/>
    <w:rsid w:val="00BA4342"/>
    <w:rsid w:val="00BA5C30"/>
    <w:rsid w:val="00BA7FA6"/>
    <w:rsid w:val="00BB0DCE"/>
    <w:rsid w:val="00BB0F48"/>
    <w:rsid w:val="00BB29A2"/>
    <w:rsid w:val="00BB3F56"/>
    <w:rsid w:val="00BB41D6"/>
    <w:rsid w:val="00BB4B68"/>
    <w:rsid w:val="00BB7302"/>
    <w:rsid w:val="00BB7D99"/>
    <w:rsid w:val="00BB7F1B"/>
    <w:rsid w:val="00BC1F0B"/>
    <w:rsid w:val="00BC3CDA"/>
    <w:rsid w:val="00BC4011"/>
    <w:rsid w:val="00BC5130"/>
    <w:rsid w:val="00BC5460"/>
    <w:rsid w:val="00BC5F4A"/>
    <w:rsid w:val="00BC790F"/>
    <w:rsid w:val="00BD1CE5"/>
    <w:rsid w:val="00BD2201"/>
    <w:rsid w:val="00BD2A5D"/>
    <w:rsid w:val="00BD4DA0"/>
    <w:rsid w:val="00BD5B03"/>
    <w:rsid w:val="00BD6AB7"/>
    <w:rsid w:val="00BE2A17"/>
    <w:rsid w:val="00BE65E7"/>
    <w:rsid w:val="00BE6637"/>
    <w:rsid w:val="00BE72FF"/>
    <w:rsid w:val="00BE7767"/>
    <w:rsid w:val="00BE7D0B"/>
    <w:rsid w:val="00BF029B"/>
    <w:rsid w:val="00BF20D8"/>
    <w:rsid w:val="00BF40D6"/>
    <w:rsid w:val="00BF4FFA"/>
    <w:rsid w:val="00BF6A67"/>
    <w:rsid w:val="00BF7269"/>
    <w:rsid w:val="00BF72B0"/>
    <w:rsid w:val="00C02BC0"/>
    <w:rsid w:val="00C02FF3"/>
    <w:rsid w:val="00C03160"/>
    <w:rsid w:val="00C03444"/>
    <w:rsid w:val="00C04DD9"/>
    <w:rsid w:val="00C05943"/>
    <w:rsid w:val="00C05ED6"/>
    <w:rsid w:val="00C06952"/>
    <w:rsid w:val="00C07AC1"/>
    <w:rsid w:val="00C102A3"/>
    <w:rsid w:val="00C122A9"/>
    <w:rsid w:val="00C12441"/>
    <w:rsid w:val="00C1458F"/>
    <w:rsid w:val="00C154AC"/>
    <w:rsid w:val="00C17D82"/>
    <w:rsid w:val="00C20FCA"/>
    <w:rsid w:val="00C22D58"/>
    <w:rsid w:val="00C22F9F"/>
    <w:rsid w:val="00C23C50"/>
    <w:rsid w:val="00C24A2B"/>
    <w:rsid w:val="00C25B4A"/>
    <w:rsid w:val="00C27BF1"/>
    <w:rsid w:val="00C27DBA"/>
    <w:rsid w:val="00C32631"/>
    <w:rsid w:val="00C34C09"/>
    <w:rsid w:val="00C37E0A"/>
    <w:rsid w:val="00C417A2"/>
    <w:rsid w:val="00C428B1"/>
    <w:rsid w:val="00C43193"/>
    <w:rsid w:val="00C43686"/>
    <w:rsid w:val="00C43D87"/>
    <w:rsid w:val="00C44777"/>
    <w:rsid w:val="00C447B8"/>
    <w:rsid w:val="00C47D4C"/>
    <w:rsid w:val="00C500CF"/>
    <w:rsid w:val="00C506B9"/>
    <w:rsid w:val="00C508D0"/>
    <w:rsid w:val="00C53562"/>
    <w:rsid w:val="00C55134"/>
    <w:rsid w:val="00C55A98"/>
    <w:rsid w:val="00C567C9"/>
    <w:rsid w:val="00C57B39"/>
    <w:rsid w:val="00C603AE"/>
    <w:rsid w:val="00C613D5"/>
    <w:rsid w:val="00C62257"/>
    <w:rsid w:val="00C65CAA"/>
    <w:rsid w:val="00C65F2A"/>
    <w:rsid w:val="00C6687A"/>
    <w:rsid w:val="00C67E8E"/>
    <w:rsid w:val="00C70746"/>
    <w:rsid w:val="00C731F7"/>
    <w:rsid w:val="00C746FE"/>
    <w:rsid w:val="00C7483B"/>
    <w:rsid w:val="00C77934"/>
    <w:rsid w:val="00C81362"/>
    <w:rsid w:val="00C820A2"/>
    <w:rsid w:val="00C8276A"/>
    <w:rsid w:val="00C85FB5"/>
    <w:rsid w:val="00C87F23"/>
    <w:rsid w:val="00C9122D"/>
    <w:rsid w:val="00C91DFF"/>
    <w:rsid w:val="00C933BA"/>
    <w:rsid w:val="00C94A5B"/>
    <w:rsid w:val="00C954B7"/>
    <w:rsid w:val="00C957E7"/>
    <w:rsid w:val="00C97E5D"/>
    <w:rsid w:val="00CA0686"/>
    <w:rsid w:val="00CA165B"/>
    <w:rsid w:val="00CA2AFC"/>
    <w:rsid w:val="00CA5B0A"/>
    <w:rsid w:val="00CB6835"/>
    <w:rsid w:val="00CC0816"/>
    <w:rsid w:val="00CC1CF7"/>
    <w:rsid w:val="00CC3D74"/>
    <w:rsid w:val="00CC57A0"/>
    <w:rsid w:val="00CC65D6"/>
    <w:rsid w:val="00CD1976"/>
    <w:rsid w:val="00CD2310"/>
    <w:rsid w:val="00CD4284"/>
    <w:rsid w:val="00CD581A"/>
    <w:rsid w:val="00CD7315"/>
    <w:rsid w:val="00CE1FF3"/>
    <w:rsid w:val="00CE20C1"/>
    <w:rsid w:val="00CE2186"/>
    <w:rsid w:val="00CE3803"/>
    <w:rsid w:val="00CE39C3"/>
    <w:rsid w:val="00CE61A0"/>
    <w:rsid w:val="00CE61AD"/>
    <w:rsid w:val="00CE6B71"/>
    <w:rsid w:val="00CE7204"/>
    <w:rsid w:val="00CF0A12"/>
    <w:rsid w:val="00CF2E76"/>
    <w:rsid w:val="00CF3AF2"/>
    <w:rsid w:val="00CF3B30"/>
    <w:rsid w:val="00CF3F60"/>
    <w:rsid w:val="00CF5AF2"/>
    <w:rsid w:val="00CF6F7F"/>
    <w:rsid w:val="00CF7BD6"/>
    <w:rsid w:val="00D04B75"/>
    <w:rsid w:val="00D050A3"/>
    <w:rsid w:val="00D055A6"/>
    <w:rsid w:val="00D06990"/>
    <w:rsid w:val="00D07042"/>
    <w:rsid w:val="00D11216"/>
    <w:rsid w:val="00D12B61"/>
    <w:rsid w:val="00D13EE6"/>
    <w:rsid w:val="00D14038"/>
    <w:rsid w:val="00D14810"/>
    <w:rsid w:val="00D14CE8"/>
    <w:rsid w:val="00D1567B"/>
    <w:rsid w:val="00D15C88"/>
    <w:rsid w:val="00D1789F"/>
    <w:rsid w:val="00D17C2F"/>
    <w:rsid w:val="00D20C6A"/>
    <w:rsid w:val="00D237F6"/>
    <w:rsid w:val="00D24446"/>
    <w:rsid w:val="00D257CE"/>
    <w:rsid w:val="00D26003"/>
    <w:rsid w:val="00D270E5"/>
    <w:rsid w:val="00D30AEB"/>
    <w:rsid w:val="00D32757"/>
    <w:rsid w:val="00D35B8F"/>
    <w:rsid w:val="00D42500"/>
    <w:rsid w:val="00D4453D"/>
    <w:rsid w:val="00D44738"/>
    <w:rsid w:val="00D4601C"/>
    <w:rsid w:val="00D52872"/>
    <w:rsid w:val="00D53158"/>
    <w:rsid w:val="00D549A2"/>
    <w:rsid w:val="00D54FCD"/>
    <w:rsid w:val="00D56028"/>
    <w:rsid w:val="00D6088C"/>
    <w:rsid w:val="00D630BF"/>
    <w:rsid w:val="00D63CC0"/>
    <w:rsid w:val="00D67298"/>
    <w:rsid w:val="00D67B05"/>
    <w:rsid w:val="00D71377"/>
    <w:rsid w:val="00D7421E"/>
    <w:rsid w:val="00D7461E"/>
    <w:rsid w:val="00D748CE"/>
    <w:rsid w:val="00D76D14"/>
    <w:rsid w:val="00D83300"/>
    <w:rsid w:val="00D83996"/>
    <w:rsid w:val="00D83ED2"/>
    <w:rsid w:val="00D917D8"/>
    <w:rsid w:val="00D92827"/>
    <w:rsid w:val="00D92F7A"/>
    <w:rsid w:val="00D93D09"/>
    <w:rsid w:val="00D943F1"/>
    <w:rsid w:val="00D95C1E"/>
    <w:rsid w:val="00D970AC"/>
    <w:rsid w:val="00D97148"/>
    <w:rsid w:val="00DA0763"/>
    <w:rsid w:val="00DA3CA8"/>
    <w:rsid w:val="00DA4A45"/>
    <w:rsid w:val="00DB0354"/>
    <w:rsid w:val="00DB300A"/>
    <w:rsid w:val="00DB584A"/>
    <w:rsid w:val="00DB5999"/>
    <w:rsid w:val="00DB6466"/>
    <w:rsid w:val="00DB7ADC"/>
    <w:rsid w:val="00DC1FC6"/>
    <w:rsid w:val="00DC50DA"/>
    <w:rsid w:val="00DC59CC"/>
    <w:rsid w:val="00DC5F60"/>
    <w:rsid w:val="00DC6455"/>
    <w:rsid w:val="00DC688F"/>
    <w:rsid w:val="00DC6F77"/>
    <w:rsid w:val="00DD0487"/>
    <w:rsid w:val="00DD0CF8"/>
    <w:rsid w:val="00DD0E91"/>
    <w:rsid w:val="00DD3ADA"/>
    <w:rsid w:val="00DD43C2"/>
    <w:rsid w:val="00DD4EB3"/>
    <w:rsid w:val="00DD5562"/>
    <w:rsid w:val="00DD5BAD"/>
    <w:rsid w:val="00DD63D0"/>
    <w:rsid w:val="00DD7011"/>
    <w:rsid w:val="00DE1CBD"/>
    <w:rsid w:val="00DE3093"/>
    <w:rsid w:val="00DE35F3"/>
    <w:rsid w:val="00DF02AD"/>
    <w:rsid w:val="00DF1944"/>
    <w:rsid w:val="00E051A3"/>
    <w:rsid w:val="00E05832"/>
    <w:rsid w:val="00E10439"/>
    <w:rsid w:val="00E15AB2"/>
    <w:rsid w:val="00E223BC"/>
    <w:rsid w:val="00E223E8"/>
    <w:rsid w:val="00E225B0"/>
    <w:rsid w:val="00E24C59"/>
    <w:rsid w:val="00E24D95"/>
    <w:rsid w:val="00E266E1"/>
    <w:rsid w:val="00E3069A"/>
    <w:rsid w:val="00E34070"/>
    <w:rsid w:val="00E35416"/>
    <w:rsid w:val="00E36819"/>
    <w:rsid w:val="00E37098"/>
    <w:rsid w:val="00E3768B"/>
    <w:rsid w:val="00E402A9"/>
    <w:rsid w:val="00E40565"/>
    <w:rsid w:val="00E40D11"/>
    <w:rsid w:val="00E42890"/>
    <w:rsid w:val="00E432AC"/>
    <w:rsid w:val="00E470C6"/>
    <w:rsid w:val="00E47179"/>
    <w:rsid w:val="00E474E4"/>
    <w:rsid w:val="00E50150"/>
    <w:rsid w:val="00E520CE"/>
    <w:rsid w:val="00E5405D"/>
    <w:rsid w:val="00E55505"/>
    <w:rsid w:val="00E555A3"/>
    <w:rsid w:val="00E55A43"/>
    <w:rsid w:val="00E6005E"/>
    <w:rsid w:val="00E615C5"/>
    <w:rsid w:val="00E62C94"/>
    <w:rsid w:val="00E64812"/>
    <w:rsid w:val="00E65DE8"/>
    <w:rsid w:val="00E6748C"/>
    <w:rsid w:val="00E6765B"/>
    <w:rsid w:val="00E67B90"/>
    <w:rsid w:val="00E70CE7"/>
    <w:rsid w:val="00E721EA"/>
    <w:rsid w:val="00E72F24"/>
    <w:rsid w:val="00E7473A"/>
    <w:rsid w:val="00E7512E"/>
    <w:rsid w:val="00E75DB5"/>
    <w:rsid w:val="00E80A89"/>
    <w:rsid w:val="00E80AED"/>
    <w:rsid w:val="00E81887"/>
    <w:rsid w:val="00E81B3F"/>
    <w:rsid w:val="00E83C73"/>
    <w:rsid w:val="00E83F78"/>
    <w:rsid w:val="00E87FA8"/>
    <w:rsid w:val="00E91730"/>
    <w:rsid w:val="00E936E7"/>
    <w:rsid w:val="00E95921"/>
    <w:rsid w:val="00E96611"/>
    <w:rsid w:val="00E96D7B"/>
    <w:rsid w:val="00EA1FD7"/>
    <w:rsid w:val="00EA32B2"/>
    <w:rsid w:val="00EA3B69"/>
    <w:rsid w:val="00EA5E69"/>
    <w:rsid w:val="00EA6D2A"/>
    <w:rsid w:val="00EA775A"/>
    <w:rsid w:val="00EB2962"/>
    <w:rsid w:val="00EB6833"/>
    <w:rsid w:val="00EB6E7E"/>
    <w:rsid w:val="00EC0100"/>
    <w:rsid w:val="00EC0FD2"/>
    <w:rsid w:val="00EC2D82"/>
    <w:rsid w:val="00EC3DB0"/>
    <w:rsid w:val="00EC471C"/>
    <w:rsid w:val="00EC7B4F"/>
    <w:rsid w:val="00ED08B9"/>
    <w:rsid w:val="00ED38ED"/>
    <w:rsid w:val="00ED3FA5"/>
    <w:rsid w:val="00ED4696"/>
    <w:rsid w:val="00ED6D26"/>
    <w:rsid w:val="00EE187A"/>
    <w:rsid w:val="00EE2035"/>
    <w:rsid w:val="00EE2398"/>
    <w:rsid w:val="00EE3746"/>
    <w:rsid w:val="00EE4E83"/>
    <w:rsid w:val="00EF00C6"/>
    <w:rsid w:val="00EF00F7"/>
    <w:rsid w:val="00EF1CA3"/>
    <w:rsid w:val="00EF40F3"/>
    <w:rsid w:val="00EF427E"/>
    <w:rsid w:val="00EF7BD2"/>
    <w:rsid w:val="00F017D3"/>
    <w:rsid w:val="00F03F02"/>
    <w:rsid w:val="00F1049B"/>
    <w:rsid w:val="00F11FA1"/>
    <w:rsid w:val="00F142DE"/>
    <w:rsid w:val="00F14822"/>
    <w:rsid w:val="00F15908"/>
    <w:rsid w:val="00F16BED"/>
    <w:rsid w:val="00F1756C"/>
    <w:rsid w:val="00F17624"/>
    <w:rsid w:val="00F226C8"/>
    <w:rsid w:val="00F23786"/>
    <w:rsid w:val="00F25F4A"/>
    <w:rsid w:val="00F27C29"/>
    <w:rsid w:val="00F30B30"/>
    <w:rsid w:val="00F30D21"/>
    <w:rsid w:val="00F32110"/>
    <w:rsid w:val="00F32790"/>
    <w:rsid w:val="00F32A13"/>
    <w:rsid w:val="00F33095"/>
    <w:rsid w:val="00F350BC"/>
    <w:rsid w:val="00F35385"/>
    <w:rsid w:val="00F359A7"/>
    <w:rsid w:val="00F36E55"/>
    <w:rsid w:val="00F37405"/>
    <w:rsid w:val="00F40814"/>
    <w:rsid w:val="00F4140C"/>
    <w:rsid w:val="00F4274E"/>
    <w:rsid w:val="00F45CDC"/>
    <w:rsid w:val="00F46D13"/>
    <w:rsid w:val="00F478F5"/>
    <w:rsid w:val="00F526F9"/>
    <w:rsid w:val="00F5282F"/>
    <w:rsid w:val="00F56007"/>
    <w:rsid w:val="00F569F4"/>
    <w:rsid w:val="00F57275"/>
    <w:rsid w:val="00F61AB3"/>
    <w:rsid w:val="00F61C6D"/>
    <w:rsid w:val="00F6357C"/>
    <w:rsid w:val="00F64217"/>
    <w:rsid w:val="00F64CC3"/>
    <w:rsid w:val="00F64EF6"/>
    <w:rsid w:val="00F66BE0"/>
    <w:rsid w:val="00F70DD4"/>
    <w:rsid w:val="00F74C33"/>
    <w:rsid w:val="00F74CE3"/>
    <w:rsid w:val="00F76774"/>
    <w:rsid w:val="00F774B3"/>
    <w:rsid w:val="00F80173"/>
    <w:rsid w:val="00F83D11"/>
    <w:rsid w:val="00F843EC"/>
    <w:rsid w:val="00F84546"/>
    <w:rsid w:val="00F87493"/>
    <w:rsid w:val="00F91423"/>
    <w:rsid w:val="00F92133"/>
    <w:rsid w:val="00F9448F"/>
    <w:rsid w:val="00F962FE"/>
    <w:rsid w:val="00FA2673"/>
    <w:rsid w:val="00FA32D1"/>
    <w:rsid w:val="00FA4BF8"/>
    <w:rsid w:val="00FA4C7D"/>
    <w:rsid w:val="00FA55A3"/>
    <w:rsid w:val="00FA5874"/>
    <w:rsid w:val="00FA5B51"/>
    <w:rsid w:val="00FA7B67"/>
    <w:rsid w:val="00FB016D"/>
    <w:rsid w:val="00FB0E2F"/>
    <w:rsid w:val="00FB1907"/>
    <w:rsid w:val="00FB1A4D"/>
    <w:rsid w:val="00FB3B41"/>
    <w:rsid w:val="00FB5694"/>
    <w:rsid w:val="00FB5D53"/>
    <w:rsid w:val="00FB78A7"/>
    <w:rsid w:val="00FC0691"/>
    <w:rsid w:val="00FC18E7"/>
    <w:rsid w:val="00FC207B"/>
    <w:rsid w:val="00FC39AF"/>
    <w:rsid w:val="00FC650D"/>
    <w:rsid w:val="00FC668E"/>
    <w:rsid w:val="00FD3851"/>
    <w:rsid w:val="00FD6EF6"/>
    <w:rsid w:val="00FE049A"/>
    <w:rsid w:val="00FE2F6B"/>
    <w:rsid w:val="00FE48A8"/>
    <w:rsid w:val="00FE4AAD"/>
    <w:rsid w:val="00FE5121"/>
    <w:rsid w:val="00FE51AE"/>
    <w:rsid w:val="00FF02CB"/>
    <w:rsid w:val="00FF0ED3"/>
    <w:rsid w:val="00FF1374"/>
    <w:rsid w:val="00FF1C7E"/>
    <w:rsid w:val="00FF2A3C"/>
    <w:rsid w:val="00FF3180"/>
    <w:rsid w:val="00FF5BFC"/>
    <w:rsid w:val="00FF5D5F"/>
    <w:rsid w:val="00FF61F8"/>
    <w:rsid w:val="01754C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108827D"/>
  <w15:docId w15:val="{7CB7A2EA-A738-4FDF-B230-B45987E7D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iPriority="0" w:unhideWhenUsed="1" w:qFormat="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qFormat/>
    <w:pPr>
      <w:spacing w:line="240" w:lineRule="auto"/>
    </w:pPr>
    <w:rPr>
      <w:sz w:val="20"/>
      <w:szCs w:val="20"/>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lang w:eastAsia="en-US" w:bidi="en-US"/>
    </w:rPr>
  </w:style>
  <w:style w:type="paragraph" w:styleId="TOC3">
    <w:name w:val="toc 3"/>
    <w:basedOn w:val="Normal"/>
    <w:next w:val="Normal"/>
    <w:uiPriority w:val="39"/>
    <w:unhideWhenUsed/>
    <w:qFormat/>
    <w:pPr>
      <w:spacing w:after="100"/>
      <w:ind w:left="440"/>
    </w:pPr>
    <w:rPr>
      <w:lang w:val="en-GB"/>
    </w:r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lang w:val="en-GB"/>
    </w:rPr>
  </w:style>
  <w:style w:type="paragraph" w:styleId="Footer">
    <w:name w:val="footer"/>
    <w:basedOn w:val="Normal"/>
    <w:link w:val="FooterChar"/>
    <w:uiPriority w:val="99"/>
    <w:qFormat/>
    <w:pPr>
      <w:tabs>
        <w:tab w:val="center" w:pos="4513"/>
        <w:tab w:val="right" w:pos="9026"/>
      </w:tabs>
      <w:spacing w:after="0" w:line="240" w:lineRule="auto"/>
    </w:pPr>
    <w:rPr>
      <w:rFonts w:eastAsiaTheme="minorHAnsi"/>
      <w:lang w:val="en-AU" w:eastAsia="en-US"/>
    </w:rPr>
  </w:style>
  <w:style w:type="paragraph" w:styleId="Header">
    <w:name w:val="header"/>
    <w:basedOn w:val="Normal"/>
    <w:link w:val="HeaderChar"/>
    <w:uiPriority w:val="99"/>
    <w:unhideWhenUsed/>
    <w:qFormat/>
    <w:pPr>
      <w:tabs>
        <w:tab w:val="center" w:pos="4153"/>
        <w:tab w:val="right" w:pos="8306"/>
      </w:tabs>
      <w:spacing w:after="0" w:line="240" w:lineRule="auto"/>
    </w:pPr>
    <w:rPr>
      <w:lang w:val="en-GB"/>
    </w:rPr>
  </w:style>
  <w:style w:type="paragraph" w:styleId="TOC1">
    <w:name w:val="toc 1"/>
    <w:basedOn w:val="Normal"/>
    <w:next w:val="Normal"/>
    <w:uiPriority w:val="39"/>
    <w:unhideWhenUsed/>
    <w:qFormat/>
    <w:pPr>
      <w:spacing w:before="120" w:after="0" w:line="240" w:lineRule="auto"/>
    </w:pPr>
    <w:rPr>
      <w:rFonts w:eastAsiaTheme="minorHAnsi"/>
      <w:b/>
      <w:bCs/>
      <w:sz w:val="24"/>
      <w:szCs w:val="24"/>
      <w:lang w:val="en-GB" w:eastAsia="en-US"/>
    </w:rPr>
  </w:style>
  <w:style w:type="paragraph" w:styleId="FootnoteText">
    <w:name w:val="footnote text"/>
    <w:basedOn w:val="Normal"/>
    <w:link w:val="FootnoteTextChar"/>
    <w:uiPriority w:val="99"/>
    <w:unhideWhenUsed/>
    <w:qFormat/>
    <w:pPr>
      <w:spacing w:after="0" w:line="240" w:lineRule="auto"/>
    </w:pPr>
    <w:rPr>
      <w:sz w:val="20"/>
      <w:szCs w:val="20"/>
    </w:rPr>
  </w:style>
  <w:style w:type="paragraph" w:styleId="TOC2">
    <w:name w:val="toc 2"/>
    <w:basedOn w:val="Normal"/>
    <w:next w:val="Normal"/>
    <w:uiPriority w:val="39"/>
    <w:unhideWhenUsed/>
    <w:qFormat/>
    <w:pPr>
      <w:spacing w:after="100"/>
      <w:ind w:left="220"/>
    </w:pPr>
    <w:rPr>
      <w:lang w:val="en-GB"/>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qFormat/>
    <w:rPr>
      <w:rFonts w:ascii="Times New Roman" w:eastAsiaTheme="majorEastAsia" w:hAnsi="Times New Roman" w:cstheme="majorBidi"/>
      <w:b/>
      <w:sz w:val="24"/>
      <w:szCs w:val="26"/>
      <w:lang w:val="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US"/>
    </w:rPr>
  </w:style>
  <w:style w:type="character" w:customStyle="1" w:styleId="FootnoteTextChar">
    <w:name w:val="Footnote Text Char"/>
    <w:basedOn w:val="DefaultParagraphFont"/>
    <w:link w:val="FootnoteText"/>
    <w:uiPriority w:val="99"/>
    <w:qFormat/>
    <w:rPr>
      <w:sz w:val="20"/>
      <w:szCs w:val="20"/>
      <w:lang w:val="en-US"/>
    </w:rPr>
  </w:style>
  <w:style w:type="character" w:customStyle="1" w:styleId="FooterChar">
    <w:name w:val="Footer Char"/>
    <w:basedOn w:val="DefaultParagraphFont"/>
    <w:link w:val="Footer"/>
    <w:uiPriority w:val="99"/>
    <w:qFormat/>
    <w:rPr>
      <w:rFonts w:eastAsiaTheme="minorHAnsi"/>
      <w:lang w:val="en-AU" w:eastAsia="en-US"/>
    </w:rPr>
  </w:style>
  <w:style w:type="paragraph" w:customStyle="1" w:styleId="1">
    <w:name w:val="正文1"/>
    <w:qFormat/>
    <w:pPr>
      <w:spacing w:before="100" w:beforeAutospacing="1" w:after="200" w:line="273" w:lineRule="auto"/>
    </w:pPr>
    <w:rPr>
      <w:rFonts w:ascii="Times New Roman" w:eastAsia="Times New Roman" w:hAnsi="Times New Roman" w:cs="Times New Roman"/>
      <w:sz w:val="24"/>
      <w:szCs w:val="24"/>
    </w:rPr>
  </w:style>
  <w:style w:type="paragraph" w:customStyle="1" w:styleId="2">
    <w:name w:val="正文2"/>
    <w:qFormat/>
    <w:pPr>
      <w:spacing w:before="100" w:beforeAutospacing="1" w:after="160" w:line="256" w:lineRule="auto"/>
    </w:pPr>
    <w:rPr>
      <w:rFonts w:ascii="Calibri" w:eastAsia="SimSun" w:hAnsi="Calibri" w:cs="Arial"/>
      <w:sz w:val="22"/>
      <w:szCs w:val="22"/>
    </w:rPr>
  </w:style>
  <w:style w:type="character" w:customStyle="1" w:styleId="CommentTextChar">
    <w:name w:val="Comment Text Char"/>
    <w:basedOn w:val="DefaultParagraphFont"/>
    <w:link w:val="CommentText"/>
    <w:qFormat/>
    <w:rPr>
      <w:sz w:val="20"/>
      <w:szCs w:val="20"/>
      <w:lang w:val="en-US"/>
    </w:rPr>
  </w:style>
  <w:style w:type="character" w:customStyle="1" w:styleId="CommentSubjectChar">
    <w:name w:val="Comment Subject Char"/>
    <w:basedOn w:val="CommentTextChar"/>
    <w:link w:val="CommentSubject"/>
    <w:uiPriority w:val="99"/>
    <w:semiHidden/>
    <w:qFormat/>
    <w:rPr>
      <w:b/>
      <w:bCs/>
      <w:sz w:val="20"/>
      <w:szCs w:val="20"/>
      <w:lang w:val="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lang w:val="en-US" w:eastAsia="en-US" w:bidi="en-US"/>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erChar">
    <w:name w:val="Header Char"/>
    <w:basedOn w:val="DefaultParagraphFont"/>
    <w:link w:val="Header"/>
    <w:uiPriority w:val="99"/>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sz w:val="22"/>
      <w:szCs w:val="22"/>
    </w:rPr>
  </w:style>
  <w:style w:type="paragraph" w:customStyle="1" w:styleId="EndNoteBibliography">
    <w:name w:val="EndNote Bibliography"/>
    <w:basedOn w:val="Normal"/>
    <w:link w:val="EndNoteBibliographyChar"/>
    <w:qFormat/>
    <w:pPr>
      <w:spacing w:line="240" w:lineRule="auto"/>
    </w:pPr>
    <w:rPr>
      <w:rFonts w:ascii="Calibri" w:hAnsi="Calibri" w:cs="Calibri"/>
      <w:lang w:val="en-GB"/>
    </w:rPr>
  </w:style>
  <w:style w:type="character" w:customStyle="1" w:styleId="EndNoteBibliographyChar">
    <w:name w:val="EndNote Bibliography Char"/>
    <w:basedOn w:val="DefaultParagraphFont"/>
    <w:link w:val="EndNoteBibliography"/>
    <w:qFormat/>
    <w:rPr>
      <w:rFonts w:ascii="Calibri" w:hAnsi="Calibri" w:cs="Calibri"/>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2">
    <w:name w:val="Revision2"/>
    <w:hidden/>
    <w:uiPriority w:val="99"/>
    <w:semiHidden/>
    <w:qFormat/>
    <w:rPr>
      <w:sz w:val="22"/>
      <w:szCs w:val="22"/>
    </w:rPr>
  </w:style>
  <w:style w:type="paragraph" w:styleId="ListParagraph">
    <w:name w:val="List Paragraph"/>
    <w:basedOn w:val="Normal"/>
    <w:uiPriority w:val="34"/>
    <w:qFormat/>
    <w:pPr>
      <w:spacing w:after="0" w:line="240" w:lineRule="auto"/>
      <w:ind w:left="720"/>
      <w:contextualSpacing/>
    </w:pPr>
    <w:rPr>
      <w:rFonts w:ascii="Times New Roman" w:eastAsiaTheme="minorHAnsi" w:hAnsi="Times New Roman" w:cs="Times New Roman"/>
      <w:sz w:val="24"/>
      <w:szCs w:val="24"/>
      <w:lang w:val="en-GB" w:eastAsia="en-GB"/>
    </w:rPr>
  </w:style>
  <w:style w:type="paragraph" w:customStyle="1" w:styleId="TOCHeading1">
    <w:name w:val="TOC Heading1"/>
    <w:basedOn w:val="Heading1"/>
    <w:next w:val="Normal"/>
    <w:uiPriority w:val="39"/>
    <w:unhideWhenUsed/>
    <w:qFormat/>
    <w:pPr>
      <w:outlineLvl w:val="9"/>
    </w:pPr>
    <w:rPr>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3">
    <w:name w:val="正文3"/>
    <w:qFormat/>
    <w:pPr>
      <w:spacing w:before="100" w:beforeAutospacing="1" w:after="160" w:line="256" w:lineRule="auto"/>
    </w:pPr>
    <w:rPr>
      <w:rFonts w:ascii="Calibri" w:eastAsia="DengXian" w:hAnsi="Calibri" w:cs="Arial"/>
      <w:sz w:val="22"/>
      <w:szCs w:val="22"/>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xl65">
    <w:name w:val="xl65"/>
    <w:basedOn w:val="Normal"/>
    <w:qFormat/>
    <w:pPr>
      <w:pBdr>
        <w:left w:val="single" w:sz="8" w:space="0" w:color="C1C1C1"/>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GB"/>
    </w:rPr>
  </w:style>
  <w:style w:type="paragraph" w:customStyle="1" w:styleId="xl66">
    <w:name w:val="xl66"/>
    <w:basedOn w:val="Normal"/>
    <w:qFormat/>
    <w:pPr>
      <w:spacing w:before="100" w:beforeAutospacing="1" w:after="100" w:afterAutospacing="1" w:line="240" w:lineRule="auto"/>
      <w:textAlignment w:val="top"/>
    </w:pPr>
    <w:rPr>
      <w:rFonts w:ascii="Times New Roman" w:eastAsia="Times New Roman" w:hAnsi="Times New Roman" w:cs="Times New Roman"/>
      <w:sz w:val="24"/>
      <w:szCs w:val="24"/>
      <w:lang w:val="en-GB"/>
    </w:rPr>
  </w:style>
  <w:style w:type="paragraph" w:customStyle="1" w:styleId="xl67">
    <w:name w:val="xl67"/>
    <w:basedOn w:val="Normal"/>
    <w:qFormat/>
    <w:pPr>
      <w:spacing w:before="100" w:beforeAutospacing="1" w:after="100" w:afterAutospacing="1" w:line="240" w:lineRule="auto"/>
      <w:textAlignment w:val="top"/>
    </w:pPr>
    <w:rPr>
      <w:rFonts w:ascii="Times New Roman" w:eastAsia="Times New Roman" w:hAnsi="Times New Roman" w:cs="Times New Roman"/>
      <w:sz w:val="24"/>
      <w:szCs w:val="24"/>
      <w:lang w:val="en-GB"/>
    </w:rPr>
  </w:style>
  <w:style w:type="paragraph" w:customStyle="1" w:styleId="xl68">
    <w:name w:val="xl68"/>
    <w:basedOn w:val="Normal"/>
    <w:qFormat/>
    <w:pPr>
      <w:pBdr>
        <w:left w:val="single" w:sz="8" w:space="0" w:color="C1C1C1"/>
      </w:pBdr>
      <w:spacing w:before="100" w:beforeAutospacing="1" w:after="100" w:afterAutospacing="1" w:line="240" w:lineRule="auto"/>
      <w:jc w:val="center"/>
      <w:textAlignment w:val="top"/>
    </w:pPr>
    <w:rPr>
      <w:rFonts w:ascii="Arial" w:eastAsia="Times New Roman" w:hAnsi="Arial" w:cs="Arial"/>
      <w:b/>
      <w:bCs/>
      <w:color w:val="000000"/>
      <w:sz w:val="24"/>
      <w:szCs w:val="24"/>
      <w:lang w:val="en-GB"/>
    </w:rPr>
  </w:style>
  <w:style w:type="paragraph" w:customStyle="1" w:styleId="xl69">
    <w:name w:val="xl69"/>
    <w:basedOn w:val="Normal"/>
    <w:qFormat/>
    <w:pPr>
      <w:spacing w:before="100" w:beforeAutospacing="1" w:after="100" w:afterAutospacing="1" w:line="240" w:lineRule="auto"/>
      <w:jc w:val="center"/>
      <w:textAlignment w:val="top"/>
    </w:pPr>
    <w:rPr>
      <w:rFonts w:ascii="Arial" w:eastAsia="Times New Roman" w:hAnsi="Arial" w:cs="Arial"/>
      <w:b/>
      <w:bCs/>
      <w:color w:val="000000"/>
      <w:sz w:val="24"/>
      <w:szCs w:val="24"/>
      <w:lang w:val="en-GB"/>
    </w:rPr>
  </w:style>
  <w:style w:type="paragraph" w:customStyle="1" w:styleId="xl70">
    <w:name w:val="xl70"/>
    <w:basedOn w:val="Normal"/>
    <w:qFormat/>
    <w:pPr>
      <w:pBdr>
        <w:left w:val="single" w:sz="8" w:space="0" w:color="C1C1C1"/>
      </w:pBdr>
      <w:spacing w:before="100" w:beforeAutospacing="1" w:after="100" w:afterAutospacing="1" w:line="240" w:lineRule="auto"/>
      <w:textAlignment w:val="top"/>
    </w:pPr>
    <w:rPr>
      <w:rFonts w:ascii="Times New Roman" w:eastAsia="Times New Roman" w:hAnsi="Times New Roman" w:cs="Times New Roman"/>
      <w:sz w:val="24"/>
      <w:szCs w:val="24"/>
      <w:lang w:val="en-GB"/>
    </w:rPr>
  </w:style>
  <w:style w:type="paragraph" w:customStyle="1" w:styleId="xl71">
    <w:name w:val="xl71"/>
    <w:basedOn w:val="Normal"/>
    <w:qFormat/>
    <w:pPr>
      <w:pBdr>
        <w:left w:val="single" w:sz="8" w:space="0" w:color="C1C1C1"/>
      </w:pBdr>
      <w:spacing w:before="100" w:beforeAutospacing="1" w:after="100" w:afterAutospacing="1" w:line="240" w:lineRule="auto"/>
      <w:jc w:val="center"/>
      <w:textAlignment w:val="top"/>
    </w:pPr>
    <w:rPr>
      <w:rFonts w:ascii="Times New Roman" w:eastAsia="Times New Roman" w:hAnsi="Times New Roman" w:cs="Times New Roman"/>
      <w:sz w:val="24"/>
      <w:szCs w:val="24"/>
      <w:lang w:val="en-GB"/>
    </w:rPr>
  </w:style>
  <w:style w:type="table" w:customStyle="1" w:styleId="TableGrid2">
    <w:name w:val="Table Grid2"/>
    <w:basedOn w:val="TableNormal"/>
    <w:uiPriority w:val="39"/>
    <w:qFormat/>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Pr>
      <w:sz w:val="22"/>
      <w:szCs w:val="22"/>
    </w:rPr>
  </w:style>
  <w:style w:type="paragraph" w:customStyle="1" w:styleId="TOCHeading2">
    <w:name w:val="TOC Heading2"/>
    <w:basedOn w:val="Heading1"/>
    <w:next w:val="Normal"/>
    <w:uiPriority w:val="39"/>
    <w:unhideWhenUsed/>
    <w:qFormat/>
    <w:pPr>
      <w:outlineLvl w:val="9"/>
    </w:pPr>
    <w:rPr>
      <w:lang w:eastAsia="en-US"/>
    </w:rPr>
  </w:style>
  <w:style w:type="paragraph" w:customStyle="1" w:styleId="Revision4">
    <w:name w:val="Revision4"/>
    <w:hidden/>
    <w:uiPriority w:val="99"/>
    <w:semiHidden/>
    <w:qFormat/>
    <w:rPr>
      <w:sz w:val="22"/>
      <w:szCs w:val="22"/>
    </w:rPr>
  </w:style>
  <w:style w:type="paragraph" w:customStyle="1" w:styleId="TableParagraph">
    <w:name w:val="Table Paragraph"/>
    <w:basedOn w:val="Normal"/>
    <w:uiPriority w:val="1"/>
    <w:qFormat/>
    <w:pPr>
      <w:widowControl w:val="0"/>
      <w:autoSpaceDE w:val="0"/>
      <w:autoSpaceDN w:val="0"/>
      <w:spacing w:after="0" w:line="240" w:lineRule="auto"/>
      <w:jc w:val="right"/>
    </w:pPr>
    <w:rPr>
      <w:rFonts w:ascii="Times New Roman" w:eastAsia="Times New Roman" w:hAnsi="Times New Roman" w:cs="Times New Roman"/>
      <w:lang w:eastAsia="en-US" w:bidi="en-US"/>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Revision5">
    <w:name w:val="Revision5"/>
    <w:hidden/>
    <w:uiPriority w:val="99"/>
    <w:semiHidden/>
    <w:qFormat/>
    <w:rPr>
      <w:sz w:val="22"/>
      <w:szCs w:val="22"/>
    </w:rPr>
  </w:style>
  <w:style w:type="paragraph" w:customStyle="1" w:styleId="Revision6">
    <w:name w:val="Revision6"/>
    <w:hidden/>
    <w:uiPriority w:val="99"/>
    <w:semiHidden/>
    <w:qFormat/>
    <w:rPr>
      <w:sz w:val="22"/>
      <w:szCs w:val="22"/>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TOCHeading3">
    <w:name w:val="TOC Heading3"/>
    <w:basedOn w:val="Heading1"/>
    <w:next w:val="Normal"/>
    <w:uiPriority w:val="39"/>
    <w:unhideWhenUsed/>
    <w:qFormat/>
    <w:pPr>
      <w:outlineLvl w:val="9"/>
    </w:pPr>
    <w:rPr>
      <w:lang w:eastAsia="en-US"/>
    </w:rPr>
  </w:style>
  <w:style w:type="character" w:customStyle="1" w:styleId="UnresolvedMention6">
    <w:name w:val="Unresolved Mention6"/>
    <w:basedOn w:val="DefaultParagraphFont"/>
    <w:uiPriority w:val="99"/>
    <w:semiHidden/>
    <w:unhideWhenUsed/>
    <w:rPr>
      <w:color w:val="605E5C"/>
      <w:shd w:val="clear" w:color="auto" w:fill="E1DFDD"/>
    </w:rPr>
  </w:style>
  <w:style w:type="paragraph" w:customStyle="1" w:styleId="pf0">
    <w:name w:val="pf0"/>
    <w:basedOn w:val="Normal"/>
    <w:rsid w:val="003F7BA1"/>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cf01">
    <w:name w:val="cf01"/>
    <w:basedOn w:val="DefaultParagraphFont"/>
    <w:rsid w:val="003F7BA1"/>
    <w:rPr>
      <w:rFonts w:ascii="Segoe UI" w:hAnsi="Segoe UI" w:cs="Segoe UI" w:hint="default"/>
      <w:sz w:val="18"/>
      <w:szCs w:val="18"/>
    </w:rPr>
  </w:style>
  <w:style w:type="paragraph" w:styleId="NormalWeb">
    <w:name w:val="Normal (Web)"/>
    <w:basedOn w:val="Normal"/>
    <w:uiPriority w:val="99"/>
    <w:semiHidden/>
    <w:unhideWhenUsed/>
    <w:rsid w:val="003F7BA1"/>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Revision">
    <w:name w:val="Revision"/>
    <w:hidden/>
    <w:uiPriority w:val="99"/>
    <w:semiHidden/>
    <w:rsid w:val="00B90192"/>
    <w:rPr>
      <w:sz w:val="22"/>
      <w:szCs w:val="22"/>
      <w:lang w:val="en-US"/>
    </w:rPr>
  </w:style>
  <w:style w:type="character" w:customStyle="1" w:styleId="anchor-text">
    <w:name w:val="anchor-text"/>
    <w:basedOn w:val="DefaultParagraphFont"/>
    <w:rsid w:val="009507AE"/>
  </w:style>
  <w:style w:type="character" w:customStyle="1" w:styleId="title-text">
    <w:name w:val="title-text"/>
    <w:basedOn w:val="DefaultParagraphFont"/>
    <w:rsid w:val="00D83300"/>
  </w:style>
  <w:style w:type="paragraph" w:styleId="NoSpacing">
    <w:name w:val="No Spacing"/>
    <w:uiPriority w:val="1"/>
    <w:qFormat/>
    <w:rsid w:val="001A6116"/>
    <w:rPr>
      <w:sz w:val="22"/>
      <w:szCs w:val="22"/>
      <w:lang w:val="en-US"/>
    </w:rPr>
  </w:style>
  <w:style w:type="table" w:customStyle="1" w:styleId="TableGrid21">
    <w:name w:val="Table Grid21"/>
    <w:basedOn w:val="TableNormal"/>
    <w:next w:val="TableGrid"/>
    <w:uiPriority w:val="39"/>
    <w:rsid w:val="00A97CD6"/>
    <w:rPr>
      <w:rFonts w:cs="Times New Roman (Body CS)"/>
      <w:kern w:val="2"/>
      <w:sz w:val="24"/>
      <w:szCs w:val="24"/>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1">
    <w:name w:val="Comment Subject Char1"/>
    <w:basedOn w:val="CommentTextChar"/>
    <w:uiPriority w:val="99"/>
    <w:semiHidden/>
    <w:rsid w:val="00E266E1"/>
    <w:rPr>
      <w:b/>
      <w:bCs/>
      <w:sz w:val="20"/>
      <w:szCs w:val="20"/>
      <w:lang w:val="en-US"/>
    </w:rPr>
  </w:style>
  <w:style w:type="character" w:styleId="UnresolvedMention">
    <w:name w:val="Unresolved Mention"/>
    <w:basedOn w:val="DefaultParagraphFont"/>
    <w:uiPriority w:val="99"/>
    <w:semiHidden/>
    <w:unhideWhenUsed/>
    <w:rsid w:val="00892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5248">
      <w:bodyDiv w:val="1"/>
      <w:marLeft w:val="0"/>
      <w:marRight w:val="0"/>
      <w:marTop w:val="0"/>
      <w:marBottom w:val="0"/>
      <w:divBdr>
        <w:top w:val="none" w:sz="0" w:space="0" w:color="auto"/>
        <w:left w:val="none" w:sz="0" w:space="0" w:color="auto"/>
        <w:bottom w:val="none" w:sz="0" w:space="0" w:color="auto"/>
        <w:right w:val="none" w:sz="0" w:space="0" w:color="auto"/>
      </w:divBdr>
      <w:divsChild>
        <w:div w:id="1952199564">
          <w:marLeft w:val="0"/>
          <w:marRight w:val="0"/>
          <w:marTop w:val="0"/>
          <w:marBottom w:val="0"/>
          <w:divBdr>
            <w:top w:val="none" w:sz="0" w:space="0" w:color="auto"/>
            <w:left w:val="none" w:sz="0" w:space="0" w:color="auto"/>
            <w:bottom w:val="none" w:sz="0" w:space="0" w:color="auto"/>
            <w:right w:val="none" w:sz="0" w:space="0" w:color="auto"/>
          </w:divBdr>
        </w:div>
      </w:divsChild>
    </w:div>
    <w:div w:id="242297322">
      <w:bodyDiv w:val="1"/>
      <w:marLeft w:val="0"/>
      <w:marRight w:val="0"/>
      <w:marTop w:val="0"/>
      <w:marBottom w:val="0"/>
      <w:divBdr>
        <w:top w:val="none" w:sz="0" w:space="0" w:color="auto"/>
        <w:left w:val="none" w:sz="0" w:space="0" w:color="auto"/>
        <w:bottom w:val="none" w:sz="0" w:space="0" w:color="auto"/>
        <w:right w:val="none" w:sz="0" w:space="0" w:color="auto"/>
      </w:divBdr>
      <w:divsChild>
        <w:div w:id="1376346253">
          <w:marLeft w:val="0"/>
          <w:marRight w:val="0"/>
          <w:marTop w:val="0"/>
          <w:marBottom w:val="0"/>
          <w:divBdr>
            <w:top w:val="none" w:sz="0" w:space="0" w:color="auto"/>
            <w:left w:val="none" w:sz="0" w:space="0" w:color="auto"/>
            <w:bottom w:val="none" w:sz="0" w:space="0" w:color="auto"/>
            <w:right w:val="none" w:sz="0" w:space="0" w:color="auto"/>
          </w:divBdr>
        </w:div>
        <w:div w:id="773088173">
          <w:marLeft w:val="0"/>
          <w:marRight w:val="0"/>
          <w:marTop w:val="0"/>
          <w:marBottom w:val="0"/>
          <w:divBdr>
            <w:top w:val="none" w:sz="0" w:space="0" w:color="auto"/>
            <w:left w:val="none" w:sz="0" w:space="0" w:color="auto"/>
            <w:bottom w:val="none" w:sz="0" w:space="0" w:color="auto"/>
            <w:right w:val="none" w:sz="0" w:space="0" w:color="auto"/>
          </w:divBdr>
        </w:div>
      </w:divsChild>
    </w:div>
    <w:div w:id="412819554">
      <w:bodyDiv w:val="1"/>
      <w:marLeft w:val="0"/>
      <w:marRight w:val="0"/>
      <w:marTop w:val="0"/>
      <w:marBottom w:val="0"/>
      <w:divBdr>
        <w:top w:val="none" w:sz="0" w:space="0" w:color="auto"/>
        <w:left w:val="none" w:sz="0" w:space="0" w:color="auto"/>
        <w:bottom w:val="none" w:sz="0" w:space="0" w:color="auto"/>
        <w:right w:val="none" w:sz="0" w:space="0" w:color="auto"/>
      </w:divBdr>
    </w:div>
    <w:div w:id="462164280">
      <w:bodyDiv w:val="1"/>
      <w:marLeft w:val="0"/>
      <w:marRight w:val="0"/>
      <w:marTop w:val="0"/>
      <w:marBottom w:val="0"/>
      <w:divBdr>
        <w:top w:val="none" w:sz="0" w:space="0" w:color="auto"/>
        <w:left w:val="none" w:sz="0" w:space="0" w:color="auto"/>
        <w:bottom w:val="none" w:sz="0" w:space="0" w:color="auto"/>
        <w:right w:val="none" w:sz="0" w:space="0" w:color="auto"/>
      </w:divBdr>
      <w:divsChild>
        <w:div w:id="68894218">
          <w:marLeft w:val="0"/>
          <w:marRight w:val="0"/>
          <w:marTop w:val="0"/>
          <w:marBottom w:val="0"/>
          <w:divBdr>
            <w:top w:val="none" w:sz="0" w:space="0" w:color="auto"/>
            <w:left w:val="none" w:sz="0" w:space="0" w:color="auto"/>
            <w:bottom w:val="none" w:sz="0" w:space="0" w:color="auto"/>
            <w:right w:val="none" w:sz="0" w:space="0" w:color="auto"/>
          </w:divBdr>
        </w:div>
      </w:divsChild>
    </w:div>
    <w:div w:id="471560898">
      <w:bodyDiv w:val="1"/>
      <w:marLeft w:val="0"/>
      <w:marRight w:val="0"/>
      <w:marTop w:val="0"/>
      <w:marBottom w:val="0"/>
      <w:divBdr>
        <w:top w:val="none" w:sz="0" w:space="0" w:color="auto"/>
        <w:left w:val="none" w:sz="0" w:space="0" w:color="auto"/>
        <w:bottom w:val="none" w:sz="0" w:space="0" w:color="auto"/>
        <w:right w:val="none" w:sz="0" w:space="0" w:color="auto"/>
      </w:divBdr>
      <w:divsChild>
        <w:div w:id="1429306353">
          <w:marLeft w:val="0"/>
          <w:marRight w:val="0"/>
          <w:marTop w:val="0"/>
          <w:marBottom w:val="0"/>
          <w:divBdr>
            <w:top w:val="none" w:sz="0" w:space="0" w:color="auto"/>
            <w:left w:val="none" w:sz="0" w:space="0" w:color="auto"/>
            <w:bottom w:val="none" w:sz="0" w:space="0" w:color="auto"/>
            <w:right w:val="none" w:sz="0" w:space="0" w:color="auto"/>
          </w:divBdr>
        </w:div>
      </w:divsChild>
    </w:div>
    <w:div w:id="474953954">
      <w:bodyDiv w:val="1"/>
      <w:marLeft w:val="0"/>
      <w:marRight w:val="0"/>
      <w:marTop w:val="0"/>
      <w:marBottom w:val="0"/>
      <w:divBdr>
        <w:top w:val="none" w:sz="0" w:space="0" w:color="auto"/>
        <w:left w:val="none" w:sz="0" w:space="0" w:color="auto"/>
        <w:bottom w:val="none" w:sz="0" w:space="0" w:color="auto"/>
        <w:right w:val="none" w:sz="0" w:space="0" w:color="auto"/>
      </w:divBdr>
      <w:divsChild>
        <w:div w:id="852379443">
          <w:marLeft w:val="0"/>
          <w:marRight w:val="0"/>
          <w:marTop w:val="0"/>
          <w:marBottom w:val="0"/>
          <w:divBdr>
            <w:top w:val="none" w:sz="0" w:space="0" w:color="auto"/>
            <w:left w:val="none" w:sz="0" w:space="0" w:color="auto"/>
            <w:bottom w:val="none" w:sz="0" w:space="0" w:color="auto"/>
            <w:right w:val="none" w:sz="0" w:space="0" w:color="auto"/>
          </w:divBdr>
        </w:div>
      </w:divsChild>
    </w:div>
    <w:div w:id="510606872">
      <w:bodyDiv w:val="1"/>
      <w:marLeft w:val="0"/>
      <w:marRight w:val="0"/>
      <w:marTop w:val="0"/>
      <w:marBottom w:val="0"/>
      <w:divBdr>
        <w:top w:val="none" w:sz="0" w:space="0" w:color="auto"/>
        <w:left w:val="none" w:sz="0" w:space="0" w:color="auto"/>
        <w:bottom w:val="none" w:sz="0" w:space="0" w:color="auto"/>
        <w:right w:val="none" w:sz="0" w:space="0" w:color="auto"/>
      </w:divBdr>
      <w:divsChild>
        <w:div w:id="1793665598">
          <w:marLeft w:val="0"/>
          <w:marRight w:val="0"/>
          <w:marTop w:val="0"/>
          <w:marBottom w:val="0"/>
          <w:divBdr>
            <w:top w:val="none" w:sz="0" w:space="0" w:color="auto"/>
            <w:left w:val="none" w:sz="0" w:space="0" w:color="auto"/>
            <w:bottom w:val="none" w:sz="0" w:space="0" w:color="auto"/>
            <w:right w:val="none" w:sz="0" w:space="0" w:color="auto"/>
          </w:divBdr>
        </w:div>
      </w:divsChild>
    </w:div>
    <w:div w:id="694429597">
      <w:bodyDiv w:val="1"/>
      <w:marLeft w:val="0"/>
      <w:marRight w:val="0"/>
      <w:marTop w:val="0"/>
      <w:marBottom w:val="0"/>
      <w:divBdr>
        <w:top w:val="none" w:sz="0" w:space="0" w:color="auto"/>
        <w:left w:val="none" w:sz="0" w:space="0" w:color="auto"/>
        <w:bottom w:val="none" w:sz="0" w:space="0" w:color="auto"/>
        <w:right w:val="none" w:sz="0" w:space="0" w:color="auto"/>
      </w:divBdr>
      <w:divsChild>
        <w:div w:id="1545556925">
          <w:marLeft w:val="0"/>
          <w:marRight w:val="0"/>
          <w:marTop w:val="0"/>
          <w:marBottom w:val="0"/>
          <w:divBdr>
            <w:top w:val="none" w:sz="0" w:space="0" w:color="auto"/>
            <w:left w:val="none" w:sz="0" w:space="0" w:color="auto"/>
            <w:bottom w:val="none" w:sz="0" w:space="0" w:color="auto"/>
            <w:right w:val="none" w:sz="0" w:space="0" w:color="auto"/>
          </w:divBdr>
        </w:div>
      </w:divsChild>
    </w:div>
    <w:div w:id="736128772">
      <w:bodyDiv w:val="1"/>
      <w:marLeft w:val="0"/>
      <w:marRight w:val="0"/>
      <w:marTop w:val="0"/>
      <w:marBottom w:val="0"/>
      <w:divBdr>
        <w:top w:val="none" w:sz="0" w:space="0" w:color="auto"/>
        <w:left w:val="none" w:sz="0" w:space="0" w:color="auto"/>
        <w:bottom w:val="none" w:sz="0" w:space="0" w:color="auto"/>
        <w:right w:val="none" w:sz="0" w:space="0" w:color="auto"/>
      </w:divBdr>
    </w:div>
    <w:div w:id="761028252">
      <w:bodyDiv w:val="1"/>
      <w:marLeft w:val="0"/>
      <w:marRight w:val="0"/>
      <w:marTop w:val="0"/>
      <w:marBottom w:val="0"/>
      <w:divBdr>
        <w:top w:val="none" w:sz="0" w:space="0" w:color="auto"/>
        <w:left w:val="none" w:sz="0" w:space="0" w:color="auto"/>
        <w:bottom w:val="none" w:sz="0" w:space="0" w:color="auto"/>
        <w:right w:val="none" w:sz="0" w:space="0" w:color="auto"/>
      </w:divBdr>
    </w:div>
    <w:div w:id="831023714">
      <w:bodyDiv w:val="1"/>
      <w:marLeft w:val="0"/>
      <w:marRight w:val="0"/>
      <w:marTop w:val="0"/>
      <w:marBottom w:val="0"/>
      <w:divBdr>
        <w:top w:val="none" w:sz="0" w:space="0" w:color="auto"/>
        <w:left w:val="none" w:sz="0" w:space="0" w:color="auto"/>
        <w:bottom w:val="none" w:sz="0" w:space="0" w:color="auto"/>
        <w:right w:val="none" w:sz="0" w:space="0" w:color="auto"/>
      </w:divBdr>
      <w:divsChild>
        <w:div w:id="503666291">
          <w:marLeft w:val="0"/>
          <w:marRight w:val="0"/>
          <w:marTop w:val="0"/>
          <w:marBottom w:val="0"/>
          <w:divBdr>
            <w:top w:val="none" w:sz="0" w:space="0" w:color="auto"/>
            <w:left w:val="none" w:sz="0" w:space="0" w:color="auto"/>
            <w:bottom w:val="none" w:sz="0" w:space="0" w:color="auto"/>
            <w:right w:val="none" w:sz="0" w:space="0" w:color="auto"/>
          </w:divBdr>
        </w:div>
      </w:divsChild>
    </w:div>
    <w:div w:id="863514482">
      <w:bodyDiv w:val="1"/>
      <w:marLeft w:val="0"/>
      <w:marRight w:val="0"/>
      <w:marTop w:val="0"/>
      <w:marBottom w:val="0"/>
      <w:divBdr>
        <w:top w:val="none" w:sz="0" w:space="0" w:color="auto"/>
        <w:left w:val="none" w:sz="0" w:space="0" w:color="auto"/>
        <w:bottom w:val="none" w:sz="0" w:space="0" w:color="auto"/>
        <w:right w:val="none" w:sz="0" w:space="0" w:color="auto"/>
      </w:divBdr>
      <w:divsChild>
        <w:div w:id="1678849924">
          <w:marLeft w:val="0"/>
          <w:marRight w:val="0"/>
          <w:marTop w:val="0"/>
          <w:marBottom w:val="0"/>
          <w:divBdr>
            <w:top w:val="none" w:sz="0" w:space="0" w:color="auto"/>
            <w:left w:val="none" w:sz="0" w:space="0" w:color="auto"/>
            <w:bottom w:val="none" w:sz="0" w:space="0" w:color="auto"/>
            <w:right w:val="none" w:sz="0" w:space="0" w:color="auto"/>
          </w:divBdr>
        </w:div>
      </w:divsChild>
    </w:div>
    <w:div w:id="886647744">
      <w:bodyDiv w:val="1"/>
      <w:marLeft w:val="0"/>
      <w:marRight w:val="0"/>
      <w:marTop w:val="0"/>
      <w:marBottom w:val="0"/>
      <w:divBdr>
        <w:top w:val="none" w:sz="0" w:space="0" w:color="auto"/>
        <w:left w:val="none" w:sz="0" w:space="0" w:color="auto"/>
        <w:bottom w:val="none" w:sz="0" w:space="0" w:color="auto"/>
        <w:right w:val="none" w:sz="0" w:space="0" w:color="auto"/>
      </w:divBdr>
      <w:divsChild>
        <w:div w:id="2015762014">
          <w:marLeft w:val="0"/>
          <w:marRight w:val="0"/>
          <w:marTop w:val="0"/>
          <w:marBottom w:val="0"/>
          <w:divBdr>
            <w:top w:val="none" w:sz="0" w:space="0" w:color="auto"/>
            <w:left w:val="none" w:sz="0" w:space="0" w:color="auto"/>
            <w:bottom w:val="none" w:sz="0" w:space="0" w:color="auto"/>
            <w:right w:val="none" w:sz="0" w:space="0" w:color="auto"/>
          </w:divBdr>
        </w:div>
      </w:divsChild>
    </w:div>
    <w:div w:id="1002316092">
      <w:bodyDiv w:val="1"/>
      <w:marLeft w:val="0"/>
      <w:marRight w:val="0"/>
      <w:marTop w:val="0"/>
      <w:marBottom w:val="0"/>
      <w:divBdr>
        <w:top w:val="none" w:sz="0" w:space="0" w:color="auto"/>
        <w:left w:val="none" w:sz="0" w:space="0" w:color="auto"/>
        <w:bottom w:val="none" w:sz="0" w:space="0" w:color="auto"/>
        <w:right w:val="none" w:sz="0" w:space="0" w:color="auto"/>
      </w:divBdr>
      <w:divsChild>
        <w:div w:id="193351344">
          <w:marLeft w:val="0"/>
          <w:marRight w:val="0"/>
          <w:marTop w:val="0"/>
          <w:marBottom w:val="0"/>
          <w:divBdr>
            <w:top w:val="none" w:sz="0" w:space="0" w:color="auto"/>
            <w:left w:val="none" w:sz="0" w:space="0" w:color="auto"/>
            <w:bottom w:val="none" w:sz="0" w:space="0" w:color="auto"/>
            <w:right w:val="none" w:sz="0" w:space="0" w:color="auto"/>
          </w:divBdr>
        </w:div>
        <w:div w:id="1298294389">
          <w:marLeft w:val="0"/>
          <w:marRight w:val="0"/>
          <w:marTop w:val="0"/>
          <w:marBottom w:val="0"/>
          <w:divBdr>
            <w:top w:val="none" w:sz="0" w:space="0" w:color="auto"/>
            <w:left w:val="none" w:sz="0" w:space="0" w:color="auto"/>
            <w:bottom w:val="none" w:sz="0" w:space="0" w:color="auto"/>
            <w:right w:val="none" w:sz="0" w:space="0" w:color="auto"/>
          </w:divBdr>
        </w:div>
      </w:divsChild>
    </w:div>
    <w:div w:id="1049455614">
      <w:bodyDiv w:val="1"/>
      <w:marLeft w:val="0"/>
      <w:marRight w:val="0"/>
      <w:marTop w:val="0"/>
      <w:marBottom w:val="0"/>
      <w:divBdr>
        <w:top w:val="none" w:sz="0" w:space="0" w:color="auto"/>
        <w:left w:val="none" w:sz="0" w:space="0" w:color="auto"/>
        <w:bottom w:val="none" w:sz="0" w:space="0" w:color="auto"/>
        <w:right w:val="none" w:sz="0" w:space="0" w:color="auto"/>
      </w:divBdr>
      <w:divsChild>
        <w:div w:id="2032417551">
          <w:marLeft w:val="0"/>
          <w:marRight w:val="0"/>
          <w:marTop w:val="0"/>
          <w:marBottom w:val="0"/>
          <w:divBdr>
            <w:top w:val="none" w:sz="0" w:space="0" w:color="auto"/>
            <w:left w:val="none" w:sz="0" w:space="0" w:color="auto"/>
            <w:bottom w:val="none" w:sz="0" w:space="0" w:color="auto"/>
            <w:right w:val="none" w:sz="0" w:space="0" w:color="auto"/>
          </w:divBdr>
        </w:div>
      </w:divsChild>
    </w:div>
    <w:div w:id="1267032616">
      <w:bodyDiv w:val="1"/>
      <w:marLeft w:val="0"/>
      <w:marRight w:val="0"/>
      <w:marTop w:val="0"/>
      <w:marBottom w:val="0"/>
      <w:divBdr>
        <w:top w:val="none" w:sz="0" w:space="0" w:color="auto"/>
        <w:left w:val="none" w:sz="0" w:space="0" w:color="auto"/>
        <w:bottom w:val="none" w:sz="0" w:space="0" w:color="auto"/>
        <w:right w:val="none" w:sz="0" w:space="0" w:color="auto"/>
      </w:divBdr>
      <w:divsChild>
        <w:div w:id="881408247">
          <w:marLeft w:val="0"/>
          <w:marRight w:val="0"/>
          <w:marTop w:val="0"/>
          <w:marBottom w:val="0"/>
          <w:divBdr>
            <w:top w:val="none" w:sz="0" w:space="0" w:color="auto"/>
            <w:left w:val="none" w:sz="0" w:space="0" w:color="auto"/>
            <w:bottom w:val="none" w:sz="0" w:space="0" w:color="auto"/>
            <w:right w:val="none" w:sz="0" w:space="0" w:color="auto"/>
          </w:divBdr>
        </w:div>
      </w:divsChild>
    </w:div>
    <w:div w:id="1346320210">
      <w:bodyDiv w:val="1"/>
      <w:marLeft w:val="0"/>
      <w:marRight w:val="0"/>
      <w:marTop w:val="0"/>
      <w:marBottom w:val="0"/>
      <w:divBdr>
        <w:top w:val="none" w:sz="0" w:space="0" w:color="auto"/>
        <w:left w:val="none" w:sz="0" w:space="0" w:color="auto"/>
        <w:bottom w:val="none" w:sz="0" w:space="0" w:color="auto"/>
        <w:right w:val="none" w:sz="0" w:space="0" w:color="auto"/>
      </w:divBdr>
      <w:divsChild>
        <w:div w:id="368266113">
          <w:marLeft w:val="0"/>
          <w:marRight w:val="0"/>
          <w:marTop w:val="0"/>
          <w:marBottom w:val="0"/>
          <w:divBdr>
            <w:top w:val="none" w:sz="0" w:space="0" w:color="auto"/>
            <w:left w:val="none" w:sz="0" w:space="0" w:color="auto"/>
            <w:bottom w:val="none" w:sz="0" w:space="0" w:color="auto"/>
            <w:right w:val="none" w:sz="0" w:space="0" w:color="auto"/>
          </w:divBdr>
        </w:div>
      </w:divsChild>
    </w:div>
    <w:div w:id="1549953023">
      <w:bodyDiv w:val="1"/>
      <w:marLeft w:val="0"/>
      <w:marRight w:val="0"/>
      <w:marTop w:val="0"/>
      <w:marBottom w:val="0"/>
      <w:divBdr>
        <w:top w:val="none" w:sz="0" w:space="0" w:color="auto"/>
        <w:left w:val="none" w:sz="0" w:space="0" w:color="auto"/>
        <w:bottom w:val="none" w:sz="0" w:space="0" w:color="auto"/>
        <w:right w:val="none" w:sz="0" w:space="0" w:color="auto"/>
      </w:divBdr>
      <w:divsChild>
        <w:div w:id="1758361651">
          <w:marLeft w:val="0"/>
          <w:marRight w:val="0"/>
          <w:marTop w:val="0"/>
          <w:marBottom w:val="0"/>
          <w:divBdr>
            <w:top w:val="none" w:sz="0" w:space="0" w:color="auto"/>
            <w:left w:val="none" w:sz="0" w:space="0" w:color="auto"/>
            <w:bottom w:val="none" w:sz="0" w:space="0" w:color="auto"/>
            <w:right w:val="none" w:sz="0" w:space="0" w:color="auto"/>
          </w:divBdr>
        </w:div>
      </w:divsChild>
    </w:div>
    <w:div w:id="1594050328">
      <w:bodyDiv w:val="1"/>
      <w:marLeft w:val="0"/>
      <w:marRight w:val="0"/>
      <w:marTop w:val="0"/>
      <w:marBottom w:val="0"/>
      <w:divBdr>
        <w:top w:val="none" w:sz="0" w:space="0" w:color="auto"/>
        <w:left w:val="none" w:sz="0" w:space="0" w:color="auto"/>
        <w:bottom w:val="none" w:sz="0" w:space="0" w:color="auto"/>
        <w:right w:val="none" w:sz="0" w:space="0" w:color="auto"/>
      </w:divBdr>
    </w:div>
    <w:div w:id="1625964689">
      <w:bodyDiv w:val="1"/>
      <w:marLeft w:val="0"/>
      <w:marRight w:val="0"/>
      <w:marTop w:val="0"/>
      <w:marBottom w:val="0"/>
      <w:divBdr>
        <w:top w:val="none" w:sz="0" w:space="0" w:color="auto"/>
        <w:left w:val="none" w:sz="0" w:space="0" w:color="auto"/>
        <w:bottom w:val="none" w:sz="0" w:space="0" w:color="auto"/>
        <w:right w:val="none" w:sz="0" w:space="0" w:color="auto"/>
      </w:divBdr>
      <w:divsChild>
        <w:div w:id="61101541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ommission.europa.eu/energy-climate-change-environment/implementation-eu-countries/energy-and-climate-governance-and-reporting/national-energy-and-climate-plans_en"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luxembourg.arcelormittal.com/challenges/21/452/language/E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21F065E80AFA3344960D69A6753F0B5E" ma:contentTypeVersion="11" ma:contentTypeDescription="Create a new document." ma:contentTypeScope="" ma:versionID="f0bcf240801bf7c8f599fef17e02df84">
  <xsd:schema xmlns:xsd="http://www.w3.org/2001/XMLSchema" xmlns:xs="http://www.w3.org/2001/XMLSchema" xmlns:p="http://schemas.microsoft.com/office/2006/metadata/properties" xmlns:ns3="d4177b72-4079-4059-877e-449f4bc30b50" targetNamespace="http://schemas.microsoft.com/office/2006/metadata/properties" ma:root="true" ma:fieldsID="d9ff8d8c4f7ad1c2ca63d5031320c40b" ns3:_="">
    <xsd:import namespace="d4177b72-4079-4059-877e-449f4bc30b5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77b72-4079-4059-877e-449f4bc30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92E166-E710-4170-AC5B-8BD48745AF91}">
  <ds:schemaRefs>
    <ds:schemaRef ds:uri="http://schemas.microsoft.com/sharepoint/v3/contenttype/forms"/>
  </ds:schemaRefs>
</ds:datastoreItem>
</file>

<file path=customXml/itemProps2.xml><?xml version="1.0" encoding="utf-8"?>
<ds:datastoreItem xmlns:ds="http://schemas.openxmlformats.org/officeDocument/2006/customXml" ds:itemID="{A6856876-0D34-4665-95A5-FB3FFFA75AF0}">
  <ds:schemaRefs>
    <ds:schemaRef ds:uri="http://schemas.openxmlformats.org/officeDocument/2006/bibliography"/>
  </ds:schemaRefs>
</ds:datastoreItem>
</file>

<file path=customXml/itemProps3.xml><?xml version="1.0" encoding="utf-8"?>
<ds:datastoreItem xmlns:ds="http://schemas.openxmlformats.org/officeDocument/2006/customXml" ds:itemID="{3D2A9C1B-E86E-454C-984B-F37ED54D07A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7DDBF52-2358-4912-AFB0-CE6BB1C48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177b72-4079-4059-877e-449f4bc30b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44</Pages>
  <Words>12587</Words>
  <Characters>71752</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Zhilin Xue</dc:creator>
  <cp:lastModifiedBy>Rohini Emerald</cp:lastModifiedBy>
  <cp:revision>5</cp:revision>
  <cp:lastPrinted>2023-09-07T04:47:00Z</cp:lastPrinted>
  <dcterms:created xsi:type="dcterms:W3CDTF">2026-02-15T23:07:00Z</dcterms:created>
  <dcterms:modified xsi:type="dcterms:W3CDTF">2026-02-16T06:33:00Z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A2A6986B9A47420DADD18AFFC9A7D823</vt:lpwstr>
  </property>
  <property fmtid="{D5CDD505-2E9C-101B-9397-08002B2CF9AE}" pid="4" name="GrammarlyDocumentId">
    <vt:lpwstr>b12c6bbaa5ad1c8a1d6a31ed57f502f46a38e99e5161bc4d1aceb1b5308809b7</vt:lpwstr>
  </property>
  <property fmtid="{D5CDD505-2E9C-101B-9397-08002B2CF9AE}" pid="5" name="ContentTypeId">
    <vt:lpwstr>0x01010021F065E80AFA3344960D69A6753F0B5E</vt:lpwstr>
  </property>
</Properties>
</file>