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9F82" w14:textId="77B76554" w:rsidR="003B5951" w:rsidRPr="003F68F8" w:rsidRDefault="003B5951" w:rsidP="003B5951">
      <w:pPr>
        <w:rPr>
          <w:rFonts w:ascii="Calibri" w:hAnsi="Calibri" w:cs="Calibri"/>
        </w:rPr>
      </w:pPr>
      <w:r w:rsidRPr="003F68F8">
        <w:rPr>
          <w:rFonts w:ascii="Calibri" w:hAnsi="Calibri" w:cs="Calibri"/>
          <w:b/>
          <w:bCs/>
        </w:rPr>
        <w:t xml:space="preserve">Supplementary Table </w:t>
      </w:r>
      <w:r w:rsidR="00880A89">
        <w:rPr>
          <w:rFonts w:ascii="Calibri" w:hAnsi="Calibri" w:cs="Calibri"/>
          <w:b/>
          <w:bCs/>
        </w:rPr>
        <w:t>A</w:t>
      </w:r>
      <w:r w:rsidR="003B2DEA">
        <w:rPr>
          <w:rFonts w:ascii="Calibri" w:hAnsi="Calibri" w:cs="Calibri"/>
          <w:b/>
          <w:bCs/>
        </w:rPr>
        <w:t>3</w:t>
      </w:r>
      <w:r w:rsidRPr="003F68F8">
        <w:rPr>
          <w:rFonts w:ascii="Calibri" w:hAnsi="Calibri" w:cs="Calibri"/>
        </w:rPr>
        <w:t xml:space="preserve">. User experience outcomes </w:t>
      </w:r>
    </w:p>
    <w:tbl>
      <w:tblPr>
        <w:tblStyle w:val="TableGrid"/>
        <w:tblW w:w="5692" w:type="pct"/>
        <w:tblInd w:w="-856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868"/>
        <w:gridCol w:w="1797"/>
        <w:gridCol w:w="3512"/>
        <w:gridCol w:w="3331"/>
        <w:gridCol w:w="2883"/>
        <w:gridCol w:w="1350"/>
        <w:gridCol w:w="1273"/>
        <w:gridCol w:w="864"/>
      </w:tblGrid>
      <w:tr w:rsidR="003B5951" w:rsidRPr="003F68F8" w14:paraId="2119CD27" w14:textId="77777777" w:rsidTr="001B24D6">
        <w:trPr>
          <w:cantSplit/>
          <w:trHeight w:val="158"/>
          <w:tblHeader/>
        </w:trPr>
        <w:tc>
          <w:tcPr>
            <w:tcW w:w="839" w:type="pct"/>
            <w:gridSpan w:val="2"/>
            <w:noWrap/>
            <w:hideMark/>
          </w:tcPr>
          <w:p w14:paraId="1AD02315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161" w:type="pct"/>
            <w:gridSpan w:val="6"/>
          </w:tcPr>
          <w:p w14:paraId="3DDEA2D6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Key findings</w:t>
            </w:r>
          </w:p>
        </w:tc>
      </w:tr>
      <w:tr w:rsidR="003B5951" w:rsidRPr="003F68F8" w14:paraId="1B0C72C2" w14:textId="77777777" w:rsidTr="001B24D6">
        <w:trPr>
          <w:cantSplit/>
          <w:trHeight w:val="51"/>
          <w:tblHeader/>
        </w:trPr>
        <w:tc>
          <w:tcPr>
            <w:tcW w:w="273" w:type="pct"/>
            <w:noWrap/>
            <w:hideMark/>
          </w:tcPr>
          <w:p w14:paraId="75E009BC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566" w:type="pct"/>
          </w:tcPr>
          <w:p w14:paraId="2EE276D2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Outcome (validated measure)</w:t>
            </w:r>
          </w:p>
        </w:tc>
        <w:tc>
          <w:tcPr>
            <w:tcW w:w="1106" w:type="pct"/>
            <w:noWrap/>
            <w:hideMark/>
          </w:tcPr>
          <w:p w14:paraId="40F52424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Useful (</w:t>
            </w:r>
            <w:r w:rsidRPr="003F68F8">
              <w:rPr>
                <w:rFonts w:ascii="Calibri" w:hAnsi="Calibri" w:cs="Calibri"/>
                <w:b/>
                <w:i/>
                <w:iCs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=9)</w:t>
            </w:r>
          </w:p>
        </w:tc>
        <w:tc>
          <w:tcPr>
            <w:tcW w:w="1049" w:type="pct"/>
            <w:noWrap/>
            <w:hideMark/>
          </w:tcPr>
          <w:p w14:paraId="1778485B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Useable (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=7)</w:t>
            </w:r>
          </w:p>
        </w:tc>
        <w:tc>
          <w:tcPr>
            <w:tcW w:w="908" w:type="pct"/>
            <w:noWrap/>
            <w:hideMark/>
          </w:tcPr>
          <w:p w14:paraId="7C7C8546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Value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(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=11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425" w:type="pct"/>
          </w:tcPr>
          <w:p w14:paraId="5011D3CD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Credible (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=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)</w:t>
            </w:r>
          </w:p>
        </w:tc>
        <w:tc>
          <w:tcPr>
            <w:tcW w:w="401" w:type="pct"/>
          </w:tcPr>
          <w:p w14:paraId="56F74599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Accessible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(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=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2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)</w:t>
            </w:r>
          </w:p>
        </w:tc>
        <w:tc>
          <w:tcPr>
            <w:tcW w:w="272" w:type="pct"/>
            <w:noWrap/>
            <w:hideMark/>
          </w:tcPr>
          <w:p w14:paraId="6735EE86" w14:textId="77777777" w:rsidR="003B5951" w:rsidRPr="003F68F8" w:rsidRDefault="003B5951" w:rsidP="00F05B27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Other</w:t>
            </w:r>
          </w:p>
        </w:tc>
      </w:tr>
      <w:tr w:rsidR="003B5951" w:rsidRPr="003F68F8" w14:paraId="29434187" w14:textId="77777777" w:rsidTr="001B24D6">
        <w:trPr>
          <w:cantSplit/>
          <w:trHeight w:val="77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479B3B6B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Quantitative</w:t>
            </w:r>
          </w:p>
        </w:tc>
      </w:tr>
      <w:tr w:rsidR="003B5951" w:rsidRPr="003F68F8" w14:paraId="62F76442" w14:textId="77777777" w:rsidTr="001B24D6">
        <w:trPr>
          <w:cantSplit/>
          <w:trHeight w:val="466"/>
        </w:trPr>
        <w:tc>
          <w:tcPr>
            <w:tcW w:w="273" w:type="pct"/>
          </w:tcPr>
          <w:p w14:paraId="1435A0BA" w14:textId="075C61EC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Arevian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(2018) </w:t>
            </w:r>
            <w:r w:rsidRPr="003F68F8">
              <w:rPr>
                <w:rFonts w:ascii="Calibri" w:hAnsi="Calibri" w:cs="Calibri"/>
                <w:sz w:val="14"/>
                <w:szCs w:val="14"/>
              </w:rPr>
              <w:fldChar w:fldCharType="begin"/>
            </w:r>
            <w:r w:rsidRPr="003F68F8">
              <w:rPr>
                <w:rFonts w:ascii="Calibri" w:hAnsi="Calibri" w:cs="Calibri"/>
                <w:sz w:val="14"/>
                <w:szCs w:val="14"/>
              </w:rPr>
              <w:instrText xml:space="preserve"> ADDIN EN.CITE &lt;EndNote&gt;&lt;Cite&gt;&lt;Author&gt;Arevian&lt;/Author&gt;&lt;Year&gt;2018&lt;/Year&gt;&lt;RecNum&gt;12&lt;/RecNum&gt;&lt;DisplayText&gt;(Arevian et al., 2018)&lt;/DisplayText&gt;&lt;record&gt;&lt;rec-number&gt;12&lt;/rec-number&gt;&lt;foreign-keys&gt;&lt;key app="EN" db-id="0tsve0v03pafxaesev6xawpfdwzf5ftrttpx" timestamp="1704250435"&gt;12&lt;/key&gt;&lt;/foreign-keys&gt;&lt;ref-type name="Journal Article"&gt;17&lt;/ref-type&gt;&lt;contributors&gt;&lt;authors&gt;&lt;author&gt;Arevian, Armen C.&lt;/author&gt;&lt;author&gt;Jeffrey, Jessica&lt;/author&gt;&lt;author&gt;Young, Alexander S.&lt;/author&gt;&lt;author&gt;Ong, Michael K.&lt;/author&gt;&lt;/authors&gt;&lt;/contributors&gt;&lt;titles&gt;&lt;title&gt;Opportunities for flexible, on-demand care delivery through telemedicine&lt;/title&gt;&lt;secondary-title&gt;Psychiatric Services&lt;/secondary-title&gt;&lt;/titles&gt;&lt;periodical&gt;&lt;full-title&gt;Psychiatric Services&lt;/full-title&gt;&lt;/periodical&gt;&lt;pages&gt;5-8&lt;/pages&gt;&lt;volume&gt;69&lt;/volume&gt;&lt;number&gt;1&lt;/number&gt;&lt;dates&gt;&lt;year&gt;2018&lt;/year&gt;&lt;/dates&gt;&lt;pub-location&gt;Arlington, Virginia&lt;/pub-location&gt;&lt;publisher&gt;American Psychiatric Publishing, Inc.&lt;/publisher&gt;&lt;accession-num&gt;129778262. Language: English. Entry Date: 20190519. Revision Date: 20190718. Publication Type: Journal Article&lt;/accession-num&gt;&lt;urls&gt;&lt;related-urls&gt;&lt;url&gt;http://ez.library.latrobe.edu.au/login?url=https://search.ebscohost.com/login.aspx?direct=true&amp;amp;db=cul&amp;amp;AN=129778262&amp;amp;site=ehost-live&amp;amp;scope=site&lt;/url&gt;&lt;/related-urls&gt;&lt;/urls&gt;&lt;electronic-resource-num&gt;10.1176/appi.ps.201600589&lt;/electronic-resource-num&gt;&lt;/record&gt;&lt;/Cite&gt;&lt;/EndNote&gt;</w:instrText>
            </w:r>
            <w:r w:rsidRPr="003F68F8">
              <w:rPr>
                <w:rFonts w:ascii="Calibri" w:hAnsi="Calibri" w:cs="Calibri"/>
                <w:sz w:val="14"/>
                <w:szCs w:val="14"/>
              </w:rPr>
              <w:fldChar w:fldCharType="separate"/>
            </w:r>
            <w:r w:rsidRPr="003F68F8">
              <w:rPr>
                <w:rFonts w:ascii="Calibri" w:hAnsi="Calibri" w:cs="Calibri"/>
                <w:sz w:val="14"/>
                <w:szCs w:val="14"/>
              </w:rPr>
              <w:fldChar w:fldCharType="end"/>
            </w:r>
            <w:r w:rsidR="0051063B" w:rsidRPr="003F68F8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566" w:type="pct"/>
          </w:tcPr>
          <w:p w14:paraId="6863BA6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1. Acceptability^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2. Satisfaction^ </w:t>
            </w:r>
          </w:p>
        </w:tc>
        <w:tc>
          <w:tcPr>
            <w:tcW w:w="1106" w:type="pct"/>
          </w:tcPr>
          <w:p w14:paraId="54F2585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049" w:type="pct"/>
            <w:noWrap/>
          </w:tcPr>
          <w:p w14:paraId="7034869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Patient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issues: Difficulty hearing/seeing consultant: 28% (7/25). Adequate consultant communication: 88% (22/25). Experience rating: Excellent/above avg: 58% (14/24); avg: 25% (6/24).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Nursing feedback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Coordination ease: 71% (17/24). Setup process ease: 71% (17/24). </w:t>
            </w:r>
          </w:p>
        </w:tc>
        <w:tc>
          <w:tcPr>
            <w:tcW w:w="908" w:type="pct"/>
          </w:tcPr>
          <w:p w14:paraId="2A1BCEB5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Patient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satisfaction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with telemedicine: Very satisfied: 72% (18/25). </w:t>
            </w:r>
          </w:p>
        </w:tc>
        <w:tc>
          <w:tcPr>
            <w:tcW w:w="425" w:type="pct"/>
          </w:tcPr>
          <w:p w14:paraId="07D5C1C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01" w:type="pct"/>
          </w:tcPr>
          <w:p w14:paraId="2E78E3B0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Patient: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F2F consult preference: 64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%(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>16/25) agreed/ strongly agreed prefer F2F.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72" w:type="pct"/>
            <w:noWrap/>
          </w:tcPr>
          <w:p w14:paraId="6EC3A755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3B5951" w:rsidRPr="003F68F8" w14:paraId="7795E2AE" w14:textId="77777777" w:rsidTr="001B24D6">
        <w:trPr>
          <w:cantSplit/>
          <w:trHeight w:val="466"/>
        </w:trPr>
        <w:tc>
          <w:tcPr>
            <w:tcW w:w="273" w:type="pct"/>
            <w:shd w:val="clear" w:color="auto" w:fill="F2F2F2" w:themeFill="background1" w:themeFillShade="F2"/>
          </w:tcPr>
          <w:p w14:paraId="47CE25E5" w14:textId="7E2549DC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Hawkins (2020)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4A90ADF0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Service satisfaction^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2B6DB1AC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049" w:type="pct"/>
            <w:shd w:val="clear" w:color="auto" w:fill="F2F2F2" w:themeFill="background1" w:themeFillShade="F2"/>
            <w:noWrap/>
          </w:tcPr>
          <w:p w14:paraId="2A45D306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  <w:shd w:val="clear" w:color="auto" w:fill="F2F2F2" w:themeFill="background1" w:themeFillShade="F2"/>
          </w:tcPr>
          <w:p w14:paraId="53BD6837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Client: Counsellor satisfaction with: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Ability to listen: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Strongly agreed: 61.5%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Being respectful: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Strongly agreed: 79.4%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Making respondents feel better: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Strongly agreed: 43.3%.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Providing good advice: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Strongly agreed: 52.5%.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2453FA6C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</w:tcPr>
          <w:p w14:paraId="44BABF0D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noWrap/>
          </w:tcPr>
          <w:p w14:paraId="4B4029F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75CB7B53" w14:textId="77777777" w:rsidTr="001B24D6">
        <w:trPr>
          <w:cantSplit/>
          <w:trHeight w:val="1309"/>
        </w:trPr>
        <w:tc>
          <w:tcPr>
            <w:tcW w:w="273" w:type="pct"/>
          </w:tcPr>
          <w:p w14:paraId="4C262F23" w14:textId="778F86C9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Krohner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(2022) </w:t>
            </w:r>
          </w:p>
        </w:tc>
        <w:tc>
          <w:tcPr>
            <w:tcW w:w="566" w:type="pct"/>
          </w:tcPr>
          <w:p w14:paraId="6FEB2A5A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Engagement – Motivation^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2. Engagement – Attentiveness^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3. Insight gained^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4. Disclosure difficulty^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5. Unresolved conflict^ </w:t>
            </w:r>
          </w:p>
          <w:p w14:paraId="2BC4BA5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6. Value^ </w:t>
            </w:r>
          </w:p>
        </w:tc>
        <w:tc>
          <w:tcPr>
            <w:tcW w:w="1106" w:type="pct"/>
          </w:tcPr>
          <w:p w14:paraId="352CF74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Therapist: Post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Participant motivation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'Quite a bit' or higher (≥3, 0-4 scale): 83.3%.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Participant attentiveness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'Quite a bit' or higher: 75.6%.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Insight increase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'Moderate' or higher (≥2, 0-4 scale): 71.4%.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Emotional conflict/trauma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Moderate level or higher at start (≥2, 0-4 scale): 88.1%.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Difficulty in disclosing personal topics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Moderate difficulty or higher: 61%.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Participant post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Unresolved conflict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2.81,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1.06 (0-4 scale).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Difficulty with disclosure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1.93,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1.21 (0-4 scale).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New personal disclosures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Ratings ≥5 (1-7 scale) by 61.5%</w:t>
            </w:r>
          </w:p>
        </w:tc>
        <w:tc>
          <w:tcPr>
            <w:tcW w:w="1049" w:type="pct"/>
            <w:noWrap/>
          </w:tcPr>
          <w:p w14:paraId="1916C1E0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</w:tcPr>
          <w:p w14:paraId="19185D82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 perceived value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94.9% participants rated Int ≥5(1-7 scale).</w:t>
            </w:r>
          </w:p>
          <w:p w14:paraId="56C8015E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5" w:type="pct"/>
          </w:tcPr>
          <w:p w14:paraId="51E9556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01" w:type="pct"/>
          </w:tcPr>
          <w:p w14:paraId="7F7D4918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2" w:type="pct"/>
            <w:noWrap/>
          </w:tcPr>
          <w:p w14:paraId="046A1C47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26F0D996" w14:textId="77777777" w:rsidTr="001B24D6">
        <w:trPr>
          <w:cantSplit/>
          <w:trHeight w:val="466"/>
        </w:trPr>
        <w:tc>
          <w:tcPr>
            <w:tcW w:w="273" w:type="pct"/>
            <w:shd w:val="clear" w:color="auto" w:fill="F2F2F2" w:themeFill="background1" w:themeFillShade="F2"/>
          </w:tcPr>
          <w:p w14:paraId="1A470D73" w14:textId="5832D59D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McLean (2023)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32DBB6A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Satisfaction: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1. Duration suitability^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2. Language &amp; examples clarity^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3. Would recommend^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4. Enjoyment^ </w:t>
            </w:r>
          </w:p>
          <w:p w14:paraId="31FA7E75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Feasibility: </w:t>
            </w:r>
          </w:p>
          <w:p w14:paraId="71D20FEA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Usage^</w:t>
            </w:r>
            <w:r w:rsidRPr="003F68F8">
              <w:rPr>
                <w:rFonts w:ascii="Calibri" w:hAnsi="Calibri" w:cs="Calibri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22B973CE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49" w:type="pct"/>
            <w:shd w:val="clear" w:color="auto" w:fill="F2F2F2" w:themeFill="background1" w:themeFillShade="F2"/>
            <w:noWrap/>
          </w:tcPr>
          <w:p w14:paraId="3F9C599D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 participation/completion: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Invited participants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197.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Initiated training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173 (87.8%).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Completed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156 (91.9% who initiated)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6C26A337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Satisfaction high, all program aspects rated &gt;4 (5-point scale;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4.17,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0.74).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Duration appropriate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Acceptance: 3.60 (1.35), Change: 3.86(1.02), Con:3.67(1.15).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Clarity of language &amp; examples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Acceptance: 4.58(0.63), Change:4.69(0.55), Con:4.58(0.72).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Would recommend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Acceptance:4.17(1.01), Change:4.45(0.70), Con:3.96(1.05).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Content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enjoyment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Acceptance: 4.06(1.08), Change:4.37(0.77), Con:4.12(1.00).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M score across all questions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Acceptance: 4.1(0.81), Change:4.34(0.59), Con:4.08(0.79)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21506440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</w:tcPr>
          <w:p w14:paraId="2422BB0D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noWrap/>
          </w:tcPr>
          <w:p w14:paraId="636EA65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3B5951" w:rsidRPr="003F68F8" w14:paraId="349F2DA5" w14:textId="77777777" w:rsidTr="001B24D6">
        <w:trPr>
          <w:cantSplit/>
          <w:trHeight w:val="466"/>
        </w:trPr>
        <w:tc>
          <w:tcPr>
            <w:tcW w:w="273" w:type="pct"/>
          </w:tcPr>
          <w:p w14:paraId="00D811E2" w14:textId="3139C6F8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Rubin (2022) </w:t>
            </w:r>
          </w:p>
        </w:tc>
        <w:tc>
          <w:tcPr>
            <w:tcW w:w="566" w:type="pct"/>
          </w:tcPr>
          <w:p w14:paraId="7C32BC07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1. Treatment validity/credibility (CEQ) </w:t>
            </w:r>
          </w:p>
        </w:tc>
        <w:tc>
          <w:tcPr>
            <w:tcW w:w="1106" w:type="pct"/>
          </w:tcPr>
          <w:p w14:paraId="416449D6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049" w:type="pct"/>
            <w:noWrap/>
          </w:tcPr>
          <w:p w14:paraId="3F716E55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</w:tcPr>
          <w:p w14:paraId="7DA299AD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5" w:type="pct"/>
          </w:tcPr>
          <w:p w14:paraId="61EE8A24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Client: Credibility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(9- scale: 1=’not logical/convincing’ - 9=’very logical’): CEQ credibility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 Mindfulness only=6.92(1.22); Mindfulness &amp; compassion=6.85(1.03); Con=6.50(0.83).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Client: Expectancy ratings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(user belief they will improve due to treatment; (scale: 0-100% in 10% increments): Int#1 (Mindfulness only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group)+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=24.28 (10.66); Int#2 (Mindfulness &amp; compassion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group)+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>+= 32.10(11.98); Con= 27.95(15.76)</w:t>
            </w:r>
          </w:p>
        </w:tc>
        <w:tc>
          <w:tcPr>
            <w:tcW w:w="401" w:type="pct"/>
          </w:tcPr>
          <w:p w14:paraId="17367081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noWrap/>
          </w:tcPr>
          <w:p w14:paraId="1E86CE25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3B5951" w:rsidRPr="003F68F8" w14:paraId="70E00699" w14:textId="77777777" w:rsidTr="001B24D6">
        <w:trPr>
          <w:cantSplit/>
          <w:trHeight w:val="466"/>
        </w:trPr>
        <w:tc>
          <w:tcPr>
            <w:tcW w:w="273" w:type="pct"/>
            <w:shd w:val="clear" w:color="auto" w:fill="F2F2F2" w:themeFill="background1" w:themeFillShade="F2"/>
          </w:tcPr>
          <w:p w14:paraId="59A6E25D" w14:textId="1092F742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lastRenderedPageBreak/>
              <w:t xml:space="preserve">Sung (2023)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7246F84D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Therapeutic alliance (WAI-SR)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2. Acceptability, feasibility, scalability^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27B09F1B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High acceptability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=4.35/5,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=.66). Out of 5, SSC helpful in addressing concern,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=4.20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=.91); helped develop action plan,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=4.56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.70); Action Plan would be useful,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=4.08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=.88); Motivated to use action plan,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=4.29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=.79); Would recommend SSC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=4.60 (SD=.67).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Qual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Positive feedback, indicating SSC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helpful, useful, enjoyable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Qual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Providers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Clinicians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valued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SSC for trainee exposure to diverse client cases. Appreciated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SSC’s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structured, empowering nature, brief, solution-focused nature, and for addressing immediate issues. Offered trainees more varied client interactions than traditional psychotherapy. </w:t>
            </w:r>
          </w:p>
        </w:tc>
        <w:tc>
          <w:tcPr>
            <w:tcW w:w="1049" w:type="pct"/>
            <w:shd w:val="clear" w:color="auto" w:fill="F2F2F2" w:themeFill="background1" w:themeFillShade="F2"/>
            <w:noWrap/>
          </w:tcPr>
          <w:p w14:paraId="3DD48F79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Feasibility measured by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accepted, scheduled, attendance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. Participants eager to attend (e.g., users wanted to “vent” concern at session start) &amp; attendance high (88%).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1E90E56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Client: Therapeutic alliance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Strong alliance in SSC telehealth sessions, average WAI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=6.13,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=0.76), exceeding pre-established cut-off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 </w:t>
            </w:r>
          </w:p>
          <w:p w14:paraId="37BE89F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5" w:type="pct"/>
            <w:shd w:val="clear" w:color="auto" w:fill="F2F2F2" w:themeFill="background1" w:themeFillShade="F2"/>
          </w:tcPr>
          <w:p w14:paraId="23BEF2B7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</w:tcPr>
          <w:p w14:paraId="6F721C3C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noWrap/>
          </w:tcPr>
          <w:p w14:paraId="07B22E20" w14:textId="77777777" w:rsidR="003B5951" w:rsidRPr="003F68F8" w:rsidRDefault="003B5951" w:rsidP="00F05B27">
            <w:pPr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59A02CB5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3B5951" w:rsidRPr="003F68F8" w14:paraId="7DB6A44E" w14:textId="77777777" w:rsidTr="001B24D6">
        <w:trPr>
          <w:cantSplit/>
          <w:trHeight w:val="1826"/>
        </w:trPr>
        <w:tc>
          <w:tcPr>
            <w:tcW w:w="273" w:type="pct"/>
          </w:tcPr>
          <w:p w14:paraId="5D6A1C88" w14:textId="71244650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Tacca (2022) </w:t>
            </w:r>
          </w:p>
        </w:tc>
        <w:tc>
          <w:tcPr>
            <w:tcW w:w="566" w:type="pct"/>
          </w:tcPr>
          <w:p w14:paraId="4AD57E79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Session quality (SEQ)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2. Suitability (PRS)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3. Functionality/usability (PQ)</w:t>
            </w:r>
          </w:p>
        </w:tc>
        <w:tc>
          <w:tcPr>
            <w:tcW w:w="1106" w:type="pct"/>
          </w:tcPr>
          <w:p w14:paraId="7B61C577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Client: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Suitability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Rates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environment suitability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, incl. comfort, excitement, focus. Scored 1-5 (3=neutral).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scores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Zoom therapy: 3.196, VR therapy: 3.549.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Restorativeness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>: Both groups rated &gt;neutral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=3.312–3.786). Group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difference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Significant difference between Exp and Con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=.0036).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Effect </w:t>
            </w:r>
            <w:proofErr w:type="gramStart"/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in</w:t>
            </w:r>
            <w:proofErr w:type="gramEnd"/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exp group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Small positive effect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=0.259,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&lt;.05).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Presence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(PQ; feeling engrossed in the virtual environment, lost in surroundings, forgetting physical environment outside VR): Zoom therapy: 3.091, VR therapy: 3.056. NS group difference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=.69).</w:t>
            </w:r>
          </w:p>
        </w:tc>
        <w:tc>
          <w:tcPr>
            <w:tcW w:w="1049" w:type="pct"/>
            <w:noWrap/>
          </w:tcPr>
          <w:p w14:paraId="70E15A7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</w:tcPr>
          <w:p w14:paraId="105796C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Client: Depth (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session felt relatively deep, meaningful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):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M depth score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Zoom therapy (Con): 5.19, VR Therapy (Exp): 5.79. Both groups rated session depth positively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=5.11-6.44). NS group difference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=.0786), but large positive effect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=0.6685).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Smoothness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(session comfort, ease, relaxing) score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Zoom therapy: 5.840. VR therapy: 5.067. Both groups rated smoothness positively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=4.263–5.870). NS group difference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=.057), large negative effect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=-.72).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proofErr w:type="spellStart"/>
            <w:r w:rsidRPr="003F68F8">
              <w:rPr>
                <w:rFonts w:ascii="Calibri" w:hAnsi="Calibri" w:cs="Calibri"/>
                <w:b/>
                <w:sz w:val="14"/>
                <w:szCs w:val="14"/>
              </w:rPr>
              <w:t>Immersiveness</w:t>
            </w:r>
            <w:proofErr w:type="spellEnd"/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(presence, immersion, interactivity, quality)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of VR therapy: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Neutral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95%CI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2.884–3.23,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&gt;.05).</w:t>
            </w:r>
          </w:p>
        </w:tc>
        <w:tc>
          <w:tcPr>
            <w:tcW w:w="425" w:type="pct"/>
          </w:tcPr>
          <w:p w14:paraId="0B3F9E78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</w:tcPr>
          <w:p w14:paraId="22AF1D17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noWrap/>
          </w:tcPr>
          <w:p w14:paraId="32FBB760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3D84916E" w14:textId="77777777" w:rsidTr="001B24D6">
        <w:trPr>
          <w:cantSplit/>
          <w:trHeight w:val="466"/>
        </w:trPr>
        <w:tc>
          <w:tcPr>
            <w:tcW w:w="273" w:type="pct"/>
            <w:shd w:val="clear" w:color="auto" w:fill="F2F2F2" w:themeFill="background1" w:themeFillShade="F2"/>
          </w:tcPr>
          <w:p w14:paraId="62CA3AA5" w14:textId="17AA52C4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Tarquinio (2021)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0338C4F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Satisfaction^</w:t>
            </w:r>
          </w:p>
          <w:p w14:paraId="33E88588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2. Sense of safety^ </w:t>
            </w:r>
          </w:p>
          <w:p w14:paraId="7A57716C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3. Quality of therapeutic relationship^ </w:t>
            </w:r>
          </w:p>
          <w:p w14:paraId="07A723DD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4. Freedom to express feelings^</w:t>
            </w:r>
          </w:p>
          <w:p w14:paraId="321790DB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5. Sense of intimacy^ </w:t>
            </w:r>
          </w:p>
          <w:p w14:paraId="4D1CE48B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6. Distraction during treatment^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6878912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049" w:type="pct"/>
            <w:shd w:val="clear" w:color="auto" w:fill="F2F2F2" w:themeFill="background1" w:themeFillShade="F2"/>
            <w:noWrap/>
          </w:tcPr>
          <w:p w14:paraId="7466154E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Provider sense of distraction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in EMDR NS vs. experience of F2F therapy: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(1,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2.1,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&gt;.05, E.g., occasionally therapists could hear sounds coming from other parts of house.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0B4C46C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Nurse client: Treatment views: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Satisfied treatment quality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χ2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(1,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16,8,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&lt;.05).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: Quality therapeutic relationship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(1,3) =10.5,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&lt;.05) not affected.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Sense of being free to express feelings &amp; emotion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s NS (χ2 (1,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3)=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7.2,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=NS), indicating lack of response consensus &amp; homogeneity.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Sense of intimacy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in online EMDR different vs. Int F2F therapy: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 xml:space="preserve">χ2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(1,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4)=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10.9,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&lt;.05.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0842FF82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Nurse client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: Sense of safety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same as therapist physically present (</w:t>
            </w:r>
            <w:bookmarkStart w:id="0" w:name="_Hlk182402383"/>
            <w:r w:rsidRPr="003F68F8">
              <w:rPr>
                <w:rFonts w:ascii="Calibri" w:hAnsi="Calibri" w:cs="Calibri"/>
                <w:i/>
                <w:sz w:val="14"/>
                <w:szCs w:val="14"/>
              </w:rPr>
              <w:t>χ2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bookmarkEnd w:id="0"/>
            <w:r w:rsidRPr="003F68F8">
              <w:rPr>
                <w:rFonts w:ascii="Calibri" w:hAnsi="Calibri" w:cs="Calibri"/>
                <w:sz w:val="14"/>
                <w:szCs w:val="14"/>
              </w:rPr>
              <w:t xml:space="preserve">1,4) =13.29,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&lt;.01).</w:t>
            </w:r>
          </w:p>
        </w:tc>
        <w:tc>
          <w:tcPr>
            <w:tcW w:w="401" w:type="pct"/>
            <w:shd w:val="clear" w:color="auto" w:fill="F2F2F2" w:themeFill="background1" w:themeFillShade="F2"/>
          </w:tcPr>
          <w:p w14:paraId="0D50C3D8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noWrap/>
          </w:tcPr>
          <w:p w14:paraId="6E75EFFC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3B5951" w:rsidRPr="003F68F8" w14:paraId="49A83AAC" w14:textId="77777777" w:rsidTr="001B24D6">
        <w:trPr>
          <w:cantSplit/>
          <w:trHeight w:val="466"/>
        </w:trPr>
        <w:tc>
          <w:tcPr>
            <w:tcW w:w="273" w:type="pct"/>
          </w:tcPr>
          <w:p w14:paraId="21CBFE9B" w14:textId="7C35EBA9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Williams (2021) </w:t>
            </w:r>
          </w:p>
        </w:tc>
        <w:tc>
          <w:tcPr>
            <w:tcW w:w="566" w:type="pct"/>
          </w:tcPr>
          <w:p w14:paraId="29F34B6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Program satisfaction^</w:t>
            </w:r>
          </w:p>
        </w:tc>
        <w:tc>
          <w:tcPr>
            <w:tcW w:w="1106" w:type="pct"/>
          </w:tcPr>
          <w:p w14:paraId="759FEEF3" w14:textId="55AC4D76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Client: Quan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At post, 1,000 respondents rated support received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=7.3,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=2.8, range=0–10). Most (217/247, 87.9%) rated service easy/very easy to use &amp; 205/244 (83%) likely/highly likely to recommend.</w:t>
            </w:r>
            <w:r w:rsidR="001C1BC0" w:rsidRPr="0015366B">
              <w:rPr>
                <w:rFonts w:ascii="Calibri" w:hAnsi="Calibri" w:cs="Calibri"/>
                <w:sz w:val="14"/>
                <w:szCs w:val="14"/>
              </w:rPr>
              <w:t xml:space="preserve"> If </w:t>
            </w:r>
            <w:r w:rsidR="001C1BC0">
              <w:rPr>
                <w:rFonts w:ascii="Calibri" w:hAnsi="Calibri" w:cs="Calibri"/>
                <w:sz w:val="14"/>
                <w:szCs w:val="14"/>
              </w:rPr>
              <w:t xml:space="preserve">Lifeline </w:t>
            </w:r>
            <w:r w:rsidR="001C1BC0" w:rsidRPr="0015366B">
              <w:rPr>
                <w:rFonts w:ascii="Calibri" w:hAnsi="Calibri" w:cs="Calibri"/>
                <w:sz w:val="14"/>
                <w:szCs w:val="14"/>
              </w:rPr>
              <w:t xml:space="preserve">text was unavailable, </w:t>
            </w:r>
            <w:r w:rsidR="001C1BC0">
              <w:rPr>
                <w:rFonts w:ascii="Calibri" w:hAnsi="Calibri" w:cs="Calibri"/>
                <w:sz w:val="14"/>
                <w:szCs w:val="14"/>
              </w:rPr>
              <w:t xml:space="preserve">42% said they </w:t>
            </w:r>
            <w:r w:rsidR="001C1BC0" w:rsidRPr="0015366B">
              <w:rPr>
                <w:rFonts w:ascii="Calibri" w:hAnsi="Calibri" w:cs="Calibri"/>
                <w:sz w:val="14"/>
                <w:szCs w:val="14"/>
              </w:rPr>
              <w:t>would</w:t>
            </w:r>
            <w:r w:rsidR="001C1BC0">
              <w:rPr>
                <w:rFonts w:ascii="Calibri" w:hAnsi="Calibri" w:cs="Calibri"/>
                <w:sz w:val="14"/>
                <w:szCs w:val="14"/>
              </w:rPr>
              <w:t>n’t</w:t>
            </w:r>
            <w:r w:rsidR="001C1BC0" w:rsidRPr="0015366B">
              <w:rPr>
                <w:rFonts w:ascii="Calibri" w:hAnsi="Calibri" w:cs="Calibri"/>
                <w:sz w:val="14"/>
                <w:szCs w:val="14"/>
              </w:rPr>
              <w:t xml:space="preserve"> have sought help through the </w:t>
            </w:r>
            <w:r w:rsidR="004E419F" w:rsidRPr="004E419F">
              <w:rPr>
                <w:rFonts w:ascii="Calibri" w:hAnsi="Calibri" w:cs="Calibri"/>
                <w:sz w:val="14"/>
                <w:szCs w:val="14"/>
              </w:rPr>
              <w:t xml:space="preserve">other options </w:t>
            </w:r>
            <w:r w:rsidR="004E419F">
              <w:rPr>
                <w:rFonts w:ascii="Calibri" w:hAnsi="Calibri" w:cs="Calibri"/>
                <w:sz w:val="14"/>
                <w:szCs w:val="14"/>
              </w:rPr>
              <w:t>(</w:t>
            </w:r>
            <w:r w:rsidR="001C1BC0">
              <w:rPr>
                <w:rFonts w:ascii="Calibri" w:hAnsi="Calibri" w:cs="Calibri"/>
                <w:sz w:val="14"/>
                <w:szCs w:val="14"/>
              </w:rPr>
              <w:t xml:space="preserve">Lifeline </w:t>
            </w:r>
            <w:r w:rsidR="001C1BC0" w:rsidRPr="0015366B">
              <w:rPr>
                <w:rFonts w:ascii="Calibri" w:hAnsi="Calibri" w:cs="Calibri"/>
                <w:sz w:val="14"/>
                <w:szCs w:val="14"/>
              </w:rPr>
              <w:t>phone/chat</w:t>
            </w:r>
            <w:r w:rsidR="004E419F">
              <w:rPr>
                <w:rFonts w:ascii="Calibri" w:hAnsi="Calibri" w:cs="Calibri"/>
                <w:sz w:val="14"/>
                <w:szCs w:val="14"/>
              </w:rPr>
              <w:t>)</w:t>
            </w:r>
            <w:r w:rsidR="009C3AAE">
              <w:rPr>
                <w:rFonts w:ascii="Calibri" w:hAnsi="Calibri" w:cs="Calibri"/>
                <w:sz w:val="14"/>
                <w:szCs w:val="14"/>
              </w:rPr>
              <w:t>, &amp;</w:t>
            </w:r>
            <w:r w:rsidR="00FB35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4E419F">
              <w:rPr>
                <w:rFonts w:ascii="Calibri" w:hAnsi="Calibri" w:cs="Calibri"/>
                <w:sz w:val="14"/>
                <w:szCs w:val="14"/>
              </w:rPr>
              <w:t>88%</w:t>
            </w:r>
            <w:r w:rsidR="00FB35D7" w:rsidRPr="00FB35D7">
              <w:rPr>
                <w:rFonts w:ascii="Calibri" w:hAnsi="Calibri" w:cs="Calibri"/>
                <w:sz w:val="14"/>
                <w:szCs w:val="14"/>
              </w:rPr>
              <w:t xml:space="preserve"> preferred Lifeline Text </w:t>
            </w:r>
            <w:r w:rsidR="009C3AAE">
              <w:rPr>
                <w:rFonts w:ascii="Calibri" w:hAnsi="Calibri" w:cs="Calibri"/>
                <w:sz w:val="14"/>
                <w:szCs w:val="14"/>
              </w:rPr>
              <w:t xml:space="preserve">above the </w:t>
            </w:r>
            <w:r w:rsidR="00B034E9">
              <w:rPr>
                <w:rFonts w:ascii="Calibri" w:hAnsi="Calibri" w:cs="Calibri"/>
                <w:sz w:val="14"/>
                <w:szCs w:val="14"/>
              </w:rPr>
              <w:t>other services</w:t>
            </w:r>
            <w:r w:rsidR="004E419F">
              <w:rPr>
                <w:rFonts w:ascii="Calibri" w:hAnsi="Calibri" w:cs="Calibri"/>
                <w:sz w:val="14"/>
                <w:szCs w:val="14"/>
              </w:rPr>
              <w:t>.</w:t>
            </w:r>
          </w:p>
        </w:tc>
        <w:tc>
          <w:tcPr>
            <w:tcW w:w="1049" w:type="pct"/>
            <w:noWrap/>
          </w:tcPr>
          <w:p w14:paraId="139EE64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</w:tcPr>
          <w:p w14:paraId="51F3F666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5" w:type="pct"/>
          </w:tcPr>
          <w:p w14:paraId="17407608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</w:tcPr>
          <w:p w14:paraId="1EFCD59E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noWrap/>
          </w:tcPr>
          <w:p w14:paraId="649BD787" w14:textId="25D2B2D7" w:rsidR="003B5951" w:rsidRPr="0015366B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59DD38F5" w14:textId="77777777" w:rsidTr="001B24D6">
        <w:trPr>
          <w:cantSplit/>
          <w:trHeight w:val="466"/>
        </w:trPr>
        <w:tc>
          <w:tcPr>
            <w:tcW w:w="273" w:type="pct"/>
            <w:shd w:val="clear" w:color="auto" w:fill="F2F2F2" w:themeFill="background1" w:themeFillShade="F2"/>
          </w:tcPr>
          <w:p w14:paraId="55DFB026" w14:textId="3B9EB705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Wittenberg (2018)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01758F9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Intervention satisfaction^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1611D837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Caregiver 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Follow-through with action plan </w:t>
            </w:r>
            <w:proofErr w:type="gramStart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Yes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 (100),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 (100),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4 (80),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4 (80). No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 (20),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1 (20).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Did action plan work </w:t>
            </w:r>
            <w:proofErr w:type="gramStart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Yes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 (100)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 (60),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4 (80),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4 (80). No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1 (20),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1 (20).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Caregiver 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How prepared to carry out action plan </w:t>
            </w:r>
            <w:proofErr w:type="gramStart"/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n(</w:t>
            </w:r>
            <w:proofErr w:type="gramEnd"/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%)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Very prepared: Cohort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 (60),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3 (60),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 (80),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 (80). Somewhat prepared: Cohort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1 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=2 (40),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 (20),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1 (20),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 (20). Neutral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 (20),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 xml:space="preserve">n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0,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 </w:t>
            </w:r>
          </w:p>
        </w:tc>
        <w:tc>
          <w:tcPr>
            <w:tcW w:w="1049" w:type="pct"/>
            <w:shd w:val="clear" w:color="auto" w:fill="F2F2F2" w:themeFill="background1" w:themeFillShade="F2"/>
            <w:noWrap/>
          </w:tcPr>
          <w:p w14:paraId="45A07958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  <w:shd w:val="clear" w:color="auto" w:fill="F2F2F2" w:themeFill="background1" w:themeFillShade="F2"/>
          </w:tcPr>
          <w:p w14:paraId="385BEF4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Caregiver 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Of four cohorts,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60% ‘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very satisfied’ 25% 'somewhat to very satisfied' with Int. All cohorts reported feeling generally prepared, &amp; 90% followed through with action plan, 80% reporting that the action plan worked.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Satisfaction with printed guide </w:t>
            </w:r>
            <w:proofErr w:type="gramStart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n(</w:t>
            </w:r>
            <w:proofErr w:type="gramEnd"/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%)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Very satisfied: ^^Cohort 1, Diagnosis: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=4(80) Cohort 2, Treatment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=4(80), Cohort 3, Survivorship n=1(20), Cohort 4, End of Life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3(60). Somewhat satisfied: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 (20%), Cohort 2 0,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=3(60),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=1(20). Neutral: Cohort 1 n=0,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0,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=1(20),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=1(20). Somewhat dissatisfied: Cohort 1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=0, Cohort 2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1(20), Cohort 3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=0, Cohort 4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 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39F6A7A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</w:tcPr>
          <w:p w14:paraId="468B2C27" w14:textId="77777777" w:rsidR="003B5951" w:rsidRPr="003F68F8" w:rsidRDefault="003B5951" w:rsidP="00F05B27">
            <w:pPr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noWrap/>
          </w:tcPr>
          <w:p w14:paraId="6429B69F" w14:textId="77777777" w:rsidR="003B5951" w:rsidRPr="003F68F8" w:rsidRDefault="003B5951" w:rsidP="00F05B2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4"/>
                <w:szCs w:val="14"/>
              </w:rPr>
            </w:pPr>
            <w:r w:rsidRPr="003F68F8">
              <w:rPr>
                <w:rFonts w:ascii="Calibri" w:hAnsi="Calibri" w:cs="Calibri"/>
                <w:kern w:val="0"/>
                <w:sz w:val="14"/>
                <w:szCs w:val="14"/>
              </w:rPr>
              <w:t>Aggregated results</w:t>
            </w:r>
          </w:p>
          <w:p w14:paraId="2F4FE587" w14:textId="77777777" w:rsidR="003B5951" w:rsidRPr="003F68F8" w:rsidRDefault="003B5951" w:rsidP="00F05B2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4"/>
                <w:szCs w:val="14"/>
              </w:rPr>
            </w:pPr>
            <w:r w:rsidRPr="003F68F8">
              <w:rPr>
                <w:rFonts w:ascii="Calibri" w:hAnsi="Calibri" w:cs="Calibri"/>
                <w:kern w:val="0"/>
                <w:sz w:val="14"/>
                <w:szCs w:val="14"/>
              </w:rPr>
              <w:t>from 4 cohorts: Significant improvement</w:t>
            </w:r>
          </w:p>
          <w:p w14:paraId="272537DF" w14:textId="77777777" w:rsidR="003B5951" w:rsidRPr="003F68F8" w:rsidRDefault="003B5951" w:rsidP="00F05B27">
            <w:pPr>
              <w:rPr>
                <w:rFonts w:ascii="Calibri" w:hAnsi="Calibri" w:cs="Calibri"/>
                <w:kern w:val="0"/>
                <w:sz w:val="14"/>
                <w:szCs w:val="14"/>
                <w:highlight w:val="yellow"/>
              </w:rPr>
            </w:pPr>
            <w:r w:rsidRPr="003F68F8">
              <w:rPr>
                <w:rFonts w:ascii="Calibri" w:hAnsi="Calibri" w:cs="Calibri"/>
                <w:kern w:val="0"/>
                <w:sz w:val="14"/>
                <w:szCs w:val="14"/>
              </w:rPr>
              <w:t>in confidence with healthcare providers (</w:t>
            </w:r>
            <w:r w:rsidRPr="003F68F8">
              <w:rPr>
                <w:rFonts w:ascii="Calibri" w:hAnsi="Calibri" w:cs="Calibri"/>
                <w:i/>
                <w:kern w:val="0"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kern w:val="0"/>
                <w:sz w:val="14"/>
                <w:szCs w:val="14"/>
              </w:rPr>
              <w:t>=.01).</w:t>
            </w:r>
          </w:p>
        </w:tc>
      </w:tr>
      <w:tr w:rsidR="003B5951" w:rsidRPr="003F68F8" w14:paraId="519ED661" w14:textId="77777777" w:rsidTr="001B24D6">
        <w:trPr>
          <w:cantSplit/>
          <w:trHeight w:val="548"/>
        </w:trPr>
        <w:tc>
          <w:tcPr>
            <w:tcW w:w="273" w:type="pct"/>
          </w:tcPr>
          <w:p w14:paraId="16DEEBC5" w14:textId="52E001C6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lastRenderedPageBreak/>
              <w:t>Ziadni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(2021) </w:t>
            </w:r>
          </w:p>
        </w:tc>
        <w:tc>
          <w:tcPr>
            <w:tcW w:w="566" w:type="pct"/>
          </w:tcPr>
          <w:p w14:paraId="0107931A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Feasibility (Engagement/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attendance)^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2. Satisfaction^ </w:t>
            </w:r>
          </w:p>
        </w:tc>
        <w:tc>
          <w:tcPr>
            <w:tcW w:w="1106" w:type="pct"/>
          </w:tcPr>
          <w:p w14:paraId="1AA2F835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Usefulness of information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High usefulness of presented information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=8.37,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=1.79). High likelihood of using learned skills &amp; information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 8.66,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=1.58).</w:t>
            </w:r>
          </w:p>
          <w:p w14:paraId="7918BFBA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049" w:type="pct"/>
            <w:noWrap/>
          </w:tcPr>
          <w:p w14:paraId="458029E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Emotional regulation group feasibility: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High enrollment &amp; engagement.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Participant Involvement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94% (47/50) attended classes &amp; completed all surveys over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3-mnths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>. Indicate superior feasibility &amp; engagement in Zoom-delivered Emotional Regulation intervention.</w:t>
            </w:r>
          </w:p>
        </w:tc>
        <w:tc>
          <w:tcPr>
            <w:tcW w:w="908" w:type="pct"/>
          </w:tcPr>
          <w:p w14:paraId="60D59282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Class satisfaction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High,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scores 8.26-8.77.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Satisfaction with Zoom platform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92% (46/50 clients).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Engagement satisfaction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High, with class material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=6.02,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=1.45), other attendees, instructor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=5.68,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=1.45)</w:t>
            </w:r>
          </w:p>
        </w:tc>
        <w:tc>
          <w:tcPr>
            <w:tcW w:w="425" w:type="pct"/>
          </w:tcPr>
          <w:p w14:paraId="7C627983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01" w:type="pct"/>
          </w:tcPr>
          <w:p w14:paraId="68DC9332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Zoom platform familiarity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Of 9 clients new to Zoom, 0 required extra training, indicating superior accessibility in Zoom-int.</w:t>
            </w:r>
          </w:p>
        </w:tc>
        <w:tc>
          <w:tcPr>
            <w:tcW w:w="272" w:type="pct"/>
            <w:noWrap/>
          </w:tcPr>
          <w:p w14:paraId="7107C1B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0920C5AA" w14:textId="77777777" w:rsidTr="001B24D6">
        <w:trPr>
          <w:cantSplit/>
          <w:trHeight w:val="121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59325D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3F68F8">
              <w:rPr>
                <w:rFonts w:ascii="Calibri" w:hAnsi="Calibri" w:cs="Calibri"/>
                <w:b/>
                <w:sz w:val="14"/>
                <w:szCs w:val="14"/>
              </w:rPr>
              <w:t>Mixed-methods</w:t>
            </w:r>
            <w:proofErr w:type="gramEnd"/>
          </w:p>
        </w:tc>
      </w:tr>
      <w:tr w:rsidR="003B5951" w:rsidRPr="003F68F8" w14:paraId="44CF3BFB" w14:textId="77777777" w:rsidTr="001B24D6">
        <w:trPr>
          <w:cantSplit/>
          <w:trHeight w:val="1050"/>
        </w:trPr>
        <w:tc>
          <w:tcPr>
            <w:tcW w:w="273" w:type="pct"/>
          </w:tcPr>
          <w:p w14:paraId="494BC294" w14:textId="76B0E34A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Harris-Lane (2023) </w:t>
            </w:r>
          </w:p>
        </w:tc>
        <w:tc>
          <w:tcPr>
            <w:tcW w:w="566" w:type="pct"/>
          </w:tcPr>
          <w:p w14:paraId="7A748DF7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Provider acceptability, appropriateness, feasibility (AIM/IAM/FIM)</w:t>
            </w:r>
          </w:p>
          <w:p w14:paraId="647733A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2. Readiness to implement (ROC, RDS)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3. Client satisfaction^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4. Client experience with service^</w:t>
            </w:r>
          </w:p>
        </w:tc>
        <w:tc>
          <w:tcPr>
            <w:tcW w:w="1106" w:type="pct"/>
          </w:tcPr>
          <w:p w14:paraId="4C04FE9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Providers: Agreement on SC2.0 implementation (incl. OAAT therapy):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Acceptability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M(SD)=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4.36(0.62).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Providers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Agreement implementation of SC2.0, incl. OAAT therapy, feasible (practical, realistic, doable;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M(SD)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=4.10(0.69).</w:t>
            </w:r>
          </w:p>
        </w:tc>
        <w:tc>
          <w:tcPr>
            <w:tcW w:w="1049" w:type="pct"/>
            <w:noWrap/>
          </w:tcPr>
          <w:p w14:paraId="76A86CF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Provider agreement on SC2.0 implementation (incl. OAAT therapy): A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ppropriateness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out of 5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)=4.25 (0.67).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>Participant views on SC2.0 Suitability for org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out of 7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M(SD)=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5.83(0.94).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 Providers POV [scale 1 to 7]: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belief SC2.0 could be successfully adapted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=5.32;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=1.41); personal benefits for implementing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=5.80,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=1.22). Ready to implement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=5.64,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=0.84). Providers agreed SC2.0 compatible with org &amp; clients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=6.00,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=0.83), short-term results would be observable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=5.77,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=1.01), program champions present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=5.79,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=1.34). Providers somewhat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agreed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org sufficient staff capacity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=4.55,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=1.70) &amp; communication &amp; relationships with other orgs to effectively implement SC2.0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=4.80,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=1.71). </w:t>
            </w:r>
          </w:p>
        </w:tc>
        <w:tc>
          <w:tcPr>
            <w:tcW w:w="908" w:type="pct"/>
          </w:tcPr>
          <w:p w14:paraId="3668B504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 satisfaction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=1147): Satisfied/very satisfied with session's help in developing plan: &gt;90%. Satisfaction that concerns addressed during session: 92%. Clients endorsed having a pleasant experience provider (e.g., they were empathetic, knowledgeable, great communicators), feeling satisfied with session, were able to voice concerns and felt validated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=112, 50%). Some appreciated the fast, open, &amp; flexible nature of the service (e.g., lack of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wait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times;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=17, 7.59%), however, it did not meet some clients’ needs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=15, 6.70%, e.g., some wished for longer than 30-min sessions, &amp; more time).</w:t>
            </w:r>
          </w:p>
        </w:tc>
        <w:tc>
          <w:tcPr>
            <w:tcW w:w="425" w:type="pct"/>
          </w:tcPr>
          <w:p w14:paraId="69F53557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</w:tcPr>
          <w:p w14:paraId="7F0C311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noWrap/>
          </w:tcPr>
          <w:p w14:paraId="11C4C53C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Level of support from management and senior leaders: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M(SD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)=5.54(0.98), (1-7 scale, higher scores indicating higher support)</w:t>
            </w:r>
          </w:p>
        </w:tc>
      </w:tr>
      <w:tr w:rsidR="003B5951" w:rsidRPr="003F68F8" w14:paraId="6E3FFA45" w14:textId="77777777" w:rsidTr="001B24D6">
        <w:trPr>
          <w:cantSplit/>
          <w:trHeight w:val="2065"/>
        </w:trPr>
        <w:tc>
          <w:tcPr>
            <w:tcW w:w="273" w:type="pct"/>
            <w:hideMark/>
          </w:tcPr>
          <w:p w14:paraId="5D3CD3F7" w14:textId="1443A2D1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Hartley (2023) </w:t>
            </w:r>
          </w:p>
        </w:tc>
        <w:tc>
          <w:tcPr>
            <w:tcW w:w="566" w:type="pct"/>
            <w:hideMark/>
          </w:tcPr>
          <w:p w14:paraId="019C8506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1. Acceptability ^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>2. Successes &amp; challenges^</w:t>
            </w:r>
          </w:p>
        </w:tc>
        <w:tc>
          <w:tcPr>
            <w:tcW w:w="1106" w:type="pct"/>
            <w:hideMark/>
          </w:tcPr>
          <w:p w14:paraId="6CA7E5E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Client: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At 6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wk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f/u, 94% would recommend WIT.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Family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: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At post-int, 90% found WIT helpful. At f/u, 69% stated that WIT helped them solve their problems. ↓</w:t>
            </w:r>
            <w:bookmarkStart w:id="1" w:name="_Hlk167877842"/>
            <w:r w:rsidRPr="003F68F8">
              <w:rPr>
                <w:rFonts w:ascii="Calibri" w:hAnsi="Calibri" w:cs="Calibri"/>
                <w:sz w:val="14"/>
                <w:szCs w:val="14"/>
              </w:rPr>
              <w:t>perceived helpfulness of session b/w post-int &amp; f/u for 56% of PFCs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=9/16)</w:t>
            </w:r>
            <w:bookmarkEnd w:id="1"/>
            <w:r w:rsidRPr="003F68F8">
              <w:rPr>
                <w:rFonts w:ascii="Calibri" w:hAnsi="Calibri" w:cs="Calibri"/>
                <w:sz w:val="14"/>
                <w:szCs w:val="14"/>
              </w:rPr>
              <w:t>. WIT remained as helpful or some ↑ in perceived helpfulness b/w post-int &amp; f/u for 44% of PFCs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=7/16). </w:t>
            </w:r>
          </w:p>
        </w:tc>
        <w:tc>
          <w:tcPr>
            <w:tcW w:w="1049" w:type="pct"/>
            <w:noWrap/>
            <w:hideMark/>
          </w:tcPr>
          <w:p w14:paraId="002CE8DB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08" w:type="pct"/>
            <w:hideMark/>
          </w:tcPr>
          <w:p w14:paraId="55EDCF48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425" w:type="pct"/>
          </w:tcPr>
          <w:p w14:paraId="1F35E011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</w:tcPr>
          <w:p w14:paraId="70E1A50B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noWrap/>
            <w:hideMark/>
          </w:tcPr>
          <w:p w14:paraId="1B859208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B5951" w:rsidRPr="003F68F8" w14:paraId="7D286C98" w14:textId="77777777" w:rsidTr="001B24D6">
        <w:trPr>
          <w:cantSplit/>
          <w:trHeight w:val="58"/>
        </w:trPr>
        <w:tc>
          <w:tcPr>
            <w:tcW w:w="273" w:type="pct"/>
            <w:shd w:val="clear" w:color="auto" w:fill="F2F2F2" w:themeFill="background1" w:themeFillShade="F2"/>
          </w:tcPr>
          <w:p w14:paraId="27712034" w14:textId="01C9E1E1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 xml:space="preserve">Mental Health Commission of Canada (2019) </w:t>
            </w:r>
          </w:p>
        </w:tc>
        <w:tc>
          <w:tcPr>
            <w:tcW w:w="566" w:type="pct"/>
            <w:shd w:val="clear" w:color="auto" w:fill="F2F2F2" w:themeFill="background1" w:themeFillShade="F2"/>
          </w:tcPr>
          <w:p w14:paraId="39ED3D8A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Provider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1. Knowledge^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2. Self-efficacy^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3. Stage of change to enact stepped care^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4. Familiarity with TAO, Strongest Families &amp; Bridge the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gApp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5. Comfort using Bridge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gApp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^ </w:t>
            </w:r>
            <w:r w:rsidRPr="003F68F8">
              <w:rPr>
                <w:rFonts w:ascii="Calibri" w:hAnsi="Calibri" w:cs="Calibri"/>
                <w:sz w:val="14"/>
                <w:szCs w:val="14"/>
              </w:rPr>
              <w:br/>
              <w:t xml:space="preserve">6. Perception of Stepped Care^ </w:t>
            </w:r>
          </w:p>
          <w:p w14:paraId="5D5E9805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: 1. Use of services^</w:t>
            </w:r>
          </w:p>
          <w:p w14:paraId="10FADD33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sz w:val="14"/>
                <w:szCs w:val="14"/>
              </w:rPr>
              <w:t>2. Satisfaction (CSQ-8)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030497CA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Client: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Effectiveness in addressing problems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Helpful: 62%, Not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really helpful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>: 38%, Made things worse: 0%.</w:t>
            </w:r>
          </w:p>
        </w:tc>
        <w:tc>
          <w:tcPr>
            <w:tcW w:w="1049" w:type="pct"/>
            <w:shd w:val="clear" w:color="auto" w:fill="F2F2F2" w:themeFill="background1" w:themeFillShade="F2"/>
          </w:tcPr>
          <w:p w14:paraId="623FE4F1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Client: Service use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Clients accessed in addition to e-mental health programs: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Step 1-Online self-help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: n(%)=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35(9.96),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2. Online self-help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n(%)=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38(16.45),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3. Peer support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)=16(6.93),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4. Drop-in seminar/ workshop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)=1(0.43),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5. Blended in-person/online provider assisted programs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)=16(6.93),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6. Structured &amp; unstructured counselling groups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)=36(15.58),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7. 1:1 sessions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)=106(45.89), 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>8. Specialist care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n(%)=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4(1.73), 9.</w:t>
            </w: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Acute care &amp; case management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n(%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)=10(4.33). While 59% of usage for high-intensity services (Steps 6-10), notable engagement (41%) occurred at lower intensities (Steps 1-5). Approx. half accessed Step 7 counselling. Second most common was interactional, online programing at Step 2. Approx. 50%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said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accessed e-mental health programming (at Steps 1, 2, 5). Doorways single session program used by many clients, even though not step in current project. 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483ED31C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  <w:r w:rsidRPr="003F68F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Client: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E-mental health tool quality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Good/ Excellent: 67%, Poor: 15%. </w:t>
            </w:r>
            <w:r w:rsidRPr="003F68F8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Meeting needs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: At least some needs met: 79%, None met: 21%. </w:t>
            </w:r>
            <w:r w:rsidRPr="003F68F8">
              <w:rPr>
                <w:rFonts w:ascii="Calibri" w:hAnsi="Calibri" w:cs="Calibri"/>
                <w:b/>
                <w:sz w:val="14"/>
                <w:szCs w:val="14"/>
              </w:rPr>
              <w:t xml:space="preserve">Post: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For providers, significant increases in: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Knowledge of stepped care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=5.23,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&lt;.01). Self-efficacy in enacting stepped care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=3.92,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&lt;.01). Stage of change readiness for stepped care implementation (t=6.71,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&lt;.01). Familiarity with TAO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=3.52,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&lt;.01), Strongest Families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=2.48, 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=0.03), and </w:t>
            </w:r>
            <w:proofErr w:type="gramStart"/>
            <w:r w:rsidRPr="003F68F8">
              <w:rPr>
                <w:rFonts w:ascii="Calibri" w:hAnsi="Calibri" w:cs="Calibri"/>
                <w:sz w:val="14"/>
                <w:szCs w:val="14"/>
              </w:rPr>
              <w:t>Bridge</w:t>
            </w:r>
            <w:proofErr w:type="gram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the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gApp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3F68F8">
              <w:rPr>
                <w:rFonts w:ascii="Calibri" w:hAnsi="Calibri" w:cs="Calibri"/>
                <w:i/>
                <w:iCs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=3.92,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&lt;.01). Comfort using Bridge the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gApp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. 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>Post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 f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or managers significant increases in: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Knowledge of stepped care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=4.63,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&lt;.01).</w:t>
            </w:r>
            <w:r w:rsidRPr="003F68F8">
              <w:rPr>
                <w:rFonts w:ascii="Calibri" w:hAnsi="Calibri" w:cs="Calibri"/>
                <w:b/>
                <w:i/>
                <w:sz w:val="14"/>
                <w:szCs w:val="14"/>
              </w:rPr>
              <w:t xml:space="preserve"> 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Stage of change readiness for stepped care implementation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=4.54,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&lt;.01). Comfort with Bridge the </w:t>
            </w:r>
            <w:proofErr w:type="spellStart"/>
            <w:r w:rsidRPr="003F68F8">
              <w:rPr>
                <w:rFonts w:ascii="Calibri" w:hAnsi="Calibri" w:cs="Calibri"/>
                <w:sz w:val="14"/>
                <w:szCs w:val="14"/>
              </w:rPr>
              <w:t>gApp</w:t>
            </w:r>
            <w:proofErr w:type="spellEnd"/>
            <w:r w:rsidRPr="003F68F8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t</w:t>
            </w:r>
            <w:r w:rsidRPr="003F68F8">
              <w:rPr>
                <w:rFonts w:ascii="Calibri" w:hAnsi="Calibri" w:cs="Calibri"/>
                <w:sz w:val="14"/>
                <w:szCs w:val="14"/>
              </w:rPr>
              <w:t xml:space="preserve">=2.67, </w:t>
            </w:r>
            <w:r w:rsidRPr="003F68F8">
              <w:rPr>
                <w:rFonts w:ascii="Calibri" w:hAnsi="Calibri" w:cs="Calibri"/>
                <w:i/>
                <w:sz w:val="14"/>
                <w:szCs w:val="14"/>
              </w:rPr>
              <w:t>p=.</w:t>
            </w:r>
            <w:r w:rsidRPr="003F68F8">
              <w:rPr>
                <w:rFonts w:ascii="Calibri" w:hAnsi="Calibri" w:cs="Calibri"/>
                <w:sz w:val="14"/>
                <w:szCs w:val="14"/>
              </w:rPr>
              <w:t>04).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2D35B6AF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  <w:highlight w:val="cyan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</w:tcPr>
          <w:p w14:paraId="00AE256E" w14:textId="77777777" w:rsidR="003B5951" w:rsidRPr="003F68F8" w:rsidRDefault="003B5951" w:rsidP="00F05B27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</w:tcPr>
          <w:p w14:paraId="33DE95DF" w14:textId="77777777" w:rsidR="003B5951" w:rsidRPr="003F68F8" w:rsidRDefault="003B5951" w:rsidP="00F05B2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3F3E163C" w14:textId="21FAD71F" w:rsidR="00A943C9" w:rsidRPr="003F68F8" w:rsidRDefault="003B5951" w:rsidP="00D73B1F">
      <w:pPr>
        <w:spacing w:line="240" w:lineRule="auto"/>
        <w:ind w:left="-851" w:right="-1068"/>
        <w:rPr>
          <w:rFonts w:ascii="Calibri" w:hAnsi="Calibri" w:cs="Calibri"/>
          <w:sz w:val="14"/>
          <w:szCs w:val="14"/>
        </w:rPr>
      </w:pPr>
      <w:r w:rsidRPr="003F68F8">
        <w:rPr>
          <w:rFonts w:ascii="Calibri" w:eastAsia="Times New Roman" w:hAnsi="Calibri" w:cs="Calibri"/>
          <w:i/>
          <w:kern w:val="0"/>
          <w:sz w:val="14"/>
          <w:szCs w:val="14"/>
          <w:lang w:eastAsia="en-AU"/>
          <w14:ligatures w14:val="none"/>
        </w:rPr>
        <w:t>Note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. </w:t>
      </w:r>
      <w:r w:rsidRPr="003F68F8">
        <w:rPr>
          <w:rFonts w:ascii="Calibri" w:hAnsi="Calibri" w:cs="Calibri"/>
          <w:sz w:val="14"/>
          <w:szCs w:val="14"/>
        </w:rPr>
        <w:t xml:space="preserve">↓=Decrease; ↑=Increase;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Approx.=Approximate; B/w=Between; Con=Control; EMDR=Eye Movement Desensitization and Reprocessing; Exp=Experimental; F2F=F</w:t>
      </w:r>
      <w:r w:rsidR="003F070C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ace-to-face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; f/u=Follow-up; </w:t>
      </w:r>
      <w:proofErr w:type="spellStart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Hrs</w:t>
      </w:r>
      <w:proofErr w:type="spellEnd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=Hours; Incl.= Include; Info=Information; Int=Intervention; Min=Minutes; </w:t>
      </w:r>
      <w:proofErr w:type="spellStart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Mnths</w:t>
      </w:r>
      <w:proofErr w:type="spellEnd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=Months; OAAT=One-At-A-Time; PFC=Primary family contact; Post=Post-intervention; Qual=Qualitative; Quan=Quantitative; Org=Organization; SC2.0=Stepped Care 2.0; SSC=Single-Session Consultation; TAO=</w:t>
      </w:r>
      <w:r w:rsidRPr="003F68F8">
        <w:rPr>
          <w:rFonts w:ascii="Calibri" w:hAnsi="Calibri" w:cs="Calibri"/>
          <w:sz w:val="14"/>
          <w:szCs w:val="14"/>
        </w:rPr>
        <w:t>Therapy Assistance Online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; VR=Virtual reality; vs.=Compared to; WAI=Working Alliance Inventory; WIT=Walk-In</w:t>
      </w:r>
      <w:r w:rsidR="00EF625C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Together. </w:t>
      </w:r>
      <w:r w:rsidRPr="003F68F8">
        <w:rPr>
          <w:rFonts w:ascii="Calibri" w:eastAsia="Times New Roman" w:hAnsi="Calibri" w:cs="Calibri"/>
          <w:b/>
          <w:kern w:val="0"/>
          <w:sz w:val="14"/>
          <w:szCs w:val="14"/>
          <w:lang w:eastAsia="en-AU"/>
          <w14:ligatures w14:val="none"/>
        </w:rPr>
        <w:t>Measures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: AIMS/IAM/FIM=Acceptability of Intervention, Intervention Appropriateness, and Feasibility of Intervention Measure; CEQ=Credibility/Expectancy Questionnaire; CSQ-8=Client Satisfaction Questionnaire-8; WAI-SR=Working Alliance Inventory-Short Revised; PQ=</w:t>
      </w:r>
      <w:r w:rsidRPr="003F68F8">
        <w:rPr>
          <w:rFonts w:ascii="Calibri" w:hAnsi="Calibri" w:cs="Calibri"/>
          <w:sz w:val="14"/>
          <w:szCs w:val="14"/>
        </w:rPr>
        <w:t xml:space="preserve">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PQ=Presence Questionnaire; PRS=Perceived </w:t>
      </w:r>
      <w:proofErr w:type="spellStart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Restorativeness</w:t>
      </w:r>
      <w:proofErr w:type="spellEnd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 Scale; RDS=</w:t>
      </w:r>
      <w:r w:rsidRPr="003F68F8">
        <w:rPr>
          <w:rFonts w:ascii="Calibri" w:hAnsi="Calibri" w:cs="Calibri"/>
          <w:sz w:val="14"/>
          <w:szCs w:val="14"/>
        </w:rPr>
        <w:t xml:space="preserve">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Readiness Diagnostic Scale; ROC=Readiness for Organizational Change; </w:t>
      </w:r>
      <w:r w:rsidRPr="003F68F8">
        <w:rPr>
          <w:rFonts w:ascii="Calibri" w:eastAsia="Times New Roman" w:hAnsi="Calibri" w:cs="Calibri"/>
          <w:sz w:val="14"/>
          <w:szCs w:val="14"/>
        </w:rPr>
        <w:t xml:space="preserve">SEQ=Session Evaluation Questionnaire. </w:t>
      </w:r>
      <w:r w:rsidRPr="003F68F8">
        <w:rPr>
          <w:rFonts w:ascii="Calibri" w:hAnsi="Calibri" w:cs="Calibri"/>
          <w:b/>
          <w:sz w:val="14"/>
          <w:szCs w:val="14"/>
        </w:rPr>
        <w:t>Effects</w:t>
      </w:r>
      <w:r w:rsidRPr="003F68F8">
        <w:rPr>
          <w:rFonts w:ascii="Calibri" w:hAnsi="Calibri" w:cs="Calibri"/>
          <w:sz w:val="14"/>
          <w:szCs w:val="14"/>
        </w:rPr>
        <w:t xml:space="preserve">: </w:t>
      </w:r>
      <w:r w:rsidRPr="003F68F8">
        <w:rPr>
          <w:rFonts w:ascii="Calibri" w:hAnsi="Calibri" w:cs="Calibri"/>
          <w:i/>
          <w:sz w:val="14"/>
          <w:szCs w:val="14"/>
        </w:rPr>
        <w:t>χ2</w:t>
      </w:r>
      <w:r w:rsidRPr="003F68F8">
        <w:rPr>
          <w:rFonts w:ascii="Calibri" w:hAnsi="Calibri" w:cs="Calibri"/>
          <w:sz w:val="14"/>
          <w:szCs w:val="14"/>
        </w:rPr>
        <w:t>=Chi-squared statistic; Avg=Average;</w:t>
      </w:r>
      <w:r w:rsidRPr="003F68F8">
        <w:rPr>
          <w:rFonts w:ascii="Calibri" w:hAnsi="Calibri" w:cs="Calibri"/>
          <w:i/>
          <w:sz w:val="14"/>
          <w:szCs w:val="14"/>
        </w:rPr>
        <w:t xml:space="preserve"> </w:t>
      </w:r>
      <w:r w:rsidRPr="003F68F8">
        <w:rPr>
          <w:rFonts w:ascii="Calibri" w:eastAsia="Times New Roman" w:hAnsi="Calibri" w:cs="Calibri"/>
          <w:i/>
          <w:kern w:val="0"/>
          <w:sz w:val="14"/>
          <w:szCs w:val="14"/>
          <w:lang w:eastAsia="en-AU"/>
          <w14:ligatures w14:val="none"/>
        </w:rPr>
        <w:t>CI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=Confidence interval; </w:t>
      </w:r>
      <w:r w:rsidRPr="003F68F8">
        <w:rPr>
          <w:rFonts w:ascii="Calibri" w:hAnsi="Calibri" w:cs="Calibri"/>
          <w:i/>
          <w:sz w:val="14"/>
          <w:szCs w:val="14"/>
        </w:rPr>
        <w:t>d</w:t>
      </w:r>
      <w:r w:rsidRPr="003F68F8">
        <w:rPr>
          <w:rFonts w:ascii="Calibri" w:hAnsi="Calibri" w:cs="Calibri"/>
          <w:sz w:val="14"/>
          <w:szCs w:val="14"/>
        </w:rPr>
        <w:t xml:space="preserve">=Cohen’s d; </w:t>
      </w:r>
      <w:r w:rsidRPr="003F68F8">
        <w:rPr>
          <w:rFonts w:ascii="Calibri" w:hAnsi="Calibri" w:cs="Calibri"/>
          <w:i/>
          <w:sz w:val="14"/>
          <w:szCs w:val="14"/>
        </w:rPr>
        <w:t>F=</w:t>
      </w:r>
      <w:r w:rsidRPr="003F68F8">
        <w:rPr>
          <w:rFonts w:ascii="Calibri" w:hAnsi="Calibri" w:cs="Calibri"/>
          <w:sz w:val="14"/>
          <w:szCs w:val="14"/>
        </w:rPr>
        <w:t>F statistic</w:t>
      </w:r>
      <w:r w:rsidRPr="003F68F8">
        <w:rPr>
          <w:rFonts w:ascii="Calibri" w:hAnsi="Calibri" w:cs="Calibri"/>
          <w:i/>
          <w:sz w:val="14"/>
          <w:szCs w:val="14"/>
        </w:rPr>
        <w:t>; M</w:t>
      </w:r>
      <w:r w:rsidRPr="003F68F8">
        <w:rPr>
          <w:rFonts w:ascii="Calibri" w:hAnsi="Calibri" w:cs="Calibri"/>
          <w:sz w:val="14"/>
          <w:szCs w:val="14"/>
        </w:rPr>
        <w:t xml:space="preserve">=Mean; </w:t>
      </w:r>
      <w:r w:rsidRPr="003F68F8">
        <w:rPr>
          <w:rFonts w:ascii="Calibri" w:hAnsi="Calibri" w:cs="Calibri"/>
          <w:i/>
          <w:sz w:val="14"/>
          <w:szCs w:val="14"/>
        </w:rPr>
        <w:t>n</w:t>
      </w:r>
      <w:r w:rsidRPr="003F68F8">
        <w:rPr>
          <w:rFonts w:ascii="Calibri" w:hAnsi="Calibri" w:cs="Calibri"/>
          <w:sz w:val="14"/>
          <w:szCs w:val="14"/>
        </w:rPr>
        <w:t xml:space="preserve">=Sample size;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NS=Not significant</w:t>
      </w:r>
      <w:r w:rsidRPr="003F68F8">
        <w:rPr>
          <w:rFonts w:ascii="Calibri" w:hAnsi="Calibri" w:cs="Calibri"/>
          <w:sz w:val="14"/>
          <w:szCs w:val="14"/>
        </w:rPr>
        <w:t>;</w:t>
      </w:r>
      <w:r w:rsidRPr="003F68F8">
        <w:rPr>
          <w:rFonts w:ascii="Calibri" w:hAnsi="Calibri" w:cs="Calibri"/>
          <w:i/>
          <w:sz w:val="14"/>
          <w:szCs w:val="14"/>
        </w:rPr>
        <w:t xml:space="preserve"> p</w:t>
      </w:r>
      <w:r w:rsidRPr="003F68F8">
        <w:rPr>
          <w:rFonts w:ascii="Calibri" w:hAnsi="Calibri" w:cs="Calibri"/>
          <w:sz w:val="14"/>
          <w:szCs w:val="14"/>
        </w:rPr>
        <w:t xml:space="preserve">=Significance value; </w:t>
      </w:r>
      <w:r w:rsidRPr="003F68F8">
        <w:rPr>
          <w:rFonts w:ascii="Calibri" w:hAnsi="Calibri" w:cs="Calibri"/>
          <w:i/>
          <w:sz w:val="14"/>
          <w:szCs w:val="14"/>
        </w:rPr>
        <w:t>SD</w:t>
      </w:r>
      <w:r w:rsidRPr="003F68F8">
        <w:rPr>
          <w:rFonts w:ascii="Calibri" w:hAnsi="Calibri" w:cs="Calibri"/>
          <w:sz w:val="14"/>
          <w:szCs w:val="14"/>
        </w:rPr>
        <w:t xml:space="preserve">=Standard deviation; </w:t>
      </w:r>
      <w:r w:rsidRPr="003F68F8">
        <w:rPr>
          <w:rFonts w:ascii="Calibri" w:hAnsi="Calibri" w:cs="Calibri"/>
          <w:i/>
          <w:sz w:val="14"/>
          <w:szCs w:val="14"/>
        </w:rPr>
        <w:t>t</w:t>
      </w:r>
      <w:r w:rsidRPr="003F68F8">
        <w:rPr>
          <w:rFonts w:ascii="Calibri" w:hAnsi="Calibri" w:cs="Calibri"/>
          <w:sz w:val="14"/>
          <w:szCs w:val="14"/>
        </w:rPr>
        <w:t xml:space="preserve">=t test, </w:t>
      </w:r>
      <w:r w:rsidRPr="003F68F8">
        <w:rPr>
          <w:rFonts w:ascii="Calibri" w:hAnsi="Calibri" w:cs="Calibri"/>
          <w:i/>
          <w:sz w:val="14"/>
          <w:szCs w:val="14"/>
        </w:rPr>
        <w:t>Z</w:t>
      </w:r>
      <w:r w:rsidRPr="003F68F8">
        <w:rPr>
          <w:rFonts w:ascii="Calibri" w:hAnsi="Calibri" w:cs="Calibri"/>
          <w:sz w:val="14"/>
          <w:szCs w:val="14"/>
        </w:rPr>
        <w:t>=Z score. ^</w:t>
      </w:r>
      <w:proofErr w:type="gramStart"/>
      <w:r w:rsidRPr="003F68F8">
        <w:rPr>
          <w:rFonts w:ascii="Calibri" w:hAnsi="Calibri" w:cs="Calibri"/>
          <w:sz w:val="14"/>
          <w:szCs w:val="14"/>
        </w:rPr>
        <w:t>Non-validated</w:t>
      </w:r>
      <w:proofErr w:type="gramEnd"/>
      <w:r w:rsidRPr="003F68F8">
        <w:rPr>
          <w:rFonts w:ascii="Calibri" w:hAnsi="Calibri" w:cs="Calibri"/>
          <w:sz w:val="14"/>
          <w:szCs w:val="14"/>
        </w:rPr>
        <w:t xml:space="preserve"> study-specific measurement instrument used. </w:t>
      </w:r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^^=Cohort 1=Diagnosis (patient diagnosis received within last 45 days but treatment not yet started); Cohort 2=Treatment (patient started initial treatment within last 30 days with prognosis of &gt;1yr); Cohort 3=Survivorship (patient had completed treatment and was clinically disease free at time of enrolment); Cohort 4=End-of-life (patient was estimated to ≤6 </w:t>
      </w:r>
      <w:proofErr w:type="spellStart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>mnths</w:t>
      </w:r>
      <w:proofErr w:type="spellEnd"/>
      <w:r w:rsidRPr="003F68F8">
        <w:rPr>
          <w:rFonts w:ascii="Calibri" w:eastAsia="Times New Roman" w:hAnsi="Calibri" w:cs="Calibri"/>
          <w:kern w:val="0"/>
          <w:sz w:val="14"/>
          <w:szCs w:val="14"/>
          <w:lang w:eastAsia="en-AU"/>
          <w14:ligatures w14:val="none"/>
        </w:rPr>
        <w:t xml:space="preserve"> to live); </w:t>
      </w:r>
      <w:r w:rsidRPr="003F68F8">
        <w:rPr>
          <w:rFonts w:ascii="Calibri" w:hAnsi="Calibri" w:cs="Calibri"/>
          <w:sz w:val="14"/>
          <w:szCs w:val="14"/>
        </w:rPr>
        <w:t xml:space="preserve">Mindfulness only group+=Intervention focused on mindfulness; Mindfulness &amp; compassion group++=Intervention focused on mindfulness and compassion. </w:t>
      </w:r>
    </w:p>
    <w:p w14:paraId="1A460582" w14:textId="77777777" w:rsidR="00A943C9" w:rsidRPr="003F68F8" w:rsidRDefault="00A943C9" w:rsidP="00D73B1F">
      <w:pPr>
        <w:spacing w:line="240" w:lineRule="auto"/>
        <w:ind w:left="-851" w:right="-1068"/>
        <w:rPr>
          <w:rFonts w:ascii="Calibri" w:hAnsi="Calibri" w:cs="Calibri"/>
          <w:b/>
          <w:bCs/>
          <w:iCs/>
          <w:szCs w:val="20"/>
        </w:rPr>
      </w:pPr>
    </w:p>
    <w:p w14:paraId="44E78717" w14:textId="08D781FA" w:rsidR="00A943C9" w:rsidRPr="003F68F8" w:rsidRDefault="00A943C9" w:rsidP="00D73B1F">
      <w:pPr>
        <w:spacing w:line="240" w:lineRule="auto"/>
        <w:ind w:left="-851" w:right="-1068"/>
        <w:rPr>
          <w:rFonts w:ascii="Calibri" w:hAnsi="Calibri" w:cs="Calibri"/>
        </w:rPr>
      </w:pPr>
      <w:r w:rsidRPr="003F68F8">
        <w:rPr>
          <w:rFonts w:ascii="Calibri" w:hAnsi="Calibri" w:cs="Calibri"/>
          <w:b/>
          <w:bCs/>
          <w:iCs/>
          <w:szCs w:val="20"/>
        </w:rPr>
        <w:t>Source:</w:t>
      </w:r>
      <w:r w:rsidRPr="003F68F8">
        <w:rPr>
          <w:rFonts w:ascii="Calibri" w:hAnsi="Calibri" w:cs="Calibri"/>
          <w:iCs/>
          <w:szCs w:val="20"/>
        </w:rPr>
        <w:t> Created by authors</w:t>
      </w:r>
    </w:p>
    <w:sectPr w:rsidR="00A943C9" w:rsidRPr="003F68F8" w:rsidSect="005B7848">
      <w:headerReference w:type="first" r:id="rId9"/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5A67C" w14:textId="77777777" w:rsidR="00F83303" w:rsidRDefault="00F83303" w:rsidP="003B5951">
      <w:pPr>
        <w:spacing w:line="240" w:lineRule="auto"/>
      </w:pPr>
      <w:r>
        <w:separator/>
      </w:r>
    </w:p>
  </w:endnote>
  <w:endnote w:type="continuationSeparator" w:id="0">
    <w:p w14:paraId="4ACB5C60" w14:textId="77777777" w:rsidR="00F83303" w:rsidRDefault="00F83303" w:rsidP="003B5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44C0" w14:textId="77777777" w:rsidR="00F83303" w:rsidRDefault="00F83303" w:rsidP="003B5951">
      <w:pPr>
        <w:spacing w:line="240" w:lineRule="auto"/>
      </w:pPr>
      <w:r>
        <w:separator/>
      </w:r>
    </w:p>
  </w:footnote>
  <w:footnote w:type="continuationSeparator" w:id="0">
    <w:p w14:paraId="3ABDF6BA" w14:textId="77777777" w:rsidR="00F83303" w:rsidRDefault="00F83303" w:rsidP="003B59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D4801B0" w:rsidRPr="00BE26E3" w14:paraId="5D1FEBC1" w14:textId="77777777" w:rsidTr="2D4801B0">
      <w:trPr>
        <w:trHeight w:val="300"/>
      </w:trPr>
      <w:tc>
        <w:tcPr>
          <w:tcW w:w="4650" w:type="dxa"/>
        </w:tcPr>
        <w:p w14:paraId="03149EA1" w14:textId="77777777" w:rsidR="0041094B" w:rsidRPr="00BE26E3" w:rsidRDefault="0041094B" w:rsidP="2D4801B0">
          <w:pPr>
            <w:pStyle w:val="Header"/>
            <w:ind w:left="-115"/>
          </w:pPr>
        </w:p>
      </w:tc>
      <w:tc>
        <w:tcPr>
          <w:tcW w:w="4650" w:type="dxa"/>
        </w:tcPr>
        <w:p w14:paraId="4916298E" w14:textId="77777777" w:rsidR="0041094B" w:rsidRPr="00BE26E3" w:rsidRDefault="0041094B" w:rsidP="2D4801B0">
          <w:pPr>
            <w:pStyle w:val="Header"/>
            <w:jc w:val="center"/>
          </w:pPr>
        </w:p>
      </w:tc>
      <w:tc>
        <w:tcPr>
          <w:tcW w:w="4650" w:type="dxa"/>
        </w:tcPr>
        <w:p w14:paraId="724506B9" w14:textId="77777777" w:rsidR="0041094B" w:rsidRPr="00BE26E3" w:rsidRDefault="0041094B" w:rsidP="2D4801B0">
          <w:pPr>
            <w:pStyle w:val="Header"/>
            <w:ind w:right="-115"/>
            <w:jc w:val="right"/>
          </w:pPr>
        </w:p>
      </w:tc>
    </w:tr>
  </w:tbl>
  <w:p w14:paraId="2CA43164" w14:textId="77777777" w:rsidR="0041094B" w:rsidRPr="00BE26E3" w:rsidRDefault="00410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51"/>
    <w:rsid w:val="000149DB"/>
    <w:rsid w:val="00083715"/>
    <w:rsid w:val="000A6268"/>
    <w:rsid w:val="0015366B"/>
    <w:rsid w:val="001B24D6"/>
    <w:rsid w:val="001C1BC0"/>
    <w:rsid w:val="001D2EBB"/>
    <w:rsid w:val="001E1731"/>
    <w:rsid w:val="00236230"/>
    <w:rsid w:val="00286D5E"/>
    <w:rsid w:val="002C241C"/>
    <w:rsid w:val="003245D4"/>
    <w:rsid w:val="003B2DEA"/>
    <w:rsid w:val="003B5951"/>
    <w:rsid w:val="003F070C"/>
    <w:rsid w:val="003F68F8"/>
    <w:rsid w:val="0041094B"/>
    <w:rsid w:val="004E419F"/>
    <w:rsid w:val="0051063B"/>
    <w:rsid w:val="0053077B"/>
    <w:rsid w:val="005B7848"/>
    <w:rsid w:val="005E016C"/>
    <w:rsid w:val="006625A3"/>
    <w:rsid w:val="00697BF7"/>
    <w:rsid w:val="006C024B"/>
    <w:rsid w:val="007519F4"/>
    <w:rsid w:val="00770444"/>
    <w:rsid w:val="00775380"/>
    <w:rsid w:val="00776189"/>
    <w:rsid w:val="007A0BE9"/>
    <w:rsid w:val="00880A89"/>
    <w:rsid w:val="008B67B7"/>
    <w:rsid w:val="008C627E"/>
    <w:rsid w:val="009B5D07"/>
    <w:rsid w:val="009C3AAE"/>
    <w:rsid w:val="00A943C9"/>
    <w:rsid w:val="00AE72C1"/>
    <w:rsid w:val="00B034E9"/>
    <w:rsid w:val="00B10FB5"/>
    <w:rsid w:val="00C96714"/>
    <w:rsid w:val="00CC6354"/>
    <w:rsid w:val="00CF09FF"/>
    <w:rsid w:val="00D73B1F"/>
    <w:rsid w:val="00D968C7"/>
    <w:rsid w:val="00E90255"/>
    <w:rsid w:val="00E96508"/>
    <w:rsid w:val="00EF625C"/>
    <w:rsid w:val="00F83303"/>
    <w:rsid w:val="00F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B7C6"/>
  <w15:chartTrackingRefBased/>
  <w15:docId w15:val="{5BF52622-0989-43E7-B16D-21536CDE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951"/>
    <w:pPr>
      <w:spacing w:after="0"/>
    </w:pPr>
    <w:rPr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951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B5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9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3B5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951"/>
    <w:pPr>
      <w:spacing w:before="160" w:after="160"/>
      <w:jc w:val="center"/>
    </w:pPr>
    <w:rPr>
      <w:i/>
      <w:iCs/>
      <w:color w:val="404040" w:themeColor="text1" w:themeTint="BF"/>
      <w:sz w:val="2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B5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951"/>
    <w:pPr>
      <w:spacing w:after="160"/>
      <w:ind w:left="720"/>
      <w:contextualSpacing/>
    </w:pPr>
    <w:rPr>
      <w:sz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3B5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9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59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951"/>
    <w:rPr>
      <w:sz w:val="20"/>
      <w:lang w:val="en-US"/>
    </w:rPr>
  </w:style>
  <w:style w:type="table" w:styleId="TableGrid">
    <w:name w:val="Table Grid"/>
    <w:basedOn w:val="TableNormal"/>
    <w:uiPriority w:val="39"/>
    <w:rsid w:val="003B59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B5951"/>
  </w:style>
  <w:style w:type="paragraph" w:styleId="Footer">
    <w:name w:val="footer"/>
    <w:basedOn w:val="Normal"/>
    <w:link w:val="FooterChar"/>
    <w:uiPriority w:val="99"/>
    <w:unhideWhenUsed/>
    <w:rsid w:val="003B595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951"/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9d674a-b6c3-4fb4-9c1b-ae397359afd0" xsi:nil="true"/>
    <lcf76f155ced4ddcb4097134ff3c332f xmlns="78ce3109-fc80-4ff3-b7e2-f40d27f41a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D739B93324A46ABEBDC97CC30F090" ma:contentTypeVersion="14" ma:contentTypeDescription="Create a new document." ma:contentTypeScope="" ma:versionID="4b3bfded0965f34df935b74776f2825d">
  <xsd:schema xmlns:xsd="http://www.w3.org/2001/XMLSchema" xmlns:xs="http://www.w3.org/2001/XMLSchema" xmlns:p="http://schemas.microsoft.com/office/2006/metadata/properties" xmlns:ns2="78ce3109-fc80-4ff3-b7e2-f40d27f41a16" xmlns:ns3="ff9d674a-b6c3-4fb4-9c1b-ae397359afd0" targetNamespace="http://schemas.microsoft.com/office/2006/metadata/properties" ma:root="true" ma:fieldsID="7fffe5bdad9fc5115ce885285b6fc537" ns2:_="" ns3:_="">
    <xsd:import namespace="78ce3109-fc80-4ff3-b7e2-f40d27f41a16"/>
    <xsd:import namespace="ff9d674a-b6c3-4fb4-9c1b-ae397359a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3109-fc80-4ff3-b7e2-f40d27f41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674a-b6c3-4fb4-9c1b-ae397359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8491d5c-8937-40ad-a334-74b999ff4417}" ma:internalName="TaxCatchAll" ma:showField="CatchAllData" ma:web="ff9d674a-b6c3-4fb4-9c1b-ae397359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F12B1-5527-42A8-9954-0D0F63B17C1D}">
  <ds:schemaRefs>
    <ds:schemaRef ds:uri="http://schemas.microsoft.com/office/2006/metadata/properties"/>
    <ds:schemaRef ds:uri="http://schemas.microsoft.com/office/infopath/2007/PartnerControls"/>
    <ds:schemaRef ds:uri="ff9d674a-b6c3-4fb4-9c1b-ae397359afd0"/>
    <ds:schemaRef ds:uri="78ce3109-fc80-4ff3-b7e2-f40d27f41a16"/>
  </ds:schemaRefs>
</ds:datastoreItem>
</file>

<file path=customXml/itemProps2.xml><?xml version="1.0" encoding="utf-8"?>
<ds:datastoreItem xmlns:ds="http://schemas.openxmlformats.org/officeDocument/2006/customXml" ds:itemID="{F786A627-0B00-4938-A717-0FAA6A36F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D31E4-3493-4214-B512-506FB0203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e3109-fc80-4ff3-b7e2-f40d27f41a16"/>
    <ds:schemaRef ds:uri="ff9d674a-b6c3-4fb4-9c1b-ae397359a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2453</Words>
  <Characters>13988</Characters>
  <Application>Microsoft Office Word</Application>
  <DocSecurity>0</DocSecurity>
  <Lines>116</Lines>
  <Paragraphs>32</Paragraphs>
  <ScaleCrop>false</ScaleCrop>
  <Company/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Vuong</dc:creator>
  <cp:keywords/>
  <dc:description/>
  <cp:lastModifiedBy>AV</cp:lastModifiedBy>
  <cp:revision>36</cp:revision>
  <dcterms:created xsi:type="dcterms:W3CDTF">2025-07-22T02:27:00Z</dcterms:created>
  <dcterms:modified xsi:type="dcterms:W3CDTF">2025-09-15T07:08:00Z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0x010100D26D739B93324A46ABEBDC97CC30F090</vt:lpwstr>
  </property>
  <property fmtid="{D5CDD505-2E9C-101B-9397-08002B2CF9AE}" pid="3" name="MediaServiceImageTags">
    <vt:lpwstr/>
  </property>
</Properties>
</file>