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ONLINE APPENDIX</w:t>
      </w:r>
    </w:p>
    <w:p>
      <w:pPr>
        <w:spacing w:after="0"/>
        <w:jc w:val="center"/>
      </w:pPr>
      <w:r>
        <w:rPr>
          <w:rFonts w:ascii="Times New Roman" w:hAnsi="Times New Roman" w:eastAsia="Times New Roman"/>
          <w:b w:val="0"/>
          <w:i w:val="0"/>
          <w:sz w:val="18"/>
        </w:rPr>
        <w:t>Manuscript ID: MSCRA-08-2025-0054.R1</w:t>
      </w:r>
    </w:p>
    <w:p>
      <w:pPr>
        <w:spacing w:after="100"/>
        <w:jc w:val="center"/>
      </w:pPr>
      <w:r>
        <w:rPr>
          <w:rFonts w:ascii="Times New Roman" w:hAnsi="Times New Roman" w:eastAsia="Times New Roman"/>
          <w:b w:val="0"/>
          <w:i/>
          <w:sz w:val="17"/>
        </w:rPr>
        <w:t>OPTIMIZING MULTI-TIER SUPPLY CHAIN ORDERING WITH LNN+XGBOOST: MITIGATING THE BULLWHIP EFFECT</w:t>
      </w:r>
    </w:p>
    <w:p>
      <w:pPr>
        <w:spacing w:after="60"/>
        <w:jc w:val="center"/>
      </w:pPr>
      <w:r>
        <w:rPr>
          <w:rFonts w:ascii="Times New Roman" w:hAnsi="Times New Roman" w:eastAsia="Times New Roman"/>
          <w:b/>
          <w:i w:val="0"/>
          <w:sz w:val="22"/>
        </w:rPr>
        <w:t>Appendix: Feature Correlation Figure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233255" cy="6629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tmap_all_models_all_laye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33255" cy="6629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i w:val="0"/>
          <w:sz w:val="18"/>
        </w:rPr>
        <w:t xml:space="preserve">Figure. </w:t>
      </w:r>
      <w:r>
        <w:rPr>
          <w:rFonts w:ascii="Times New Roman" w:hAnsi="Times New Roman" w:eastAsia="Times New Roman"/>
          <w:b w:val="0"/>
          <w:i w:val="0"/>
          <w:sz w:val="18"/>
        </w:rPr>
        <w:t>Pearson correlation heatmaps for the six displayed input features by model family and supply-chain echelon. Unit diagonal values are self-correlations. The panels describe pairwise linear association and are not SHAP values, feature-attribution scores, or evidence of causality.</w:t>
      </w:r>
    </w:p>
    <w:sectPr>
      <w:pgSz w:w="12240" w:h="15840"/>
      <w:pgMar w:top="835" w:right="1037" w:bottom="792" w:left="1037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Appendix</dc:title>
  <dc:subject>MSCRA-08-2025-0054.R1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