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Supplementary Table S1 – Data Structure: From Codes to Themes to Failure Modes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448"/>
          </w:tcPr>
          <w:p>
            <w:r/>
            <w:r>
              <w:rPr>
                <w:rFonts w:ascii="Times New Roman" w:hAnsi="Times New Roman"/>
                <w:b/>
                <w:sz w:val="20"/>
              </w:rPr>
              <w:t>Aggregate dimension (failure mode)</w:t>
            </w:r>
          </w:p>
        </w:tc>
        <w:tc>
          <w:tcPr>
            <w:tcW w:type="dxa" w:w="2736"/>
          </w:tcPr>
          <w:p>
            <w:r/>
            <w:r>
              <w:rPr>
                <w:rFonts w:ascii="Times New Roman" w:hAnsi="Times New Roman"/>
                <w:b/>
                <w:sz w:val="20"/>
              </w:rPr>
              <w:t>Theme (second order)</w:t>
            </w:r>
          </w:p>
        </w:tc>
        <w:tc>
          <w:tcPr>
            <w:tcW w:type="dxa" w:w="4320"/>
          </w:tcPr>
          <w:p>
            <w:r/>
            <w:r>
              <w:rPr>
                <w:rFonts w:ascii="Times New Roman" w:hAnsi="Times New Roman"/>
                <w:b/>
                <w:sz w:val="20"/>
              </w:rPr>
              <w:t>Representative first-order codes (from interviews)</w:t>
            </w:r>
          </w:p>
        </w:tc>
        <w:tc>
          <w:tcPr>
            <w:tcW w:type="dxa" w:w="720"/>
          </w:tcPr>
          <w:p>
            <w:r/>
            <w:r>
              <w:rPr>
                <w:rFonts w:ascii="Times New Roman" w:hAnsi="Times New Roman"/>
                <w:b/>
                <w:sz w:val="20"/>
              </w:rPr>
              <w:t>RQ</w:t>
            </w:r>
          </w:p>
        </w:tc>
      </w:tr>
      <w:tr>
        <w:tc>
          <w:tcPr>
            <w:tcW w:type="dxa" w:w="2448"/>
          </w:tcPr>
          <w:p>
            <w:r/>
            <w:r>
              <w:rPr>
                <w:rFonts w:ascii="Times New Roman" w:hAnsi="Times New Roman"/>
                <w:sz w:val="20"/>
              </w:rPr>
              <w:t>Structural barriers to escalation</w:t>
            </w:r>
          </w:p>
        </w:tc>
        <w:tc>
          <w:tcPr>
            <w:tcW w:type="dxa" w:w="2736"/>
          </w:tcPr>
          <w:p>
            <w:r/>
            <w:r>
              <w:rPr>
                <w:rFonts w:ascii="Times New Roman" w:hAnsi="Times New Roman"/>
                <w:sz w:val="20"/>
              </w:rPr>
              <w:t>Reports not received with urgency; distance from decision-makers</w:t>
            </w:r>
          </w:p>
        </w:tc>
        <w:tc>
          <w:tcPr>
            <w:tcW w:type="dxa" w:w="4320"/>
          </w:tcPr>
          <w:p>
            <w:r/>
            <w:r>
              <w:rPr>
                <w:rFonts w:ascii="Times New Roman" w:hAnsi="Times New Roman"/>
                <w:sz w:val="20"/>
              </w:rPr>
              <w:t>“Reports fall into the void” (P11); rarely brought into follow-up discussions; “near zero technical knowhow” two levels below the CISO (P4)</w:t>
            </w:r>
          </w:p>
        </w:tc>
        <w:tc>
          <w:tcPr>
            <w:tcW w:type="dxa" w:w="720"/>
          </w:tcPr>
          <w:p>
            <w:r/>
            <w:r>
              <w:rPr>
                <w:rFonts w:ascii="Times New Roman" w:hAnsi="Times New Roman"/>
                <w:sz w:val="20"/>
              </w:rPr>
              <w:t>RQ1</w:t>
            </w:r>
          </w:p>
        </w:tc>
      </w:tr>
      <w:tr>
        <w:tc>
          <w:tcPr>
            <w:tcW w:type="dxa" w:w="2448"/>
          </w:tcPr>
          <w:p>
            <w:r/>
            <w:r>
              <w:rPr>
                <w:rFonts w:ascii="Times New Roman" w:hAnsi="Times New Roman"/>
                <w:sz w:val="20"/>
              </w:rPr>
              <w:t>Structural barriers to escalation</w:t>
            </w:r>
          </w:p>
        </w:tc>
        <w:tc>
          <w:tcPr>
            <w:tcW w:type="dxa" w:w="2736"/>
          </w:tcPr>
          <w:p>
            <w:r/>
            <w:r>
              <w:rPr>
                <w:rFonts w:ascii="Times New Roman" w:hAnsi="Times New Roman"/>
                <w:sz w:val="20"/>
              </w:rPr>
              <w:t>Decision-makers do not grasp severity or risk</w:t>
            </w:r>
          </w:p>
        </w:tc>
        <w:tc>
          <w:tcPr>
            <w:tcW w:type="dxa" w:w="4320"/>
          </w:tcPr>
          <w:p>
            <w:r/>
            <w:r>
              <w:rPr>
                <w:rFonts w:ascii="Times New Roman" w:hAnsi="Times New Roman"/>
                <w:sz w:val="20"/>
              </w:rPr>
              <w:t>Doubt that leadership understands the technical issue; severity downgraded as information rises</w:t>
            </w:r>
          </w:p>
        </w:tc>
        <w:tc>
          <w:tcPr>
            <w:tcW w:type="dxa" w:w="720"/>
          </w:tcPr>
          <w:p>
            <w:r/>
            <w:r>
              <w:rPr>
                <w:rFonts w:ascii="Times New Roman" w:hAnsi="Times New Roman"/>
                <w:sz w:val="20"/>
              </w:rPr>
              <w:t>RQ1</w:t>
            </w:r>
          </w:p>
        </w:tc>
      </w:tr>
      <w:tr>
        <w:tc>
          <w:tcPr>
            <w:tcW w:type="dxa" w:w="2448"/>
          </w:tcPr>
          <w:p>
            <w:r/>
            <w:r>
              <w:rPr>
                <w:rFonts w:ascii="Times New Roman" w:hAnsi="Times New Roman"/>
                <w:sz w:val="20"/>
              </w:rPr>
              <w:t>Procedural gaps in tracking and accountability</w:t>
            </w:r>
          </w:p>
        </w:tc>
        <w:tc>
          <w:tcPr>
            <w:tcW w:type="dxa" w:w="2736"/>
          </w:tcPr>
          <w:p>
            <w:r/>
            <w:r>
              <w:rPr>
                <w:rFonts w:ascii="Times New Roman" w:hAnsi="Times New Roman"/>
                <w:sz w:val="20"/>
              </w:rPr>
              <w:t>No formal reporting or tracking mechanism</w:t>
            </w:r>
          </w:p>
        </w:tc>
        <w:tc>
          <w:tcPr>
            <w:tcW w:type="dxa" w:w="4320"/>
          </w:tcPr>
          <w:p>
            <w:r/>
            <w:r>
              <w:rPr>
                <w:rFonts w:ascii="Times New Roman" w:hAnsi="Times New Roman"/>
                <w:sz w:val="20"/>
              </w:rPr>
              <w:t>“No centralized platform” to report issues; ticketing system not used for security; cannot follow up on resolution</w:t>
            </w:r>
          </w:p>
        </w:tc>
        <w:tc>
          <w:tcPr>
            <w:tcW w:type="dxa" w:w="720"/>
          </w:tcPr>
          <w:p>
            <w:r/>
            <w:r>
              <w:rPr>
                <w:rFonts w:ascii="Times New Roman" w:hAnsi="Times New Roman"/>
                <w:sz w:val="20"/>
              </w:rPr>
              <w:t>RQ1</w:t>
            </w:r>
          </w:p>
        </w:tc>
      </w:tr>
      <w:tr>
        <w:tc>
          <w:tcPr>
            <w:tcW w:type="dxa" w:w="2448"/>
          </w:tcPr>
          <w:p>
            <w:r/>
            <w:r>
              <w:rPr>
                <w:rFonts w:ascii="Times New Roman" w:hAnsi="Times New Roman"/>
                <w:sz w:val="20"/>
              </w:rPr>
              <w:t>Procedural gaps in tracking and accountability</w:t>
            </w:r>
          </w:p>
        </w:tc>
        <w:tc>
          <w:tcPr>
            <w:tcW w:type="dxa" w:w="2736"/>
          </w:tcPr>
          <w:p>
            <w:r/>
            <w:r>
              <w:rPr>
                <w:rFonts w:ascii="Times New Roman" w:hAnsi="Times New Roman"/>
                <w:sz w:val="20"/>
              </w:rPr>
              <w:t>Cross-team coordination breakdowns; competing priorities</w:t>
            </w:r>
          </w:p>
        </w:tc>
        <w:tc>
          <w:tcPr>
            <w:tcW w:type="dxa" w:w="4320"/>
          </w:tcPr>
          <w:p>
            <w:r/>
            <w:r>
              <w:rPr>
                <w:rFonts w:ascii="Times New Roman" w:hAnsi="Times New Roman"/>
                <w:sz w:val="20"/>
              </w:rPr>
              <w:t>Information security lacks purview to remediate alone; reliance on management to broker fixes; security deprioritized against business goals</w:t>
            </w:r>
          </w:p>
        </w:tc>
        <w:tc>
          <w:tcPr>
            <w:tcW w:type="dxa" w:w="720"/>
          </w:tcPr>
          <w:p>
            <w:r/>
            <w:r>
              <w:rPr>
                <w:rFonts w:ascii="Times New Roman" w:hAnsi="Times New Roman"/>
                <w:sz w:val="20"/>
              </w:rPr>
              <w:t>RQ2</w:t>
            </w:r>
          </w:p>
        </w:tc>
      </w:tr>
      <w:tr>
        <w:tc>
          <w:tcPr>
            <w:tcW w:type="dxa" w:w="2448"/>
          </w:tcPr>
          <w:p>
            <w:r/>
            <w:r>
              <w:rPr>
                <w:rFonts w:ascii="Times New Roman" w:hAnsi="Times New Roman"/>
                <w:sz w:val="20"/>
              </w:rPr>
              <w:t>Behavioral dynamics of minimization</w:t>
            </w:r>
          </w:p>
        </w:tc>
        <w:tc>
          <w:tcPr>
            <w:tcW w:type="dxa" w:w="2736"/>
          </w:tcPr>
          <w:p>
            <w:r/>
            <w:r>
              <w:rPr>
                <w:rFonts w:ascii="Times New Roman" w:hAnsi="Times New Roman"/>
                <w:sz w:val="20"/>
              </w:rPr>
              <w:t>Severity minimized or watered down before reaching leadership</w:t>
            </w:r>
          </w:p>
        </w:tc>
        <w:tc>
          <w:tcPr>
            <w:tcW w:type="dxa" w:w="4320"/>
          </w:tcPr>
          <w:p>
            <w:r/>
            <w:r>
              <w:rPr>
                <w:rFonts w:ascii="Times New Roman" w:hAnsi="Times New Roman"/>
                <w:sz w:val="20"/>
              </w:rPr>
              <w:t>“Significantly watered down” leadership briefing (P15); severity of a critical vulnerability suppressed (P8)</w:t>
            </w:r>
          </w:p>
        </w:tc>
        <w:tc>
          <w:tcPr>
            <w:tcW w:type="dxa" w:w="720"/>
          </w:tcPr>
          <w:p>
            <w:r/>
            <w:r>
              <w:rPr>
                <w:rFonts w:ascii="Times New Roman" w:hAnsi="Times New Roman"/>
                <w:sz w:val="20"/>
              </w:rPr>
              <w:t>RQ3</w:t>
            </w:r>
          </w:p>
        </w:tc>
      </w:tr>
      <w:tr>
        <w:tc>
          <w:tcPr>
            <w:tcW w:type="dxa" w:w="2448"/>
          </w:tcPr>
          <w:p>
            <w:r/>
            <w:r>
              <w:rPr>
                <w:rFonts w:ascii="Times New Roman" w:hAnsi="Times New Roman"/>
                <w:sz w:val="20"/>
              </w:rPr>
              <w:t>Behavioral dynamics of minimization</w:t>
            </w:r>
          </w:p>
        </w:tc>
        <w:tc>
          <w:tcPr>
            <w:tcW w:type="dxa" w:w="2736"/>
          </w:tcPr>
          <w:p>
            <w:r/>
            <w:r>
              <w:rPr>
                <w:rFonts w:ascii="Times New Roman" w:hAnsi="Times New Roman"/>
                <w:sz w:val="20"/>
              </w:rPr>
              <w:t>Explicit instruction or pressure not to report</w:t>
            </w:r>
          </w:p>
        </w:tc>
        <w:tc>
          <w:tcPr>
            <w:tcW w:type="dxa" w:w="4320"/>
          </w:tcPr>
          <w:p>
            <w:r/>
            <w:r>
              <w:rPr>
                <w:rFonts w:ascii="Times New Roman" w:hAnsi="Times New Roman"/>
                <w:sz w:val="20"/>
              </w:rPr>
              <w:t>“Told in no uncertain terms to not say anything” (P14); instructed to keep details confidential (P3); perceived career threat for reporting (P12)</w:t>
            </w:r>
          </w:p>
        </w:tc>
        <w:tc>
          <w:tcPr>
            <w:tcW w:type="dxa" w:w="720"/>
          </w:tcPr>
          <w:p>
            <w:r/>
            <w:r>
              <w:rPr>
                <w:rFonts w:ascii="Times New Roman" w:hAnsi="Times New Roman"/>
                <w:sz w:val="20"/>
              </w:rPr>
              <w:t>RQ3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