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0"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Supplementary Materials for</w:t>
      </w:r>
    </w:p>
    <w:p w:rsidR="00000000" w:rsidDel="00000000" w:rsidP="00000000" w:rsidRDefault="00000000" w:rsidRPr="00000000" w14:paraId="00000002">
      <w:pPr>
        <w:spacing w:after="0" w:before="0" w:line="36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Debunking COVID-19 Falsehoods:</w:t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 Test of Three Cognitive Predispositions as Buffers for Partisan Influences</w:t>
      </w:r>
    </w:p>
    <w:p w:rsidR="00000000" w:rsidDel="00000000" w:rsidP="00000000" w:rsidRDefault="00000000" w:rsidRPr="00000000" w14:paraId="00000004">
      <w:pPr>
        <w:shd w:fill="ffffff" w:val="clea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Section 1: Measures and stimuli</w:t>
      </w:r>
    </w:p>
    <w:p w:rsidR="00000000" w:rsidDel="00000000" w:rsidP="00000000" w:rsidRDefault="00000000" w:rsidRPr="00000000" w14:paraId="00000006">
      <w:pPr>
        <w:shd w:fill="ffffff" w:val="clea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Table S1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Survey Items</w:t>
      </w:r>
    </w:p>
    <w:p w:rsidR="00000000" w:rsidDel="00000000" w:rsidP="00000000" w:rsidRDefault="00000000" w:rsidRPr="00000000" w14:paraId="00000008">
      <w:pPr>
        <w:shd w:fill="ffffff" w:val="clea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5235"/>
        <w:gridCol w:w="3675"/>
        <w:tblGridChange w:id="0">
          <w:tblGrid>
            <w:gridCol w:w="5235"/>
            <w:gridCol w:w="3675"/>
          </w:tblGrid>
        </w:tblGridChange>
      </w:tblGrid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4" w:val="single"/>
              <w:left w:color="000000" w:space="0" w:sz="0" w:val="nil"/>
              <w:bottom w:color="000000" w:space="0" w:sz="12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shd w:fill="ffffff" w:val="clea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Questions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12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hd w:fill="ffffff" w:val="clea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Response categories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hd w:fill="ffffff" w:val="clear"/>
              <w:spacing w:line="24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Demographics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hd w:fill="ffffff" w:val="clear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hd w:fill="ffffff" w:val="clear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 what year were you born?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hd w:fill="ffffff" w:val="clear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Open-ended response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hd w:fill="ffffff" w:val="clear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What is your gender?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hd w:fill="ffffff" w:val="clear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Male, Female, Other</w:t>
            </w:r>
          </w:p>
        </w:tc>
      </w:tr>
      <w:tr>
        <w:trPr>
          <w:cantSplit w:val="0"/>
          <w:trHeight w:val="130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hd w:fill="ffffff" w:val="clear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What is your racial or ethnic background? (Check all that apply)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hd w:fill="ffffff" w:val="clear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White, Black or African American, American Indian or Alaskan Native, Asian, Native Hawaiian or Pacific Islander, Hispanic or Latinx, Other</w:t>
            </w:r>
          </w:p>
        </w:tc>
      </w:tr>
      <w:tr>
        <w:trPr>
          <w:cantSplit w:val="0"/>
          <w:trHeight w:val="21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hd w:fill="ffffff" w:val="clear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What is the highest level of education you have completed?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hd w:fill="ffffff" w:val="clear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Less than high school, High school graduate, Some college but no degree, Associate degree in college (2-year), Bachelor’s degree in college (4-year), Master’s degree, Doctoral degree, Professional degree (JD, MD)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hd w:fill="ffffff" w:val="clear"/>
              <w:spacing w:line="24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Partisanship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hd w:fill="ffffff" w:val="clear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7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hd w:fill="ffffff" w:val="clear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Generally speaking, what is your political affiliation?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hd w:fill="ffffff" w:val="clear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Democrat, Republican, Independent 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hd w:fill="ffffff" w:val="clea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AOT-E (Pennycook et al., 2020)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hd w:fill="ffffff" w:val="clea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1620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hd w:fill="ffffff" w:val="clear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 person should always consider new possibilities</w:t>
            </w:r>
          </w:p>
          <w:p w:rsidR="00000000" w:rsidDel="00000000" w:rsidP="00000000" w:rsidRDefault="00000000" w:rsidRPr="00000000" w14:paraId="0000001C">
            <w:pPr>
              <w:shd w:fill="ffffff" w:val="clear"/>
              <w:spacing w:line="240" w:lineRule="auto"/>
              <w:rPr>
                <w:rFonts w:ascii="Times New Roman" w:cs="Times New Roman" w:eastAsia="Times New Roman" w:hAnsi="Times New Roman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hd w:fill="ffffff" w:val="clear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People should always take into consideration evidence that goes against their beliefs</w:t>
            </w:r>
          </w:p>
          <w:p w:rsidR="00000000" w:rsidDel="00000000" w:rsidP="00000000" w:rsidRDefault="00000000" w:rsidRPr="00000000" w14:paraId="0000001E">
            <w:pPr>
              <w:shd w:fill="ffffff" w:val="clear"/>
              <w:spacing w:line="240" w:lineRule="auto"/>
              <w:rPr>
                <w:rFonts w:ascii="Times New Roman" w:cs="Times New Roman" w:eastAsia="Times New Roman" w:hAnsi="Times New Roman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shd w:fill="ffffff" w:val="clear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It is important to persevere in your beliefs even when evidence is brought to bear against them (reverse coded)</w:t>
            </w:r>
          </w:p>
          <w:p w:rsidR="00000000" w:rsidDel="00000000" w:rsidP="00000000" w:rsidRDefault="00000000" w:rsidRPr="00000000" w14:paraId="00000020">
            <w:pPr>
              <w:shd w:fill="ffffff" w:val="clear"/>
              <w:spacing w:line="240" w:lineRule="auto"/>
              <w:rPr>
                <w:rFonts w:ascii="Times New Roman" w:cs="Times New Roman" w:eastAsia="Times New Roman" w:hAnsi="Times New Roman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shd w:fill="ffffff" w:val="clear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Certain beliefs are just too important to abandon no matter how good a case can be made against them (reverse coded)</w:t>
            </w:r>
          </w:p>
          <w:p w:rsidR="00000000" w:rsidDel="00000000" w:rsidP="00000000" w:rsidRDefault="00000000" w:rsidRPr="00000000" w14:paraId="00000022">
            <w:pPr>
              <w:shd w:fill="ffffff" w:val="clear"/>
              <w:spacing w:line="240" w:lineRule="auto"/>
              <w:rPr>
                <w:rFonts w:ascii="Times New Roman" w:cs="Times New Roman" w:eastAsia="Times New Roman" w:hAnsi="Times New Roman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shd w:fill="ffffff" w:val="clear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One should disregard evidence that conflicts with your established beliefs (reverse coded)</w:t>
            </w:r>
          </w:p>
          <w:p w:rsidR="00000000" w:rsidDel="00000000" w:rsidP="00000000" w:rsidRDefault="00000000" w:rsidRPr="00000000" w14:paraId="00000024">
            <w:pPr>
              <w:shd w:fill="ffffff" w:val="clear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Beliefs should always be revised in response to new information or evidence</w:t>
            </w:r>
          </w:p>
          <w:p w:rsidR="00000000" w:rsidDel="00000000" w:rsidP="00000000" w:rsidRDefault="00000000" w:rsidRPr="00000000" w14:paraId="00000025">
            <w:pPr>
              <w:shd w:fill="ffffff" w:val="clear"/>
              <w:spacing w:line="240" w:lineRule="auto"/>
              <w:rPr>
                <w:rFonts w:ascii="Times New Roman" w:cs="Times New Roman" w:eastAsia="Times New Roman" w:hAnsi="Times New Roman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shd w:fill="ffffff" w:val="clear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No one can talk me out of something I know is right (reverse coded)</w:t>
            </w:r>
          </w:p>
          <w:p w:rsidR="00000000" w:rsidDel="00000000" w:rsidP="00000000" w:rsidRDefault="00000000" w:rsidRPr="00000000" w14:paraId="00000027">
            <w:pPr>
              <w:shd w:fill="ffffff" w:val="clear"/>
              <w:spacing w:line="240" w:lineRule="auto"/>
              <w:rPr>
                <w:rFonts w:ascii="Times New Roman" w:cs="Times New Roman" w:eastAsia="Times New Roman" w:hAnsi="Times New Roman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shd w:fill="ffffff" w:val="clear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 believe that loyalty to one’s ideals and principles is more important than open-mindedness (reverse coded)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hd w:fill="ffffff" w:val="clea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Disagree Strongly, Disagree Moderately, Disagree Slightly, Agree Slightly, Agree Moderately, Agree Strongly</w:t>
            </w:r>
          </w:p>
        </w:tc>
      </w:tr>
      <w:tr>
        <w:trPr>
          <w:cantSplit w:val="0"/>
          <w:trHeight w:val="75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shd w:fill="ffffff" w:val="clea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hd w:fill="ffffff" w:val="clea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1251.70898437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hd w:fill="ffffff" w:val="clea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hd w:fill="ffffff" w:val="clea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75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hd w:fill="ffffff" w:val="clea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shd w:fill="ffffff" w:val="clea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75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shd w:fill="ffffff" w:val="clea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hd w:fill="ffffff" w:val="clea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765" w:hRule="atLeast"/>
          <w:tblHeader w:val="0"/>
        </w:trPr>
        <w:tc>
          <w:tcPr>
            <w:tcBorders>
              <w:top w:color="000000" w:space="0" w:sz="6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hd w:fill="ffffff" w:val="clear"/>
              <w:spacing w:line="24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ML (Vraga et al., 2015; Koc &amp; Barut, 2016; Cheng &amp; Chen, 2020)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hd w:fill="ffffff" w:val="clea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27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shd w:fill="ffffff" w:val="clear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 have a good understanding of the concept of media literacy.</w:t>
            </w:r>
          </w:p>
          <w:p w:rsidR="00000000" w:rsidDel="00000000" w:rsidP="00000000" w:rsidRDefault="00000000" w:rsidRPr="00000000" w14:paraId="00000035">
            <w:pPr>
              <w:shd w:fill="ffffff" w:val="clear"/>
              <w:spacing w:line="240" w:lineRule="auto"/>
              <w:rPr>
                <w:rFonts w:ascii="Times New Roman" w:cs="Times New Roman" w:eastAsia="Times New Roman" w:hAnsi="Times New Roman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shd w:fill="ffffff" w:val="clear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 am confident in my ability to judge the quality of news.</w:t>
            </w:r>
          </w:p>
          <w:p w:rsidR="00000000" w:rsidDel="00000000" w:rsidP="00000000" w:rsidRDefault="00000000" w:rsidRPr="00000000" w14:paraId="00000037">
            <w:pPr>
              <w:shd w:fill="ffffff" w:val="clear"/>
              <w:spacing w:line="240" w:lineRule="auto"/>
              <w:rPr>
                <w:rFonts w:ascii="Times New Roman" w:cs="Times New Roman" w:eastAsia="Times New Roman" w:hAnsi="Times New Roman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shd w:fill="ffffff" w:val="clear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Media literacy is important to democracy.</w:t>
            </w:r>
          </w:p>
          <w:p w:rsidR="00000000" w:rsidDel="00000000" w:rsidP="00000000" w:rsidRDefault="00000000" w:rsidRPr="00000000" w14:paraId="00000039">
            <w:pPr>
              <w:shd w:fill="ffffff" w:val="clear"/>
              <w:spacing w:line="240" w:lineRule="auto"/>
              <w:rPr>
                <w:rFonts w:ascii="Times New Roman" w:cs="Times New Roman" w:eastAsia="Times New Roman" w:hAnsi="Times New Roman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shd w:fill="ffffff" w:val="clear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It is important to make media literacy part of primary and secondary education.</w:t>
            </w:r>
          </w:p>
          <w:p w:rsidR="00000000" w:rsidDel="00000000" w:rsidP="00000000" w:rsidRDefault="00000000" w:rsidRPr="00000000" w14:paraId="0000003B">
            <w:pPr>
              <w:shd w:fill="ffffff" w:val="clear"/>
              <w:spacing w:line="240" w:lineRule="auto"/>
              <w:rPr>
                <w:rFonts w:ascii="Times New Roman" w:cs="Times New Roman" w:eastAsia="Times New Roman" w:hAnsi="Times New Roman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shd w:fill="ffffff" w:val="clear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Media literacy enables people to recognize misleading information.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hd w:fill="ffffff" w:val="clear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Strongly Disagree, Somewhat Disagree, Neither Agree Nor Disagree, Somewhat Agree, Strongly Agree</w:t>
            </w:r>
          </w:p>
          <w:p w:rsidR="00000000" w:rsidDel="00000000" w:rsidP="00000000" w:rsidRDefault="00000000" w:rsidRPr="00000000" w14:paraId="0000003E">
            <w:pPr>
              <w:shd w:fill="ffffff" w:val="clea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7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hd w:fill="ffffff" w:val="clea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Trust in Public Health Agencies (Nguyen et al., 2022)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shd w:fill="ffffff" w:val="clea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2288.945312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shd w:fill="ffffff" w:val="clear"/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Please indicate on a scale of 0-10 how much you personally trust each of these institutions. 0 suggests you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u w:val="single"/>
                <w:rtl w:val="0"/>
              </w:rPr>
              <w:t xml:space="preserve">do not trust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the institution at all; 10 suggests you have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u w:val="single"/>
                <w:rtl w:val="0"/>
              </w:rPr>
              <w:t xml:space="preserve">complete trust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in the institution.</w:t>
            </w:r>
          </w:p>
          <w:p w:rsidR="00000000" w:rsidDel="00000000" w:rsidP="00000000" w:rsidRDefault="00000000" w:rsidRPr="00000000" w14:paraId="00000042">
            <w:pPr>
              <w:numPr>
                <w:ilvl w:val="0"/>
                <w:numId w:val="1"/>
              </w:numPr>
              <w:shd w:fill="ffffff" w:val="clear"/>
              <w:spacing w:line="240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World Health Organization (WHO)</w:t>
            </w:r>
          </w:p>
          <w:p w:rsidR="00000000" w:rsidDel="00000000" w:rsidP="00000000" w:rsidRDefault="00000000" w:rsidRPr="00000000" w14:paraId="00000043">
            <w:pPr>
              <w:numPr>
                <w:ilvl w:val="0"/>
                <w:numId w:val="1"/>
              </w:numPr>
              <w:shd w:fill="ffffff" w:val="clear"/>
              <w:spacing w:line="240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Centers for Disease Control and Prevention (CDC)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shd w:fill="ffffff" w:val="clea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11-point slider (0-10)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hd w:fill="ffffff" w:val="clea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Perceived message veracity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shd w:fill="ffffff" w:val="clea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shd w:fill="ffffff" w:val="clea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How truthful do you think this Facebook post is?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shd w:fill="ffffff" w:val="clea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Not at all, Somewhat, Extremely</w:t>
            </w:r>
          </w:p>
        </w:tc>
      </w:tr>
    </w:tbl>
    <w:p w:rsidR="00000000" w:rsidDel="00000000" w:rsidP="00000000" w:rsidRDefault="00000000" w:rsidRPr="00000000" w14:paraId="00000049">
      <w:pPr>
        <w:widowControl w:val="0"/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hd w:fill="ffffff" w:val="clea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hd w:fill="ffffff" w:val="clea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Table S2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 List of COVID-19 Falsehood Themes Used in the Study</w:t>
      </w:r>
    </w:p>
    <w:p w:rsidR="00000000" w:rsidDel="00000000" w:rsidP="00000000" w:rsidRDefault="00000000" w:rsidRPr="00000000" w14:paraId="0000004C">
      <w:pPr>
        <w:shd w:fill="ffffff" w:val="clea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93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415"/>
        <w:gridCol w:w="7515"/>
        <w:tblGridChange w:id="0">
          <w:tblGrid>
            <w:gridCol w:w="2415"/>
            <w:gridCol w:w="751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Theme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Falsehood Content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Child susceptibility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COVID-19 does not infect children under the age of 5.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Vaccine injects virus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The COVID-19 vaccine infects one with the virus.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Vaccine alters DNA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The COVID-19 vaccine alters human DNA and can cause illness or death.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Hydroxychloroquine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Anti-parasite and anti-malaria drug hydroxychloroquine cures COVID-19.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Vaccine contains microchip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The COVID-19 vaccine contains a microchip that can be GPS-tracked.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Vaccine is magnetic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The COVID-19 vaccine contains a magnetic microchip that interferes with electronics.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Vaccine causes infertility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Being inoculated with the COVID-19 vaccine is linked to infertility.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Vaccine development was rushed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The COVID-19 vaccine was rushed through trials and is unsafe.</w:t>
            </w:r>
          </w:p>
        </w:tc>
      </w:tr>
    </w:tbl>
    <w:p w:rsidR="00000000" w:rsidDel="00000000" w:rsidP="00000000" w:rsidRDefault="00000000" w:rsidRPr="00000000" w14:paraId="0000005F">
      <w:pPr>
        <w:shd w:fill="ffffff" w:val="clea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hd w:fill="ffffff" w:val="clear"/>
        <w:rPr>
          <w:rFonts w:ascii="Times New Roman" w:cs="Times New Roman" w:eastAsia="Times New Roman" w:hAnsi="Times New Roman"/>
          <w:sz w:val="24"/>
          <w:szCs w:val="24"/>
        </w:rPr>
        <w:sectPr>
          <w:headerReference r:id="rId6" w:type="default"/>
          <w:headerReference r:id="rId7" w:type="first"/>
          <w:footerReference r:id="rId8" w:type="first"/>
          <w:pgSz w:h="15840" w:w="12240" w:orient="portrait"/>
          <w:pgMar w:bottom="1440" w:top="1440" w:left="1440" w:right="144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hd w:fill="ffffff" w:val="clear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Section 2: A priori manipulation check</w:t>
      </w:r>
    </w:p>
    <w:p w:rsidR="00000000" w:rsidDel="00000000" w:rsidP="00000000" w:rsidRDefault="00000000" w:rsidRPr="00000000" w14:paraId="00000062">
      <w:pPr>
        <w:shd w:fill="ffffff" w:val="clear"/>
        <w:spacing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line="480" w:lineRule="auto"/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We recruited a convenience sample of undergraduate students from a media psychology course (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=181) in November, 2022. Participants were asked how likely a given Facebook post was fact-checked. A significant main effect,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F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(1, 179)=9.05,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=.003, showed posts with warning labels from the platform (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M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=3.51,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SE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=.08) were perceived as more likely to be fact-checked than user debunk posts (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M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=3.11,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SE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=.10).</w:t>
      </w:r>
    </w:p>
    <w:p w:rsidR="00000000" w:rsidDel="00000000" w:rsidP="00000000" w:rsidRDefault="00000000" w:rsidRPr="00000000" w14:paraId="00000064">
      <w:pPr>
        <w:shd w:fill="ffffff" w:val="clear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hd w:fill="ffffff" w:val="clear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hd w:fill="ffffff" w:val="clear"/>
        <w:rPr>
          <w:rFonts w:ascii="Times New Roman" w:cs="Times New Roman" w:eastAsia="Times New Roman" w:hAnsi="Times New Roman"/>
          <w:b w:val="1"/>
          <w:sz w:val="24"/>
          <w:szCs w:val="24"/>
        </w:rPr>
        <w:sectPr>
          <w:type w:val="nextPage"/>
          <w:pgSz w:h="15840" w:w="12240" w:orient="portrait"/>
          <w:pgMar w:bottom="1440" w:top="1440" w:left="1440" w:right="1440" w:header="72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hd w:fill="ffffff" w:val="clea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Section 3: Table for main analysis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>
          <w:rFonts w:ascii="Times New Roman" w:cs="Times New Roman" w:eastAsia="Times New Roman" w:hAnsi="Times New Roman"/>
          <w:b w:val="1"/>
          <w:sz w:val="24"/>
          <w:szCs w:val="24"/>
        </w:rPr>
        <w:sectPr>
          <w:type w:val="nextPage"/>
          <w:pgSz w:h="15840" w:w="12240" w:orient="portrait"/>
          <w:pgMar w:bottom="1440" w:top="1440" w:left="1440" w:right="1440" w:header="72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Table S3.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Conditional indirect effects of partisanship on truth resistance as moderated by debunking source and cognitive predispositions</w:t>
      </w:r>
      <w:r w:rsidDel="00000000" w:rsidR="00000000" w:rsidRPr="00000000">
        <w:rPr>
          <w:rtl w:val="0"/>
        </w:rPr>
      </w:r>
    </w:p>
    <w:tbl>
      <w:tblPr>
        <w:tblStyle w:val="Table3"/>
        <w:tblW w:w="934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650"/>
        <w:gridCol w:w="1830"/>
        <w:gridCol w:w="2775"/>
        <w:gridCol w:w="975"/>
        <w:gridCol w:w="750"/>
        <w:gridCol w:w="1365"/>
        <w:tblGridChange w:id="0">
          <w:tblGrid>
            <w:gridCol w:w="1650"/>
            <w:gridCol w:w="1830"/>
            <w:gridCol w:w="2775"/>
            <w:gridCol w:w="975"/>
            <w:gridCol w:w="750"/>
            <w:gridCol w:w="1365"/>
          </w:tblGrid>
        </w:tblGridChange>
      </w:tblGrid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12" w:val="single"/>
              <w:left w:color="000000" w:space="0" w:sz="0" w:val="nil"/>
              <w:bottom w:color="000000" w:space="0" w:sz="12" w:val="single"/>
              <w:right w:color="000000" w:space="0" w:sz="0" w:val="nil"/>
            </w:tcBorders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Debunk</w:t>
            </w:r>
          </w:p>
          <w:p w:rsidR="00000000" w:rsidDel="00000000" w:rsidP="00000000" w:rsidRDefault="00000000" w:rsidRPr="00000000" w14:paraId="0000006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Source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12" w:val="single"/>
              <w:right w:color="000000" w:space="0" w:sz="0" w:val="nil"/>
            </w:tcBorders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Cognitive </w:t>
            </w:r>
          </w:p>
          <w:p w:rsidR="00000000" w:rsidDel="00000000" w:rsidP="00000000" w:rsidRDefault="00000000" w:rsidRPr="00000000" w14:paraId="0000006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Predisposition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12" w:val="single"/>
              <w:right w:color="000000" w:space="0" w:sz="0" w:val="nil"/>
            </w:tcBorders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06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Partisanship 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12" w:val="single"/>
              <w:right w:color="000000" w:space="0" w:sz="0" w:val="nil"/>
            </w:tcBorders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β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12" w:val="single"/>
              <w:right w:color="000000" w:space="0" w:sz="0" w:val="nil"/>
            </w:tcBorders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12" w:val="single"/>
              <w:right w:color="000000" w:space="0" w:sz="0" w:val="nil"/>
            </w:tcBorders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071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95% CI</w:t>
            </w:r>
          </w:p>
        </w:tc>
      </w:tr>
      <w:tr>
        <w:trPr>
          <w:cantSplit w:val="0"/>
          <w:trHeight w:val="655" w:hRule="atLeast"/>
          <w:tblHeader w:val="0"/>
        </w:trPr>
        <w:tc>
          <w:tcPr>
            <w:gridSpan w:val="6"/>
            <w:tcBorders>
              <w:top w:color="000000" w:space="0" w:sz="12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widowControl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H1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07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User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07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07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Republican vs. Independent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7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-.055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7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.043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7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[-.139, .030]</w:t>
            </w:r>
          </w:p>
        </w:tc>
      </w:tr>
      <w:tr>
        <w:trPr>
          <w:cantSplit w:val="0"/>
          <w:trHeight w:val="4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07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User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07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08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Republican vs. Democrat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8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-.196***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8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.042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8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[-.277, -.114]</w:t>
            </w:r>
          </w:p>
        </w:tc>
      </w:tr>
      <w:tr>
        <w:trPr>
          <w:cantSplit w:val="0"/>
          <w:trHeight w:val="4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08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Fact-checker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08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08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Republican vs. Independent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8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-.086*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8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.043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8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[-.170, -.001]</w:t>
            </w:r>
          </w:p>
        </w:tc>
      </w:tr>
      <w:tr>
        <w:trPr>
          <w:cantSplit w:val="0"/>
          <w:trHeight w:val="4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08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Fact-checker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08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08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Republican vs. Democrat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8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-.057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8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.042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8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[-.139, .025]</w:t>
            </w:r>
          </w:p>
        </w:tc>
      </w:tr>
      <w:tr>
        <w:trPr>
          <w:cantSplit w:val="0"/>
          <w:trHeight w:val="655" w:hRule="atLeast"/>
          <w:tblHeader w:val="0"/>
        </w:trPr>
        <w:tc>
          <w:tcPr>
            <w:tcBorders>
              <w:top w:color="000000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090">
            <w:pPr>
              <w:widowControl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RQ1: AOT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09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09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09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09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09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09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User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09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09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Republican vs. Independent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9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9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.059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9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[-.097, .136]</w:t>
            </w:r>
          </w:p>
        </w:tc>
      </w:tr>
      <w:tr>
        <w:trPr>
          <w:cantSplit w:val="0"/>
          <w:trHeight w:val="4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09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User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09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09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Republican vs. Democrat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9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-.145**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A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.056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A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[-.254, -.035]</w:t>
            </w:r>
          </w:p>
        </w:tc>
      </w:tr>
      <w:tr>
        <w:trPr>
          <w:cantSplit w:val="0"/>
          <w:trHeight w:val="4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0A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User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0A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0A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Republican vs. Independent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A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-.029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A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.043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A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[-.113, .054]</w:t>
            </w:r>
          </w:p>
        </w:tc>
      </w:tr>
      <w:tr>
        <w:trPr>
          <w:cantSplit w:val="0"/>
          <w:trHeight w:val="4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0A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User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0A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0A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Republican vs. Democrat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A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-.179***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A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.041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A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[-.260, -.098]</w:t>
            </w:r>
          </w:p>
        </w:tc>
      </w:tr>
      <w:tr>
        <w:trPr>
          <w:cantSplit w:val="0"/>
          <w:trHeight w:val="4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0A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User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0A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0B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Republican vs. Independent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B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-.078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B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.063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B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[-.202, .046]</w:t>
            </w:r>
          </w:p>
        </w:tc>
      </w:tr>
      <w:tr>
        <w:trPr>
          <w:cantSplit w:val="0"/>
          <w:trHeight w:val="4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0B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User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0B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0B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Republican vs. Democrat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B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-.214***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B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.063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B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[-.337, -.091]</w:t>
            </w:r>
          </w:p>
        </w:tc>
      </w:tr>
      <w:tr>
        <w:trPr>
          <w:cantSplit w:val="0"/>
          <w:trHeight w:val="4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0B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Fact-checker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0B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0B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Republican vs. Independent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B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.075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B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.059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B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[-.042, .191]</w:t>
            </w:r>
          </w:p>
        </w:tc>
      </w:tr>
      <w:tr>
        <w:trPr>
          <w:cantSplit w:val="0"/>
          <w:trHeight w:val="4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0C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Fact-checker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0C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0C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Republican vs. Democrat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C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.182**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C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.056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C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[.072, .292]</w:t>
            </w:r>
          </w:p>
        </w:tc>
      </w:tr>
      <w:tr>
        <w:trPr>
          <w:cantSplit w:val="0"/>
          <w:trHeight w:val="4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0C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Fact-checker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0C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0C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Republican vs. Independent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C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-.022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C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.043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C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[-.106, .062]</w:t>
            </w:r>
          </w:p>
        </w:tc>
      </w:tr>
      <w:tr>
        <w:trPr>
          <w:cantSplit w:val="0"/>
          <w:trHeight w:val="4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0C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Fact-checker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0C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0C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Republican vs. Democrat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C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-.005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D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.041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D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[-.086, .076]</w:t>
            </w:r>
          </w:p>
        </w:tc>
      </w:tr>
      <w:tr>
        <w:trPr>
          <w:cantSplit w:val="0"/>
          <w:trHeight w:val="4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0D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Fact-checker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0D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0D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Republican vs. Independent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D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-.119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D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.063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D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[-.243, .005]</w:t>
            </w:r>
          </w:p>
        </w:tc>
      </w:tr>
      <w:tr>
        <w:trPr>
          <w:cantSplit w:val="0"/>
          <w:trHeight w:val="4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0D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Fact-checker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0D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0D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Republican vs. Democrat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D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-.191**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D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.063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D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[-.314, -.068]</w:t>
            </w:r>
          </w:p>
        </w:tc>
      </w:tr>
      <w:tr>
        <w:trPr>
          <w:cantSplit w:val="0"/>
          <w:trHeight w:val="655" w:hRule="atLeast"/>
          <w:tblHeader w:val="0"/>
        </w:trPr>
        <w:tc>
          <w:tcPr>
            <w:tcBorders>
              <w:top w:color="000000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0DE">
            <w:pPr>
              <w:widowControl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RQ2: ML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0D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0E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0E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0E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0E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0E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User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0E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0E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Republican vs. Independent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E7">
            <w:pPr>
              <w:spacing w:line="331.2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.042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E8">
            <w:pPr>
              <w:spacing w:line="331.2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.058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E9">
            <w:pPr>
              <w:spacing w:line="331.2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[-.071, .155]</w:t>
            </w:r>
          </w:p>
        </w:tc>
      </w:tr>
      <w:tr>
        <w:trPr>
          <w:cantSplit w:val="0"/>
          <w:trHeight w:val="4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0E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User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0E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0E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Republican vs. Democrat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ED">
            <w:pPr>
              <w:spacing w:line="331.2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-.071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EE">
            <w:pPr>
              <w:spacing w:line="331.2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.061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EF">
            <w:pPr>
              <w:spacing w:line="331.2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[-.190, .048]</w:t>
            </w:r>
          </w:p>
        </w:tc>
      </w:tr>
      <w:tr>
        <w:trPr>
          <w:cantSplit w:val="0"/>
          <w:trHeight w:val="4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0F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User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0F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0F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Republican vs. Independent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F3">
            <w:pPr>
              <w:spacing w:line="331.2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-.079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F4">
            <w:pPr>
              <w:spacing w:line="331.2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.043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F5">
            <w:pPr>
              <w:spacing w:line="331.2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[-.163, .006]</w:t>
            </w:r>
          </w:p>
        </w:tc>
      </w:tr>
      <w:tr>
        <w:trPr>
          <w:cantSplit w:val="0"/>
          <w:trHeight w:val="4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0F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User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0F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0F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Republican vs. Democrat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F9">
            <w:pPr>
              <w:spacing w:line="331.2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-.163***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FA">
            <w:pPr>
              <w:spacing w:line="331.2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.042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FB">
            <w:pPr>
              <w:spacing w:line="331.2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[-.245, -.081]</w:t>
            </w:r>
          </w:p>
        </w:tc>
      </w:tr>
      <w:tr>
        <w:trPr>
          <w:cantSplit w:val="0"/>
          <w:trHeight w:val="4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0F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User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0F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0F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Republican vs. Independent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FF">
            <w:pPr>
              <w:spacing w:line="331.2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-.199**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00">
            <w:pPr>
              <w:spacing w:line="331.2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.065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01">
            <w:pPr>
              <w:spacing w:line="331.2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[-.326, -.072]</w:t>
            </w:r>
          </w:p>
        </w:tc>
      </w:tr>
      <w:tr>
        <w:trPr>
          <w:cantSplit w:val="0"/>
          <w:trHeight w:val="4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10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User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10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10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Republican vs. Democrat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05">
            <w:pPr>
              <w:spacing w:line="331.2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-.255***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06">
            <w:pPr>
              <w:spacing w:line="331.2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.057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07">
            <w:pPr>
              <w:spacing w:line="331.2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[-.367, -.142]</w:t>
            </w:r>
          </w:p>
        </w:tc>
      </w:tr>
      <w:tr>
        <w:trPr>
          <w:cantSplit w:val="0"/>
          <w:trHeight w:val="4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10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Fact-checker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10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10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Republican vs. Independent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0B">
            <w:pPr>
              <w:spacing w:line="331.2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.069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0C">
            <w:pPr>
              <w:spacing w:line="331.2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.058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0D">
            <w:pPr>
              <w:spacing w:line="331.2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[-.044, .181]</w:t>
            </w:r>
          </w:p>
        </w:tc>
      </w:tr>
      <w:tr>
        <w:trPr>
          <w:cantSplit w:val="0"/>
          <w:trHeight w:val="4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10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Fact-checker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10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11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Republican vs. Democrat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11">
            <w:pPr>
              <w:spacing w:line="331.2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.043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12">
            <w:pPr>
              <w:spacing w:line="331.2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.061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13">
            <w:pPr>
              <w:spacing w:line="331.2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[-.076, .162]</w:t>
            </w:r>
          </w:p>
        </w:tc>
      </w:tr>
      <w:tr>
        <w:trPr>
          <w:cantSplit w:val="0"/>
          <w:trHeight w:val="4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11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Fact-checker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11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11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Republican vs. Independent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17">
            <w:pPr>
              <w:spacing w:line="331.2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-.109*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18">
            <w:pPr>
              <w:spacing w:line="331.2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.043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19">
            <w:pPr>
              <w:spacing w:line="331.2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[-.193, -.024]</w:t>
            </w:r>
          </w:p>
        </w:tc>
      </w:tr>
      <w:tr>
        <w:trPr>
          <w:cantSplit w:val="0"/>
          <w:trHeight w:val="4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11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Fact-checker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11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11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Republican vs. Democrat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1D">
            <w:pPr>
              <w:spacing w:line="331.2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-.054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1E">
            <w:pPr>
              <w:spacing w:line="331.2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.042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1F">
            <w:pPr>
              <w:spacing w:line="331.2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[-.136, .028]</w:t>
            </w:r>
          </w:p>
        </w:tc>
      </w:tr>
      <w:tr>
        <w:trPr>
          <w:cantSplit w:val="0"/>
          <w:trHeight w:val="4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12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Fact-checker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12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12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Republican vs. Independent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23">
            <w:pPr>
              <w:spacing w:line="331.2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-.286***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24">
            <w:pPr>
              <w:spacing w:line="331.2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.065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25">
            <w:pPr>
              <w:spacing w:line="331.2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[-.413, -.159]</w:t>
            </w:r>
          </w:p>
        </w:tc>
      </w:tr>
      <w:tr>
        <w:trPr>
          <w:cantSplit w:val="0"/>
          <w:trHeight w:val="4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12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Fact-checker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12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12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Republican vs. Democrat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29">
            <w:pPr>
              <w:spacing w:line="331.2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-.150**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2A">
            <w:pPr>
              <w:spacing w:line="331.2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.057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2B">
            <w:pPr>
              <w:spacing w:line="331.2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[-.262, -.038]</w:t>
            </w:r>
          </w:p>
        </w:tc>
      </w:tr>
      <w:tr>
        <w:trPr>
          <w:cantSplit w:val="0"/>
          <w:trHeight w:val="655" w:hRule="atLeast"/>
          <w:tblHeader w:val="0"/>
        </w:trPr>
        <w:tc>
          <w:tcPr>
            <w:tcBorders>
              <w:top w:color="000000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12C">
            <w:pPr>
              <w:widowControl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RQ3: Trust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12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12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12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1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13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13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User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13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13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Republican vs. Independent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3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-.080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3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.054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3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[-.186, .026]</w:t>
            </w:r>
          </w:p>
        </w:tc>
      </w:tr>
      <w:tr>
        <w:trPr>
          <w:cantSplit w:val="0"/>
          <w:trHeight w:val="4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13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User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13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13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Republican vs. Democrat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3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-.138*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3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.064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3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[-.263, -.013]</w:t>
            </w:r>
          </w:p>
        </w:tc>
      </w:tr>
      <w:tr>
        <w:trPr>
          <w:cantSplit w:val="0"/>
          <w:trHeight w:val="4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13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User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13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14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Republican vs. Independent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4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-.000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4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.043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4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[-.085, .084]</w:t>
            </w:r>
          </w:p>
        </w:tc>
      </w:tr>
      <w:tr>
        <w:trPr>
          <w:cantSplit w:val="0"/>
          <w:trHeight w:val="4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14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User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14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14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Republican vs. Democrat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4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-.048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4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.044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4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[-.133, .038]</w:t>
            </w:r>
          </w:p>
        </w:tc>
      </w:tr>
      <w:tr>
        <w:trPr>
          <w:cantSplit w:val="0"/>
          <w:trHeight w:val="4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14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User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14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14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Republican vs. Independent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4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.079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4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.067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4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[-.052, .210]</w:t>
            </w:r>
          </w:p>
        </w:tc>
      </w:tr>
      <w:tr>
        <w:trPr>
          <w:cantSplit w:val="0"/>
          <w:trHeight w:val="4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15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User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15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15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Republican vs. Democrat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5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.042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5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.058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5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[-.073, .157]</w:t>
            </w:r>
          </w:p>
        </w:tc>
      </w:tr>
      <w:tr>
        <w:trPr>
          <w:cantSplit w:val="0"/>
          <w:trHeight w:val="4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15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Fact-checker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15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15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Republican vs. Independent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5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-.089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5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.054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5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[-.195, .017]</w:t>
            </w:r>
          </w:p>
        </w:tc>
      </w:tr>
      <w:tr>
        <w:trPr>
          <w:cantSplit w:val="0"/>
          <w:trHeight w:val="4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15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Fact-checker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15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15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Republican vs. Democrat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5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.129*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6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.064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6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[.004, .254]</w:t>
            </w:r>
          </w:p>
        </w:tc>
      </w:tr>
      <w:tr>
        <w:trPr>
          <w:cantSplit w:val="0"/>
          <w:trHeight w:val="4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16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Fact-checker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16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16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Republican vs. Independent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6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-.082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6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.043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6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[-.167, .002]</w:t>
            </w:r>
          </w:p>
        </w:tc>
      </w:tr>
      <w:tr>
        <w:trPr>
          <w:cantSplit w:val="0"/>
          <w:trHeight w:val="4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16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Fact-checker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16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16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Republican vs. Democrat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6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6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.044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6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[-.083, .088]</w:t>
            </w:r>
          </w:p>
        </w:tc>
      </w:tr>
      <w:tr>
        <w:trPr>
          <w:cantSplit w:val="0"/>
          <w:trHeight w:val="4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16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Fact-checker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16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17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Republican vs. Independent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7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-.076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7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.067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7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[-.206, .055]</w:t>
            </w:r>
          </w:p>
        </w:tc>
      </w:tr>
      <w:tr>
        <w:trPr>
          <w:cantSplit w:val="0"/>
          <w:trHeight w:val="4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17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Fact-checker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17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0" w:val="nil"/>
            </w:tcBorders>
            <w:shd w:fill="auto" w:val="clear"/>
            <w:tcMar>
              <w:top w:w="20.16" w:type="dxa"/>
              <w:left w:w="20.16" w:type="dxa"/>
              <w:bottom w:w="20.16" w:type="dxa"/>
              <w:right w:w="20.16" w:type="dxa"/>
            </w:tcMar>
            <w:vAlign w:val="center"/>
          </w:tcPr>
          <w:p w:rsidR="00000000" w:rsidDel="00000000" w:rsidP="00000000" w:rsidRDefault="00000000" w:rsidRPr="00000000" w14:paraId="0000017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Republican vs. Democrat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7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-.123*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7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.058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7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[-.238, -.009]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6"/>
            <w:tcBorders>
              <w:top w:color="000000" w:space="0" w:sz="12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17A">
            <w:pPr>
              <w:widowControl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Note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* p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 &lt; .05; **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p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 &lt; .01; ***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p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 &lt; .001</w:t>
            </w:r>
          </w:p>
        </w:tc>
      </w:tr>
    </w:tbl>
    <w:p w:rsidR="00000000" w:rsidDel="00000000" w:rsidP="00000000" w:rsidRDefault="00000000" w:rsidRPr="00000000" w14:paraId="00000180">
      <w:pPr>
        <w:spacing w:line="479.99945454545457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1">
      <w:pPr>
        <w:shd w:fill="ffffff" w:val="clear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2">
      <w:pPr>
        <w:shd w:fill="ffffff" w:val="clear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Section 4: Additional analyses including covariates</w:t>
      </w:r>
    </w:p>
    <w:p w:rsidR="00000000" w:rsidDel="00000000" w:rsidP="00000000" w:rsidRDefault="00000000" w:rsidRPr="00000000" w14:paraId="00000183">
      <w:pPr>
        <w:shd w:fill="ffffff" w:val="clear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4">
      <w:pPr>
        <w:shd w:fill="ffffff" w:val="clear"/>
        <w:spacing w:line="240" w:lineRule="auto"/>
        <w:rPr>
          <w:rFonts w:ascii="Times New Roman" w:cs="Times New Roman" w:eastAsia="Times New Roman" w:hAnsi="Times New Roman"/>
          <w:i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ovariate measures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u w:val="single"/>
          <w:rtl w:val="0"/>
        </w:rPr>
        <w:t xml:space="preserve">.</w:t>
      </w:r>
    </w:p>
    <w:p w:rsidR="00000000" w:rsidDel="00000000" w:rsidP="00000000" w:rsidRDefault="00000000" w:rsidRPr="00000000" w14:paraId="00000185">
      <w:pPr>
        <w:shd w:fill="ffffff" w:val="clear"/>
        <w:spacing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6">
      <w:pPr>
        <w:widowControl w:val="0"/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Vaccine Hesitancy.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Vaccine attitudes were assessed using a 7-item scale adapted from Hrin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et al.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(2022). Items were rated on a 5-point Likert scale from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Strongly Disagree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to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Strongly Agree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M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= 18.37,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SD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= 5.80, Cronbach’s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α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= 0.84.</w:t>
      </w:r>
    </w:p>
    <w:p w:rsidR="00000000" w:rsidDel="00000000" w:rsidP="00000000" w:rsidRDefault="00000000" w:rsidRPr="00000000" w14:paraId="00000187">
      <w:pPr>
        <w:widowControl w:val="0"/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Knowledge.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Ten multiple-choice questions assessed factual knowledge about the COVID-19 pandemic and vaccines (e.g., transmission routes, efficacy). Each correct response was coded as 1 (incorrect = 0) and summed to yield a total score,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M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= 6.06,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SD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= 2.25.</w:t>
      </w:r>
    </w:p>
    <w:p w:rsidR="00000000" w:rsidDel="00000000" w:rsidP="00000000" w:rsidRDefault="00000000" w:rsidRPr="00000000" w14:paraId="00000188">
      <w:pPr>
        <w:widowControl w:val="0"/>
        <w:spacing w:line="36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Vaccination Status.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Participants indicated their own vaccination status on a single item on a four-point scale (1 = Not vaccinated, 4 = Fully vaccinated with boosters),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M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= 2.60,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SD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= 1.27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9">
      <w:pPr>
        <w:widowControl w:val="0"/>
        <w:spacing w:line="360" w:lineRule="auto"/>
        <w:rPr/>
        <w:sectPr>
          <w:type w:val="continuous"/>
          <w:pgSz w:h="15840" w:w="12240" w:orient="portrait"/>
          <w:pgMar w:bottom="1440" w:top="1440" w:left="1440" w:right="1440" w:header="72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A">
      <w:pPr>
        <w:widowControl w:val="0"/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Table S5.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Additional analyses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predicting truth resistance,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with covariates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included.</w:t>
      </w:r>
    </w:p>
    <w:tbl>
      <w:tblPr>
        <w:tblStyle w:val="Table4"/>
        <w:tblW w:w="1269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785"/>
        <w:gridCol w:w="900"/>
        <w:gridCol w:w="900"/>
        <w:gridCol w:w="1155"/>
        <w:gridCol w:w="720"/>
        <w:gridCol w:w="825"/>
        <w:gridCol w:w="1080"/>
        <w:gridCol w:w="795"/>
        <w:gridCol w:w="825"/>
        <w:gridCol w:w="1155"/>
        <w:gridCol w:w="765"/>
        <w:gridCol w:w="720"/>
        <w:gridCol w:w="1065"/>
        <w:tblGridChange w:id="0">
          <w:tblGrid>
            <w:gridCol w:w="1785"/>
            <w:gridCol w:w="900"/>
            <w:gridCol w:w="900"/>
            <w:gridCol w:w="1155"/>
            <w:gridCol w:w="720"/>
            <w:gridCol w:w="825"/>
            <w:gridCol w:w="1080"/>
            <w:gridCol w:w="795"/>
            <w:gridCol w:w="825"/>
            <w:gridCol w:w="1155"/>
            <w:gridCol w:w="765"/>
            <w:gridCol w:w="720"/>
            <w:gridCol w:w="1065"/>
          </w:tblGrid>
        </w:tblGridChange>
      </w:tblGrid>
      <w:tr>
        <w:trPr>
          <w:cantSplit w:val="0"/>
          <w:trHeight w:val="415" w:hRule="atLeast"/>
          <w:tblHeader w:val="0"/>
        </w:trPr>
        <w:tc>
          <w:tcPr>
            <w:tcBorders>
              <w:top w:color="000000" w:space="0" w:sz="12" w:val="single"/>
              <w:left w:color="000000" w:space="0" w:sz="0" w:val="nil"/>
              <w:bottom w:color="000000" w:space="0" w:sz="12" w:val="single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18B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Model</w:t>
            </w:r>
          </w:p>
        </w:tc>
        <w:tc>
          <w:tcPr>
            <w:gridSpan w:val="3"/>
            <w:tcBorders>
              <w:top w:color="000000" w:space="0" w:sz="12" w:val="single"/>
              <w:left w:color="000000" w:space="0" w:sz="0" w:val="nil"/>
              <w:bottom w:color="000000" w:space="0" w:sz="12" w:val="single"/>
              <w:right w:color="000000" w:space="0" w:sz="0" w:val="nil"/>
            </w:tcBorders>
            <w:tcMar>
              <w:top w:w="-123.83999999999999" w:type="dxa"/>
              <w:left w:w="-123.83999999999999" w:type="dxa"/>
              <w:bottom w:w="-123.83999999999999" w:type="dxa"/>
              <w:right w:w="-123.83999999999999" w:type="dxa"/>
            </w:tcMar>
            <w:vAlign w:val="center"/>
          </w:tcPr>
          <w:p w:rsidR="00000000" w:rsidDel="00000000" w:rsidP="00000000" w:rsidRDefault="00000000" w:rsidRPr="00000000" w14:paraId="0000018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Partisanship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202122"/>
                <w:sz w:val="18"/>
                <w:szCs w:val="18"/>
                <w:highlight w:val="white"/>
                <w:rtl w:val="0"/>
              </w:rPr>
              <w:t xml:space="preserve">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 Debunking Source</w:t>
            </w:r>
          </w:p>
        </w:tc>
        <w:tc>
          <w:tcPr>
            <w:gridSpan w:val="3"/>
            <w:tcBorders>
              <w:top w:color="000000" w:space="0" w:sz="12" w:val="single"/>
              <w:left w:color="000000" w:space="0" w:sz="0" w:val="nil"/>
              <w:bottom w:color="000000" w:space="0" w:sz="12" w:val="single"/>
              <w:right w:color="000000" w:space="0" w:sz="0" w:val="nil"/>
            </w:tcBorders>
            <w:shd w:fill="auto" w:val="clear"/>
            <w:tcMar>
              <w:top w:w="-123.83999999999999" w:type="dxa"/>
              <w:left w:w="-123.83999999999999" w:type="dxa"/>
              <w:bottom w:w="-123.83999999999999" w:type="dxa"/>
              <w:right w:w="-123.83999999999999" w:type="dxa"/>
            </w:tcMar>
            <w:vAlign w:val="center"/>
          </w:tcPr>
          <w:p w:rsidR="00000000" w:rsidDel="00000000" w:rsidP="00000000" w:rsidRDefault="00000000" w:rsidRPr="00000000" w14:paraId="0000018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AOT-E</w:t>
            </w:r>
          </w:p>
        </w:tc>
        <w:tc>
          <w:tcPr>
            <w:gridSpan w:val="3"/>
            <w:tcBorders>
              <w:top w:color="000000" w:space="0" w:sz="12" w:val="single"/>
              <w:left w:color="000000" w:space="0" w:sz="0" w:val="nil"/>
              <w:bottom w:color="000000" w:space="0" w:sz="12" w:val="single"/>
              <w:right w:color="000000" w:space="0" w:sz="0" w:val="nil"/>
            </w:tcBorders>
            <w:shd w:fill="auto" w:val="clear"/>
            <w:tcMar>
              <w:top w:w="-123.83999999999999" w:type="dxa"/>
              <w:left w:w="-123.83999999999999" w:type="dxa"/>
              <w:bottom w:w="-123.83999999999999" w:type="dxa"/>
              <w:right w:w="-123.83999999999999" w:type="dxa"/>
            </w:tcMar>
            <w:vAlign w:val="center"/>
          </w:tcPr>
          <w:p w:rsidR="00000000" w:rsidDel="00000000" w:rsidP="00000000" w:rsidRDefault="00000000" w:rsidRPr="00000000" w14:paraId="0000019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ML</w:t>
            </w:r>
          </w:p>
        </w:tc>
        <w:tc>
          <w:tcPr>
            <w:gridSpan w:val="3"/>
            <w:tcBorders>
              <w:top w:color="000000" w:space="0" w:sz="12" w:val="single"/>
              <w:left w:color="000000" w:space="0" w:sz="0" w:val="nil"/>
              <w:bottom w:color="000000" w:space="0" w:sz="12" w:val="single"/>
              <w:right w:color="000000" w:space="0" w:sz="0" w:val="nil"/>
            </w:tcBorders>
            <w:shd w:fill="auto" w:val="clear"/>
            <w:tcMar>
              <w:top w:w="-123.83999999999999" w:type="dxa"/>
              <w:left w:w="-123.83999999999999" w:type="dxa"/>
              <w:bottom w:w="-123.83999999999999" w:type="dxa"/>
              <w:right w:w="-123.83999999999999" w:type="dxa"/>
            </w:tcMar>
            <w:vAlign w:val="center"/>
          </w:tcPr>
          <w:p w:rsidR="00000000" w:rsidDel="00000000" w:rsidP="00000000" w:rsidRDefault="00000000" w:rsidRPr="00000000" w14:paraId="0000019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Trust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12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-411.84" w:type="dxa"/>
              <w:left w:w="-411.84" w:type="dxa"/>
              <w:bottom w:w="-411.84" w:type="dxa"/>
              <w:right w:w="-411.84" w:type="dxa"/>
            </w:tcMar>
            <w:vAlign w:val="center"/>
          </w:tcPr>
          <w:p w:rsidR="00000000" w:rsidDel="00000000" w:rsidP="00000000" w:rsidRDefault="00000000" w:rsidRPr="00000000" w14:paraId="00000198">
            <w:pPr>
              <w:spacing w:after="0"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Predictors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-411.84" w:type="dxa"/>
              <w:left w:w="-411.84" w:type="dxa"/>
              <w:bottom w:w="-411.84" w:type="dxa"/>
              <w:right w:w="-411.84" w:type="dxa"/>
            </w:tcMar>
            <w:vAlign w:val="center"/>
          </w:tcPr>
          <w:p w:rsidR="00000000" w:rsidDel="00000000" w:rsidP="00000000" w:rsidRDefault="00000000" w:rsidRPr="00000000" w14:paraId="0000019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b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-411.84" w:type="dxa"/>
              <w:left w:w="-411.84" w:type="dxa"/>
              <w:bottom w:w="-411.84" w:type="dxa"/>
              <w:right w:w="-411.84" w:type="dxa"/>
            </w:tcMar>
            <w:vAlign w:val="center"/>
          </w:tcPr>
          <w:p w:rsidR="00000000" w:rsidDel="00000000" w:rsidP="00000000" w:rsidRDefault="00000000" w:rsidRPr="00000000" w14:paraId="0000019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SE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-411.84" w:type="dxa"/>
              <w:left w:w="-411.84" w:type="dxa"/>
              <w:bottom w:w="-411.84" w:type="dxa"/>
              <w:right w:w="-411.84" w:type="dxa"/>
            </w:tcMar>
            <w:vAlign w:val="center"/>
          </w:tcPr>
          <w:p w:rsidR="00000000" w:rsidDel="00000000" w:rsidP="00000000" w:rsidRDefault="00000000" w:rsidRPr="00000000" w14:paraId="0000019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Boostrapped 95%CI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c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-411.84" w:type="dxa"/>
              <w:left w:w="-411.84" w:type="dxa"/>
              <w:bottom w:w="-411.84" w:type="dxa"/>
              <w:right w:w="-411.84" w:type="dxa"/>
            </w:tcMar>
            <w:vAlign w:val="center"/>
          </w:tcPr>
          <w:p w:rsidR="00000000" w:rsidDel="00000000" w:rsidP="00000000" w:rsidRDefault="00000000" w:rsidRPr="00000000" w14:paraId="0000019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b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-411.84" w:type="dxa"/>
              <w:left w:w="-411.84" w:type="dxa"/>
              <w:bottom w:w="-411.84" w:type="dxa"/>
              <w:right w:w="-411.84" w:type="dxa"/>
            </w:tcMar>
            <w:vAlign w:val="center"/>
          </w:tcPr>
          <w:p w:rsidR="00000000" w:rsidDel="00000000" w:rsidP="00000000" w:rsidRDefault="00000000" w:rsidRPr="00000000" w14:paraId="0000019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SE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-411.84" w:type="dxa"/>
              <w:left w:w="-411.84" w:type="dxa"/>
              <w:bottom w:w="-411.84" w:type="dxa"/>
              <w:right w:w="-411.84" w:type="dxa"/>
            </w:tcMar>
            <w:vAlign w:val="center"/>
          </w:tcPr>
          <w:p w:rsidR="00000000" w:rsidDel="00000000" w:rsidP="00000000" w:rsidRDefault="00000000" w:rsidRPr="00000000" w14:paraId="0000019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Boostrapped 95%CI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-411.84" w:type="dxa"/>
              <w:left w:w="-411.84" w:type="dxa"/>
              <w:bottom w:w="-411.84" w:type="dxa"/>
              <w:right w:w="-411.84" w:type="dxa"/>
            </w:tcMar>
            <w:vAlign w:val="center"/>
          </w:tcPr>
          <w:p w:rsidR="00000000" w:rsidDel="00000000" w:rsidP="00000000" w:rsidRDefault="00000000" w:rsidRPr="00000000" w14:paraId="0000019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b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-411.84" w:type="dxa"/>
              <w:left w:w="-411.84" w:type="dxa"/>
              <w:bottom w:w="-411.84" w:type="dxa"/>
              <w:right w:w="-411.84" w:type="dxa"/>
            </w:tcMar>
            <w:vAlign w:val="center"/>
          </w:tcPr>
          <w:p w:rsidR="00000000" w:rsidDel="00000000" w:rsidP="00000000" w:rsidRDefault="00000000" w:rsidRPr="00000000" w14:paraId="000001A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SE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-411.84" w:type="dxa"/>
              <w:left w:w="-411.84" w:type="dxa"/>
              <w:bottom w:w="-411.84" w:type="dxa"/>
              <w:right w:w="-411.84" w:type="dxa"/>
            </w:tcMar>
            <w:vAlign w:val="center"/>
          </w:tcPr>
          <w:p w:rsidR="00000000" w:rsidDel="00000000" w:rsidP="00000000" w:rsidRDefault="00000000" w:rsidRPr="00000000" w14:paraId="000001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Boostrapped 95%CI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-411.84" w:type="dxa"/>
              <w:left w:w="-411.84" w:type="dxa"/>
              <w:bottom w:w="-411.84" w:type="dxa"/>
              <w:right w:w="-411.84" w:type="dxa"/>
            </w:tcMar>
            <w:vAlign w:val="center"/>
          </w:tcPr>
          <w:p w:rsidR="00000000" w:rsidDel="00000000" w:rsidP="00000000" w:rsidRDefault="00000000" w:rsidRPr="00000000" w14:paraId="000001A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b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-411.84" w:type="dxa"/>
              <w:left w:w="-411.84" w:type="dxa"/>
              <w:bottom w:w="-411.84" w:type="dxa"/>
              <w:right w:w="-411.84" w:type="dxa"/>
            </w:tcMar>
            <w:vAlign w:val="center"/>
          </w:tcPr>
          <w:p w:rsidR="00000000" w:rsidDel="00000000" w:rsidP="00000000" w:rsidRDefault="00000000" w:rsidRPr="00000000" w14:paraId="000001A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SE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-411.84" w:type="dxa"/>
              <w:left w:w="-411.84" w:type="dxa"/>
              <w:bottom w:w="-411.84" w:type="dxa"/>
              <w:right w:w="-411.84" w:type="dxa"/>
            </w:tcMar>
            <w:vAlign w:val="center"/>
          </w:tcPr>
          <w:p w:rsidR="00000000" w:rsidDel="00000000" w:rsidP="00000000" w:rsidRDefault="00000000" w:rsidRPr="00000000" w14:paraId="000001A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Boostrapped 95%CI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6.48" w:hRule="atLeast"/>
          <w:tblHeader w:val="0"/>
        </w:trPr>
        <w:tc>
          <w:tcPr>
            <w:tcBorders>
              <w:top w:color="000000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1A5">
            <w:pPr>
              <w:spacing w:after="0"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(Intercept)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1A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.861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***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1A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.093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1A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.663 – 1.048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1A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.877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***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1A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.170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1A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.515 – 1.243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1A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.907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***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1A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.179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1A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.536 – 1.280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1A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1.217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***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1B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.108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1B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.993 – 1.429</w:t>
            </w:r>
          </w:p>
        </w:tc>
      </w:tr>
      <w:tr>
        <w:trPr>
          <w:cantSplit w:val="0"/>
          <w:trHeight w:val="276.48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1B2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Vaccine Hesitancy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1B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.024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vertAlign w:val="superscript"/>
                <w:rtl w:val="0"/>
              </w:rPr>
              <w:t xml:space="preserve">***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1B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.003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1B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.019 – .030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1B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.021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vertAlign w:val="superscript"/>
                <w:rtl w:val="0"/>
              </w:rPr>
              <w:t xml:space="preserve">***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1B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.003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1B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.015 – .027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1B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.024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vertAlign w:val="superscript"/>
                <w:rtl w:val="0"/>
              </w:rPr>
              <w:t xml:space="preserve">***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1B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.003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1B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.018 – .030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1B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.020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vertAlign w:val="superscript"/>
                <w:rtl w:val="0"/>
              </w:rPr>
              <w:t xml:space="preserve">***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1B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.003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1B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.014 – .026</w:t>
            </w:r>
          </w:p>
        </w:tc>
      </w:tr>
      <w:tr>
        <w:trPr>
          <w:cantSplit w:val="0"/>
          <w:trHeight w:val="276.48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1BF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Vaccination Status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1C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-.004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1C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.011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1C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-.026 – .019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1C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-.013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1C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.011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1C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-.035 – .009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1C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-.002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1C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.011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1C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-.025 – .021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1C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.000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1C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.011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1C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-.023 – .023</w:t>
            </w:r>
          </w:p>
        </w:tc>
      </w:tr>
      <w:tr>
        <w:trPr>
          <w:cantSplit w:val="0"/>
          <w:trHeight w:val="276.48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1CC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Vaccine-Related Knowledge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1C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-.049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vertAlign w:val="superscript"/>
                <w:rtl w:val="0"/>
              </w:rPr>
              <w:t xml:space="preserve">***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1C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.006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1C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-.061 – -.037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1D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-.035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vertAlign w:val="superscript"/>
                <w:rtl w:val="0"/>
              </w:rPr>
              <w:t xml:space="preserve">***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1D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.006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1D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-.048 – -.024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1D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-.047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vertAlign w:val="superscript"/>
                <w:rtl w:val="0"/>
              </w:rPr>
              <w:t xml:space="preserve">***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1D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.006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1D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-.059 – -.035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1D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-.050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vertAlign w:val="superscript"/>
                <w:rtl w:val="0"/>
              </w:rPr>
              <w:t xml:space="preserve">***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1D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.006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1D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-.062 – -.038</w:t>
            </w:r>
          </w:p>
        </w:tc>
      </w:tr>
      <w:tr>
        <w:trPr>
          <w:cantSplit w:val="0"/>
          <w:trHeight w:val="276.48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-123.83999999999999" w:type="dxa"/>
              <w:left w:w="-123.83999999999999" w:type="dxa"/>
              <w:bottom w:w="-123.83999999999999" w:type="dxa"/>
              <w:right w:w="-123.83999999999999" w:type="dxa"/>
            </w:tcMar>
            <w:vAlign w:val="center"/>
          </w:tcPr>
          <w:p w:rsidR="00000000" w:rsidDel="00000000" w:rsidP="00000000" w:rsidRDefault="00000000" w:rsidRPr="00000000" w14:paraId="000001D9">
            <w:pPr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Partisanship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1D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.009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1D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.042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1D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-.073 – .090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1D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.037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1D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.205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1D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-.386 – .463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1E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.342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1E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.214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1E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-.071 – .766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1E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-.088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1E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.073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1E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-.223 – .049</w:t>
            </w:r>
          </w:p>
        </w:tc>
      </w:tr>
      <w:tr>
        <w:trPr>
          <w:cantSplit w:val="0"/>
          <w:trHeight w:val="276.48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-123.83999999999999" w:type="dxa"/>
              <w:left w:w="-123.83999999999999" w:type="dxa"/>
              <w:bottom w:w="-123.83999999999999" w:type="dxa"/>
              <w:right w:w="-123.83999999999999" w:type="dxa"/>
            </w:tcMar>
            <w:vAlign w:val="center"/>
          </w:tcPr>
          <w:p w:rsidR="00000000" w:rsidDel="00000000" w:rsidP="00000000" w:rsidRDefault="00000000" w:rsidRPr="00000000" w14:paraId="000001E6">
            <w:pPr>
              <w:ind w:left="86.4"/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Partisanship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b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1E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-.050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1E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.041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1E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-.133 – .035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1E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-.002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1E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.198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1E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-.427 – .437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1E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.226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1E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.211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1E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-.201 – .656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1F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-.171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1F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.086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1F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-.347 – .003</w:t>
            </w:r>
          </w:p>
        </w:tc>
      </w:tr>
      <w:tr>
        <w:trPr>
          <w:cantSplit w:val="0"/>
          <w:trHeight w:val="276.48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-123.83999999999999" w:type="dxa"/>
              <w:left w:w="-123.83999999999999" w:type="dxa"/>
              <w:bottom w:w="-123.83999999999999" w:type="dxa"/>
              <w:right w:w="-123.83999999999999" w:type="dxa"/>
            </w:tcMar>
            <w:vAlign w:val="center"/>
          </w:tcPr>
          <w:p w:rsidR="00000000" w:rsidDel="00000000" w:rsidP="00000000" w:rsidRDefault="00000000" w:rsidRPr="00000000" w14:paraId="000001F3">
            <w:pPr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Debunk Source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1F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-.364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***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1F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.041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1F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-.445 – -.283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1F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-.017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1F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.208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1F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-.465 – .436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1F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-.921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***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1F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.214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1F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-1.359 – -.482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1F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-.699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***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1F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.067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1F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-.833 – -.566</w:t>
            </w:r>
          </w:p>
        </w:tc>
      </w:tr>
      <w:tr>
        <w:trPr>
          <w:cantSplit w:val="0"/>
          <w:trHeight w:val="276.48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-123.83999999999999" w:type="dxa"/>
              <w:left w:w="-123.83999999999999" w:type="dxa"/>
              <w:bottom w:w="-123.83999999999999" w:type="dxa"/>
              <w:right w:w="-123.83999999999999" w:type="dxa"/>
            </w:tcMar>
            <w:vAlign w:val="center"/>
          </w:tcPr>
          <w:p w:rsidR="00000000" w:rsidDel="00000000" w:rsidP="00000000" w:rsidRDefault="00000000" w:rsidRPr="00000000" w14:paraId="00000200">
            <w:pPr>
              <w:ind w:left="86.4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Partisanship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× Debunk Source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20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-.031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20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.058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20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-.145 – .084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20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.235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20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.289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20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-.364 – .835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20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.259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20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.303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20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-.336 – .851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20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.037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20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.102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20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-.158 – .232</w:t>
            </w:r>
          </w:p>
        </w:tc>
      </w:tr>
      <w:tr>
        <w:trPr>
          <w:cantSplit w:val="0"/>
          <w:trHeight w:val="276.48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-123.83999999999999" w:type="dxa"/>
              <w:left w:w="-123.83999999999999" w:type="dxa"/>
              <w:bottom w:w="-123.83999999999999" w:type="dxa"/>
              <w:right w:w="-123.83999999999999" w:type="dxa"/>
            </w:tcMar>
            <w:vAlign w:val="center"/>
          </w:tcPr>
          <w:p w:rsidR="00000000" w:rsidDel="00000000" w:rsidP="00000000" w:rsidRDefault="00000000" w:rsidRPr="00000000" w14:paraId="0000020D">
            <w:pPr>
              <w:ind w:left="86.4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Partisanship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b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× Debunk Source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20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.139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20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.057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21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.027 – .251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21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.893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**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21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.278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21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.305 – 1.483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21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.132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21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.298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21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-.476 – .737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21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.406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***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21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.119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21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.163 – .651</w:t>
            </w:r>
          </w:p>
        </w:tc>
      </w:tr>
      <w:tr>
        <w:trPr>
          <w:cantSplit w:val="0"/>
          <w:trHeight w:val="276.48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-123.83999999999999" w:type="dxa"/>
              <w:left w:w="-123.83999999999999" w:type="dxa"/>
              <w:bottom w:w="-123.83999999999999" w:type="dxa"/>
              <w:right w:w="-123.83999999999999" w:type="dxa"/>
            </w:tcMar>
            <w:vAlign w:val="center"/>
          </w:tcPr>
          <w:p w:rsidR="00000000" w:rsidDel="00000000" w:rsidP="00000000" w:rsidRDefault="00000000" w:rsidRPr="00000000" w14:paraId="0000021A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AOT-E/ML/Trust score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21B">
            <w:pPr>
              <w:spacing w:after="0"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21C">
            <w:pPr>
              <w:spacing w:after="0"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21D">
            <w:pPr>
              <w:spacing w:after="0"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21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.000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21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.005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22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-.011 – .011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22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-.003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22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.008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22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-.019 – .014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22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-.031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***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22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.005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22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-.040 – -.022</w:t>
            </w:r>
          </w:p>
        </w:tc>
      </w:tr>
      <w:tr>
        <w:trPr>
          <w:cantSplit w:val="0"/>
          <w:trHeight w:val="276.48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-123.83999999999999" w:type="dxa"/>
              <w:left w:w="-123.83999999999999" w:type="dxa"/>
              <w:bottom w:w="-123.83999999999999" w:type="dxa"/>
              <w:right w:w="-123.83999999999999" w:type="dxa"/>
            </w:tcMar>
            <w:vAlign w:val="center"/>
          </w:tcPr>
          <w:p w:rsidR="00000000" w:rsidDel="00000000" w:rsidP="00000000" w:rsidRDefault="00000000" w:rsidRPr="00000000" w14:paraId="00000227">
            <w:pPr>
              <w:ind w:left="9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Partisanship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× AOT-E/ML/Trust Score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-123.83999999999999" w:type="dxa"/>
              <w:left w:w="-123.83999999999999" w:type="dxa"/>
              <w:bottom w:w="-123.83999999999999" w:type="dxa"/>
              <w:right w:w="-123.83999999999999" w:type="dxa"/>
            </w:tcMar>
            <w:vAlign w:val="center"/>
          </w:tcPr>
          <w:p w:rsidR="00000000" w:rsidDel="00000000" w:rsidP="00000000" w:rsidRDefault="00000000" w:rsidRPr="00000000" w14:paraId="00000229">
            <w:pPr>
              <w:ind w:left="9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22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-.001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22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.007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22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-.015 – .013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22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-.018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22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.011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23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-.041 – .004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23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.013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23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.007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23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-.000 – .025</w:t>
            </w:r>
          </w:p>
        </w:tc>
      </w:tr>
      <w:tr>
        <w:trPr>
          <w:cantSplit w:val="0"/>
          <w:trHeight w:val="276.48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-123.83999999999999" w:type="dxa"/>
              <w:left w:w="-123.83999999999999" w:type="dxa"/>
              <w:bottom w:w="-123.83999999999999" w:type="dxa"/>
              <w:right w:w="-123.83999999999999" w:type="dxa"/>
            </w:tcMar>
            <w:vAlign w:val="center"/>
          </w:tcPr>
          <w:p w:rsidR="00000000" w:rsidDel="00000000" w:rsidP="00000000" w:rsidRDefault="00000000" w:rsidRPr="00000000" w14:paraId="00000234">
            <w:pPr>
              <w:ind w:left="86.4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Partisanship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b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× AOT-E/ML/Trust Score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-123.83999999999999" w:type="dxa"/>
              <w:left w:w="-123.83999999999999" w:type="dxa"/>
              <w:bottom w:w="-123.83999999999999" w:type="dxa"/>
              <w:right w:w="-123.83999999999999" w:type="dxa"/>
            </w:tcMar>
            <w:vAlign w:val="center"/>
          </w:tcPr>
          <w:p w:rsidR="00000000" w:rsidDel="00000000" w:rsidP="00000000" w:rsidRDefault="00000000" w:rsidRPr="00000000" w14:paraId="00000236">
            <w:pPr>
              <w:ind w:left="86.4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23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-.002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23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.007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23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-.016 – .012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23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-.014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23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.011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23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-.036 – .008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23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.018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**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23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.007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24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.005 – .032</w:t>
            </w:r>
          </w:p>
        </w:tc>
      </w:tr>
      <w:tr>
        <w:trPr>
          <w:cantSplit w:val="0"/>
          <w:trHeight w:val="276.48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-123.83999999999999" w:type="dxa"/>
              <w:left w:w="-123.83999999999999" w:type="dxa"/>
              <w:bottom w:w="-123.83999999999999" w:type="dxa"/>
              <w:right w:w="-123.83999999999999" w:type="dxa"/>
            </w:tcMar>
            <w:vAlign w:val="center"/>
          </w:tcPr>
          <w:p w:rsidR="00000000" w:rsidDel="00000000" w:rsidP="00000000" w:rsidRDefault="00000000" w:rsidRPr="00000000" w14:paraId="00000241">
            <w:pPr>
              <w:ind w:left="86.4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Debunk Source × AOT-E/ML/Trust Score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-123.83999999999999" w:type="dxa"/>
              <w:left w:w="-123.83999999999999" w:type="dxa"/>
              <w:bottom w:w="-123.83999999999999" w:type="dxa"/>
              <w:right w:w="-123.83999999999999" w:type="dxa"/>
            </w:tcMar>
            <w:vAlign w:val="center"/>
          </w:tcPr>
          <w:p w:rsidR="00000000" w:rsidDel="00000000" w:rsidP="00000000" w:rsidRDefault="00000000" w:rsidRPr="00000000" w14:paraId="00000243">
            <w:pPr>
              <w:ind w:left="9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24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-.012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24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.007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24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-.028 – .003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24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.029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**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24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.011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24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.006 – .053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24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.039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***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24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.006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24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.027 – .052</w:t>
            </w:r>
          </w:p>
        </w:tc>
      </w:tr>
      <w:tr>
        <w:trPr>
          <w:cantSplit w:val="0"/>
          <w:trHeight w:val="276.48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-123.83999999999999" w:type="dxa"/>
              <w:left w:w="-123.83999999999999" w:type="dxa"/>
              <w:bottom w:w="-123.83999999999999" w:type="dxa"/>
              <w:right w:w="-123.83999999999999" w:type="dxa"/>
            </w:tcMar>
            <w:vAlign w:val="center"/>
          </w:tcPr>
          <w:p w:rsidR="00000000" w:rsidDel="00000000" w:rsidP="00000000" w:rsidRDefault="00000000" w:rsidRPr="00000000" w14:paraId="0000024E">
            <w:pPr>
              <w:ind w:left="86.4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Partisanship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× Debunk Source × </w:t>
            </w:r>
          </w:p>
          <w:p w:rsidR="00000000" w:rsidDel="00000000" w:rsidP="00000000" w:rsidRDefault="00000000" w:rsidRPr="00000000" w14:paraId="0000024F">
            <w:pPr>
              <w:ind w:left="86.4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 AOT-E/ML/Trust Score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-123.83999999999999" w:type="dxa"/>
              <w:left w:w="-123.83999999999999" w:type="dxa"/>
              <w:bottom w:w="-123.83999999999999" w:type="dxa"/>
              <w:right w:w="-123.83999999999999" w:type="dxa"/>
            </w:tcMar>
            <w:vAlign w:val="center"/>
          </w:tcPr>
          <w:p w:rsidR="00000000" w:rsidDel="00000000" w:rsidP="00000000" w:rsidRDefault="00000000" w:rsidRPr="00000000" w14:paraId="00000251">
            <w:pPr>
              <w:ind w:left="86.4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25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-.008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25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.010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25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-.027 – .012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25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-.015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25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.016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25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-.047 – .017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25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-.011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25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.009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25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-.030 – .007</w:t>
            </w:r>
          </w:p>
        </w:tc>
      </w:tr>
      <w:tr>
        <w:trPr>
          <w:cantSplit w:val="0"/>
          <w:trHeight w:val="276.48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-123.83999999999999" w:type="dxa"/>
              <w:left w:w="-123.83999999999999" w:type="dxa"/>
              <w:bottom w:w="-123.83999999999999" w:type="dxa"/>
              <w:right w:w="-123.83999999999999" w:type="dxa"/>
            </w:tcMar>
            <w:vAlign w:val="center"/>
          </w:tcPr>
          <w:p w:rsidR="00000000" w:rsidDel="00000000" w:rsidP="00000000" w:rsidRDefault="00000000" w:rsidRPr="00000000" w14:paraId="0000025C">
            <w:pPr>
              <w:ind w:left="86.4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Partisanship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b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× Debunk Source × </w:t>
            </w:r>
          </w:p>
          <w:p w:rsidR="00000000" w:rsidDel="00000000" w:rsidP="00000000" w:rsidRDefault="00000000" w:rsidRPr="00000000" w14:paraId="0000025D">
            <w:pPr>
              <w:ind w:left="86.4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 AOT-E/ML/Trust Score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0" w:val="nil"/>
            </w:tcBorders>
            <w:shd w:fill="auto" w:val="clear"/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25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0" w:val="nil"/>
            </w:tcBorders>
            <w:shd w:fill="auto" w:val="clear"/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26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26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-.024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**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26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.009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26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-.043 – -.005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26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-.001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26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.015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26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-.032 – .030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26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-.034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***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26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.009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0" w:val="nil"/>
            </w:tcBorders>
            <w:tcMar>
              <w:top w:w="57.599999999999994" w:type="dxa"/>
              <w:left w:w="57.599999999999994" w:type="dxa"/>
              <w:bottom w:w="57.599999999999994" w:type="dxa"/>
              <w:right w:w="57.599999999999994" w:type="dxa"/>
            </w:tcMar>
            <w:vAlign w:val="center"/>
          </w:tcPr>
          <w:p w:rsidR="00000000" w:rsidDel="00000000" w:rsidP="00000000" w:rsidRDefault="00000000" w:rsidRPr="00000000" w14:paraId="0000026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-.053 – -.015</w:t>
            </w:r>
          </w:p>
        </w:tc>
      </w:tr>
      <w:tr>
        <w:trPr>
          <w:cantSplit w:val="0"/>
          <w:trHeight w:val="126.71999999999998" w:hRule="atLeast"/>
          <w:tblHeader w:val="0"/>
        </w:trPr>
        <w:tc>
          <w:tcPr>
            <w:tcBorders>
              <w:top w:color="000000" w:space="0" w:sz="12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26A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F Statistics</w:t>
            </w:r>
          </w:p>
        </w:tc>
        <w:tc>
          <w:tcPr>
            <w:gridSpan w:val="3"/>
            <w:tcBorders>
              <w:top w:color="000000" w:space="0" w:sz="12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26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66.22***</w:t>
            </w:r>
          </w:p>
        </w:tc>
        <w:tc>
          <w:tcPr>
            <w:gridSpan w:val="3"/>
            <w:tcBorders>
              <w:top w:color="000000" w:space="0" w:sz="12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26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46.15***</w:t>
            </w:r>
          </w:p>
        </w:tc>
        <w:tc>
          <w:tcPr>
            <w:gridSpan w:val="3"/>
            <w:tcBorders>
              <w:top w:color="000000" w:space="0" w:sz="12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27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39.97***</w:t>
            </w:r>
          </w:p>
        </w:tc>
        <w:tc>
          <w:tcPr>
            <w:gridSpan w:val="3"/>
            <w:tcBorders>
              <w:top w:color="000000" w:space="0" w:sz="12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27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43.90***</w:t>
            </w:r>
          </w:p>
        </w:tc>
      </w:tr>
      <w:tr>
        <w:trPr>
          <w:cantSplit w:val="0"/>
          <w:trHeight w:val="126.71999999999998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18" w:val="single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277">
            <w:pPr>
              <w:spacing w:after="0"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R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/ Adj. R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18" w:val="single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278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.128 / .126</w:t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18" w:val="single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27B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.152 / .148</w:t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18" w:val="single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27E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.134 / .131</w:t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18" w:val="single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281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.145 / .142</w:t>
            </w:r>
          </w:p>
        </w:tc>
      </w:tr>
      <w:tr>
        <w:trPr>
          <w:cantSplit w:val="0"/>
          <w:trHeight w:val="655" w:hRule="atLeast"/>
          <w:tblHeader w:val="0"/>
        </w:trPr>
        <w:tc>
          <w:tcPr>
            <w:gridSpan w:val="13"/>
            <w:tcBorders>
              <w:top w:color="000000" w:space="0" w:sz="1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284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*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8"/>
                <w:szCs w:val="18"/>
                <w:rtl w:val="0"/>
              </w:rPr>
              <w:t xml:space="preserve">p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&lt;.05  **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8"/>
                <w:szCs w:val="18"/>
                <w:rtl w:val="0"/>
              </w:rPr>
              <w:t xml:space="preserve">p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&lt;.01  ***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8"/>
                <w:szCs w:val="18"/>
                <w:rtl w:val="0"/>
              </w:rPr>
              <w:t xml:space="preserve">p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&lt;.001</w:t>
            </w:r>
          </w:p>
          <w:p w:rsidR="00000000" w:rsidDel="00000000" w:rsidP="00000000" w:rsidRDefault="00000000" w:rsidRPr="00000000" w14:paraId="00000285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8"/>
                <w:szCs w:val="18"/>
                <w:rtl w:val="0"/>
              </w:rPr>
              <w:t xml:space="preserve">Note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: a: Republican vs. Independent. b: Republican vs. Democrat. c: Bootstrap results are based on 10,000 bootstrap resamples.</w:t>
            </w:r>
          </w:p>
        </w:tc>
      </w:tr>
    </w:tbl>
    <w:p w:rsidR="00000000" w:rsidDel="00000000" w:rsidP="00000000" w:rsidRDefault="00000000" w:rsidRPr="00000000" w14:paraId="00000292">
      <w:pPr>
        <w:shd w:fill="ffffff" w:val="clear"/>
        <w:spacing w:after="200"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  <w:sectPr>
          <w:type w:val="nextPage"/>
          <w:pgSz w:h="12240" w:w="15840" w:orient="landscape"/>
          <w:pgMar w:bottom="1440" w:top="1440" w:left="1440" w:right="1440" w:header="72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3">
      <w:pPr>
        <w:shd w:fill="ffffff" w:val="clear"/>
        <w:spacing w:after="200" w:line="240" w:lineRule="auto"/>
        <w:ind w:left="0" w:firstLine="0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References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4">
      <w:pPr>
        <w:widowControl w:val="0"/>
        <w:spacing w:line="523.6363636363636" w:lineRule="auto"/>
        <w:ind w:left="48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Cheng, Y. and Chen, Z.F. (2020), “The Influence of Presumed Fake News Influence: Examining Public Support for Corporate Corrective Response, Media Literacy Interventions, and Governmental Regulation”,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Mass Communication and Society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Vol. 23 No. 5, pp. 705–729, doi: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sz w:val="24"/>
            <w:szCs w:val="24"/>
            <w:rtl w:val="0"/>
          </w:rPr>
          <w:t xml:space="preserve"> </w:t>
        </w:r>
      </w:hyperlink>
      <w:hyperlink r:id="rId10">
        <w:r w:rsidDel="00000000" w:rsidR="00000000" w:rsidRPr="00000000">
          <w:rPr>
            <w:rFonts w:ascii="Times New Roman" w:cs="Times New Roman" w:eastAsia="Times New Roman" w:hAnsi="Times New Roman"/>
            <w:color w:val="0000ff"/>
            <w:sz w:val="24"/>
            <w:szCs w:val="24"/>
            <w:u w:val="single"/>
            <w:rtl w:val="0"/>
          </w:rPr>
          <w:t xml:space="preserve">10.1080/15205436.2020.1750656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295">
      <w:pPr>
        <w:widowControl w:val="0"/>
        <w:spacing w:line="523.6363636363636" w:lineRule="auto"/>
        <w:ind w:left="48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Hrin, M.L., Emmerich, V.K., Ip, E.H. and Feldman, S.R. (2022), “Development and validation of a COVID-19 vaccine hesitancy scale for adults in the United States”,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Vaccine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Vol. 40 No. 40, pp. 5764–5768, doi:</w:t>
      </w:r>
      <w:hyperlink r:id="rId11">
        <w:r w:rsidDel="00000000" w:rsidR="00000000" w:rsidRPr="00000000">
          <w:rPr>
            <w:rFonts w:ascii="Times New Roman" w:cs="Times New Roman" w:eastAsia="Times New Roman" w:hAnsi="Times New Roman"/>
            <w:sz w:val="24"/>
            <w:szCs w:val="24"/>
            <w:rtl w:val="0"/>
          </w:rPr>
          <w:t xml:space="preserve"> </w:t>
        </w:r>
      </w:hyperlink>
      <w:hyperlink r:id="rId12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10.1016/j.vaccine.2022.08.062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6">
      <w:pPr>
        <w:widowControl w:val="0"/>
        <w:spacing w:line="523.6363636363636" w:lineRule="auto"/>
        <w:ind w:left="48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Koc, M. and Barut, E. (2016), “Development and validation of New Media Literacy Scale (NMLS) for university students”,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Computers in Human Behavior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Vol. 63, pp. 834–843, doi:</w:t>
      </w:r>
      <w:hyperlink r:id="rId13">
        <w:r w:rsidDel="00000000" w:rsidR="00000000" w:rsidRPr="00000000">
          <w:rPr>
            <w:rFonts w:ascii="Times New Roman" w:cs="Times New Roman" w:eastAsia="Times New Roman" w:hAnsi="Times New Roman"/>
            <w:sz w:val="24"/>
            <w:szCs w:val="24"/>
            <w:rtl w:val="0"/>
          </w:rPr>
          <w:t xml:space="preserve"> </w:t>
        </w:r>
      </w:hyperlink>
      <w:hyperlink r:id="rId14">
        <w:r w:rsidDel="00000000" w:rsidR="00000000" w:rsidRPr="00000000">
          <w:rPr>
            <w:rFonts w:ascii="Times New Roman" w:cs="Times New Roman" w:eastAsia="Times New Roman" w:hAnsi="Times New Roman"/>
            <w:color w:val="0000ff"/>
            <w:sz w:val="24"/>
            <w:szCs w:val="24"/>
            <w:u w:val="single"/>
            <w:rtl w:val="0"/>
          </w:rPr>
          <w:t xml:space="preserve">10.1016/j.chb.2016.06.035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297">
      <w:pPr>
        <w:widowControl w:val="0"/>
        <w:spacing w:line="523.6363636363636" w:lineRule="auto"/>
        <w:ind w:left="48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Nguyen, D., Frey, V., González, S., and Brezzi, M. (2022),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Survey Design and Technical Documentation Supporting the 2021 OECD Survey on Drivers of Trust in Government Institutions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OECD Working Papers on Public Governance, doi:</w:t>
      </w:r>
      <w:hyperlink r:id="rId15">
        <w:r w:rsidDel="00000000" w:rsidR="00000000" w:rsidRPr="00000000">
          <w:rPr>
            <w:rFonts w:ascii="Times New Roman" w:cs="Times New Roman" w:eastAsia="Times New Roman" w:hAnsi="Times New Roman"/>
            <w:sz w:val="24"/>
            <w:szCs w:val="24"/>
            <w:rtl w:val="0"/>
          </w:rPr>
          <w:t xml:space="preserve"> </w:t>
        </w:r>
      </w:hyperlink>
      <w:hyperlink r:id="rId16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10.1787/6f6093c5-en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298">
      <w:pPr>
        <w:widowControl w:val="0"/>
        <w:spacing w:line="523.6363636363636" w:lineRule="auto"/>
        <w:ind w:left="480"/>
        <w:rPr>
          <w:rFonts w:ascii="Times New Roman" w:cs="Times New Roman" w:eastAsia="Times New Roman" w:hAnsi="Times New Roman"/>
          <w:sz w:val="24"/>
          <w:szCs w:val="24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Pennycook, G., Cheyne, J.A., Koehler, D.J. and Fugelsang, J.A. (2020), “On the belief that beliefs should change according to evidence: Implications for conspiratorial, moral, paranormal, political, religious, and science beliefs”,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Judgment and Decision Making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Vol. 15 No. 4, pp. 476–498, doi:</w:t>
      </w:r>
      <w:hyperlink r:id="rId17">
        <w:r w:rsidDel="00000000" w:rsidR="00000000" w:rsidRPr="00000000">
          <w:rPr>
            <w:rFonts w:ascii="Times New Roman" w:cs="Times New Roman" w:eastAsia="Times New Roman" w:hAnsi="Times New Roman"/>
            <w:sz w:val="24"/>
            <w:szCs w:val="24"/>
            <w:rtl w:val="0"/>
          </w:rPr>
          <w:t xml:space="preserve"> </w:t>
        </w:r>
      </w:hyperlink>
      <w:hyperlink r:id="rId18">
        <w:r w:rsidDel="00000000" w:rsidR="00000000" w:rsidRPr="00000000">
          <w:rPr>
            <w:rFonts w:ascii="Times New Roman" w:cs="Times New Roman" w:eastAsia="Times New Roman" w:hAnsi="Times New Roman"/>
            <w:color w:val="0000ff"/>
            <w:sz w:val="24"/>
            <w:szCs w:val="24"/>
            <w:u w:val="single"/>
            <w:rtl w:val="0"/>
          </w:rPr>
          <w:t xml:space="preserve">10.1017/S1930297500007439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9">
      <w:pPr>
        <w:widowControl w:val="0"/>
        <w:spacing w:line="523.6363636363636" w:lineRule="auto"/>
        <w:ind w:left="48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Vraga, E., Tully, M., Kotcher, J., Smithson, A.-B. and Broeckelman-Post, M. (2015), “A Multi-Dimensional Approach to Measuring News Media Literacy”,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Journal of Media Literacy Education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doi:</w:t>
      </w:r>
      <w:hyperlink r:id="rId19">
        <w:r w:rsidDel="00000000" w:rsidR="00000000" w:rsidRPr="00000000">
          <w:rPr>
            <w:rFonts w:ascii="Times New Roman" w:cs="Times New Roman" w:eastAsia="Times New Roman" w:hAnsi="Times New Roman"/>
            <w:sz w:val="24"/>
            <w:szCs w:val="24"/>
            <w:rtl w:val="0"/>
          </w:rPr>
          <w:t xml:space="preserve"> </w:t>
        </w:r>
      </w:hyperlink>
      <w:hyperlink r:id="rId20">
        <w:r w:rsidDel="00000000" w:rsidR="00000000" w:rsidRPr="00000000">
          <w:rPr>
            <w:rFonts w:ascii="Times New Roman" w:cs="Times New Roman" w:eastAsia="Times New Roman" w:hAnsi="Times New Roman"/>
            <w:color w:val="0000ff"/>
            <w:sz w:val="24"/>
            <w:szCs w:val="24"/>
            <w:u w:val="single"/>
            <w:rtl w:val="0"/>
          </w:rPr>
          <w:t xml:space="preserve">10.23860/jmle-7-3-4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29A">
      <w:pPr>
        <w:spacing w:line="276" w:lineRule="auto"/>
        <w:rPr/>
      </w:pPr>
      <w:r w:rsidDel="00000000" w:rsidR="00000000" w:rsidRPr="00000000">
        <w:rPr>
          <w:rtl w:val="0"/>
        </w:rPr>
      </w:r>
    </w:p>
    <w:sectPr>
      <w:type w:val="nextPage"/>
      <w:pgSz w:h="15840" w:w="12240" w:orient="portrait"/>
      <w:pgMar w:bottom="1440" w:top="1440" w:left="1440" w:right="144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9E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9B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9C">
    <w:pPr>
      <w:shd w:fill="ffffff" w:val="clear"/>
      <w:spacing w:line="240" w:lineRule="auto"/>
      <w:rPr>
        <w:rFonts w:ascii="Times New Roman" w:cs="Times New Roman" w:eastAsia="Times New Roman" w:hAnsi="Times New Roman"/>
      </w:rPr>
    </w:pP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SUPPLEMENTARY MATERIALS FOR DEBUNKING COVID-19 FALSEHOODS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9D">
    <w:pPr>
      <w:jc w:val="right"/>
      <w:rPr>
        <w:rFonts w:ascii="Times New Roman" w:cs="Times New Roman" w:eastAsia="Times New Roman" w:hAnsi="Times New Roman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sz w:val="24"/>
        <w:szCs w:val="24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doi.org/10.23860/jmle-7-3-4" TargetMode="External"/><Relationship Id="rId11" Type="http://schemas.openxmlformats.org/officeDocument/2006/relationships/hyperlink" Target="https://doi.org/10.1016/j.vaccine.2022.08.062" TargetMode="External"/><Relationship Id="rId10" Type="http://schemas.openxmlformats.org/officeDocument/2006/relationships/hyperlink" Target="https://doi.org/10.1080/15205436.2020.1750656" TargetMode="External"/><Relationship Id="rId13" Type="http://schemas.openxmlformats.org/officeDocument/2006/relationships/hyperlink" Target="https://doi.org/10.1016/j.chb.2016.06.035" TargetMode="External"/><Relationship Id="rId12" Type="http://schemas.openxmlformats.org/officeDocument/2006/relationships/hyperlink" Target="https://doi.org/10.1016/j.vaccine.2022.08.062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doi.org/10.1080/15205436.2020.1750656" TargetMode="External"/><Relationship Id="rId15" Type="http://schemas.openxmlformats.org/officeDocument/2006/relationships/hyperlink" Target="https://doi.org/10.1787/6f6093c5-en" TargetMode="External"/><Relationship Id="rId14" Type="http://schemas.openxmlformats.org/officeDocument/2006/relationships/hyperlink" Target="https://doi.org/10.1016/j.chb.2016.06.035" TargetMode="External"/><Relationship Id="rId17" Type="http://schemas.openxmlformats.org/officeDocument/2006/relationships/hyperlink" Target="https://doi.org/10.1017/S1930297500007439" TargetMode="External"/><Relationship Id="rId16" Type="http://schemas.openxmlformats.org/officeDocument/2006/relationships/hyperlink" Target="https://doi.org/10.1787/6f6093c5-en" TargetMode="External"/><Relationship Id="rId5" Type="http://schemas.openxmlformats.org/officeDocument/2006/relationships/styles" Target="styles.xml"/><Relationship Id="rId19" Type="http://schemas.openxmlformats.org/officeDocument/2006/relationships/hyperlink" Target="https://doi.org/10.23860/jmle-7-3-4" TargetMode="External"/><Relationship Id="rId6" Type="http://schemas.openxmlformats.org/officeDocument/2006/relationships/header" Target="header2.xml"/><Relationship Id="rId18" Type="http://schemas.openxmlformats.org/officeDocument/2006/relationships/hyperlink" Target="https://doi.org/10.1017/S1930297500007439" TargetMode="Externa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