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7156BE" w14:textId="41ED97AB" w:rsidR="009D0440" w:rsidRPr="00513B2D" w:rsidRDefault="00A479F5" w:rsidP="009D0440">
      <w:pPr>
        <w:rPr>
          <w:sz w:val="20"/>
          <w:szCs w:val="20"/>
          <w:lang w:val="en-US"/>
        </w:rPr>
      </w:pPr>
      <w:proofErr w:type="gramStart"/>
      <w:r w:rsidRPr="00513B2D">
        <w:rPr>
          <w:b/>
          <w:bCs/>
          <w:sz w:val="20"/>
          <w:szCs w:val="20"/>
          <w:lang w:val="en-US"/>
        </w:rPr>
        <w:t xml:space="preserve">Supplementary </w:t>
      </w:r>
      <w:r w:rsidR="000F1B1F" w:rsidRPr="00513B2D">
        <w:rPr>
          <w:b/>
          <w:bCs/>
          <w:sz w:val="20"/>
          <w:szCs w:val="20"/>
          <w:lang w:val="en-US"/>
        </w:rPr>
        <w:t>T</w:t>
      </w:r>
      <w:r w:rsidR="009D0440" w:rsidRPr="00513B2D">
        <w:rPr>
          <w:b/>
          <w:bCs/>
          <w:sz w:val="20"/>
          <w:szCs w:val="20"/>
          <w:lang w:val="en-US"/>
        </w:rPr>
        <w:t>able.</w:t>
      </w:r>
      <w:proofErr w:type="gramEnd"/>
      <w:r w:rsidR="009D0440" w:rsidRPr="00513B2D">
        <w:rPr>
          <w:sz w:val="20"/>
          <w:szCs w:val="20"/>
          <w:lang w:val="en-US"/>
        </w:rPr>
        <w:t xml:space="preserve"> Descriptive analysis of the sample and thematic analysis categories related to each paper</w:t>
      </w:r>
    </w:p>
    <w:tbl>
      <w:tblPr>
        <w:tblW w:w="1537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"/>
        <w:gridCol w:w="1120"/>
        <w:gridCol w:w="965"/>
        <w:gridCol w:w="1272"/>
        <w:gridCol w:w="2313"/>
        <w:gridCol w:w="1278"/>
        <w:gridCol w:w="1357"/>
        <w:gridCol w:w="1130"/>
        <w:gridCol w:w="341"/>
        <w:gridCol w:w="482"/>
        <w:gridCol w:w="8"/>
        <w:gridCol w:w="402"/>
        <w:gridCol w:w="420"/>
        <w:gridCol w:w="480"/>
        <w:gridCol w:w="410"/>
        <w:gridCol w:w="480"/>
        <w:gridCol w:w="13"/>
        <w:gridCol w:w="471"/>
        <w:gridCol w:w="638"/>
        <w:gridCol w:w="500"/>
        <w:gridCol w:w="19"/>
        <w:gridCol w:w="438"/>
        <w:gridCol w:w="440"/>
      </w:tblGrid>
      <w:tr w:rsidR="00513B2D" w:rsidRPr="00513B2D" w14:paraId="25E8D9DD" w14:textId="77777777" w:rsidTr="009D0440">
        <w:trPr>
          <w:jc w:val="center"/>
        </w:trPr>
        <w:tc>
          <w:tcPr>
            <w:tcW w:w="393" w:type="dxa"/>
            <w:tcBorders>
              <w:top w:val="single" w:sz="4" w:space="0" w:color="auto"/>
              <w:bottom w:val="single" w:sz="4" w:space="0" w:color="auto"/>
            </w:tcBorders>
          </w:tcPr>
          <w:p w14:paraId="0ED670FC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b/>
                <w:sz w:val="18"/>
                <w:szCs w:val="18"/>
                <w:vertAlign w:val="superscript"/>
                <w:lang w:val="en-GB" w:eastAsia="pt-BR"/>
              </w:rPr>
            </w:pPr>
            <w:bookmarkStart w:id="0" w:name="_Hlk100314368"/>
            <w:r w:rsidRPr="00513B2D">
              <w:rPr>
                <w:b/>
                <w:sz w:val="18"/>
                <w:szCs w:val="18"/>
                <w:lang w:val="en-GB" w:eastAsia="pt-BR"/>
              </w:rPr>
              <w:t>N</w:t>
            </w:r>
            <w:r w:rsidRPr="00513B2D">
              <w:rPr>
                <w:b/>
                <w:sz w:val="18"/>
                <w:szCs w:val="18"/>
                <w:vertAlign w:val="superscript"/>
                <w:lang w:val="en-GB" w:eastAsia="pt-BR"/>
              </w:rPr>
              <w:t>o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</w:tcPr>
          <w:p w14:paraId="53B92C31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18"/>
                <w:szCs w:val="18"/>
                <w:lang w:eastAsia="pt-BR"/>
              </w:rPr>
              <w:t>Author</w:t>
            </w:r>
          </w:p>
        </w:tc>
        <w:tc>
          <w:tcPr>
            <w:tcW w:w="965" w:type="dxa"/>
            <w:tcBorders>
              <w:top w:val="single" w:sz="4" w:space="0" w:color="auto"/>
              <w:bottom w:val="single" w:sz="4" w:space="0" w:color="auto"/>
            </w:tcBorders>
          </w:tcPr>
          <w:p w14:paraId="01E139EF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18"/>
                <w:szCs w:val="18"/>
                <w:lang w:eastAsia="pt-BR"/>
              </w:rPr>
              <w:t>Country (empirical field)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3878290B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18"/>
                <w:szCs w:val="18"/>
                <w:lang w:eastAsia="pt-BR"/>
              </w:rPr>
              <w:t>Sector</w:t>
            </w:r>
          </w:p>
        </w:tc>
        <w:tc>
          <w:tcPr>
            <w:tcW w:w="2313" w:type="dxa"/>
            <w:tcBorders>
              <w:top w:val="single" w:sz="4" w:space="0" w:color="auto"/>
              <w:bottom w:val="single" w:sz="4" w:space="0" w:color="auto"/>
            </w:tcBorders>
          </w:tcPr>
          <w:p w14:paraId="74CB4CB5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val="en-GB" w:eastAsia="pt-BR"/>
              </w:rPr>
            </w:pPr>
            <w:r w:rsidRPr="00513B2D">
              <w:rPr>
                <w:b/>
                <w:sz w:val="18"/>
                <w:szCs w:val="18"/>
                <w:lang w:val="en-GB" w:eastAsia="pt-BR"/>
              </w:rPr>
              <w:t>Main focus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364AB810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18"/>
                <w:szCs w:val="18"/>
                <w:lang w:eastAsia="pt-BR"/>
              </w:rPr>
              <w:t>Data Collection Technique</w:t>
            </w:r>
          </w:p>
        </w:tc>
        <w:tc>
          <w:tcPr>
            <w:tcW w:w="1357" w:type="dxa"/>
            <w:tcBorders>
              <w:top w:val="single" w:sz="4" w:space="0" w:color="auto"/>
              <w:bottom w:val="single" w:sz="4" w:space="0" w:color="auto"/>
            </w:tcBorders>
          </w:tcPr>
          <w:p w14:paraId="6B83FE79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val="en-GB" w:eastAsia="pt-BR"/>
              </w:rPr>
            </w:pPr>
            <w:r w:rsidRPr="00513B2D">
              <w:rPr>
                <w:b/>
                <w:sz w:val="18"/>
                <w:szCs w:val="18"/>
                <w:lang w:val="en-GB" w:eastAsia="pt-BR"/>
              </w:rPr>
              <w:t>Sustainability analysis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1C65ECB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18"/>
                <w:szCs w:val="18"/>
                <w:lang w:eastAsia="pt-BR"/>
              </w:rPr>
              <w:t>Theory/ Theoretical approach</w:t>
            </w: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22F6EE1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20"/>
                <w:szCs w:val="20"/>
                <w:lang w:val="en-GB" w:eastAsia="pt-BR"/>
              </w:rPr>
              <w:t>ID</w:t>
            </w: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</w:tcPr>
          <w:p w14:paraId="20BDA57A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20"/>
                <w:szCs w:val="20"/>
                <w:lang w:eastAsia="pt-BR"/>
              </w:rPr>
              <w:t>ED</w:t>
            </w:r>
          </w:p>
        </w:tc>
        <w:tc>
          <w:tcPr>
            <w:tcW w:w="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81F6FD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20"/>
                <w:szCs w:val="20"/>
                <w:lang w:eastAsia="pt-BR"/>
              </w:rPr>
              <w:t>M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</w:tcPr>
          <w:p w14:paraId="62ED0E31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20"/>
                <w:szCs w:val="20"/>
                <w:lang w:eastAsia="pt-BR"/>
              </w:rPr>
              <w:t>IB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14:paraId="3B46562D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20"/>
                <w:szCs w:val="20"/>
                <w:lang w:eastAsia="pt-BR"/>
              </w:rPr>
              <w:t>EB</w:t>
            </w:r>
          </w:p>
        </w:tc>
        <w:tc>
          <w:tcPr>
            <w:tcW w:w="410" w:type="dxa"/>
            <w:tcBorders>
              <w:top w:val="single" w:sz="4" w:space="0" w:color="auto"/>
              <w:bottom w:val="single" w:sz="4" w:space="0" w:color="auto"/>
            </w:tcBorders>
          </w:tcPr>
          <w:p w14:paraId="1464D72A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20"/>
                <w:szCs w:val="20"/>
                <w:lang w:eastAsia="pt-BR"/>
              </w:rPr>
              <w:t>R</w:t>
            </w:r>
          </w:p>
        </w:tc>
        <w:tc>
          <w:tcPr>
            <w:tcW w:w="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9F1F6D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20"/>
                <w:szCs w:val="20"/>
                <w:lang w:eastAsia="pt-BR"/>
              </w:rPr>
              <w:t>EO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</w:tcPr>
          <w:p w14:paraId="22858924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20"/>
                <w:szCs w:val="20"/>
                <w:lang w:eastAsia="pt-BR"/>
              </w:rPr>
              <w:t>SO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14:paraId="77EAFD52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20"/>
                <w:szCs w:val="20"/>
                <w:lang w:eastAsia="pt-BR"/>
              </w:rPr>
              <w:t>ENO</w:t>
            </w:r>
          </w:p>
        </w:tc>
        <w:tc>
          <w:tcPr>
            <w:tcW w:w="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052B6D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20"/>
                <w:szCs w:val="20"/>
                <w:lang w:eastAsia="pt-BR"/>
              </w:rPr>
              <w:t>CO</w:t>
            </w:r>
          </w:p>
        </w:tc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</w:tcPr>
          <w:p w14:paraId="1A5FB929" w14:textId="77777777" w:rsidR="009D0440" w:rsidRPr="00513B2D" w:rsidRDefault="009D04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20"/>
                <w:szCs w:val="20"/>
                <w:lang w:eastAsia="pt-BR"/>
              </w:rPr>
              <w:t>IO</w:t>
            </w:r>
          </w:p>
        </w:tc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</w:tcPr>
          <w:p w14:paraId="654F1516" w14:textId="7C759B1F" w:rsidR="009D0440" w:rsidRPr="00513B2D" w:rsidRDefault="001C7040" w:rsidP="00B7373E">
            <w:pPr>
              <w:spacing w:after="0" w:line="240" w:lineRule="auto"/>
              <w:ind w:left="-102"/>
              <w:jc w:val="center"/>
              <w:rPr>
                <w:b/>
                <w:sz w:val="18"/>
                <w:szCs w:val="18"/>
                <w:lang w:eastAsia="pt-BR"/>
              </w:rPr>
            </w:pPr>
            <w:r w:rsidRPr="00513B2D">
              <w:rPr>
                <w:b/>
                <w:sz w:val="20"/>
                <w:szCs w:val="20"/>
                <w:lang w:eastAsia="pt-BR"/>
              </w:rPr>
              <w:t>R</w:t>
            </w:r>
          </w:p>
        </w:tc>
      </w:tr>
      <w:tr w:rsidR="00513B2D" w:rsidRPr="00513B2D" w14:paraId="30DE007D" w14:textId="77777777" w:rsidTr="009D0440">
        <w:trPr>
          <w:jc w:val="center"/>
        </w:trPr>
        <w:tc>
          <w:tcPr>
            <w:tcW w:w="393" w:type="dxa"/>
            <w:tcBorders>
              <w:top w:val="single" w:sz="4" w:space="0" w:color="auto"/>
            </w:tcBorders>
          </w:tcPr>
          <w:p w14:paraId="70FACA33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</w:tcBorders>
          </w:tcPr>
          <w:p w14:paraId="602BFB57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bookmarkStart w:id="1" w:name="_Hlk37254383"/>
            <w:r w:rsidRPr="00513B2D">
              <w:rPr>
                <w:sz w:val="18"/>
                <w:szCs w:val="18"/>
                <w:lang w:eastAsia="pt-BR"/>
              </w:rPr>
              <w:t>Ras et al. (2007)</w:t>
            </w:r>
            <w:bookmarkEnd w:id="1"/>
          </w:p>
        </w:tc>
        <w:tc>
          <w:tcPr>
            <w:tcW w:w="965" w:type="dxa"/>
            <w:tcBorders>
              <w:top w:val="single" w:sz="4" w:space="0" w:color="auto"/>
            </w:tcBorders>
          </w:tcPr>
          <w:p w14:paraId="12561957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South Africa</w:t>
            </w:r>
          </w:p>
        </w:tc>
        <w:tc>
          <w:tcPr>
            <w:tcW w:w="1272" w:type="dxa"/>
            <w:tcBorders>
              <w:top w:val="single" w:sz="4" w:space="0" w:color="auto"/>
            </w:tcBorders>
          </w:tcPr>
          <w:p w14:paraId="0C16E531" w14:textId="77777777" w:rsidR="009D0440" w:rsidRPr="00513B2D" w:rsidRDefault="009D0440" w:rsidP="00B7373E">
            <w:pPr>
              <w:spacing w:after="0" w:line="240" w:lineRule="auto"/>
              <w:ind w:left="-108" w:right="35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Food</w:t>
            </w:r>
          </w:p>
        </w:tc>
        <w:tc>
          <w:tcPr>
            <w:tcW w:w="2313" w:type="dxa"/>
            <w:tcBorders>
              <w:top w:val="single" w:sz="4" w:space="0" w:color="auto"/>
            </w:tcBorders>
          </w:tcPr>
          <w:p w14:paraId="65634052" w14:textId="77777777" w:rsidR="009D0440" w:rsidRPr="00513B2D" w:rsidRDefault="009D0440" w:rsidP="00B7373E">
            <w:pPr>
              <w:spacing w:after="0" w:line="240" w:lineRule="auto"/>
              <w:ind w:left="-111" w:right="35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examined supplier-retailer-user cooperation in greening SCs and actions to address barriers.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2BA77A7C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 and document analysis</w:t>
            </w:r>
          </w:p>
        </w:tc>
        <w:tc>
          <w:tcPr>
            <w:tcW w:w="1357" w:type="dxa"/>
            <w:tcBorders>
              <w:top w:val="single" w:sz="4" w:space="0" w:color="auto"/>
            </w:tcBorders>
          </w:tcPr>
          <w:p w14:paraId="5312A1B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TBL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0CD2CBF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  <w:tcBorders>
              <w:top w:val="single" w:sz="4" w:space="0" w:color="auto"/>
            </w:tcBorders>
          </w:tcPr>
          <w:p w14:paraId="0DE6839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  <w:tcBorders>
              <w:top w:val="single" w:sz="4" w:space="0" w:color="auto"/>
            </w:tcBorders>
          </w:tcPr>
          <w:p w14:paraId="5F5303A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  <w:tcBorders>
              <w:top w:val="single" w:sz="4" w:space="0" w:color="auto"/>
            </w:tcBorders>
          </w:tcPr>
          <w:p w14:paraId="0EC1238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  <w:tcBorders>
              <w:top w:val="single" w:sz="4" w:space="0" w:color="auto"/>
            </w:tcBorders>
          </w:tcPr>
          <w:p w14:paraId="227C821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  <w:tcBorders>
              <w:top w:val="single" w:sz="4" w:space="0" w:color="auto"/>
            </w:tcBorders>
          </w:tcPr>
          <w:p w14:paraId="1D970E2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tcBorders>
              <w:top w:val="single" w:sz="4" w:space="0" w:color="auto"/>
            </w:tcBorders>
          </w:tcPr>
          <w:p w14:paraId="47070D0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93" w:type="dxa"/>
            <w:gridSpan w:val="2"/>
            <w:tcBorders>
              <w:top w:val="single" w:sz="4" w:space="0" w:color="auto"/>
            </w:tcBorders>
          </w:tcPr>
          <w:p w14:paraId="748B2F4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71" w:type="dxa"/>
            <w:tcBorders>
              <w:top w:val="single" w:sz="4" w:space="0" w:color="auto"/>
            </w:tcBorders>
          </w:tcPr>
          <w:p w14:paraId="1AA205B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</w:tcBorders>
          </w:tcPr>
          <w:p w14:paraId="54C33E8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519" w:type="dxa"/>
            <w:gridSpan w:val="2"/>
            <w:tcBorders>
              <w:top w:val="single" w:sz="4" w:space="0" w:color="auto"/>
            </w:tcBorders>
          </w:tcPr>
          <w:p w14:paraId="6142F8E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  <w:tcBorders>
              <w:top w:val="single" w:sz="4" w:space="0" w:color="auto"/>
            </w:tcBorders>
          </w:tcPr>
          <w:p w14:paraId="61541F7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40" w:type="dxa"/>
            <w:tcBorders>
              <w:top w:val="single" w:sz="4" w:space="0" w:color="auto"/>
            </w:tcBorders>
          </w:tcPr>
          <w:p w14:paraId="73481F1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1F40ABB2" w14:textId="77777777" w:rsidTr="009D0440">
        <w:trPr>
          <w:jc w:val="center"/>
        </w:trPr>
        <w:tc>
          <w:tcPr>
            <w:tcW w:w="393" w:type="dxa"/>
          </w:tcPr>
          <w:p w14:paraId="4FC57F5F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2</w:t>
            </w:r>
          </w:p>
        </w:tc>
        <w:tc>
          <w:tcPr>
            <w:tcW w:w="1120" w:type="dxa"/>
          </w:tcPr>
          <w:p w14:paraId="66B42FAF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Tencati et al. (2008)</w:t>
            </w:r>
          </w:p>
        </w:tc>
        <w:tc>
          <w:tcPr>
            <w:tcW w:w="965" w:type="dxa"/>
          </w:tcPr>
          <w:p w14:paraId="2996340D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Vietnam</w:t>
            </w:r>
          </w:p>
        </w:tc>
        <w:tc>
          <w:tcPr>
            <w:tcW w:w="1272" w:type="dxa"/>
          </w:tcPr>
          <w:p w14:paraId="0257AAA5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Multiple</w:t>
            </w:r>
          </w:p>
        </w:tc>
        <w:tc>
          <w:tcPr>
            <w:tcW w:w="2313" w:type="dxa"/>
          </w:tcPr>
          <w:p w14:paraId="783A4033" w14:textId="58857EA3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investigated the influence of increasingly sustainable sourcing policies by multinational corporations on suppliers from developing countries. They found the main difficulties and benefits from sustainability adoption.</w:t>
            </w:r>
          </w:p>
        </w:tc>
        <w:tc>
          <w:tcPr>
            <w:tcW w:w="1278" w:type="dxa"/>
          </w:tcPr>
          <w:p w14:paraId="6DBDD093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 and questionnaires</w:t>
            </w:r>
          </w:p>
        </w:tc>
        <w:tc>
          <w:tcPr>
            <w:tcW w:w="1357" w:type="dxa"/>
          </w:tcPr>
          <w:p w14:paraId="25F7857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 xml:space="preserve">Mix </w:t>
            </w:r>
          </w:p>
          <w:p w14:paraId="23C8465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(Economic and social)</w:t>
            </w:r>
          </w:p>
        </w:tc>
        <w:tc>
          <w:tcPr>
            <w:tcW w:w="1130" w:type="dxa"/>
          </w:tcPr>
          <w:p w14:paraId="553FCAE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0B57E27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45972A2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  <w:gridSpan w:val="2"/>
          </w:tcPr>
          <w:p w14:paraId="5338BB8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427E63E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05CBBAE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73CD56C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93" w:type="dxa"/>
            <w:gridSpan w:val="2"/>
          </w:tcPr>
          <w:p w14:paraId="2785FE1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71" w:type="dxa"/>
          </w:tcPr>
          <w:p w14:paraId="5A72437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638" w:type="dxa"/>
          </w:tcPr>
          <w:p w14:paraId="6C9367D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6E03E97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271F666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7AA8228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3C24A34E" w14:textId="77777777" w:rsidTr="009D0440">
        <w:trPr>
          <w:jc w:val="center"/>
        </w:trPr>
        <w:tc>
          <w:tcPr>
            <w:tcW w:w="393" w:type="dxa"/>
          </w:tcPr>
          <w:p w14:paraId="0F0796D2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3</w:t>
            </w:r>
          </w:p>
        </w:tc>
        <w:tc>
          <w:tcPr>
            <w:tcW w:w="1120" w:type="dxa"/>
          </w:tcPr>
          <w:p w14:paraId="3131B0E2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bookmarkStart w:id="2" w:name="_Hlk37254496"/>
            <w:r w:rsidRPr="00513B2D">
              <w:rPr>
                <w:sz w:val="18"/>
                <w:szCs w:val="18"/>
                <w:lang w:eastAsia="pt-BR"/>
              </w:rPr>
              <w:t>Ras and Vermeulen (2009)</w:t>
            </w:r>
            <w:bookmarkEnd w:id="2"/>
          </w:p>
        </w:tc>
        <w:tc>
          <w:tcPr>
            <w:tcW w:w="965" w:type="dxa"/>
          </w:tcPr>
          <w:p w14:paraId="5A5BA996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South Africa</w:t>
            </w:r>
          </w:p>
        </w:tc>
        <w:tc>
          <w:tcPr>
            <w:tcW w:w="1272" w:type="dxa"/>
          </w:tcPr>
          <w:p w14:paraId="0985D762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Food</w:t>
            </w:r>
          </w:p>
        </w:tc>
        <w:tc>
          <w:tcPr>
            <w:tcW w:w="2313" w:type="dxa"/>
          </w:tcPr>
          <w:p w14:paraId="6EA46FB0" w14:textId="14582A6E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investigated whether suppliers have entrepreneurial qualities to enable successful responses to sustainability requirements based on the European market and whether these qualities relate to producers’ environmental and economic performance.</w:t>
            </w:r>
          </w:p>
        </w:tc>
        <w:tc>
          <w:tcPr>
            <w:tcW w:w="1278" w:type="dxa"/>
          </w:tcPr>
          <w:p w14:paraId="355DAFC5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Questionnaires</w:t>
            </w:r>
          </w:p>
        </w:tc>
        <w:tc>
          <w:tcPr>
            <w:tcW w:w="1357" w:type="dxa"/>
          </w:tcPr>
          <w:p w14:paraId="662CE3B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 xml:space="preserve">Mix </w:t>
            </w:r>
          </w:p>
          <w:p w14:paraId="6328EAC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 xml:space="preserve">(Economic and environmental) </w:t>
            </w:r>
          </w:p>
        </w:tc>
        <w:tc>
          <w:tcPr>
            <w:tcW w:w="1130" w:type="dxa"/>
          </w:tcPr>
          <w:p w14:paraId="33C495F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17B9CFE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4E69294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  <w:gridSpan w:val="2"/>
          </w:tcPr>
          <w:p w14:paraId="336185A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3F50162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0" w:type="dxa"/>
          </w:tcPr>
          <w:p w14:paraId="7E6DC30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</w:tcPr>
          <w:p w14:paraId="53DF077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2E2DE45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71" w:type="dxa"/>
          </w:tcPr>
          <w:p w14:paraId="319E2A2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1BC43C1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519" w:type="dxa"/>
            <w:gridSpan w:val="2"/>
          </w:tcPr>
          <w:p w14:paraId="524205F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49EC874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40" w:type="dxa"/>
          </w:tcPr>
          <w:p w14:paraId="120DF2B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</w:tr>
      <w:tr w:rsidR="00513B2D" w:rsidRPr="00513B2D" w14:paraId="0B3C1D9B" w14:textId="77777777" w:rsidTr="009D0440">
        <w:trPr>
          <w:trHeight w:val="1046"/>
          <w:jc w:val="center"/>
        </w:trPr>
        <w:tc>
          <w:tcPr>
            <w:tcW w:w="393" w:type="dxa"/>
          </w:tcPr>
          <w:p w14:paraId="6499BEDA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4</w:t>
            </w:r>
          </w:p>
          <w:p w14:paraId="793B9107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1120" w:type="dxa"/>
          </w:tcPr>
          <w:p w14:paraId="7D379F98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Alvarez et al. (2010)</w:t>
            </w:r>
          </w:p>
        </w:tc>
        <w:tc>
          <w:tcPr>
            <w:tcW w:w="965" w:type="dxa"/>
          </w:tcPr>
          <w:p w14:paraId="59F27358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Costa Rica, Colombia, Guatemala, Mexico, and Brazil</w:t>
            </w:r>
          </w:p>
        </w:tc>
        <w:tc>
          <w:tcPr>
            <w:tcW w:w="1272" w:type="dxa"/>
          </w:tcPr>
          <w:p w14:paraId="453FCAD0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Food</w:t>
            </w:r>
          </w:p>
        </w:tc>
        <w:tc>
          <w:tcPr>
            <w:tcW w:w="2313" w:type="dxa"/>
          </w:tcPr>
          <w:p w14:paraId="3B547138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studied network evolution and governance dynamics in a multi-stakeholder SC sustainability initiative.</w:t>
            </w:r>
          </w:p>
        </w:tc>
        <w:tc>
          <w:tcPr>
            <w:tcW w:w="1278" w:type="dxa"/>
          </w:tcPr>
          <w:p w14:paraId="31883B26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 xml:space="preserve">Interviews and </w:t>
            </w:r>
            <w:r w:rsidRPr="00513B2D">
              <w:rPr>
                <w:sz w:val="18"/>
                <w:szCs w:val="18"/>
                <w:lang w:eastAsia="pt-BR"/>
              </w:rPr>
              <w:t>document analysis</w:t>
            </w:r>
          </w:p>
        </w:tc>
        <w:tc>
          <w:tcPr>
            <w:tcW w:w="1357" w:type="dxa"/>
          </w:tcPr>
          <w:p w14:paraId="5251F76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TBL</w:t>
            </w:r>
          </w:p>
        </w:tc>
        <w:tc>
          <w:tcPr>
            <w:tcW w:w="1130" w:type="dxa"/>
          </w:tcPr>
          <w:p w14:paraId="2D8DC32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3285602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41C5901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  <w:gridSpan w:val="2"/>
          </w:tcPr>
          <w:p w14:paraId="5336258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5F4AEEC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0" w:type="dxa"/>
          </w:tcPr>
          <w:p w14:paraId="58B74BB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</w:tcPr>
          <w:p w14:paraId="0AE09C4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65D704E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04E356C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2085C44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46C6938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4B17934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40" w:type="dxa"/>
          </w:tcPr>
          <w:p w14:paraId="627A5C8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14F3D883" w14:textId="77777777" w:rsidTr="009D0440">
        <w:trPr>
          <w:jc w:val="center"/>
        </w:trPr>
        <w:tc>
          <w:tcPr>
            <w:tcW w:w="393" w:type="dxa"/>
          </w:tcPr>
          <w:p w14:paraId="1C487B22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5</w:t>
            </w:r>
          </w:p>
        </w:tc>
        <w:tc>
          <w:tcPr>
            <w:tcW w:w="1120" w:type="dxa"/>
          </w:tcPr>
          <w:p w14:paraId="23A88731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Huq et al. (2014)</w:t>
            </w:r>
          </w:p>
        </w:tc>
        <w:tc>
          <w:tcPr>
            <w:tcW w:w="965" w:type="dxa"/>
          </w:tcPr>
          <w:p w14:paraId="1357335A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Bangladesh</w:t>
            </w:r>
          </w:p>
        </w:tc>
        <w:tc>
          <w:tcPr>
            <w:tcW w:w="1272" w:type="dxa"/>
          </w:tcPr>
          <w:p w14:paraId="1359C14A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7558F332" w14:textId="1934EA14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studied the drivers, barriers</w:t>
            </w:r>
            <w:r w:rsidR="00E50EE2" w:rsidRPr="00513B2D">
              <w:rPr>
                <w:sz w:val="18"/>
                <w:szCs w:val="18"/>
                <w:lang w:val="en-GB" w:eastAsia="pt-BR"/>
              </w:rPr>
              <w:t>,</w:t>
            </w:r>
            <w:r w:rsidRPr="00513B2D">
              <w:rPr>
                <w:sz w:val="18"/>
                <w:szCs w:val="18"/>
                <w:lang w:val="en-GB" w:eastAsia="pt-BR"/>
              </w:rPr>
              <w:t xml:space="preserve"> and enablers of social sustainability in exporting garment industries.</w:t>
            </w:r>
          </w:p>
        </w:tc>
        <w:tc>
          <w:tcPr>
            <w:tcW w:w="1278" w:type="dxa"/>
          </w:tcPr>
          <w:p w14:paraId="7076B1A8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Interviews</w:t>
            </w:r>
          </w:p>
        </w:tc>
        <w:tc>
          <w:tcPr>
            <w:tcW w:w="1357" w:type="dxa"/>
          </w:tcPr>
          <w:p w14:paraId="148A7AD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Social</w:t>
            </w:r>
          </w:p>
        </w:tc>
        <w:tc>
          <w:tcPr>
            <w:tcW w:w="1130" w:type="dxa"/>
          </w:tcPr>
          <w:p w14:paraId="1F97208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Transaction Cost Economic Theory</w:t>
            </w:r>
          </w:p>
        </w:tc>
        <w:tc>
          <w:tcPr>
            <w:tcW w:w="341" w:type="dxa"/>
          </w:tcPr>
          <w:p w14:paraId="03C700F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2" w:type="dxa"/>
          </w:tcPr>
          <w:p w14:paraId="047D6A4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5A6348D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20" w:type="dxa"/>
          </w:tcPr>
          <w:p w14:paraId="2DEE1D2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22E1FC4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5296DFD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01171F7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71" w:type="dxa"/>
          </w:tcPr>
          <w:p w14:paraId="6F1EED9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638" w:type="dxa"/>
          </w:tcPr>
          <w:p w14:paraId="108CF5F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0AC5211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4793E5D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0FE6666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73DAB045" w14:textId="77777777" w:rsidTr="009D0440">
        <w:trPr>
          <w:jc w:val="center"/>
        </w:trPr>
        <w:tc>
          <w:tcPr>
            <w:tcW w:w="393" w:type="dxa"/>
          </w:tcPr>
          <w:p w14:paraId="69C5D18F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120" w:type="dxa"/>
          </w:tcPr>
          <w:p w14:paraId="65054F16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Diabat et al. (2014)</w:t>
            </w:r>
          </w:p>
        </w:tc>
        <w:tc>
          <w:tcPr>
            <w:tcW w:w="965" w:type="dxa"/>
          </w:tcPr>
          <w:p w14:paraId="17B7EDAA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India</w:t>
            </w:r>
          </w:p>
        </w:tc>
        <w:tc>
          <w:tcPr>
            <w:tcW w:w="1272" w:type="dxa"/>
          </w:tcPr>
          <w:p w14:paraId="0625511A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60A50AB7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investigated facilitators for sustainability management in the supplying organizations.</w:t>
            </w:r>
          </w:p>
        </w:tc>
        <w:tc>
          <w:tcPr>
            <w:tcW w:w="1278" w:type="dxa"/>
          </w:tcPr>
          <w:p w14:paraId="3698F821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Questionnaires</w:t>
            </w:r>
          </w:p>
        </w:tc>
        <w:tc>
          <w:tcPr>
            <w:tcW w:w="1357" w:type="dxa"/>
          </w:tcPr>
          <w:p w14:paraId="2573E82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TBL</w:t>
            </w:r>
          </w:p>
        </w:tc>
        <w:tc>
          <w:tcPr>
            <w:tcW w:w="1130" w:type="dxa"/>
          </w:tcPr>
          <w:p w14:paraId="6A9EC62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6825EFF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12747A8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  <w:gridSpan w:val="2"/>
          </w:tcPr>
          <w:p w14:paraId="198C662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3A38B8D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0" w:type="dxa"/>
          </w:tcPr>
          <w:p w14:paraId="2D1810E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</w:tcPr>
          <w:p w14:paraId="0F4D775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29E7FD0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43E2C6C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638" w:type="dxa"/>
          </w:tcPr>
          <w:p w14:paraId="6DF0232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3081296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661DD15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40" w:type="dxa"/>
          </w:tcPr>
          <w:p w14:paraId="20F50C0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2CB4A3D1" w14:textId="77777777" w:rsidTr="009D0440">
        <w:trPr>
          <w:jc w:val="center"/>
        </w:trPr>
        <w:tc>
          <w:tcPr>
            <w:tcW w:w="393" w:type="dxa"/>
          </w:tcPr>
          <w:p w14:paraId="27A93776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7</w:t>
            </w:r>
          </w:p>
        </w:tc>
        <w:tc>
          <w:tcPr>
            <w:tcW w:w="1120" w:type="dxa"/>
          </w:tcPr>
          <w:p w14:paraId="21C16F07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 xml:space="preserve">Bloom </w:t>
            </w:r>
            <w:r w:rsidRPr="00513B2D">
              <w:rPr>
                <w:sz w:val="18"/>
                <w:szCs w:val="18"/>
                <w:lang w:eastAsia="pt-BR"/>
              </w:rPr>
              <w:lastRenderedPageBreak/>
              <w:t>(2015)</w:t>
            </w:r>
          </w:p>
        </w:tc>
        <w:tc>
          <w:tcPr>
            <w:tcW w:w="965" w:type="dxa"/>
          </w:tcPr>
          <w:p w14:paraId="14CD2C1F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lastRenderedPageBreak/>
              <w:t>Honduras</w:t>
            </w:r>
          </w:p>
        </w:tc>
        <w:tc>
          <w:tcPr>
            <w:tcW w:w="1272" w:type="dxa"/>
          </w:tcPr>
          <w:p w14:paraId="1E226D2B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Food</w:t>
            </w:r>
          </w:p>
        </w:tc>
        <w:tc>
          <w:tcPr>
            <w:tcW w:w="2313" w:type="dxa"/>
          </w:tcPr>
          <w:p w14:paraId="29C2BE2C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 xml:space="preserve">This research evidenced the </w:t>
            </w:r>
            <w:r w:rsidRPr="00513B2D">
              <w:rPr>
                <w:sz w:val="18"/>
                <w:szCs w:val="18"/>
                <w:lang w:val="en-GB" w:eastAsia="pt-BR"/>
              </w:rPr>
              <w:lastRenderedPageBreak/>
              <w:t xml:space="preserve">relevance of public-private partnerships as a vehicle by which corporations can influence agricultural production practices and sustainability. </w:t>
            </w:r>
          </w:p>
        </w:tc>
        <w:tc>
          <w:tcPr>
            <w:tcW w:w="1278" w:type="dxa"/>
          </w:tcPr>
          <w:p w14:paraId="2F0676A0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lastRenderedPageBreak/>
              <w:t>Interviews</w:t>
            </w:r>
          </w:p>
        </w:tc>
        <w:tc>
          <w:tcPr>
            <w:tcW w:w="1357" w:type="dxa"/>
          </w:tcPr>
          <w:p w14:paraId="2601AD6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TBL</w:t>
            </w:r>
          </w:p>
        </w:tc>
        <w:tc>
          <w:tcPr>
            <w:tcW w:w="1130" w:type="dxa"/>
          </w:tcPr>
          <w:p w14:paraId="2965CA4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-</w:t>
            </w:r>
          </w:p>
        </w:tc>
        <w:tc>
          <w:tcPr>
            <w:tcW w:w="341" w:type="dxa"/>
          </w:tcPr>
          <w:p w14:paraId="410E677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eastAsia="pt-BR"/>
              </w:rPr>
              <w:t>x</w:t>
            </w:r>
          </w:p>
        </w:tc>
        <w:tc>
          <w:tcPr>
            <w:tcW w:w="482" w:type="dxa"/>
          </w:tcPr>
          <w:p w14:paraId="60A4910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245DA8D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3823296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37F74FF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25C2CB5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93" w:type="dxa"/>
            <w:gridSpan w:val="2"/>
          </w:tcPr>
          <w:p w14:paraId="3D00571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71" w:type="dxa"/>
          </w:tcPr>
          <w:p w14:paraId="511A294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73AE88C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519" w:type="dxa"/>
            <w:gridSpan w:val="2"/>
          </w:tcPr>
          <w:p w14:paraId="09C1D0B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38" w:type="dxa"/>
          </w:tcPr>
          <w:p w14:paraId="6B70227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47E80FD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65638096" w14:textId="77777777" w:rsidTr="009D0440">
        <w:trPr>
          <w:jc w:val="center"/>
        </w:trPr>
        <w:tc>
          <w:tcPr>
            <w:tcW w:w="393" w:type="dxa"/>
          </w:tcPr>
          <w:p w14:paraId="28FD544E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lastRenderedPageBreak/>
              <w:t>8</w:t>
            </w:r>
          </w:p>
        </w:tc>
        <w:tc>
          <w:tcPr>
            <w:tcW w:w="1120" w:type="dxa"/>
          </w:tcPr>
          <w:p w14:paraId="199803D6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Busse et al. (2016)</w:t>
            </w:r>
          </w:p>
        </w:tc>
        <w:tc>
          <w:tcPr>
            <w:tcW w:w="965" w:type="dxa"/>
          </w:tcPr>
          <w:p w14:paraId="77D7F7DD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China</w:t>
            </w:r>
          </w:p>
        </w:tc>
        <w:tc>
          <w:tcPr>
            <w:tcW w:w="1272" w:type="dxa"/>
          </w:tcPr>
          <w:p w14:paraId="334CD24C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Multiple</w:t>
            </w:r>
          </w:p>
        </w:tc>
        <w:tc>
          <w:tcPr>
            <w:tcW w:w="2313" w:type="dxa"/>
          </w:tcPr>
          <w:p w14:paraId="252C6E93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studied contextual barriers to supplier development for sustainability in global SCs and management solutions to mitigate these barriers.</w:t>
            </w:r>
          </w:p>
        </w:tc>
        <w:tc>
          <w:tcPr>
            <w:tcW w:w="1278" w:type="dxa"/>
          </w:tcPr>
          <w:p w14:paraId="349AC363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 and document analysis</w:t>
            </w:r>
          </w:p>
        </w:tc>
        <w:tc>
          <w:tcPr>
            <w:tcW w:w="1357" w:type="dxa"/>
          </w:tcPr>
          <w:p w14:paraId="3046797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TBL</w:t>
            </w:r>
          </w:p>
        </w:tc>
        <w:tc>
          <w:tcPr>
            <w:tcW w:w="1130" w:type="dxa"/>
          </w:tcPr>
          <w:p w14:paraId="1AAEB58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3B76DA1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5999098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  <w:gridSpan w:val="2"/>
          </w:tcPr>
          <w:p w14:paraId="5F0F7F3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20" w:type="dxa"/>
          </w:tcPr>
          <w:p w14:paraId="708F845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0" w:type="dxa"/>
          </w:tcPr>
          <w:p w14:paraId="4CD5F6D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476C921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93" w:type="dxa"/>
            <w:gridSpan w:val="2"/>
          </w:tcPr>
          <w:p w14:paraId="2B2C73D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6364B48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296E8C7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110E860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753845C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40" w:type="dxa"/>
          </w:tcPr>
          <w:p w14:paraId="0AD9ECF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05D73C3C" w14:textId="77777777" w:rsidTr="009D0440">
        <w:trPr>
          <w:jc w:val="center"/>
        </w:trPr>
        <w:tc>
          <w:tcPr>
            <w:tcW w:w="393" w:type="dxa"/>
          </w:tcPr>
          <w:p w14:paraId="3548ECAF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120" w:type="dxa"/>
          </w:tcPr>
          <w:p w14:paraId="49ACC885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Montiel et al. (2016)</w:t>
            </w:r>
          </w:p>
        </w:tc>
        <w:tc>
          <w:tcPr>
            <w:tcW w:w="965" w:type="dxa"/>
          </w:tcPr>
          <w:p w14:paraId="04957315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Mexico</w:t>
            </w:r>
          </w:p>
        </w:tc>
        <w:tc>
          <w:tcPr>
            <w:tcW w:w="1272" w:type="dxa"/>
          </w:tcPr>
          <w:p w14:paraId="746C9B28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 xml:space="preserve">Food </w:t>
            </w:r>
          </w:p>
        </w:tc>
        <w:tc>
          <w:tcPr>
            <w:tcW w:w="2313" w:type="dxa"/>
          </w:tcPr>
          <w:p w14:paraId="05894605" w14:textId="15607111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evidenced that distinct sources of sustainability standard uncertainty exist and that all negatively impact the certification.</w:t>
            </w:r>
          </w:p>
        </w:tc>
        <w:tc>
          <w:tcPr>
            <w:tcW w:w="1278" w:type="dxa"/>
          </w:tcPr>
          <w:p w14:paraId="7E4FE449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 and questionnaires</w:t>
            </w:r>
          </w:p>
        </w:tc>
        <w:tc>
          <w:tcPr>
            <w:tcW w:w="1357" w:type="dxa"/>
          </w:tcPr>
          <w:p w14:paraId="59F5C6B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Mix</w:t>
            </w:r>
          </w:p>
          <w:p w14:paraId="44D65B8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(Social and environmental)</w:t>
            </w:r>
          </w:p>
        </w:tc>
        <w:tc>
          <w:tcPr>
            <w:tcW w:w="1130" w:type="dxa"/>
          </w:tcPr>
          <w:p w14:paraId="6E8281E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Institutional theory</w:t>
            </w:r>
          </w:p>
        </w:tc>
        <w:tc>
          <w:tcPr>
            <w:tcW w:w="341" w:type="dxa"/>
          </w:tcPr>
          <w:p w14:paraId="1FBEE47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2" w:type="dxa"/>
          </w:tcPr>
          <w:p w14:paraId="794FB02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01268D5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3F09C23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0" w:type="dxa"/>
          </w:tcPr>
          <w:p w14:paraId="746B750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59750DF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93" w:type="dxa"/>
            <w:gridSpan w:val="2"/>
          </w:tcPr>
          <w:p w14:paraId="7AA6A6B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71" w:type="dxa"/>
          </w:tcPr>
          <w:p w14:paraId="66565AF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19EDE28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5618DCA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38" w:type="dxa"/>
          </w:tcPr>
          <w:p w14:paraId="12D559D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40" w:type="dxa"/>
          </w:tcPr>
          <w:p w14:paraId="1DE56EC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68942197" w14:textId="77777777" w:rsidTr="009D0440">
        <w:trPr>
          <w:jc w:val="center"/>
        </w:trPr>
        <w:tc>
          <w:tcPr>
            <w:tcW w:w="393" w:type="dxa"/>
          </w:tcPr>
          <w:p w14:paraId="2D2E73E8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1120" w:type="dxa"/>
          </w:tcPr>
          <w:p w14:paraId="6A216844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Li et al. (2017)</w:t>
            </w:r>
          </w:p>
        </w:tc>
        <w:tc>
          <w:tcPr>
            <w:tcW w:w="965" w:type="dxa"/>
          </w:tcPr>
          <w:p w14:paraId="1EA9E281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China</w:t>
            </w:r>
          </w:p>
        </w:tc>
        <w:tc>
          <w:tcPr>
            <w:tcW w:w="1272" w:type="dxa"/>
          </w:tcPr>
          <w:p w14:paraId="7663349E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Electronics</w:t>
            </w:r>
          </w:p>
        </w:tc>
        <w:tc>
          <w:tcPr>
            <w:tcW w:w="2313" w:type="dxa"/>
          </w:tcPr>
          <w:p w14:paraId="56E695B9" w14:textId="77777777" w:rsidR="009D0440" w:rsidRPr="00513B2D" w:rsidRDefault="009D0440" w:rsidP="00B7373E">
            <w:pPr>
              <w:spacing w:after="0" w:line="240" w:lineRule="auto"/>
              <w:ind w:left="-104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examined factors and processes that facilitate suppliers’ environmental sustainability performance.</w:t>
            </w:r>
          </w:p>
        </w:tc>
        <w:tc>
          <w:tcPr>
            <w:tcW w:w="1278" w:type="dxa"/>
          </w:tcPr>
          <w:p w14:paraId="670AABA7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</w:t>
            </w:r>
          </w:p>
        </w:tc>
        <w:tc>
          <w:tcPr>
            <w:tcW w:w="1357" w:type="dxa"/>
          </w:tcPr>
          <w:p w14:paraId="1F68108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Environmental</w:t>
            </w:r>
          </w:p>
        </w:tc>
        <w:tc>
          <w:tcPr>
            <w:tcW w:w="1130" w:type="dxa"/>
          </w:tcPr>
          <w:p w14:paraId="764E728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 xml:space="preserve">- </w:t>
            </w:r>
          </w:p>
        </w:tc>
        <w:tc>
          <w:tcPr>
            <w:tcW w:w="341" w:type="dxa"/>
          </w:tcPr>
          <w:p w14:paraId="3A8D092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eastAsia="pt-BR"/>
              </w:rPr>
              <w:t>x</w:t>
            </w:r>
          </w:p>
        </w:tc>
        <w:tc>
          <w:tcPr>
            <w:tcW w:w="482" w:type="dxa"/>
          </w:tcPr>
          <w:p w14:paraId="4FA3E72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10" w:type="dxa"/>
            <w:gridSpan w:val="2"/>
          </w:tcPr>
          <w:p w14:paraId="5DE82E9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2F504C1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0" w:type="dxa"/>
          </w:tcPr>
          <w:p w14:paraId="3684FF0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2737969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93" w:type="dxa"/>
            <w:gridSpan w:val="2"/>
          </w:tcPr>
          <w:p w14:paraId="1A99E94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71" w:type="dxa"/>
          </w:tcPr>
          <w:p w14:paraId="1D97971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5B8B698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0E5D222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38" w:type="dxa"/>
          </w:tcPr>
          <w:p w14:paraId="25F453D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29421E6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6578AE47" w14:textId="77777777" w:rsidTr="009D0440">
        <w:trPr>
          <w:jc w:val="center"/>
        </w:trPr>
        <w:tc>
          <w:tcPr>
            <w:tcW w:w="393" w:type="dxa"/>
          </w:tcPr>
          <w:p w14:paraId="15D97A18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1120" w:type="dxa"/>
          </w:tcPr>
          <w:p w14:paraId="532DB532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Rich et al. (2017)</w:t>
            </w:r>
          </w:p>
        </w:tc>
        <w:tc>
          <w:tcPr>
            <w:tcW w:w="965" w:type="dxa"/>
          </w:tcPr>
          <w:p w14:paraId="1B8D2E23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India</w:t>
            </w:r>
          </w:p>
        </w:tc>
        <w:tc>
          <w:tcPr>
            <w:tcW w:w="1272" w:type="dxa"/>
          </w:tcPr>
          <w:p w14:paraId="122FA891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Food</w:t>
            </w:r>
          </w:p>
        </w:tc>
        <w:tc>
          <w:tcPr>
            <w:tcW w:w="2313" w:type="dxa"/>
          </w:tcPr>
          <w:p w14:paraId="496290D3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assessed awareness and perceptions related to certified coffee and the conservation of the environment by coffee producers.</w:t>
            </w:r>
          </w:p>
        </w:tc>
        <w:tc>
          <w:tcPr>
            <w:tcW w:w="1278" w:type="dxa"/>
          </w:tcPr>
          <w:p w14:paraId="655AD9CC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</w:t>
            </w:r>
          </w:p>
        </w:tc>
        <w:tc>
          <w:tcPr>
            <w:tcW w:w="1357" w:type="dxa"/>
          </w:tcPr>
          <w:p w14:paraId="69625D9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TBL</w:t>
            </w:r>
          </w:p>
        </w:tc>
        <w:tc>
          <w:tcPr>
            <w:tcW w:w="1130" w:type="dxa"/>
          </w:tcPr>
          <w:p w14:paraId="7DAC8A8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5F4BF4E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7FFF05E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  <w:gridSpan w:val="2"/>
          </w:tcPr>
          <w:p w14:paraId="759158E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640CCA4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0" w:type="dxa"/>
          </w:tcPr>
          <w:p w14:paraId="59B89AF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1A1F11F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3501D93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22F7300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7FFA71F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45F28FA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057EF1B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720C85D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1C871614" w14:textId="77777777" w:rsidTr="009D0440">
        <w:trPr>
          <w:jc w:val="center"/>
        </w:trPr>
        <w:tc>
          <w:tcPr>
            <w:tcW w:w="393" w:type="dxa"/>
          </w:tcPr>
          <w:p w14:paraId="61C2B3C8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120" w:type="dxa"/>
          </w:tcPr>
          <w:p w14:paraId="0577DF45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Bustos and Moors (2018)</w:t>
            </w:r>
          </w:p>
        </w:tc>
        <w:tc>
          <w:tcPr>
            <w:tcW w:w="965" w:type="dxa"/>
          </w:tcPr>
          <w:p w14:paraId="62BD04D9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Colombia and Mexico</w:t>
            </w:r>
          </w:p>
        </w:tc>
        <w:tc>
          <w:tcPr>
            <w:tcW w:w="1272" w:type="dxa"/>
          </w:tcPr>
          <w:p w14:paraId="086FEE2C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Food</w:t>
            </w:r>
          </w:p>
        </w:tc>
        <w:tc>
          <w:tcPr>
            <w:tcW w:w="2313" w:type="dxa"/>
          </w:tcPr>
          <w:p w14:paraId="4910D2B2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studied the structural inefficiencies that lead to postharvest losses and looked at how innovative collaboration can lead to more sustainable food suppliers and supply chains.</w:t>
            </w:r>
          </w:p>
        </w:tc>
        <w:tc>
          <w:tcPr>
            <w:tcW w:w="1278" w:type="dxa"/>
          </w:tcPr>
          <w:p w14:paraId="256FBFCC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</w:t>
            </w:r>
          </w:p>
        </w:tc>
        <w:tc>
          <w:tcPr>
            <w:tcW w:w="1357" w:type="dxa"/>
          </w:tcPr>
          <w:p w14:paraId="4B1DB36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TBL</w:t>
            </w:r>
          </w:p>
        </w:tc>
        <w:tc>
          <w:tcPr>
            <w:tcW w:w="1130" w:type="dxa"/>
          </w:tcPr>
          <w:p w14:paraId="4D77418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731A38E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5005D3B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  <w:gridSpan w:val="2"/>
          </w:tcPr>
          <w:p w14:paraId="0A98704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1518D26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744C752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343690A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93" w:type="dxa"/>
            <w:gridSpan w:val="2"/>
          </w:tcPr>
          <w:p w14:paraId="2C579DA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71" w:type="dxa"/>
          </w:tcPr>
          <w:p w14:paraId="3847BA6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32C5E33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519" w:type="dxa"/>
            <w:gridSpan w:val="2"/>
          </w:tcPr>
          <w:p w14:paraId="6CABB0B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11A74B9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5A0C14C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</w:tr>
      <w:tr w:rsidR="00513B2D" w:rsidRPr="00513B2D" w14:paraId="32BA09CE" w14:textId="77777777" w:rsidTr="009D0440">
        <w:trPr>
          <w:jc w:val="center"/>
        </w:trPr>
        <w:tc>
          <w:tcPr>
            <w:tcW w:w="393" w:type="dxa"/>
          </w:tcPr>
          <w:p w14:paraId="0566BEAF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13</w:t>
            </w:r>
          </w:p>
        </w:tc>
        <w:tc>
          <w:tcPr>
            <w:tcW w:w="1120" w:type="dxa"/>
          </w:tcPr>
          <w:p w14:paraId="51ADE2A4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Köksal et al. (2018)</w:t>
            </w:r>
          </w:p>
        </w:tc>
        <w:tc>
          <w:tcPr>
            <w:tcW w:w="965" w:type="dxa"/>
          </w:tcPr>
          <w:p w14:paraId="16DC87B8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Vietnam</w:t>
            </w:r>
          </w:p>
        </w:tc>
        <w:tc>
          <w:tcPr>
            <w:tcW w:w="1272" w:type="dxa"/>
          </w:tcPr>
          <w:p w14:paraId="254F6507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71E38672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investigated the role of intermediaries in the implementation of social management strategies.</w:t>
            </w:r>
          </w:p>
        </w:tc>
        <w:tc>
          <w:tcPr>
            <w:tcW w:w="1278" w:type="dxa"/>
          </w:tcPr>
          <w:p w14:paraId="40A9B980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</w:t>
            </w:r>
          </w:p>
        </w:tc>
        <w:tc>
          <w:tcPr>
            <w:tcW w:w="1357" w:type="dxa"/>
          </w:tcPr>
          <w:p w14:paraId="4A3E478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Social</w:t>
            </w:r>
          </w:p>
        </w:tc>
        <w:tc>
          <w:tcPr>
            <w:tcW w:w="1130" w:type="dxa"/>
          </w:tcPr>
          <w:p w14:paraId="524AF2B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204D325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eastAsia="pt-BR"/>
              </w:rPr>
              <w:t>x</w:t>
            </w:r>
          </w:p>
        </w:tc>
        <w:tc>
          <w:tcPr>
            <w:tcW w:w="482" w:type="dxa"/>
          </w:tcPr>
          <w:p w14:paraId="4C9001E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4BA4CDE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0C7C2DD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12F6CAC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20CCEC1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7089D4A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72AF90C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638" w:type="dxa"/>
          </w:tcPr>
          <w:p w14:paraId="5453518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1B6AA8E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38" w:type="dxa"/>
          </w:tcPr>
          <w:p w14:paraId="65DE034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11317DF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086CEA8C" w14:textId="77777777" w:rsidTr="009D0440">
        <w:trPr>
          <w:jc w:val="center"/>
        </w:trPr>
        <w:tc>
          <w:tcPr>
            <w:tcW w:w="393" w:type="dxa"/>
          </w:tcPr>
          <w:p w14:paraId="2616E999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14</w:t>
            </w:r>
          </w:p>
        </w:tc>
        <w:tc>
          <w:tcPr>
            <w:tcW w:w="1120" w:type="dxa"/>
          </w:tcPr>
          <w:p w14:paraId="580C4A2D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Mani and Gunasekaran (2018)</w:t>
            </w:r>
          </w:p>
        </w:tc>
        <w:tc>
          <w:tcPr>
            <w:tcW w:w="965" w:type="dxa"/>
          </w:tcPr>
          <w:p w14:paraId="6A869802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 xml:space="preserve">India </w:t>
            </w:r>
          </w:p>
        </w:tc>
        <w:tc>
          <w:tcPr>
            <w:tcW w:w="1272" w:type="dxa"/>
          </w:tcPr>
          <w:p w14:paraId="488261A3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Manufacturing</w:t>
            </w:r>
          </w:p>
        </w:tc>
        <w:tc>
          <w:tcPr>
            <w:tcW w:w="2313" w:type="dxa"/>
          </w:tcPr>
          <w:p w14:paraId="4CE88D0B" w14:textId="4FF4033D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studied how customer pressures, sustainability culture, government</w:t>
            </w:r>
            <w:r w:rsidR="006D29DA" w:rsidRPr="00513B2D">
              <w:rPr>
                <w:sz w:val="18"/>
                <w:szCs w:val="18"/>
                <w:lang w:val="en-GB" w:eastAsia="pt-BR"/>
              </w:rPr>
              <w:t>,</w:t>
            </w:r>
            <w:r w:rsidRPr="00513B2D">
              <w:rPr>
                <w:sz w:val="18"/>
                <w:szCs w:val="18"/>
                <w:lang w:val="en-GB" w:eastAsia="pt-BR"/>
              </w:rPr>
              <w:t xml:space="preserve"> and </w:t>
            </w:r>
            <w:r w:rsidRPr="00513B2D">
              <w:rPr>
                <w:sz w:val="18"/>
                <w:szCs w:val="18"/>
                <w:lang w:val="en-GB" w:eastAsia="pt-BR"/>
              </w:rPr>
              <w:lastRenderedPageBreak/>
              <w:t>external stakeholders act as determinants in the adoption of social sustainability.</w:t>
            </w:r>
          </w:p>
        </w:tc>
        <w:tc>
          <w:tcPr>
            <w:tcW w:w="1278" w:type="dxa"/>
          </w:tcPr>
          <w:p w14:paraId="1077CF3E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lastRenderedPageBreak/>
              <w:t>Questionnaires</w:t>
            </w:r>
          </w:p>
        </w:tc>
        <w:tc>
          <w:tcPr>
            <w:tcW w:w="1357" w:type="dxa"/>
          </w:tcPr>
          <w:p w14:paraId="5F5634B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Social</w:t>
            </w:r>
          </w:p>
        </w:tc>
        <w:tc>
          <w:tcPr>
            <w:tcW w:w="1130" w:type="dxa"/>
          </w:tcPr>
          <w:p w14:paraId="0932583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 xml:space="preserve">Institutional theory, Stakeholder </w:t>
            </w:r>
            <w:r w:rsidRPr="00513B2D">
              <w:rPr>
                <w:sz w:val="18"/>
                <w:szCs w:val="18"/>
                <w:lang w:val="en-GB" w:eastAsia="pt-BR"/>
              </w:rPr>
              <w:lastRenderedPageBreak/>
              <w:t>theory and Theory of legitimacy</w:t>
            </w:r>
          </w:p>
        </w:tc>
        <w:tc>
          <w:tcPr>
            <w:tcW w:w="341" w:type="dxa"/>
          </w:tcPr>
          <w:p w14:paraId="6B6EB46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eastAsia="pt-BR"/>
              </w:rPr>
              <w:lastRenderedPageBreak/>
              <w:t>x</w:t>
            </w:r>
          </w:p>
        </w:tc>
        <w:tc>
          <w:tcPr>
            <w:tcW w:w="482" w:type="dxa"/>
          </w:tcPr>
          <w:p w14:paraId="110BDAB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0ED3604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20" w:type="dxa"/>
          </w:tcPr>
          <w:p w14:paraId="5E22231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0" w:type="dxa"/>
          </w:tcPr>
          <w:p w14:paraId="5EA82CC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10" w:type="dxa"/>
          </w:tcPr>
          <w:p w14:paraId="74C998F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93" w:type="dxa"/>
            <w:gridSpan w:val="2"/>
          </w:tcPr>
          <w:p w14:paraId="74FE260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71" w:type="dxa"/>
          </w:tcPr>
          <w:p w14:paraId="5506B75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7DB4266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0331EDD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38" w:type="dxa"/>
          </w:tcPr>
          <w:p w14:paraId="2D7D785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40" w:type="dxa"/>
          </w:tcPr>
          <w:p w14:paraId="417D8BE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340925DF" w14:textId="77777777" w:rsidTr="009D0440">
        <w:trPr>
          <w:jc w:val="center"/>
        </w:trPr>
        <w:tc>
          <w:tcPr>
            <w:tcW w:w="393" w:type="dxa"/>
          </w:tcPr>
          <w:p w14:paraId="556EB73A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lastRenderedPageBreak/>
              <w:t>15</w:t>
            </w:r>
          </w:p>
        </w:tc>
        <w:tc>
          <w:tcPr>
            <w:tcW w:w="1120" w:type="dxa"/>
          </w:tcPr>
          <w:p w14:paraId="13781905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Mani et al. (2018)</w:t>
            </w:r>
          </w:p>
        </w:tc>
        <w:tc>
          <w:tcPr>
            <w:tcW w:w="965" w:type="dxa"/>
          </w:tcPr>
          <w:p w14:paraId="01648C58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India</w:t>
            </w:r>
          </w:p>
        </w:tc>
        <w:tc>
          <w:tcPr>
            <w:tcW w:w="1272" w:type="dxa"/>
          </w:tcPr>
          <w:p w14:paraId="0968AFF0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Multiple</w:t>
            </w:r>
          </w:p>
        </w:tc>
        <w:tc>
          <w:tcPr>
            <w:tcW w:w="2313" w:type="dxa"/>
          </w:tcPr>
          <w:p w14:paraId="103244DC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studied the benefits suppliers and buyers gain by effectively managing social sustainability issues.</w:t>
            </w:r>
          </w:p>
        </w:tc>
        <w:tc>
          <w:tcPr>
            <w:tcW w:w="1278" w:type="dxa"/>
          </w:tcPr>
          <w:p w14:paraId="73887383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Questionnaires</w:t>
            </w:r>
          </w:p>
        </w:tc>
        <w:tc>
          <w:tcPr>
            <w:tcW w:w="1357" w:type="dxa"/>
          </w:tcPr>
          <w:p w14:paraId="54C46B0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Social</w:t>
            </w:r>
          </w:p>
        </w:tc>
        <w:tc>
          <w:tcPr>
            <w:tcW w:w="1130" w:type="dxa"/>
          </w:tcPr>
          <w:p w14:paraId="0E49D1B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40FF36D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19E7BC6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6A32D31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3ADA05B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0" w:type="dxa"/>
          </w:tcPr>
          <w:p w14:paraId="591ABCF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</w:tcPr>
          <w:p w14:paraId="71D0F88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78DAF28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0296708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60676B9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7A967DE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7A6A05A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5067AA9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03253651" w14:textId="77777777" w:rsidTr="009D0440">
        <w:trPr>
          <w:jc w:val="center"/>
        </w:trPr>
        <w:tc>
          <w:tcPr>
            <w:tcW w:w="393" w:type="dxa"/>
          </w:tcPr>
          <w:p w14:paraId="5DFEB7DF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1120" w:type="dxa"/>
          </w:tcPr>
          <w:p w14:paraId="0FE0DA61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val="en-GB" w:eastAsia="pt-BR"/>
              </w:rPr>
            </w:pPr>
            <w:proofErr w:type="spellStart"/>
            <w:r w:rsidRPr="00513B2D">
              <w:rPr>
                <w:sz w:val="18"/>
                <w:szCs w:val="18"/>
                <w:lang w:val="en-GB" w:eastAsia="pt-BR"/>
              </w:rPr>
              <w:t>Sjauw</w:t>
            </w:r>
            <w:proofErr w:type="spellEnd"/>
            <w:r w:rsidRPr="00513B2D">
              <w:rPr>
                <w:sz w:val="18"/>
                <w:szCs w:val="18"/>
                <w:lang w:val="en-GB" w:eastAsia="pt-BR"/>
              </w:rPr>
              <w:t>-Koen-Fa et al. (2018)</w:t>
            </w:r>
          </w:p>
        </w:tc>
        <w:tc>
          <w:tcPr>
            <w:tcW w:w="965" w:type="dxa"/>
          </w:tcPr>
          <w:p w14:paraId="40267216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Indonesia and India</w:t>
            </w:r>
          </w:p>
        </w:tc>
        <w:tc>
          <w:tcPr>
            <w:tcW w:w="1272" w:type="dxa"/>
          </w:tcPr>
          <w:p w14:paraId="1DF38E56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Food</w:t>
            </w:r>
          </w:p>
        </w:tc>
        <w:tc>
          <w:tcPr>
            <w:tcW w:w="2313" w:type="dxa"/>
          </w:tcPr>
          <w:p w14:paraId="23A832A4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assessed the best way for food and agribusiness multinationals to include smallholder farmers in their supply strategies and to act sustainably.</w:t>
            </w:r>
          </w:p>
        </w:tc>
        <w:tc>
          <w:tcPr>
            <w:tcW w:w="1278" w:type="dxa"/>
          </w:tcPr>
          <w:p w14:paraId="06AB764D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 and observations</w:t>
            </w:r>
          </w:p>
        </w:tc>
        <w:tc>
          <w:tcPr>
            <w:tcW w:w="1357" w:type="dxa"/>
          </w:tcPr>
          <w:p w14:paraId="7AE62EB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 xml:space="preserve">Mix </w:t>
            </w:r>
          </w:p>
          <w:p w14:paraId="6B9A9B3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(Social and environmental)</w:t>
            </w:r>
          </w:p>
        </w:tc>
        <w:tc>
          <w:tcPr>
            <w:tcW w:w="1130" w:type="dxa"/>
          </w:tcPr>
          <w:p w14:paraId="25414F2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558600E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10DD7C2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  <w:gridSpan w:val="2"/>
          </w:tcPr>
          <w:p w14:paraId="1BF1B78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231A35B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3F8C9E5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10A3C4D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75C3B71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7053A34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53ACB8C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2439BB9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55DDFE5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40" w:type="dxa"/>
          </w:tcPr>
          <w:p w14:paraId="40727CA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39F753C9" w14:textId="77777777" w:rsidTr="009D0440">
        <w:trPr>
          <w:jc w:val="center"/>
        </w:trPr>
        <w:tc>
          <w:tcPr>
            <w:tcW w:w="393" w:type="dxa"/>
          </w:tcPr>
          <w:p w14:paraId="45A16983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17</w:t>
            </w:r>
          </w:p>
        </w:tc>
        <w:tc>
          <w:tcPr>
            <w:tcW w:w="1120" w:type="dxa"/>
          </w:tcPr>
          <w:p w14:paraId="5C59A740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Thong and Wong (2018)</w:t>
            </w:r>
          </w:p>
        </w:tc>
        <w:tc>
          <w:tcPr>
            <w:tcW w:w="965" w:type="dxa"/>
          </w:tcPr>
          <w:p w14:paraId="767218DD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Malaysia</w:t>
            </w:r>
          </w:p>
        </w:tc>
        <w:tc>
          <w:tcPr>
            <w:tcW w:w="1272" w:type="dxa"/>
          </w:tcPr>
          <w:p w14:paraId="1230D597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Multiple</w:t>
            </w:r>
          </w:p>
        </w:tc>
        <w:tc>
          <w:tcPr>
            <w:tcW w:w="2313" w:type="dxa"/>
          </w:tcPr>
          <w:p w14:paraId="767ECCB5" w14:textId="7D7D3C5B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 xml:space="preserve">They evidenced that a significant linkage between social practices and social performance is a pathway for the former </w:t>
            </w:r>
            <w:r w:rsidR="004B65A1" w:rsidRPr="00513B2D">
              <w:rPr>
                <w:sz w:val="18"/>
                <w:szCs w:val="18"/>
                <w:lang w:val="en-GB" w:eastAsia="pt-BR"/>
              </w:rPr>
              <w:t>t</w:t>
            </w:r>
            <w:r w:rsidRPr="00513B2D">
              <w:rPr>
                <w:sz w:val="18"/>
                <w:szCs w:val="18"/>
                <w:lang w:val="en-GB" w:eastAsia="pt-BR"/>
              </w:rPr>
              <w:t>o improve economic performance.</w:t>
            </w:r>
          </w:p>
        </w:tc>
        <w:tc>
          <w:tcPr>
            <w:tcW w:w="1278" w:type="dxa"/>
          </w:tcPr>
          <w:p w14:paraId="79802733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Questionnaires</w:t>
            </w:r>
          </w:p>
        </w:tc>
        <w:tc>
          <w:tcPr>
            <w:tcW w:w="1357" w:type="dxa"/>
          </w:tcPr>
          <w:p w14:paraId="446CBBA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TBL</w:t>
            </w:r>
          </w:p>
        </w:tc>
        <w:tc>
          <w:tcPr>
            <w:tcW w:w="1130" w:type="dxa"/>
          </w:tcPr>
          <w:p w14:paraId="1A67AD58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Resource-based view, Institutional theory</w:t>
            </w:r>
          </w:p>
        </w:tc>
        <w:tc>
          <w:tcPr>
            <w:tcW w:w="341" w:type="dxa"/>
          </w:tcPr>
          <w:p w14:paraId="1671BAE0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eastAsia="pt-BR"/>
              </w:rPr>
              <w:t>x</w:t>
            </w:r>
          </w:p>
        </w:tc>
        <w:tc>
          <w:tcPr>
            <w:tcW w:w="482" w:type="dxa"/>
          </w:tcPr>
          <w:p w14:paraId="241AD5CE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3488FCAE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20" w:type="dxa"/>
          </w:tcPr>
          <w:p w14:paraId="06526593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0" w:type="dxa"/>
          </w:tcPr>
          <w:p w14:paraId="220F5B05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10" w:type="dxa"/>
          </w:tcPr>
          <w:p w14:paraId="4223A582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93" w:type="dxa"/>
            <w:gridSpan w:val="2"/>
          </w:tcPr>
          <w:p w14:paraId="6C914C22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71" w:type="dxa"/>
          </w:tcPr>
          <w:p w14:paraId="1D22A160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54959E70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0AEC223B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38" w:type="dxa"/>
          </w:tcPr>
          <w:p w14:paraId="1FE9E85C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40" w:type="dxa"/>
          </w:tcPr>
          <w:p w14:paraId="6B83CA5D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</w:tr>
      <w:tr w:rsidR="00513B2D" w:rsidRPr="00513B2D" w14:paraId="37E1AC8C" w14:textId="77777777" w:rsidTr="009D0440">
        <w:trPr>
          <w:jc w:val="center"/>
        </w:trPr>
        <w:tc>
          <w:tcPr>
            <w:tcW w:w="393" w:type="dxa"/>
          </w:tcPr>
          <w:p w14:paraId="6056258D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120" w:type="dxa"/>
          </w:tcPr>
          <w:p w14:paraId="63EB82C3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Tong et al. (2018)</w:t>
            </w:r>
          </w:p>
        </w:tc>
        <w:tc>
          <w:tcPr>
            <w:tcW w:w="965" w:type="dxa"/>
          </w:tcPr>
          <w:p w14:paraId="5D046C4C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China</w:t>
            </w:r>
          </w:p>
        </w:tc>
        <w:tc>
          <w:tcPr>
            <w:tcW w:w="1272" w:type="dxa"/>
          </w:tcPr>
          <w:p w14:paraId="0DBB8A50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Multiple</w:t>
            </w:r>
          </w:p>
        </w:tc>
        <w:tc>
          <w:tcPr>
            <w:tcW w:w="2313" w:type="dxa"/>
          </w:tcPr>
          <w:p w14:paraId="6EB5C559" w14:textId="2690C65E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demonstrated situations whe</w:t>
            </w:r>
            <w:r w:rsidR="00187055" w:rsidRPr="00513B2D">
              <w:rPr>
                <w:sz w:val="18"/>
                <w:szCs w:val="18"/>
                <w:lang w:val="en-GB" w:eastAsia="pt-BR"/>
              </w:rPr>
              <w:t>re</w:t>
            </w:r>
            <w:r w:rsidRPr="00513B2D">
              <w:rPr>
                <w:sz w:val="18"/>
                <w:szCs w:val="18"/>
                <w:lang w:val="en-GB" w:eastAsia="pt-BR"/>
              </w:rPr>
              <w:t xml:space="preserve"> </w:t>
            </w:r>
            <w:r w:rsidR="00187055" w:rsidRPr="00513B2D">
              <w:rPr>
                <w:sz w:val="18"/>
                <w:szCs w:val="18"/>
                <w:lang w:val="en-GB" w:eastAsia="pt-BR"/>
              </w:rPr>
              <w:t>supportive governmental</w:t>
            </w:r>
            <w:r w:rsidRPr="00513B2D">
              <w:rPr>
                <w:sz w:val="18"/>
                <w:szCs w:val="18"/>
                <w:lang w:val="en-GB" w:eastAsia="pt-BR"/>
              </w:rPr>
              <w:t xml:space="preserve"> tactics can be more effective than punitive tactics.</w:t>
            </w:r>
          </w:p>
        </w:tc>
        <w:tc>
          <w:tcPr>
            <w:tcW w:w="1278" w:type="dxa"/>
          </w:tcPr>
          <w:p w14:paraId="4E60E091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Questionnaires</w:t>
            </w:r>
          </w:p>
        </w:tc>
        <w:tc>
          <w:tcPr>
            <w:tcW w:w="1357" w:type="dxa"/>
          </w:tcPr>
          <w:p w14:paraId="7593F09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Social</w:t>
            </w:r>
          </w:p>
        </w:tc>
        <w:tc>
          <w:tcPr>
            <w:tcW w:w="1130" w:type="dxa"/>
          </w:tcPr>
          <w:p w14:paraId="4782C45A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7EB37A59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46699760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  <w:gridSpan w:val="2"/>
          </w:tcPr>
          <w:p w14:paraId="5BE11F35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20" w:type="dxa"/>
          </w:tcPr>
          <w:p w14:paraId="66770C38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0" w:type="dxa"/>
          </w:tcPr>
          <w:p w14:paraId="001CA3A1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65BDFE73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44D76D00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177D7E75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4468FFBB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0B278FBD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07C2013B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40" w:type="dxa"/>
          </w:tcPr>
          <w:p w14:paraId="38B5F76C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4F693667" w14:textId="77777777" w:rsidTr="009D0440">
        <w:trPr>
          <w:jc w:val="center"/>
        </w:trPr>
        <w:tc>
          <w:tcPr>
            <w:tcW w:w="393" w:type="dxa"/>
          </w:tcPr>
          <w:p w14:paraId="67A5472E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19</w:t>
            </w:r>
          </w:p>
        </w:tc>
        <w:tc>
          <w:tcPr>
            <w:tcW w:w="1120" w:type="dxa"/>
          </w:tcPr>
          <w:p w14:paraId="4AA8A520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Akbar and Ahsan (2019)</w:t>
            </w:r>
          </w:p>
        </w:tc>
        <w:tc>
          <w:tcPr>
            <w:tcW w:w="965" w:type="dxa"/>
          </w:tcPr>
          <w:p w14:paraId="42D3884D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Bangladesh</w:t>
            </w:r>
          </w:p>
        </w:tc>
        <w:tc>
          <w:tcPr>
            <w:tcW w:w="1272" w:type="dxa"/>
          </w:tcPr>
          <w:p w14:paraId="4820DD58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2FD85DF9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investigated the challenges faced by suppliers in implementing safety-compliant workplaces.</w:t>
            </w:r>
          </w:p>
        </w:tc>
        <w:tc>
          <w:tcPr>
            <w:tcW w:w="1278" w:type="dxa"/>
          </w:tcPr>
          <w:p w14:paraId="1A99ED9B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</w:t>
            </w:r>
          </w:p>
        </w:tc>
        <w:tc>
          <w:tcPr>
            <w:tcW w:w="1357" w:type="dxa"/>
          </w:tcPr>
          <w:p w14:paraId="1E3D061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Social</w:t>
            </w:r>
          </w:p>
        </w:tc>
        <w:tc>
          <w:tcPr>
            <w:tcW w:w="1130" w:type="dxa"/>
          </w:tcPr>
          <w:p w14:paraId="26203FD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3E3E8CA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00A793B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  <w:gridSpan w:val="2"/>
          </w:tcPr>
          <w:p w14:paraId="37DA257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20" w:type="dxa"/>
          </w:tcPr>
          <w:p w14:paraId="46DC7EE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13FE4BF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1DB47AC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93" w:type="dxa"/>
            <w:gridSpan w:val="2"/>
          </w:tcPr>
          <w:p w14:paraId="2FD7D5E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0636BB9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7CC674A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64770A3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45D05D2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6592E50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11622966" w14:textId="77777777" w:rsidTr="009D0440">
        <w:trPr>
          <w:jc w:val="center"/>
        </w:trPr>
        <w:tc>
          <w:tcPr>
            <w:tcW w:w="393" w:type="dxa"/>
          </w:tcPr>
          <w:p w14:paraId="1258E6BC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1120" w:type="dxa"/>
          </w:tcPr>
          <w:p w14:paraId="7798818D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Al-Esmael et al. (2019)</w:t>
            </w:r>
          </w:p>
        </w:tc>
        <w:tc>
          <w:tcPr>
            <w:tcW w:w="965" w:type="dxa"/>
          </w:tcPr>
          <w:p w14:paraId="30AEF476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Qatar and Oman</w:t>
            </w:r>
          </w:p>
        </w:tc>
        <w:tc>
          <w:tcPr>
            <w:tcW w:w="1272" w:type="dxa"/>
          </w:tcPr>
          <w:p w14:paraId="42E51E9F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Manufacturing</w:t>
            </w:r>
          </w:p>
        </w:tc>
        <w:tc>
          <w:tcPr>
            <w:tcW w:w="2313" w:type="dxa"/>
          </w:tcPr>
          <w:p w14:paraId="6AD485BD" w14:textId="605CDB8A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examined the barriers to socially responsible behaviour by small and medium-sized suppliers.</w:t>
            </w:r>
          </w:p>
        </w:tc>
        <w:tc>
          <w:tcPr>
            <w:tcW w:w="1278" w:type="dxa"/>
          </w:tcPr>
          <w:p w14:paraId="761B848A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Questionnaires</w:t>
            </w:r>
          </w:p>
        </w:tc>
        <w:tc>
          <w:tcPr>
            <w:tcW w:w="1357" w:type="dxa"/>
          </w:tcPr>
          <w:p w14:paraId="18B89D1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Social</w:t>
            </w:r>
          </w:p>
        </w:tc>
        <w:tc>
          <w:tcPr>
            <w:tcW w:w="1130" w:type="dxa"/>
          </w:tcPr>
          <w:p w14:paraId="7D6F580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33916BE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6CE612F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  <w:gridSpan w:val="2"/>
          </w:tcPr>
          <w:p w14:paraId="5172DD4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20" w:type="dxa"/>
          </w:tcPr>
          <w:p w14:paraId="3E9FF2B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192E3A7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1D8653C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4548E3F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185F53E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1C237DF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18A468E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7658A57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40" w:type="dxa"/>
          </w:tcPr>
          <w:p w14:paraId="41D1316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0E3EC292" w14:textId="77777777" w:rsidTr="009D0440">
        <w:trPr>
          <w:jc w:val="center"/>
        </w:trPr>
        <w:tc>
          <w:tcPr>
            <w:tcW w:w="393" w:type="dxa"/>
          </w:tcPr>
          <w:p w14:paraId="7DDAD8C3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120" w:type="dxa"/>
          </w:tcPr>
          <w:p w14:paraId="4FBA9F35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Chen and Chen (2019)</w:t>
            </w:r>
          </w:p>
        </w:tc>
        <w:tc>
          <w:tcPr>
            <w:tcW w:w="965" w:type="dxa"/>
          </w:tcPr>
          <w:p w14:paraId="457AA386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China</w:t>
            </w:r>
          </w:p>
        </w:tc>
        <w:tc>
          <w:tcPr>
            <w:tcW w:w="1272" w:type="dxa"/>
          </w:tcPr>
          <w:p w14:paraId="0CE01B68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Multiple</w:t>
            </w:r>
          </w:p>
        </w:tc>
        <w:tc>
          <w:tcPr>
            <w:tcW w:w="2313" w:type="dxa"/>
          </w:tcPr>
          <w:p w14:paraId="0C882273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studied how buyers’ use of power may incite varying perceptions of justice from suppliers that affect sustainable supplier performance.</w:t>
            </w:r>
          </w:p>
        </w:tc>
        <w:tc>
          <w:tcPr>
            <w:tcW w:w="1278" w:type="dxa"/>
          </w:tcPr>
          <w:p w14:paraId="5D9E5C0F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Questionnaires</w:t>
            </w:r>
          </w:p>
        </w:tc>
        <w:tc>
          <w:tcPr>
            <w:tcW w:w="1357" w:type="dxa"/>
          </w:tcPr>
          <w:p w14:paraId="1F3E93D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TBL</w:t>
            </w:r>
          </w:p>
        </w:tc>
        <w:tc>
          <w:tcPr>
            <w:tcW w:w="1130" w:type="dxa"/>
          </w:tcPr>
          <w:p w14:paraId="3EB9E077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Prospect theory</w:t>
            </w:r>
          </w:p>
        </w:tc>
        <w:tc>
          <w:tcPr>
            <w:tcW w:w="341" w:type="dxa"/>
          </w:tcPr>
          <w:p w14:paraId="7BE514C3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1E5A6D62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0E231BDA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20" w:type="dxa"/>
          </w:tcPr>
          <w:p w14:paraId="73F0261A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0" w:type="dxa"/>
          </w:tcPr>
          <w:p w14:paraId="5EF29E37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1CAC9E0B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2537BB5A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661B3DBD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3E1C77E4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653045CF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07F30A31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40" w:type="dxa"/>
          </w:tcPr>
          <w:p w14:paraId="11DAB42C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</w:tr>
      <w:tr w:rsidR="00513B2D" w:rsidRPr="00513B2D" w14:paraId="09B741E6" w14:textId="77777777" w:rsidTr="009D0440">
        <w:trPr>
          <w:trHeight w:val="669"/>
          <w:jc w:val="center"/>
        </w:trPr>
        <w:tc>
          <w:tcPr>
            <w:tcW w:w="393" w:type="dxa"/>
          </w:tcPr>
          <w:p w14:paraId="18BB1290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lastRenderedPageBreak/>
              <w:t>22</w:t>
            </w:r>
          </w:p>
        </w:tc>
        <w:tc>
          <w:tcPr>
            <w:tcW w:w="1120" w:type="dxa"/>
          </w:tcPr>
          <w:p w14:paraId="5BC3E8A4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Fontana and Egels</w:t>
            </w:r>
            <w:r w:rsidRPr="00513B2D">
              <w:rPr>
                <w:rFonts w:ascii="Cambria Math" w:hAnsi="Cambria Math" w:cs="Cambria Math"/>
                <w:sz w:val="18"/>
                <w:szCs w:val="18"/>
                <w:lang w:eastAsia="pt-BR"/>
              </w:rPr>
              <w:t>‑</w:t>
            </w:r>
            <w:r w:rsidRPr="00513B2D">
              <w:rPr>
                <w:sz w:val="18"/>
                <w:szCs w:val="18"/>
                <w:lang w:eastAsia="pt-BR"/>
              </w:rPr>
              <w:t>Zanden (2019)</w:t>
            </w:r>
          </w:p>
        </w:tc>
        <w:tc>
          <w:tcPr>
            <w:tcW w:w="965" w:type="dxa"/>
          </w:tcPr>
          <w:p w14:paraId="05C0BC9D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Bangladesh</w:t>
            </w:r>
          </w:p>
        </w:tc>
        <w:tc>
          <w:tcPr>
            <w:tcW w:w="1272" w:type="dxa"/>
          </w:tcPr>
          <w:p w14:paraId="4E108F21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6C4FB263" w14:textId="287DF3D6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applied the inter-organizational network approach to the global value chain literature to understand the influence of suppliers’ collective behaviour on their corporate social responsibility engagement.</w:t>
            </w:r>
          </w:p>
        </w:tc>
        <w:tc>
          <w:tcPr>
            <w:tcW w:w="1278" w:type="dxa"/>
          </w:tcPr>
          <w:p w14:paraId="487B7228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</w:t>
            </w:r>
          </w:p>
        </w:tc>
        <w:tc>
          <w:tcPr>
            <w:tcW w:w="1357" w:type="dxa"/>
          </w:tcPr>
          <w:p w14:paraId="42D73B7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Social</w:t>
            </w:r>
          </w:p>
        </w:tc>
        <w:tc>
          <w:tcPr>
            <w:tcW w:w="1130" w:type="dxa"/>
          </w:tcPr>
          <w:p w14:paraId="56119415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7B6ABE85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491BECCD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4F58514F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0A341F91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0" w:type="dxa"/>
          </w:tcPr>
          <w:p w14:paraId="0CABA551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2FF1CB46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93" w:type="dxa"/>
            <w:gridSpan w:val="2"/>
          </w:tcPr>
          <w:p w14:paraId="6A1014C5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05F9A954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55E1B43C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4ECC4EE4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0EFB6CA7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5E8404C1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1144D3EA" w14:textId="77777777" w:rsidTr="009D0440">
        <w:trPr>
          <w:jc w:val="center"/>
        </w:trPr>
        <w:tc>
          <w:tcPr>
            <w:tcW w:w="393" w:type="dxa"/>
          </w:tcPr>
          <w:p w14:paraId="5667C99A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23</w:t>
            </w:r>
          </w:p>
        </w:tc>
        <w:tc>
          <w:tcPr>
            <w:tcW w:w="1120" w:type="dxa"/>
          </w:tcPr>
          <w:p w14:paraId="66AE09DC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Hajjar et al. (2019)</w:t>
            </w:r>
          </w:p>
        </w:tc>
        <w:tc>
          <w:tcPr>
            <w:tcW w:w="965" w:type="dxa"/>
          </w:tcPr>
          <w:p w14:paraId="3DBD32DC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Brazil</w:t>
            </w:r>
          </w:p>
        </w:tc>
        <w:tc>
          <w:tcPr>
            <w:tcW w:w="1272" w:type="dxa"/>
          </w:tcPr>
          <w:p w14:paraId="1E54F804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Food</w:t>
            </w:r>
          </w:p>
        </w:tc>
        <w:tc>
          <w:tcPr>
            <w:tcW w:w="2313" w:type="dxa"/>
          </w:tcPr>
          <w:p w14:paraId="3CBB7FFA" w14:textId="1B16CB08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analysed how governance mechanisms are influenced by environmental, market</w:t>
            </w:r>
            <w:r w:rsidR="0060114E" w:rsidRPr="00513B2D">
              <w:rPr>
                <w:sz w:val="18"/>
                <w:szCs w:val="18"/>
                <w:lang w:val="en-GB" w:eastAsia="pt-BR"/>
              </w:rPr>
              <w:t>,</w:t>
            </w:r>
            <w:r w:rsidRPr="00513B2D">
              <w:rPr>
                <w:sz w:val="18"/>
                <w:szCs w:val="18"/>
                <w:lang w:val="en-GB" w:eastAsia="pt-BR"/>
              </w:rPr>
              <w:t xml:space="preserve"> and social geographies that differ from each other and across sectors.</w:t>
            </w:r>
          </w:p>
        </w:tc>
        <w:tc>
          <w:tcPr>
            <w:tcW w:w="1278" w:type="dxa"/>
          </w:tcPr>
          <w:p w14:paraId="00298173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</w:t>
            </w:r>
          </w:p>
        </w:tc>
        <w:tc>
          <w:tcPr>
            <w:tcW w:w="1357" w:type="dxa"/>
          </w:tcPr>
          <w:p w14:paraId="5357D44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Mix (Social and environmental)</w:t>
            </w:r>
          </w:p>
        </w:tc>
        <w:tc>
          <w:tcPr>
            <w:tcW w:w="1130" w:type="dxa"/>
          </w:tcPr>
          <w:p w14:paraId="6B773D7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587D399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2" w:type="dxa"/>
          </w:tcPr>
          <w:p w14:paraId="57176DB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38D9A64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10CBE71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796DA1F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</w:tcPr>
          <w:p w14:paraId="7DEB728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4C963B6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71" w:type="dxa"/>
          </w:tcPr>
          <w:p w14:paraId="3A71B07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368B9B1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24C9EE1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71BECFC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4036CC3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45EF45A1" w14:textId="77777777" w:rsidTr="009D0440">
        <w:trPr>
          <w:jc w:val="center"/>
        </w:trPr>
        <w:tc>
          <w:tcPr>
            <w:tcW w:w="393" w:type="dxa"/>
          </w:tcPr>
          <w:p w14:paraId="18827680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120" w:type="dxa"/>
          </w:tcPr>
          <w:p w14:paraId="6008D2B5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Koster et al. (2019)</w:t>
            </w:r>
          </w:p>
        </w:tc>
        <w:tc>
          <w:tcPr>
            <w:tcW w:w="965" w:type="dxa"/>
          </w:tcPr>
          <w:p w14:paraId="4D884B29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India</w:t>
            </w:r>
          </w:p>
        </w:tc>
        <w:tc>
          <w:tcPr>
            <w:tcW w:w="1272" w:type="dxa"/>
          </w:tcPr>
          <w:p w14:paraId="00B842D5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Multiple</w:t>
            </w:r>
          </w:p>
        </w:tc>
        <w:tc>
          <w:tcPr>
            <w:tcW w:w="2313" w:type="dxa"/>
          </w:tcPr>
          <w:p w14:paraId="37E89E2D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researched the factors and barriers to the adoption of social responsibility.</w:t>
            </w:r>
          </w:p>
        </w:tc>
        <w:tc>
          <w:tcPr>
            <w:tcW w:w="1278" w:type="dxa"/>
          </w:tcPr>
          <w:p w14:paraId="7208F20C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 and secondary sources</w:t>
            </w:r>
          </w:p>
        </w:tc>
        <w:tc>
          <w:tcPr>
            <w:tcW w:w="1357" w:type="dxa"/>
          </w:tcPr>
          <w:p w14:paraId="5C3AA98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Social</w:t>
            </w:r>
          </w:p>
        </w:tc>
        <w:tc>
          <w:tcPr>
            <w:tcW w:w="1130" w:type="dxa"/>
          </w:tcPr>
          <w:p w14:paraId="51865A9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Institutional theory</w:t>
            </w:r>
          </w:p>
        </w:tc>
        <w:tc>
          <w:tcPr>
            <w:tcW w:w="341" w:type="dxa"/>
          </w:tcPr>
          <w:p w14:paraId="2A4D1AD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6B0B330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27B1384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20" w:type="dxa"/>
          </w:tcPr>
          <w:p w14:paraId="54C8161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1B05441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3411A28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2395317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2D9892C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5144AF1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52FEFA4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1AD42A3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40" w:type="dxa"/>
          </w:tcPr>
          <w:p w14:paraId="58656C0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3057CF8A" w14:textId="77777777" w:rsidTr="009D0440">
        <w:trPr>
          <w:jc w:val="center"/>
        </w:trPr>
        <w:tc>
          <w:tcPr>
            <w:tcW w:w="393" w:type="dxa"/>
          </w:tcPr>
          <w:p w14:paraId="074F0496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25</w:t>
            </w:r>
          </w:p>
        </w:tc>
        <w:tc>
          <w:tcPr>
            <w:tcW w:w="1120" w:type="dxa"/>
          </w:tcPr>
          <w:p w14:paraId="7D6FB2D3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Nayak et al. (2019)</w:t>
            </w:r>
          </w:p>
        </w:tc>
        <w:tc>
          <w:tcPr>
            <w:tcW w:w="965" w:type="dxa"/>
          </w:tcPr>
          <w:p w14:paraId="412C3BAB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Vietnam</w:t>
            </w:r>
          </w:p>
        </w:tc>
        <w:tc>
          <w:tcPr>
            <w:tcW w:w="1272" w:type="dxa"/>
          </w:tcPr>
          <w:p w14:paraId="58F9E211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056282F1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studied recent trends of sustainability in the fashion sector.</w:t>
            </w:r>
          </w:p>
        </w:tc>
        <w:tc>
          <w:tcPr>
            <w:tcW w:w="1278" w:type="dxa"/>
          </w:tcPr>
          <w:p w14:paraId="2F460615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</w:t>
            </w:r>
          </w:p>
        </w:tc>
        <w:tc>
          <w:tcPr>
            <w:tcW w:w="1357" w:type="dxa"/>
          </w:tcPr>
          <w:p w14:paraId="2C6425C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TBL</w:t>
            </w:r>
          </w:p>
        </w:tc>
        <w:tc>
          <w:tcPr>
            <w:tcW w:w="1130" w:type="dxa"/>
          </w:tcPr>
          <w:p w14:paraId="1909139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41" w:type="dxa"/>
          </w:tcPr>
          <w:p w14:paraId="0C413D5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2" w:type="dxa"/>
          </w:tcPr>
          <w:p w14:paraId="3DDB9A0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2CB20EA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45E941B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80" w:type="dxa"/>
          </w:tcPr>
          <w:p w14:paraId="208BA90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10" w:type="dxa"/>
          </w:tcPr>
          <w:p w14:paraId="28E15D2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68C027B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71" w:type="dxa"/>
          </w:tcPr>
          <w:p w14:paraId="2EC0834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2A7A096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26C8560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6E98B2D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40" w:type="dxa"/>
          </w:tcPr>
          <w:p w14:paraId="7312B93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07D63B2F" w14:textId="77777777" w:rsidTr="009D0440">
        <w:trPr>
          <w:jc w:val="center"/>
        </w:trPr>
        <w:tc>
          <w:tcPr>
            <w:tcW w:w="393" w:type="dxa"/>
          </w:tcPr>
          <w:p w14:paraId="33C1BE45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26</w:t>
            </w:r>
          </w:p>
        </w:tc>
        <w:tc>
          <w:tcPr>
            <w:tcW w:w="1120" w:type="dxa"/>
          </w:tcPr>
          <w:p w14:paraId="2AAD2E71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Akbar and Ahsan (2020)</w:t>
            </w:r>
          </w:p>
        </w:tc>
        <w:tc>
          <w:tcPr>
            <w:tcW w:w="965" w:type="dxa"/>
          </w:tcPr>
          <w:p w14:paraId="50DB6291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Bangladesh</w:t>
            </w:r>
          </w:p>
        </w:tc>
        <w:tc>
          <w:tcPr>
            <w:tcW w:w="1272" w:type="dxa"/>
          </w:tcPr>
          <w:p w14:paraId="0B613364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2AFD2738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found the challenges faced by suppliers in implementing social sustainability initiatives. They are mainly related to resource and institutional issues.</w:t>
            </w:r>
          </w:p>
        </w:tc>
        <w:tc>
          <w:tcPr>
            <w:tcW w:w="1278" w:type="dxa"/>
          </w:tcPr>
          <w:p w14:paraId="4CD66968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Interviews</w:t>
            </w:r>
          </w:p>
        </w:tc>
        <w:tc>
          <w:tcPr>
            <w:tcW w:w="1357" w:type="dxa"/>
          </w:tcPr>
          <w:p w14:paraId="5896A15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Social</w:t>
            </w:r>
          </w:p>
        </w:tc>
        <w:tc>
          <w:tcPr>
            <w:tcW w:w="1130" w:type="dxa"/>
          </w:tcPr>
          <w:p w14:paraId="25B9137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Resource-based view,</w:t>
            </w:r>
          </w:p>
          <w:p w14:paraId="482BF22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neo-institutional theory</w:t>
            </w:r>
          </w:p>
        </w:tc>
        <w:tc>
          <w:tcPr>
            <w:tcW w:w="341" w:type="dxa"/>
          </w:tcPr>
          <w:p w14:paraId="58F49D2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2" w:type="dxa"/>
          </w:tcPr>
          <w:p w14:paraId="3B3EA23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10" w:type="dxa"/>
            <w:gridSpan w:val="2"/>
          </w:tcPr>
          <w:p w14:paraId="6CE2BE4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20" w:type="dxa"/>
          </w:tcPr>
          <w:p w14:paraId="51AB560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3510447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4C1EDDE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93" w:type="dxa"/>
            <w:gridSpan w:val="2"/>
          </w:tcPr>
          <w:p w14:paraId="5734810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71" w:type="dxa"/>
          </w:tcPr>
          <w:p w14:paraId="1446984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734D82A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7F9977A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38" w:type="dxa"/>
          </w:tcPr>
          <w:p w14:paraId="3D91781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40" w:type="dxa"/>
          </w:tcPr>
          <w:p w14:paraId="10B8425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2E459775" w14:textId="77777777" w:rsidTr="009D0440">
        <w:trPr>
          <w:trHeight w:val="730"/>
          <w:jc w:val="center"/>
        </w:trPr>
        <w:tc>
          <w:tcPr>
            <w:tcW w:w="393" w:type="dxa"/>
          </w:tcPr>
          <w:p w14:paraId="40A92E4D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1120" w:type="dxa"/>
          </w:tcPr>
          <w:p w14:paraId="35620A9A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Baig et al. (2020)</w:t>
            </w:r>
          </w:p>
        </w:tc>
        <w:tc>
          <w:tcPr>
            <w:tcW w:w="965" w:type="dxa"/>
          </w:tcPr>
          <w:p w14:paraId="0D3D8C7E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Pakistan</w:t>
            </w:r>
          </w:p>
        </w:tc>
        <w:tc>
          <w:tcPr>
            <w:tcW w:w="1272" w:type="dxa"/>
          </w:tcPr>
          <w:p w14:paraId="0D436963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6E2EA380" w14:textId="5477C54D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studied the key barriers that hinder the adoption of sustainable supply chain management practices and firm performance and the effect of firm size in tackling these barriers.</w:t>
            </w:r>
          </w:p>
        </w:tc>
        <w:tc>
          <w:tcPr>
            <w:tcW w:w="1278" w:type="dxa"/>
          </w:tcPr>
          <w:p w14:paraId="0E43499C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Questionnaires</w:t>
            </w:r>
          </w:p>
        </w:tc>
        <w:tc>
          <w:tcPr>
            <w:tcW w:w="1357" w:type="dxa"/>
          </w:tcPr>
          <w:p w14:paraId="466B8C8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TBL</w:t>
            </w:r>
          </w:p>
        </w:tc>
        <w:tc>
          <w:tcPr>
            <w:tcW w:w="1130" w:type="dxa"/>
          </w:tcPr>
          <w:p w14:paraId="26FC2E3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Stakeholder theory</w:t>
            </w:r>
          </w:p>
        </w:tc>
        <w:tc>
          <w:tcPr>
            <w:tcW w:w="341" w:type="dxa"/>
          </w:tcPr>
          <w:p w14:paraId="33855C1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2" w:type="dxa"/>
          </w:tcPr>
          <w:p w14:paraId="1E2A474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10" w:type="dxa"/>
            <w:gridSpan w:val="2"/>
          </w:tcPr>
          <w:p w14:paraId="56FD4AB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20" w:type="dxa"/>
          </w:tcPr>
          <w:p w14:paraId="4E28BCE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0BE3C30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3BBCFC7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93" w:type="dxa"/>
            <w:gridSpan w:val="2"/>
          </w:tcPr>
          <w:p w14:paraId="5C2D574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71" w:type="dxa"/>
          </w:tcPr>
          <w:p w14:paraId="527A7C5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4001C46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1ED80A8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38" w:type="dxa"/>
          </w:tcPr>
          <w:p w14:paraId="611944A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40" w:type="dxa"/>
          </w:tcPr>
          <w:p w14:paraId="216B591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26AEA746" w14:textId="77777777" w:rsidTr="009D0440">
        <w:trPr>
          <w:trHeight w:val="729"/>
          <w:jc w:val="center"/>
        </w:trPr>
        <w:tc>
          <w:tcPr>
            <w:tcW w:w="393" w:type="dxa"/>
          </w:tcPr>
          <w:p w14:paraId="3ED01DA6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1120" w:type="dxa"/>
          </w:tcPr>
          <w:p w14:paraId="510E4158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Huq and Stevenson (2020)</w:t>
            </w:r>
          </w:p>
        </w:tc>
        <w:tc>
          <w:tcPr>
            <w:tcW w:w="965" w:type="dxa"/>
          </w:tcPr>
          <w:p w14:paraId="2AEDB738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Bangladesh</w:t>
            </w:r>
          </w:p>
        </w:tc>
        <w:tc>
          <w:tcPr>
            <w:tcW w:w="1272" w:type="dxa"/>
          </w:tcPr>
          <w:p w14:paraId="7C9AA88C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5440EE75" w14:textId="5A7B7CE4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 xml:space="preserve">They studied the effectiveness of the pressures placed upon suppliers </w:t>
            </w:r>
            <w:r w:rsidR="001575C1" w:rsidRPr="00513B2D">
              <w:rPr>
                <w:sz w:val="18"/>
                <w:szCs w:val="18"/>
                <w:lang w:val="en-GB" w:eastAsia="pt-BR"/>
              </w:rPr>
              <w:t>to implement</w:t>
            </w:r>
            <w:r w:rsidRPr="00513B2D">
              <w:rPr>
                <w:sz w:val="18"/>
                <w:szCs w:val="18"/>
                <w:lang w:val="en-GB" w:eastAsia="pt-BR"/>
              </w:rPr>
              <w:t xml:space="preserve"> socially sustainable practices.</w:t>
            </w:r>
          </w:p>
        </w:tc>
        <w:tc>
          <w:tcPr>
            <w:tcW w:w="1278" w:type="dxa"/>
          </w:tcPr>
          <w:p w14:paraId="5A08D20C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Interviews</w:t>
            </w:r>
          </w:p>
        </w:tc>
        <w:tc>
          <w:tcPr>
            <w:tcW w:w="1357" w:type="dxa"/>
          </w:tcPr>
          <w:p w14:paraId="1F6F048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Social</w:t>
            </w:r>
          </w:p>
        </w:tc>
        <w:tc>
          <w:tcPr>
            <w:tcW w:w="1130" w:type="dxa"/>
          </w:tcPr>
          <w:p w14:paraId="010CA32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Institutional theory</w:t>
            </w:r>
          </w:p>
        </w:tc>
        <w:tc>
          <w:tcPr>
            <w:tcW w:w="341" w:type="dxa"/>
          </w:tcPr>
          <w:p w14:paraId="5CDBE44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eastAsia="pt-BR"/>
              </w:rPr>
              <w:t>x</w:t>
            </w:r>
          </w:p>
        </w:tc>
        <w:tc>
          <w:tcPr>
            <w:tcW w:w="482" w:type="dxa"/>
          </w:tcPr>
          <w:p w14:paraId="7AD1AB8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58AEF5C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20" w:type="dxa"/>
          </w:tcPr>
          <w:p w14:paraId="4B18682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0260803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4B2405A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93" w:type="dxa"/>
            <w:gridSpan w:val="2"/>
          </w:tcPr>
          <w:p w14:paraId="3FFA275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71" w:type="dxa"/>
          </w:tcPr>
          <w:p w14:paraId="7AC5457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638" w:type="dxa"/>
          </w:tcPr>
          <w:p w14:paraId="7D07044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519" w:type="dxa"/>
            <w:gridSpan w:val="2"/>
          </w:tcPr>
          <w:p w14:paraId="113B0E9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38" w:type="dxa"/>
          </w:tcPr>
          <w:p w14:paraId="21ABED7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  <w:tc>
          <w:tcPr>
            <w:tcW w:w="440" w:type="dxa"/>
          </w:tcPr>
          <w:p w14:paraId="5BC16E3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eastAsia="pt-BR"/>
              </w:rPr>
            </w:pPr>
          </w:p>
        </w:tc>
      </w:tr>
      <w:tr w:rsidR="00513B2D" w:rsidRPr="00513B2D" w14:paraId="001C47BD" w14:textId="77777777" w:rsidTr="009D0440">
        <w:trPr>
          <w:trHeight w:val="284"/>
          <w:jc w:val="center"/>
        </w:trPr>
        <w:tc>
          <w:tcPr>
            <w:tcW w:w="393" w:type="dxa"/>
          </w:tcPr>
          <w:p w14:paraId="1553FA1B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29</w:t>
            </w:r>
          </w:p>
        </w:tc>
        <w:tc>
          <w:tcPr>
            <w:tcW w:w="1120" w:type="dxa"/>
          </w:tcPr>
          <w:p w14:paraId="51AE90D6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Venkatesh et al. (2020)</w:t>
            </w:r>
          </w:p>
        </w:tc>
        <w:tc>
          <w:tcPr>
            <w:tcW w:w="965" w:type="dxa"/>
          </w:tcPr>
          <w:p w14:paraId="30F72FF8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India</w:t>
            </w:r>
          </w:p>
        </w:tc>
        <w:tc>
          <w:tcPr>
            <w:tcW w:w="1272" w:type="dxa"/>
          </w:tcPr>
          <w:p w14:paraId="15F808D9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677838CF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 xml:space="preserve">They investigated the sub-supplier governance by supplier focusing on the </w:t>
            </w:r>
            <w:r w:rsidRPr="00513B2D">
              <w:rPr>
                <w:sz w:val="18"/>
                <w:szCs w:val="18"/>
                <w:lang w:val="en-GB" w:eastAsia="pt-BR"/>
              </w:rPr>
              <w:lastRenderedPageBreak/>
              <w:t>critical drivers of sub-supplier social sustainability compliance.</w:t>
            </w:r>
          </w:p>
        </w:tc>
        <w:tc>
          <w:tcPr>
            <w:tcW w:w="1278" w:type="dxa"/>
          </w:tcPr>
          <w:p w14:paraId="0A283E16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lastRenderedPageBreak/>
              <w:t>Interviews</w:t>
            </w:r>
          </w:p>
        </w:tc>
        <w:tc>
          <w:tcPr>
            <w:tcW w:w="1357" w:type="dxa"/>
          </w:tcPr>
          <w:p w14:paraId="44E2802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Social</w:t>
            </w:r>
          </w:p>
        </w:tc>
        <w:tc>
          <w:tcPr>
            <w:tcW w:w="1130" w:type="dxa"/>
          </w:tcPr>
          <w:p w14:paraId="405B077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-</w:t>
            </w:r>
          </w:p>
        </w:tc>
        <w:tc>
          <w:tcPr>
            <w:tcW w:w="341" w:type="dxa"/>
          </w:tcPr>
          <w:p w14:paraId="7F3991D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eastAsia="pt-BR"/>
              </w:rPr>
              <w:t>x</w:t>
            </w:r>
          </w:p>
        </w:tc>
        <w:tc>
          <w:tcPr>
            <w:tcW w:w="482" w:type="dxa"/>
          </w:tcPr>
          <w:p w14:paraId="5E9D588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555AD28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184BF69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0" w:type="dxa"/>
          </w:tcPr>
          <w:p w14:paraId="3540AFE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0DA882E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93" w:type="dxa"/>
            <w:gridSpan w:val="2"/>
          </w:tcPr>
          <w:p w14:paraId="14B3109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71" w:type="dxa"/>
          </w:tcPr>
          <w:p w14:paraId="34914D6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455401C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42D4E51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38" w:type="dxa"/>
          </w:tcPr>
          <w:p w14:paraId="7C658D3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40" w:type="dxa"/>
          </w:tcPr>
          <w:p w14:paraId="5EE7DD2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3F9369FB" w14:textId="77777777" w:rsidTr="009D0440">
        <w:trPr>
          <w:trHeight w:val="397"/>
          <w:jc w:val="center"/>
        </w:trPr>
        <w:tc>
          <w:tcPr>
            <w:tcW w:w="393" w:type="dxa"/>
          </w:tcPr>
          <w:p w14:paraId="57F8C8F8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lastRenderedPageBreak/>
              <w:t>30</w:t>
            </w:r>
          </w:p>
        </w:tc>
        <w:tc>
          <w:tcPr>
            <w:tcW w:w="1120" w:type="dxa"/>
          </w:tcPr>
          <w:p w14:paraId="7E42AB7B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Venkatesh et al. (2021)</w:t>
            </w:r>
          </w:p>
        </w:tc>
        <w:tc>
          <w:tcPr>
            <w:tcW w:w="965" w:type="dxa"/>
          </w:tcPr>
          <w:p w14:paraId="5EB990A8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India</w:t>
            </w:r>
          </w:p>
        </w:tc>
        <w:tc>
          <w:tcPr>
            <w:tcW w:w="1272" w:type="dxa"/>
          </w:tcPr>
          <w:p w14:paraId="0FEF6A5B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6ECFD90E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studied social sustainability governance by</w:t>
            </w:r>
          </w:p>
          <w:p w14:paraId="36C6F089" w14:textId="7EDFBDAF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proofErr w:type="gramStart"/>
            <w:r w:rsidRPr="00513B2D">
              <w:rPr>
                <w:sz w:val="18"/>
                <w:szCs w:val="18"/>
                <w:lang w:val="en-GB" w:eastAsia="pt-BR"/>
              </w:rPr>
              <w:t>utilizing</w:t>
            </w:r>
            <w:proofErr w:type="gramEnd"/>
            <w:r w:rsidRPr="00513B2D">
              <w:rPr>
                <w:sz w:val="18"/>
                <w:szCs w:val="18"/>
                <w:lang w:val="en-GB" w:eastAsia="pt-BR"/>
              </w:rPr>
              <w:t xml:space="preserve"> a causal-effect analysis to classify noncompliance antecedents into causal and effect groups and analyse the interactions.</w:t>
            </w:r>
          </w:p>
        </w:tc>
        <w:tc>
          <w:tcPr>
            <w:tcW w:w="1278" w:type="dxa"/>
          </w:tcPr>
          <w:p w14:paraId="09069AC1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Interviews</w:t>
            </w:r>
          </w:p>
          <w:p w14:paraId="5D6B8F91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1357" w:type="dxa"/>
          </w:tcPr>
          <w:p w14:paraId="026F830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Social</w:t>
            </w:r>
          </w:p>
        </w:tc>
        <w:tc>
          <w:tcPr>
            <w:tcW w:w="1130" w:type="dxa"/>
          </w:tcPr>
          <w:p w14:paraId="0B022C6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Stakeholder theory and theory of reasoned action</w:t>
            </w:r>
          </w:p>
        </w:tc>
        <w:tc>
          <w:tcPr>
            <w:tcW w:w="341" w:type="dxa"/>
          </w:tcPr>
          <w:p w14:paraId="6D6D961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2" w:type="dxa"/>
          </w:tcPr>
          <w:p w14:paraId="20234C0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0527AFB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5E8BA6F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2E90214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6A595D5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93" w:type="dxa"/>
            <w:gridSpan w:val="2"/>
          </w:tcPr>
          <w:p w14:paraId="015E7D1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  <w:tc>
          <w:tcPr>
            <w:tcW w:w="471" w:type="dxa"/>
          </w:tcPr>
          <w:p w14:paraId="20F1B4D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73B2B17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294FB52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  <w:tc>
          <w:tcPr>
            <w:tcW w:w="438" w:type="dxa"/>
          </w:tcPr>
          <w:p w14:paraId="71E680B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40" w:type="dxa"/>
          </w:tcPr>
          <w:p w14:paraId="32E613D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612641B3" w14:textId="77777777" w:rsidTr="009D0440">
        <w:trPr>
          <w:trHeight w:val="397"/>
          <w:jc w:val="center"/>
        </w:trPr>
        <w:tc>
          <w:tcPr>
            <w:tcW w:w="393" w:type="dxa"/>
          </w:tcPr>
          <w:p w14:paraId="1555A458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1120" w:type="dxa"/>
          </w:tcPr>
          <w:p w14:paraId="118E7580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Khan et al. (2021)</w:t>
            </w:r>
          </w:p>
        </w:tc>
        <w:tc>
          <w:tcPr>
            <w:tcW w:w="965" w:type="dxa"/>
          </w:tcPr>
          <w:p w14:paraId="213E6573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Pakistan</w:t>
            </w:r>
          </w:p>
        </w:tc>
        <w:tc>
          <w:tcPr>
            <w:tcW w:w="1272" w:type="dxa"/>
          </w:tcPr>
          <w:p w14:paraId="71C6BE39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707C7B8D" w14:textId="687CDD14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studied the barriers to multitier sustainable supplier management and strategies</w:t>
            </w:r>
          </w:p>
          <w:p w14:paraId="729CD152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proofErr w:type="gramStart"/>
            <w:r w:rsidRPr="00513B2D">
              <w:rPr>
                <w:sz w:val="18"/>
                <w:szCs w:val="18"/>
                <w:lang w:val="en-GB" w:eastAsia="pt-BR"/>
              </w:rPr>
              <w:t>to</w:t>
            </w:r>
            <w:proofErr w:type="gramEnd"/>
            <w:r w:rsidRPr="00513B2D">
              <w:rPr>
                <w:sz w:val="18"/>
                <w:szCs w:val="18"/>
                <w:lang w:val="en-GB" w:eastAsia="pt-BR"/>
              </w:rPr>
              <w:t xml:space="preserve"> overcome these barriers.</w:t>
            </w:r>
          </w:p>
        </w:tc>
        <w:tc>
          <w:tcPr>
            <w:tcW w:w="1278" w:type="dxa"/>
          </w:tcPr>
          <w:p w14:paraId="051735CC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Interviews</w:t>
            </w:r>
          </w:p>
        </w:tc>
        <w:tc>
          <w:tcPr>
            <w:tcW w:w="1357" w:type="dxa"/>
          </w:tcPr>
          <w:p w14:paraId="6677821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TBL</w:t>
            </w:r>
          </w:p>
        </w:tc>
        <w:tc>
          <w:tcPr>
            <w:tcW w:w="1130" w:type="dxa"/>
          </w:tcPr>
          <w:p w14:paraId="11C681E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-</w:t>
            </w:r>
          </w:p>
        </w:tc>
        <w:tc>
          <w:tcPr>
            <w:tcW w:w="341" w:type="dxa"/>
          </w:tcPr>
          <w:p w14:paraId="0773253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eastAsia="pt-BR"/>
              </w:rPr>
            </w:pPr>
          </w:p>
        </w:tc>
        <w:tc>
          <w:tcPr>
            <w:tcW w:w="482" w:type="dxa"/>
          </w:tcPr>
          <w:p w14:paraId="6767405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10" w:type="dxa"/>
            <w:gridSpan w:val="2"/>
          </w:tcPr>
          <w:p w14:paraId="7F1D0F0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20" w:type="dxa"/>
          </w:tcPr>
          <w:p w14:paraId="18D6077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  <w:tc>
          <w:tcPr>
            <w:tcW w:w="480" w:type="dxa"/>
          </w:tcPr>
          <w:p w14:paraId="65EA03C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5D9FBA1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  <w:tc>
          <w:tcPr>
            <w:tcW w:w="493" w:type="dxa"/>
            <w:gridSpan w:val="2"/>
          </w:tcPr>
          <w:p w14:paraId="53B1F0A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71" w:type="dxa"/>
          </w:tcPr>
          <w:p w14:paraId="6C6ACFC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58B2B2B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5A7F7FE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38" w:type="dxa"/>
          </w:tcPr>
          <w:p w14:paraId="6859D3A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40" w:type="dxa"/>
          </w:tcPr>
          <w:p w14:paraId="591A4DC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1C9AED0C" w14:textId="77777777" w:rsidTr="009D0440">
        <w:trPr>
          <w:trHeight w:val="397"/>
          <w:jc w:val="center"/>
        </w:trPr>
        <w:tc>
          <w:tcPr>
            <w:tcW w:w="393" w:type="dxa"/>
          </w:tcPr>
          <w:p w14:paraId="13B366A4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1120" w:type="dxa"/>
          </w:tcPr>
          <w:p w14:paraId="647569A8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Wilhelm and Villena (2021)</w:t>
            </w:r>
          </w:p>
        </w:tc>
        <w:tc>
          <w:tcPr>
            <w:tcW w:w="965" w:type="dxa"/>
          </w:tcPr>
          <w:p w14:paraId="07634832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China</w:t>
            </w:r>
          </w:p>
        </w:tc>
        <w:tc>
          <w:tcPr>
            <w:tcW w:w="1272" w:type="dxa"/>
          </w:tcPr>
          <w:p w14:paraId="06D56ACD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Electronic</w:t>
            </w:r>
          </w:p>
        </w:tc>
        <w:tc>
          <w:tcPr>
            <w:tcW w:w="2313" w:type="dxa"/>
          </w:tcPr>
          <w:p w14:paraId="446EFCA2" w14:textId="1D73E466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 xml:space="preserve">They studied the attributes that enable first-tier suppliers to adopt sustainable procurement, leading to </w:t>
            </w:r>
            <w:r w:rsidR="00E91104" w:rsidRPr="00513B2D">
              <w:rPr>
                <w:sz w:val="18"/>
                <w:szCs w:val="18"/>
                <w:lang w:val="en-GB" w:eastAsia="pt-BR"/>
              </w:rPr>
              <w:t>global brands’ sustainability requirements cascading</w:t>
            </w:r>
            <w:r w:rsidRPr="00513B2D">
              <w:rPr>
                <w:sz w:val="18"/>
                <w:szCs w:val="18"/>
                <w:lang w:val="en-GB" w:eastAsia="pt-BR"/>
              </w:rPr>
              <w:t xml:space="preserve"> throughout their multitier supply chains.</w:t>
            </w:r>
          </w:p>
        </w:tc>
        <w:tc>
          <w:tcPr>
            <w:tcW w:w="1278" w:type="dxa"/>
          </w:tcPr>
          <w:p w14:paraId="70DEBB99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Interviews</w:t>
            </w:r>
          </w:p>
        </w:tc>
        <w:tc>
          <w:tcPr>
            <w:tcW w:w="1357" w:type="dxa"/>
          </w:tcPr>
          <w:p w14:paraId="2BCFDA3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TBL</w:t>
            </w:r>
          </w:p>
        </w:tc>
        <w:tc>
          <w:tcPr>
            <w:tcW w:w="1130" w:type="dxa"/>
          </w:tcPr>
          <w:p w14:paraId="5FF4212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-</w:t>
            </w:r>
          </w:p>
        </w:tc>
        <w:tc>
          <w:tcPr>
            <w:tcW w:w="341" w:type="dxa"/>
          </w:tcPr>
          <w:p w14:paraId="33A91B4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2" w:type="dxa"/>
          </w:tcPr>
          <w:p w14:paraId="7988568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7E6C237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1598EBC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0" w:type="dxa"/>
          </w:tcPr>
          <w:p w14:paraId="269A655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</w:tcPr>
          <w:p w14:paraId="0C2ECD5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93" w:type="dxa"/>
            <w:gridSpan w:val="2"/>
          </w:tcPr>
          <w:p w14:paraId="7A8768E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71" w:type="dxa"/>
          </w:tcPr>
          <w:p w14:paraId="37D1376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7046FBB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6E33E6D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38" w:type="dxa"/>
          </w:tcPr>
          <w:p w14:paraId="582B78A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40" w:type="dxa"/>
          </w:tcPr>
          <w:p w14:paraId="16C19C6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5937DA75" w14:textId="77777777" w:rsidTr="009D0440">
        <w:trPr>
          <w:trHeight w:val="397"/>
          <w:jc w:val="center"/>
        </w:trPr>
        <w:tc>
          <w:tcPr>
            <w:tcW w:w="393" w:type="dxa"/>
          </w:tcPr>
          <w:p w14:paraId="7E84AAF7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33</w:t>
            </w:r>
          </w:p>
        </w:tc>
        <w:tc>
          <w:tcPr>
            <w:tcW w:w="1120" w:type="dxa"/>
          </w:tcPr>
          <w:p w14:paraId="429FBC1E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Amoako et al. (2021)</w:t>
            </w:r>
          </w:p>
        </w:tc>
        <w:tc>
          <w:tcPr>
            <w:tcW w:w="965" w:type="dxa"/>
          </w:tcPr>
          <w:p w14:paraId="0500A471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eastAsia="pt-BR"/>
              </w:rPr>
            </w:pPr>
            <w:r w:rsidRPr="00513B2D">
              <w:rPr>
                <w:sz w:val="18"/>
                <w:szCs w:val="18"/>
                <w:lang w:eastAsia="pt-BR"/>
              </w:rPr>
              <w:t>Ghana</w:t>
            </w:r>
          </w:p>
        </w:tc>
        <w:tc>
          <w:tcPr>
            <w:tcW w:w="1272" w:type="dxa"/>
          </w:tcPr>
          <w:p w14:paraId="04B138DA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Food</w:t>
            </w:r>
          </w:p>
        </w:tc>
        <w:tc>
          <w:tcPr>
            <w:tcW w:w="2313" w:type="dxa"/>
          </w:tcPr>
          <w:p w14:paraId="1DDEC6B5" w14:textId="7653909D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 xml:space="preserve">They analysed </w:t>
            </w:r>
            <w:proofErr w:type="spellStart"/>
            <w:r w:rsidR="00F026B2" w:rsidRPr="00513B2D">
              <w:rPr>
                <w:sz w:val="18"/>
                <w:szCs w:val="18"/>
                <w:lang w:val="en-GB" w:eastAsia="pt-BR"/>
              </w:rPr>
              <w:t>analysed</w:t>
            </w:r>
            <w:proofErr w:type="spellEnd"/>
            <w:r w:rsidR="000C5E2E" w:rsidRPr="00513B2D">
              <w:rPr>
                <w:sz w:val="18"/>
                <w:szCs w:val="18"/>
                <w:lang w:val="en-GB" w:eastAsia="pt-BR"/>
              </w:rPr>
              <w:t xml:space="preserve"> </w:t>
            </w:r>
            <w:r w:rsidRPr="00513B2D">
              <w:rPr>
                <w:sz w:val="18"/>
                <w:szCs w:val="18"/>
                <w:lang w:val="en-GB" w:eastAsia="pt-BR"/>
              </w:rPr>
              <w:t>the effect of training and reward on social sustainability in cocoa’s suppliers and the role of green buyer-supplier relationship (governance and trust).</w:t>
            </w:r>
          </w:p>
        </w:tc>
        <w:tc>
          <w:tcPr>
            <w:tcW w:w="1278" w:type="dxa"/>
          </w:tcPr>
          <w:p w14:paraId="0679DA7C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Questionnaires</w:t>
            </w:r>
          </w:p>
        </w:tc>
        <w:tc>
          <w:tcPr>
            <w:tcW w:w="1357" w:type="dxa"/>
          </w:tcPr>
          <w:p w14:paraId="0BBF7A8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Social</w:t>
            </w:r>
          </w:p>
        </w:tc>
        <w:tc>
          <w:tcPr>
            <w:tcW w:w="1130" w:type="dxa"/>
          </w:tcPr>
          <w:p w14:paraId="4BCC385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Resource-Based View theory and Social</w:t>
            </w:r>
          </w:p>
          <w:p w14:paraId="749AAE1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Exchange Theory</w:t>
            </w:r>
          </w:p>
        </w:tc>
        <w:tc>
          <w:tcPr>
            <w:tcW w:w="341" w:type="dxa"/>
          </w:tcPr>
          <w:p w14:paraId="6D15503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2" w:type="dxa"/>
          </w:tcPr>
          <w:p w14:paraId="65B3401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28AECB2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54B3BF3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0" w:type="dxa"/>
          </w:tcPr>
          <w:p w14:paraId="0EBAFE4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10" w:type="dxa"/>
          </w:tcPr>
          <w:p w14:paraId="36BA32E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93" w:type="dxa"/>
            <w:gridSpan w:val="2"/>
          </w:tcPr>
          <w:p w14:paraId="203F8F7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71" w:type="dxa"/>
          </w:tcPr>
          <w:p w14:paraId="417000B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00D7DAE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73F482E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38" w:type="dxa"/>
          </w:tcPr>
          <w:p w14:paraId="064F260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40" w:type="dxa"/>
          </w:tcPr>
          <w:p w14:paraId="2573740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0B799B62" w14:textId="77777777" w:rsidTr="009D0440">
        <w:trPr>
          <w:trHeight w:val="397"/>
          <w:jc w:val="center"/>
        </w:trPr>
        <w:tc>
          <w:tcPr>
            <w:tcW w:w="393" w:type="dxa"/>
          </w:tcPr>
          <w:p w14:paraId="4EC49C23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34</w:t>
            </w:r>
          </w:p>
        </w:tc>
        <w:tc>
          <w:tcPr>
            <w:tcW w:w="1120" w:type="dxa"/>
          </w:tcPr>
          <w:p w14:paraId="67A6B830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Wu et al. (2021)</w:t>
            </w:r>
          </w:p>
        </w:tc>
        <w:tc>
          <w:tcPr>
            <w:tcW w:w="965" w:type="dxa"/>
          </w:tcPr>
          <w:p w14:paraId="01F5029A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China and Bangladesh</w:t>
            </w:r>
          </w:p>
        </w:tc>
        <w:tc>
          <w:tcPr>
            <w:tcW w:w="1272" w:type="dxa"/>
          </w:tcPr>
          <w:p w14:paraId="2F717668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</w:tcPr>
          <w:p w14:paraId="2ED850EC" w14:textId="7777777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investigated the role of open costing in the buyer-supplier relationship.</w:t>
            </w:r>
          </w:p>
        </w:tc>
        <w:tc>
          <w:tcPr>
            <w:tcW w:w="1278" w:type="dxa"/>
          </w:tcPr>
          <w:p w14:paraId="3BA52FBF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Interviews</w:t>
            </w:r>
          </w:p>
        </w:tc>
        <w:tc>
          <w:tcPr>
            <w:tcW w:w="1357" w:type="dxa"/>
          </w:tcPr>
          <w:p w14:paraId="4B258D3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Mix</w:t>
            </w:r>
          </w:p>
          <w:p w14:paraId="7AA6BD0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(Social and environmental)</w:t>
            </w:r>
          </w:p>
        </w:tc>
        <w:tc>
          <w:tcPr>
            <w:tcW w:w="1130" w:type="dxa"/>
          </w:tcPr>
          <w:p w14:paraId="69AFD8F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Social exchange theory</w:t>
            </w:r>
          </w:p>
        </w:tc>
        <w:tc>
          <w:tcPr>
            <w:tcW w:w="341" w:type="dxa"/>
          </w:tcPr>
          <w:p w14:paraId="1A245B8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82" w:type="dxa"/>
          </w:tcPr>
          <w:p w14:paraId="7FD7CF9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10" w:type="dxa"/>
            <w:gridSpan w:val="2"/>
          </w:tcPr>
          <w:p w14:paraId="1543984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5D353C6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0" w:type="dxa"/>
          </w:tcPr>
          <w:p w14:paraId="5E5AEAC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10" w:type="dxa"/>
          </w:tcPr>
          <w:p w14:paraId="60ED7FF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93" w:type="dxa"/>
            <w:gridSpan w:val="2"/>
          </w:tcPr>
          <w:p w14:paraId="12536FB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  <w:tc>
          <w:tcPr>
            <w:tcW w:w="471" w:type="dxa"/>
          </w:tcPr>
          <w:p w14:paraId="25F092E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  <w:tc>
          <w:tcPr>
            <w:tcW w:w="638" w:type="dxa"/>
          </w:tcPr>
          <w:p w14:paraId="1941355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  <w:tc>
          <w:tcPr>
            <w:tcW w:w="519" w:type="dxa"/>
            <w:gridSpan w:val="2"/>
          </w:tcPr>
          <w:p w14:paraId="75A8EB2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  <w:tc>
          <w:tcPr>
            <w:tcW w:w="438" w:type="dxa"/>
          </w:tcPr>
          <w:p w14:paraId="6C52241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40" w:type="dxa"/>
          </w:tcPr>
          <w:p w14:paraId="26404A9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41954E42" w14:textId="77777777" w:rsidTr="009D0440">
        <w:trPr>
          <w:trHeight w:val="397"/>
          <w:jc w:val="center"/>
        </w:trPr>
        <w:tc>
          <w:tcPr>
            <w:tcW w:w="393" w:type="dxa"/>
          </w:tcPr>
          <w:p w14:paraId="534AB7FF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35</w:t>
            </w:r>
          </w:p>
        </w:tc>
        <w:tc>
          <w:tcPr>
            <w:tcW w:w="1120" w:type="dxa"/>
          </w:tcPr>
          <w:p w14:paraId="748190B8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Pereira et al. (2021a)</w:t>
            </w:r>
          </w:p>
        </w:tc>
        <w:tc>
          <w:tcPr>
            <w:tcW w:w="965" w:type="dxa"/>
          </w:tcPr>
          <w:p w14:paraId="2999CFF1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Brazil</w:t>
            </w:r>
          </w:p>
        </w:tc>
        <w:tc>
          <w:tcPr>
            <w:tcW w:w="1272" w:type="dxa"/>
          </w:tcPr>
          <w:p w14:paraId="0CCB1603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Food</w:t>
            </w:r>
          </w:p>
        </w:tc>
        <w:tc>
          <w:tcPr>
            <w:tcW w:w="2313" w:type="dxa"/>
          </w:tcPr>
          <w:p w14:paraId="6618332D" w14:textId="020DE59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They investigated the impact of the COVID-19 pandemic on SC sustainability learning associated with changes in sustainability initiatives.</w:t>
            </w:r>
          </w:p>
        </w:tc>
        <w:tc>
          <w:tcPr>
            <w:tcW w:w="1278" w:type="dxa"/>
          </w:tcPr>
          <w:p w14:paraId="49702721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Interviews and secondary sources</w:t>
            </w:r>
          </w:p>
        </w:tc>
        <w:tc>
          <w:tcPr>
            <w:tcW w:w="1357" w:type="dxa"/>
          </w:tcPr>
          <w:p w14:paraId="6E99F86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TBL</w:t>
            </w:r>
          </w:p>
        </w:tc>
        <w:tc>
          <w:tcPr>
            <w:tcW w:w="1130" w:type="dxa"/>
          </w:tcPr>
          <w:p w14:paraId="23DB51F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-</w:t>
            </w:r>
          </w:p>
        </w:tc>
        <w:tc>
          <w:tcPr>
            <w:tcW w:w="341" w:type="dxa"/>
          </w:tcPr>
          <w:p w14:paraId="2FE48D1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82" w:type="dxa"/>
          </w:tcPr>
          <w:p w14:paraId="6E0621D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10" w:type="dxa"/>
            <w:gridSpan w:val="2"/>
          </w:tcPr>
          <w:p w14:paraId="7C4E326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5EF0F49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0" w:type="dxa"/>
          </w:tcPr>
          <w:p w14:paraId="5CE3DD8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10" w:type="dxa"/>
          </w:tcPr>
          <w:p w14:paraId="2CB594D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93" w:type="dxa"/>
            <w:gridSpan w:val="2"/>
          </w:tcPr>
          <w:p w14:paraId="4D1C33C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71" w:type="dxa"/>
          </w:tcPr>
          <w:p w14:paraId="4DFA54A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178F10F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668BB73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  <w:tc>
          <w:tcPr>
            <w:tcW w:w="438" w:type="dxa"/>
          </w:tcPr>
          <w:p w14:paraId="18FFA14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21D9F4E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</w:tr>
      <w:tr w:rsidR="00513B2D" w:rsidRPr="00513B2D" w14:paraId="61D9EC82" w14:textId="77777777" w:rsidTr="009D0440">
        <w:trPr>
          <w:trHeight w:val="397"/>
          <w:jc w:val="center"/>
        </w:trPr>
        <w:tc>
          <w:tcPr>
            <w:tcW w:w="393" w:type="dxa"/>
          </w:tcPr>
          <w:p w14:paraId="17E81BFC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36</w:t>
            </w:r>
          </w:p>
        </w:tc>
        <w:tc>
          <w:tcPr>
            <w:tcW w:w="1120" w:type="dxa"/>
          </w:tcPr>
          <w:p w14:paraId="3E865C80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Pereira et al. (2021b)</w:t>
            </w:r>
          </w:p>
        </w:tc>
        <w:tc>
          <w:tcPr>
            <w:tcW w:w="965" w:type="dxa"/>
          </w:tcPr>
          <w:p w14:paraId="43977F0E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Brazil</w:t>
            </w:r>
          </w:p>
        </w:tc>
        <w:tc>
          <w:tcPr>
            <w:tcW w:w="1272" w:type="dxa"/>
          </w:tcPr>
          <w:p w14:paraId="25F20CC9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Food</w:t>
            </w:r>
          </w:p>
        </w:tc>
        <w:tc>
          <w:tcPr>
            <w:tcW w:w="2313" w:type="dxa"/>
          </w:tcPr>
          <w:p w14:paraId="51E1468C" w14:textId="646A500D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 xml:space="preserve">They </w:t>
            </w:r>
            <w:r w:rsidR="00275858" w:rsidRPr="00513B2D">
              <w:rPr>
                <w:sz w:val="18"/>
                <w:szCs w:val="18"/>
                <w:lang w:val="en-GB" w:eastAsia="pt-BR"/>
              </w:rPr>
              <w:t>analy</w:t>
            </w:r>
            <w:r w:rsidR="00F026B2" w:rsidRPr="00513B2D">
              <w:rPr>
                <w:sz w:val="18"/>
                <w:szCs w:val="18"/>
                <w:lang w:val="en-GB" w:eastAsia="pt-BR"/>
              </w:rPr>
              <w:t>s</w:t>
            </w:r>
            <w:r w:rsidR="00275858" w:rsidRPr="00513B2D">
              <w:rPr>
                <w:sz w:val="18"/>
                <w:szCs w:val="18"/>
                <w:lang w:val="en-GB" w:eastAsia="pt-BR"/>
              </w:rPr>
              <w:t xml:space="preserve">ed </w:t>
            </w:r>
            <w:r w:rsidRPr="00513B2D">
              <w:rPr>
                <w:sz w:val="18"/>
                <w:szCs w:val="18"/>
                <w:lang w:val="en-GB" w:eastAsia="pt-BR"/>
              </w:rPr>
              <w:t xml:space="preserve">how collaborative practices influence sustainability </w:t>
            </w:r>
            <w:r w:rsidRPr="00513B2D">
              <w:rPr>
                <w:sz w:val="18"/>
                <w:szCs w:val="18"/>
                <w:lang w:val="en-GB" w:eastAsia="pt-BR"/>
              </w:rPr>
              <w:lastRenderedPageBreak/>
              <w:t>initiatives and the relational rents of global suppliers.</w:t>
            </w:r>
          </w:p>
        </w:tc>
        <w:tc>
          <w:tcPr>
            <w:tcW w:w="1278" w:type="dxa"/>
          </w:tcPr>
          <w:p w14:paraId="4A5C464B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lastRenderedPageBreak/>
              <w:t>Interviews and secondary sources</w:t>
            </w:r>
          </w:p>
        </w:tc>
        <w:tc>
          <w:tcPr>
            <w:tcW w:w="1357" w:type="dxa"/>
          </w:tcPr>
          <w:p w14:paraId="5101987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TBL</w:t>
            </w:r>
          </w:p>
        </w:tc>
        <w:tc>
          <w:tcPr>
            <w:tcW w:w="1130" w:type="dxa"/>
          </w:tcPr>
          <w:p w14:paraId="4543ED2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Relational view</w:t>
            </w:r>
          </w:p>
        </w:tc>
        <w:tc>
          <w:tcPr>
            <w:tcW w:w="341" w:type="dxa"/>
          </w:tcPr>
          <w:p w14:paraId="59EE6AD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82" w:type="dxa"/>
          </w:tcPr>
          <w:p w14:paraId="2A85298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</w:tcPr>
          <w:p w14:paraId="5197B43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</w:tcPr>
          <w:p w14:paraId="43EA032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80" w:type="dxa"/>
          </w:tcPr>
          <w:p w14:paraId="03874F6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10" w:type="dxa"/>
          </w:tcPr>
          <w:p w14:paraId="78FDD54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93" w:type="dxa"/>
            <w:gridSpan w:val="2"/>
          </w:tcPr>
          <w:p w14:paraId="3CEC84E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71" w:type="dxa"/>
          </w:tcPr>
          <w:p w14:paraId="58B33FB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638" w:type="dxa"/>
          </w:tcPr>
          <w:p w14:paraId="6F9F8F3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519" w:type="dxa"/>
            <w:gridSpan w:val="2"/>
          </w:tcPr>
          <w:p w14:paraId="57452A7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</w:p>
        </w:tc>
        <w:tc>
          <w:tcPr>
            <w:tcW w:w="438" w:type="dxa"/>
          </w:tcPr>
          <w:p w14:paraId="137BAF3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  <w:tc>
          <w:tcPr>
            <w:tcW w:w="440" w:type="dxa"/>
          </w:tcPr>
          <w:p w14:paraId="0AFE88F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x</w:t>
            </w:r>
          </w:p>
        </w:tc>
      </w:tr>
      <w:tr w:rsidR="00513B2D" w:rsidRPr="00513B2D" w14:paraId="1DCDE52E" w14:textId="77777777" w:rsidTr="009D0440">
        <w:trPr>
          <w:trHeight w:val="397"/>
          <w:jc w:val="center"/>
        </w:trPr>
        <w:tc>
          <w:tcPr>
            <w:tcW w:w="393" w:type="dxa"/>
            <w:tcBorders>
              <w:bottom w:val="nil"/>
            </w:tcBorders>
          </w:tcPr>
          <w:p w14:paraId="00532394" w14:textId="77777777" w:rsidR="009D0440" w:rsidRPr="00513B2D" w:rsidRDefault="009D0440" w:rsidP="00B7373E">
            <w:pPr>
              <w:spacing w:after="0" w:line="240" w:lineRule="auto"/>
              <w:ind w:left="-109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lastRenderedPageBreak/>
              <w:t>37</w:t>
            </w:r>
          </w:p>
        </w:tc>
        <w:tc>
          <w:tcPr>
            <w:tcW w:w="1120" w:type="dxa"/>
            <w:tcBorders>
              <w:bottom w:val="nil"/>
            </w:tcBorders>
          </w:tcPr>
          <w:p w14:paraId="10888AE8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val="en-GB" w:eastAsia="pt-BR"/>
              </w:rPr>
            </w:pPr>
            <w:proofErr w:type="spellStart"/>
            <w:r w:rsidRPr="00513B2D">
              <w:rPr>
                <w:sz w:val="18"/>
                <w:szCs w:val="18"/>
                <w:lang w:val="en-GB" w:eastAsia="pt-BR"/>
              </w:rPr>
              <w:t>Nath</w:t>
            </w:r>
            <w:proofErr w:type="spellEnd"/>
            <w:r w:rsidRPr="00513B2D">
              <w:rPr>
                <w:sz w:val="18"/>
                <w:szCs w:val="18"/>
                <w:lang w:val="en-GB" w:eastAsia="pt-BR"/>
              </w:rPr>
              <w:t xml:space="preserve"> et al. (2021)</w:t>
            </w:r>
          </w:p>
        </w:tc>
        <w:tc>
          <w:tcPr>
            <w:tcW w:w="965" w:type="dxa"/>
            <w:tcBorders>
              <w:bottom w:val="nil"/>
            </w:tcBorders>
          </w:tcPr>
          <w:p w14:paraId="6145AB37" w14:textId="77777777" w:rsidR="009D0440" w:rsidRPr="00513B2D" w:rsidRDefault="009D0440" w:rsidP="00B7373E">
            <w:pPr>
              <w:spacing w:after="0" w:line="240" w:lineRule="auto"/>
              <w:ind w:left="-104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Bangladesh</w:t>
            </w:r>
          </w:p>
        </w:tc>
        <w:tc>
          <w:tcPr>
            <w:tcW w:w="1272" w:type="dxa"/>
            <w:tcBorders>
              <w:bottom w:val="nil"/>
            </w:tcBorders>
          </w:tcPr>
          <w:p w14:paraId="48C64962" w14:textId="77777777" w:rsidR="009D0440" w:rsidRPr="00513B2D" w:rsidRDefault="009D0440" w:rsidP="00B7373E">
            <w:pPr>
              <w:spacing w:after="0" w:line="240" w:lineRule="auto"/>
              <w:ind w:left="-108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Clothing</w:t>
            </w:r>
          </w:p>
        </w:tc>
        <w:tc>
          <w:tcPr>
            <w:tcW w:w="2313" w:type="dxa"/>
            <w:tcBorders>
              <w:bottom w:val="nil"/>
            </w:tcBorders>
          </w:tcPr>
          <w:p w14:paraId="79FA0FF0" w14:textId="154782C7" w:rsidR="009D0440" w:rsidRPr="00513B2D" w:rsidRDefault="009D0440" w:rsidP="00B7373E">
            <w:pPr>
              <w:spacing w:after="0" w:line="240" w:lineRule="auto"/>
              <w:ind w:left="-108"/>
              <w:jc w:val="both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 xml:space="preserve">They studied how institutional pressures, mechanisms, and challenges influence the sustainability implementation </w:t>
            </w:r>
            <w:proofErr w:type="gramStart"/>
            <w:r w:rsidRPr="00513B2D">
              <w:rPr>
                <w:sz w:val="18"/>
                <w:szCs w:val="18"/>
                <w:lang w:val="en-GB" w:eastAsia="pt-BR"/>
              </w:rPr>
              <w:t>of a multitier apparel suppliers</w:t>
            </w:r>
            <w:proofErr w:type="gramEnd"/>
            <w:r w:rsidRPr="00513B2D">
              <w:rPr>
                <w:sz w:val="18"/>
                <w:szCs w:val="18"/>
                <w:lang w:val="en-GB" w:eastAsia="pt-BR"/>
              </w:rPr>
              <w:t>.</w:t>
            </w:r>
          </w:p>
        </w:tc>
        <w:tc>
          <w:tcPr>
            <w:tcW w:w="1278" w:type="dxa"/>
            <w:tcBorders>
              <w:bottom w:val="nil"/>
            </w:tcBorders>
          </w:tcPr>
          <w:p w14:paraId="09425424" w14:textId="77777777" w:rsidR="009D0440" w:rsidRPr="00513B2D" w:rsidRDefault="009D0440" w:rsidP="00B7373E">
            <w:pPr>
              <w:spacing w:after="0" w:line="240" w:lineRule="auto"/>
              <w:ind w:left="-111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Interviews</w:t>
            </w:r>
          </w:p>
        </w:tc>
        <w:tc>
          <w:tcPr>
            <w:tcW w:w="1357" w:type="dxa"/>
            <w:tcBorders>
              <w:bottom w:val="nil"/>
            </w:tcBorders>
          </w:tcPr>
          <w:p w14:paraId="50A2968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TBL</w:t>
            </w:r>
          </w:p>
        </w:tc>
        <w:tc>
          <w:tcPr>
            <w:tcW w:w="1130" w:type="dxa"/>
            <w:tcBorders>
              <w:bottom w:val="nil"/>
            </w:tcBorders>
          </w:tcPr>
          <w:p w14:paraId="0876CF9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Institutional theory</w:t>
            </w:r>
          </w:p>
        </w:tc>
        <w:tc>
          <w:tcPr>
            <w:tcW w:w="341" w:type="dxa"/>
            <w:tcBorders>
              <w:bottom w:val="nil"/>
            </w:tcBorders>
          </w:tcPr>
          <w:p w14:paraId="5107371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82" w:type="dxa"/>
            <w:tcBorders>
              <w:bottom w:val="nil"/>
            </w:tcBorders>
          </w:tcPr>
          <w:p w14:paraId="1CDA2A2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10" w:type="dxa"/>
            <w:gridSpan w:val="2"/>
            <w:tcBorders>
              <w:bottom w:val="nil"/>
            </w:tcBorders>
          </w:tcPr>
          <w:p w14:paraId="788FF31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  <w:r w:rsidRPr="00513B2D">
              <w:rPr>
                <w:sz w:val="20"/>
                <w:szCs w:val="20"/>
                <w:lang w:val="en-GB" w:eastAsia="pt-BR"/>
              </w:rPr>
              <w:t>x</w:t>
            </w:r>
          </w:p>
        </w:tc>
        <w:tc>
          <w:tcPr>
            <w:tcW w:w="420" w:type="dxa"/>
            <w:tcBorders>
              <w:bottom w:val="nil"/>
            </w:tcBorders>
          </w:tcPr>
          <w:p w14:paraId="456E43F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80" w:type="dxa"/>
            <w:tcBorders>
              <w:bottom w:val="nil"/>
            </w:tcBorders>
          </w:tcPr>
          <w:p w14:paraId="3231A5E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10" w:type="dxa"/>
            <w:tcBorders>
              <w:bottom w:val="nil"/>
            </w:tcBorders>
          </w:tcPr>
          <w:p w14:paraId="35B68CF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93" w:type="dxa"/>
            <w:gridSpan w:val="2"/>
            <w:tcBorders>
              <w:bottom w:val="nil"/>
            </w:tcBorders>
          </w:tcPr>
          <w:p w14:paraId="374A0DA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71" w:type="dxa"/>
            <w:tcBorders>
              <w:bottom w:val="nil"/>
            </w:tcBorders>
          </w:tcPr>
          <w:p w14:paraId="2EFBD06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638" w:type="dxa"/>
            <w:tcBorders>
              <w:bottom w:val="nil"/>
            </w:tcBorders>
          </w:tcPr>
          <w:p w14:paraId="0D76295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519" w:type="dxa"/>
            <w:gridSpan w:val="2"/>
            <w:tcBorders>
              <w:bottom w:val="nil"/>
            </w:tcBorders>
          </w:tcPr>
          <w:p w14:paraId="091C3A4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38" w:type="dxa"/>
            <w:tcBorders>
              <w:bottom w:val="nil"/>
            </w:tcBorders>
          </w:tcPr>
          <w:p w14:paraId="1AF5A46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  <w:tc>
          <w:tcPr>
            <w:tcW w:w="440" w:type="dxa"/>
            <w:tcBorders>
              <w:bottom w:val="nil"/>
            </w:tcBorders>
          </w:tcPr>
          <w:p w14:paraId="5CB16DC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 w:eastAsia="pt-BR"/>
              </w:rPr>
            </w:pPr>
          </w:p>
        </w:tc>
      </w:tr>
      <w:tr w:rsidR="00513B2D" w:rsidRPr="00513B2D" w14:paraId="43BF8E02" w14:textId="77777777" w:rsidTr="009D044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0"/>
          <w:jc w:val="center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7EDDE6C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14:paraId="21EB750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proofErr w:type="spellStart"/>
            <w:r w:rsidRPr="00513B2D">
              <w:rPr>
                <w:sz w:val="18"/>
                <w:szCs w:val="18"/>
                <w:lang w:val="en-GB"/>
              </w:rPr>
              <w:t>Villena</w:t>
            </w:r>
            <w:proofErr w:type="spellEnd"/>
            <w:r w:rsidRPr="00513B2D">
              <w:rPr>
                <w:sz w:val="18"/>
                <w:szCs w:val="18"/>
                <w:lang w:val="en-GB"/>
              </w:rPr>
              <w:t xml:space="preserve"> et al. (2021)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60F5567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China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3F02498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Manufacturing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55CA9787" w14:textId="77777777" w:rsidR="009D0440" w:rsidRPr="00513B2D" w:rsidRDefault="009D0440" w:rsidP="00B7373E">
            <w:pPr>
              <w:spacing w:after="0" w:line="240" w:lineRule="auto"/>
              <w:ind w:left="-21"/>
              <w:jc w:val="both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This study unpacks the environmental and social dimensions of supplier responsibility and links each dimension to distinct drivers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82402B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Interviews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7888024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 xml:space="preserve">Mix </w:t>
            </w:r>
          </w:p>
          <w:p w14:paraId="14CD91E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(Social and environmental)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2D621DE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Stakeholder theory and relational view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28223DD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 w:rsidRPr="00513B2D">
              <w:rPr>
                <w:sz w:val="20"/>
                <w:szCs w:val="20"/>
                <w:lang w:val="en-GB"/>
              </w:rPr>
              <w:t>x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44AA9AB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 w:rsidRPr="00513B2D">
              <w:rPr>
                <w:sz w:val="20"/>
                <w:szCs w:val="20"/>
                <w:lang w:val="en-GB"/>
              </w:rPr>
              <w:t>x</w:t>
            </w: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F7C1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674824A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55B2A0D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40D0215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0B9C791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D9FA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14:paraId="2D4283A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6BC1DAD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F61C6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2AACD6F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513B2D" w:rsidRPr="00513B2D" w14:paraId="30DE34DE" w14:textId="77777777" w:rsidTr="009D044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0"/>
          <w:jc w:val="center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26B7B91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14:paraId="71459E4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 xml:space="preserve">Mani and </w:t>
            </w:r>
            <w:proofErr w:type="spellStart"/>
            <w:r w:rsidRPr="00513B2D">
              <w:rPr>
                <w:sz w:val="18"/>
                <w:szCs w:val="18"/>
                <w:lang w:val="en-GB"/>
              </w:rPr>
              <w:t>Gunasekaran</w:t>
            </w:r>
            <w:proofErr w:type="spellEnd"/>
            <w:r w:rsidRPr="00513B2D">
              <w:rPr>
                <w:sz w:val="18"/>
                <w:szCs w:val="18"/>
                <w:lang w:val="en-GB"/>
              </w:rPr>
              <w:t xml:space="preserve"> (2021)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16D6A0C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India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42E1C92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Food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6AEFC4F9" w14:textId="77777777" w:rsidR="009D0440" w:rsidRPr="00513B2D" w:rsidRDefault="009D0440" w:rsidP="00B7373E">
            <w:pPr>
              <w:spacing w:after="0" w:line="240" w:lineRule="auto"/>
              <w:ind w:left="-21"/>
              <w:jc w:val="both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They studied the effect of the upstream value chain governance mechanisms in relation to ethical issues and how the governance mechanisms impact supply chain performance and reputation.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0B64677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Interviews and questionnaires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25E10B9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 w:eastAsia="pt-BR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Mix</w:t>
            </w:r>
          </w:p>
          <w:p w14:paraId="4586091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 w:eastAsia="pt-BR"/>
              </w:rPr>
              <w:t>(Social and environmental)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421715B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0AA8D1F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098BCB5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03D36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 w:rsidRPr="00513B2D">
              <w:rPr>
                <w:sz w:val="20"/>
                <w:szCs w:val="20"/>
                <w:lang w:val="en-GB"/>
              </w:rPr>
              <w:t>x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54D2866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2B7B627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377DD795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71C4533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9F20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14:paraId="5F879AB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70463417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9549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 w:rsidRPr="00513B2D">
              <w:rPr>
                <w:sz w:val="20"/>
                <w:szCs w:val="20"/>
                <w:lang w:val="en-GB"/>
              </w:rPr>
              <w:t>x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283FC10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513B2D" w:rsidRPr="00513B2D" w14:paraId="046EF3A5" w14:textId="77777777" w:rsidTr="009D044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0"/>
          <w:jc w:val="center"/>
        </w:trPr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579EE90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14:paraId="065DF30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Khan et al. (2021)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5D42273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Asia and North</w:t>
            </w:r>
          </w:p>
          <w:p w14:paraId="4DE66B1A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Africa countries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1BA7984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Multiple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078A328B" w14:textId="5D8DFF2D" w:rsidR="009D0440" w:rsidRPr="00513B2D" w:rsidRDefault="009D0440" w:rsidP="00B7373E">
            <w:pPr>
              <w:spacing w:after="0" w:line="240" w:lineRule="auto"/>
              <w:ind w:left="-21"/>
              <w:jc w:val="both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They investigated the obstacles that hinder the adoption of social sustainability in the multitier supply chain and effective solutions to promote the adoption of this concept.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</w:tcPr>
          <w:p w14:paraId="5BC1A1F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Questionnaires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 w14:paraId="2E6E4AC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Social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</w:tcPr>
          <w:p w14:paraId="583899C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-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0E70321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 w:rsidRPr="00513B2D">
              <w:rPr>
                <w:sz w:val="20"/>
                <w:szCs w:val="20"/>
                <w:lang w:val="en-GB"/>
              </w:rPr>
              <w:t>x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013DC10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 w:rsidRPr="00513B2D">
              <w:rPr>
                <w:sz w:val="20"/>
                <w:szCs w:val="20"/>
                <w:lang w:val="en-GB"/>
              </w:rPr>
              <w:t>x</w:t>
            </w: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2A68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015C188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45251BC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14:paraId="3BA67D8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 w:rsidRPr="00513B2D">
              <w:rPr>
                <w:sz w:val="20"/>
                <w:szCs w:val="20"/>
                <w:lang w:val="en-GB"/>
              </w:rPr>
              <w:t>x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7D297A4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3F8E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14:paraId="39AFFE3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14:paraId="2FB9924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E5E86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76ED309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513B2D" w:rsidRPr="00513B2D" w14:paraId="71A1525D" w14:textId="77777777" w:rsidTr="009D0440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80"/>
          <w:jc w:val="center"/>
        </w:trPr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85B71E" w14:textId="77777777" w:rsidR="009D0440" w:rsidRPr="00513B2D" w:rsidRDefault="009D0440" w:rsidP="00B7373E">
            <w:pPr>
              <w:spacing w:after="0" w:line="240" w:lineRule="auto"/>
              <w:jc w:val="both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CEB9E3" w14:textId="77777777" w:rsidR="009D0440" w:rsidRPr="00513B2D" w:rsidRDefault="009D0440" w:rsidP="00B7373E">
            <w:pPr>
              <w:spacing w:after="0" w:line="240" w:lineRule="auto"/>
              <w:jc w:val="both"/>
              <w:rPr>
                <w:sz w:val="18"/>
                <w:szCs w:val="18"/>
                <w:lang w:val="en-GB"/>
              </w:rPr>
            </w:pPr>
            <w:proofErr w:type="spellStart"/>
            <w:r w:rsidRPr="00513B2D">
              <w:rPr>
                <w:sz w:val="18"/>
                <w:szCs w:val="18"/>
                <w:lang w:val="en-GB"/>
              </w:rPr>
              <w:t>Mathiyazh-agan</w:t>
            </w:r>
            <w:proofErr w:type="spellEnd"/>
            <w:r w:rsidRPr="00513B2D">
              <w:rPr>
                <w:sz w:val="18"/>
                <w:szCs w:val="18"/>
                <w:lang w:val="en-GB"/>
              </w:rPr>
              <w:t xml:space="preserve"> et al. (2021)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BE17F4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India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A9A0F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Manufacturing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91F056" w14:textId="2B83563D" w:rsidR="009D0440" w:rsidRPr="00513B2D" w:rsidRDefault="009D0440" w:rsidP="00B7373E">
            <w:pPr>
              <w:spacing w:after="0" w:line="240" w:lineRule="auto"/>
              <w:ind w:left="-21"/>
              <w:jc w:val="both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 xml:space="preserve">They identified the key social sustainability practices and the method to evaluate them in multitier manufacturing firms.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BDF8B3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Interviews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FA9C6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3B2D">
              <w:rPr>
                <w:sz w:val="18"/>
                <w:szCs w:val="18"/>
                <w:lang w:val="en-GB"/>
              </w:rPr>
              <w:t>Social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4F1027" w14:textId="77777777" w:rsidR="009D0440" w:rsidRPr="00513B2D" w:rsidRDefault="009D0440" w:rsidP="00B7373E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BA839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E15671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E0EAE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 w:rsidRPr="00513B2D">
              <w:rPr>
                <w:sz w:val="20"/>
                <w:szCs w:val="20"/>
                <w:lang w:val="en-GB"/>
              </w:rPr>
              <w:t>x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461D0D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D54EAB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7D2E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1FCF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394C2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 w:rsidRPr="00513B2D">
              <w:rPr>
                <w:sz w:val="20"/>
                <w:szCs w:val="20"/>
                <w:lang w:val="en-GB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1EB34F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 w:rsidRPr="00513B2D">
              <w:rPr>
                <w:sz w:val="20"/>
                <w:szCs w:val="20"/>
                <w:lang w:val="en-GB"/>
              </w:rPr>
              <w:t>x</w:t>
            </w:r>
          </w:p>
        </w:tc>
        <w:tc>
          <w:tcPr>
            <w:tcW w:w="5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D1DFEC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85540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3B3D08" w14:textId="77777777" w:rsidR="009D0440" w:rsidRPr="00513B2D" w:rsidRDefault="009D0440" w:rsidP="00B7373E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</w:p>
        </w:tc>
      </w:tr>
    </w:tbl>
    <w:bookmarkEnd w:id="0"/>
    <w:p w14:paraId="5B8F96A5" w14:textId="77777777" w:rsidR="000C4DF4" w:rsidRPr="00513B2D" w:rsidRDefault="009D0440" w:rsidP="000C4DF4">
      <w:pPr>
        <w:spacing w:before="120" w:after="0"/>
        <w:ind w:left="-567"/>
        <w:jc w:val="both"/>
        <w:rPr>
          <w:sz w:val="20"/>
          <w:szCs w:val="20"/>
          <w:lang w:val="en-GB"/>
        </w:rPr>
      </w:pPr>
      <w:r w:rsidRPr="00513B2D">
        <w:rPr>
          <w:sz w:val="20"/>
          <w:szCs w:val="20"/>
          <w:lang w:val="en-GB"/>
        </w:rPr>
        <w:t xml:space="preserve">Key to Themes: ID: Internal Drivers, ED: External Drivers, M: Mechanisms, IB: Internal Barriers, EB: External Barriers, R: Remedies, EO: Economic Outcomes, SO: Social Outcomes, ENO: Environmental Outcomes, CO: Cultural Outcomes, IO: Institutional Outcomes, </w:t>
      </w:r>
      <w:r w:rsidR="001C7040" w:rsidRPr="00513B2D">
        <w:rPr>
          <w:sz w:val="20"/>
          <w:szCs w:val="20"/>
          <w:lang w:val="en-GB"/>
        </w:rPr>
        <w:t>R</w:t>
      </w:r>
      <w:r w:rsidRPr="00513B2D">
        <w:rPr>
          <w:sz w:val="20"/>
          <w:szCs w:val="20"/>
          <w:lang w:val="en-GB"/>
        </w:rPr>
        <w:t xml:space="preserve">: </w:t>
      </w:r>
      <w:r w:rsidR="001C7040" w:rsidRPr="00513B2D">
        <w:rPr>
          <w:sz w:val="20"/>
          <w:szCs w:val="20"/>
          <w:lang w:val="en-GB"/>
        </w:rPr>
        <w:t>Reinforcement</w:t>
      </w:r>
      <w:r w:rsidR="000B3181" w:rsidRPr="00513B2D">
        <w:rPr>
          <w:sz w:val="20"/>
          <w:szCs w:val="20"/>
          <w:lang w:val="en-GB"/>
        </w:rPr>
        <w:t xml:space="preserve">. </w:t>
      </w:r>
    </w:p>
    <w:p w14:paraId="420879C9" w14:textId="4BE86576" w:rsidR="009D0440" w:rsidRPr="00513B2D" w:rsidRDefault="000B3181" w:rsidP="000C4DF4">
      <w:pPr>
        <w:spacing w:before="60" w:after="0"/>
        <w:ind w:left="-567"/>
        <w:jc w:val="both"/>
        <w:rPr>
          <w:sz w:val="20"/>
          <w:szCs w:val="20"/>
          <w:lang w:val="en-GB"/>
        </w:rPr>
      </w:pPr>
      <w:r w:rsidRPr="00513B2D">
        <w:rPr>
          <w:sz w:val="20"/>
          <w:szCs w:val="20"/>
          <w:lang w:val="en-GB"/>
        </w:rPr>
        <w:t>(</w:t>
      </w:r>
      <w:r w:rsidR="00017B48" w:rsidRPr="00513B2D">
        <w:rPr>
          <w:sz w:val="20"/>
          <w:szCs w:val="20"/>
          <w:lang w:val="en-GB"/>
        </w:rPr>
        <w:t>Table b</w:t>
      </w:r>
      <w:r w:rsidRPr="00513B2D">
        <w:rPr>
          <w:sz w:val="20"/>
          <w:szCs w:val="20"/>
          <w:lang w:val="en-GB"/>
        </w:rPr>
        <w:t>y authors)</w:t>
      </w:r>
      <w:bookmarkStart w:id="3" w:name="_GoBack"/>
      <w:bookmarkEnd w:id="3"/>
    </w:p>
    <w:p w14:paraId="420E05F6" w14:textId="77777777" w:rsidR="009D0440" w:rsidRPr="00513B2D" w:rsidRDefault="009D0440">
      <w:pPr>
        <w:rPr>
          <w:lang w:val="en-GB"/>
        </w:rPr>
      </w:pPr>
    </w:p>
    <w:sectPr w:rsidR="009D0440" w:rsidRPr="00513B2D" w:rsidSect="009D0440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C2A28"/>
    <w:multiLevelType w:val="hybridMultilevel"/>
    <w:tmpl w:val="08AAB46E"/>
    <w:lvl w:ilvl="0" w:tplc="6598E5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24D70"/>
    <w:multiLevelType w:val="hybridMultilevel"/>
    <w:tmpl w:val="D4A42DD0"/>
    <w:lvl w:ilvl="0" w:tplc="9F10B09C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73782C"/>
    <w:multiLevelType w:val="hybridMultilevel"/>
    <w:tmpl w:val="E8D02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2F2792"/>
    <w:multiLevelType w:val="hybridMultilevel"/>
    <w:tmpl w:val="8EC47C90"/>
    <w:lvl w:ilvl="0" w:tplc="0416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>
    <w:nsid w:val="268F086B"/>
    <w:multiLevelType w:val="hybridMultilevel"/>
    <w:tmpl w:val="8B8CE26E"/>
    <w:lvl w:ilvl="0" w:tplc="3DDC90CC">
      <w:start w:val="1"/>
      <w:numFmt w:val="lowerRoman"/>
      <w:lvlText w:val="(%1)"/>
      <w:lvlJc w:val="left"/>
      <w:pPr>
        <w:ind w:left="1290" w:hanging="720"/>
      </w:pPr>
      <w:rPr>
        <w:rFonts w:eastAsia="Times New Roman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599B535B"/>
    <w:multiLevelType w:val="hybridMultilevel"/>
    <w:tmpl w:val="10BAFCAE"/>
    <w:lvl w:ilvl="0" w:tplc="160E946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276A8A"/>
    <w:multiLevelType w:val="hybridMultilevel"/>
    <w:tmpl w:val="7C508714"/>
    <w:lvl w:ilvl="0" w:tplc="160E946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6B1644"/>
    <w:multiLevelType w:val="hybridMultilevel"/>
    <w:tmpl w:val="CF7C4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ecio Orlandi">
    <w15:presenceInfo w15:providerId="Windows Live" w15:userId="3237b00df8d4e1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xNzczMjIzMgYSFko6SsGpxcWZ+XkgBYa1AN79t7csAAAA"/>
  </w:docVars>
  <w:rsids>
    <w:rsidRoot w:val="009D0440"/>
    <w:rsid w:val="00017B48"/>
    <w:rsid w:val="000B3181"/>
    <w:rsid w:val="000C4DF4"/>
    <w:rsid w:val="000C5E2E"/>
    <w:rsid w:val="000E0D1F"/>
    <w:rsid w:val="000E36D8"/>
    <w:rsid w:val="000F1B1F"/>
    <w:rsid w:val="001575C1"/>
    <w:rsid w:val="00187055"/>
    <w:rsid w:val="001C7040"/>
    <w:rsid w:val="001D6885"/>
    <w:rsid w:val="00274A17"/>
    <w:rsid w:val="00275858"/>
    <w:rsid w:val="004B65A1"/>
    <w:rsid w:val="004D32F4"/>
    <w:rsid w:val="00513B2D"/>
    <w:rsid w:val="0060114E"/>
    <w:rsid w:val="00604D7D"/>
    <w:rsid w:val="00607CC4"/>
    <w:rsid w:val="00624C9C"/>
    <w:rsid w:val="006A1D41"/>
    <w:rsid w:val="006D29DA"/>
    <w:rsid w:val="00722DF7"/>
    <w:rsid w:val="008C10CD"/>
    <w:rsid w:val="009207DE"/>
    <w:rsid w:val="009837B3"/>
    <w:rsid w:val="009D0440"/>
    <w:rsid w:val="00A479F5"/>
    <w:rsid w:val="00AA073A"/>
    <w:rsid w:val="00B72BAF"/>
    <w:rsid w:val="00B86583"/>
    <w:rsid w:val="00CB04FF"/>
    <w:rsid w:val="00D804EA"/>
    <w:rsid w:val="00E50EE2"/>
    <w:rsid w:val="00E91104"/>
    <w:rsid w:val="00EB15D6"/>
    <w:rsid w:val="00EC5B97"/>
    <w:rsid w:val="00F0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E0F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40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440"/>
    <w:pPr>
      <w:ind w:left="720"/>
      <w:contextualSpacing/>
    </w:pPr>
  </w:style>
  <w:style w:type="character" w:styleId="Hyperlink">
    <w:name w:val="Hyperlink"/>
    <w:uiPriority w:val="99"/>
    <w:unhideWhenUsed/>
    <w:rsid w:val="009D044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44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44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D04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D0440"/>
    <w:rPr>
      <w:rFonts w:ascii="Courier New" w:eastAsia="Calibri" w:hAnsi="Courier New" w:cs="Times New Roman"/>
      <w:sz w:val="20"/>
      <w:szCs w:val="20"/>
      <w:lang w:val="x-none" w:eastAsia="pt-BR"/>
    </w:rPr>
  </w:style>
  <w:style w:type="table" w:styleId="TableGrid">
    <w:name w:val="Table Grid"/>
    <w:basedOn w:val="TableNormal"/>
    <w:uiPriority w:val="59"/>
    <w:rsid w:val="009D044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9D0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44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440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440"/>
    <w:rPr>
      <w:rFonts w:ascii="Times New Roman" w:eastAsia="Calibri" w:hAnsi="Times New Roman" w:cs="Times New Roman"/>
      <w:b/>
      <w:bCs/>
      <w:sz w:val="20"/>
      <w:szCs w:val="20"/>
      <w:lang w:val="x-none" w:eastAsia="x-none"/>
    </w:rPr>
  </w:style>
  <w:style w:type="paragraph" w:styleId="Bibliography">
    <w:name w:val="Bibliography"/>
    <w:basedOn w:val="Normal"/>
    <w:next w:val="Normal"/>
    <w:uiPriority w:val="37"/>
    <w:unhideWhenUsed/>
    <w:rsid w:val="009D0440"/>
    <w:rPr>
      <w:rFonts w:ascii="Calibri" w:hAnsi="Calibri"/>
    </w:rPr>
  </w:style>
  <w:style w:type="paragraph" w:customStyle="1" w:styleId="Default">
    <w:name w:val="Default"/>
    <w:rsid w:val="009D04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D0440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9D0440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D0440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D0440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D0440"/>
    <w:rPr>
      <w:rFonts w:ascii="Times New Roman" w:eastAsia="Calibri" w:hAnsi="Times New Roman" w:cs="Times New Roman"/>
      <w:sz w:val="20"/>
      <w:szCs w:val="20"/>
      <w:lang w:val="x-none" w:eastAsia="x-none"/>
    </w:rPr>
  </w:style>
  <w:style w:type="table" w:customStyle="1" w:styleId="TabeladeGradeClara1">
    <w:name w:val="Tabela de Grade Clara1"/>
    <w:basedOn w:val="TableNormal"/>
    <w:uiPriority w:val="40"/>
    <w:rsid w:val="009D04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NoSpacing">
    <w:name w:val="No Spacing"/>
    <w:uiPriority w:val="1"/>
    <w:qFormat/>
    <w:rsid w:val="009D0440"/>
    <w:pPr>
      <w:spacing w:after="0" w:line="240" w:lineRule="auto"/>
    </w:pPr>
    <w:rPr>
      <w:rFonts w:ascii="Times New Roman" w:eastAsia="Calibri" w:hAnsi="Times New Roman" w:cs="Times New Roman"/>
    </w:rPr>
  </w:style>
  <w:style w:type="character" w:styleId="Strong">
    <w:name w:val="Strong"/>
    <w:uiPriority w:val="22"/>
    <w:qFormat/>
    <w:rsid w:val="009D0440"/>
    <w:rPr>
      <w:b/>
      <w:bCs/>
    </w:rPr>
  </w:style>
  <w:style w:type="character" w:customStyle="1" w:styleId="MenoPendente1">
    <w:name w:val="Menção Pendente1"/>
    <w:uiPriority w:val="99"/>
    <w:semiHidden/>
    <w:unhideWhenUsed/>
    <w:rsid w:val="009D0440"/>
    <w:rPr>
      <w:color w:val="605E5C"/>
      <w:shd w:val="clear" w:color="auto" w:fill="E1DFDD"/>
    </w:rPr>
  </w:style>
  <w:style w:type="paragraph" w:customStyle="1" w:styleId="pf0">
    <w:name w:val="pf0"/>
    <w:basedOn w:val="Normal"/>
    <w:rsid w:val="009D044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t-BR"/>
    </w:rPr>
  </w:style>
  <w:style w:type="character" w:customStyle="1" w:styleId="cf01">
    <w:name w:val="cf01"/>
    <w:rsid w:val="009D0440"/>
    <w:rPr>
      <w:rFonts w:ascii="Segoe UI" w:hAnsi="Segoe UI" w:cs="Segoe UI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440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440"/>
    <w:pPr>
      <w:ind w:left="720"/>
      <w:contextualSpacing/>
    </w:pPr>
  </w:style>
  <w:style w:type="character" w:styleId="Hyperlink">
    <w:name w:val="Hyperlink"/>
    <w:uiPriority w:val="99"/>
    <w:unhideWhenUsed/>
    <w:rsid w:val="009D044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44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44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D04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D0440"/>
    <w:rPr>
      <w:rFonts w:ascii="Courier New" w:eastAsia="Calibri" w:hAnsi="Courier New" w:cs="Times New Roman"/>
      <w:sz w:val="20"/>
      <w:szCs w:val="20"/>
      <w:lang w:val="x-none" w:eastAsia="pt-BR"/>
    </w:rPr>
  </w:style>
  <w:style w:type="table" w:styleId="TableGrid">
    <w:name w:val="Table Grid"/>
    <w:basedOn w:val="TableNormal"/>
    <w:uiPriority w:val="59"/>
    <w:rsid w:val="009D044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9D0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44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440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440"/>
    <w:rPr>
      <w:rFonts w:ascii="Times New Roman" w:eastAsia="Calibri" w:hAnsi="Times New Roman" w:cs="Times New Roman"/>
      <w:b/>
      <w:bCs/>
      <w:sz w:val="20"/>
      <w:szCs w:val="20"/>
      <w:lang w:val="x-none" w:eastAsia="x-none"/>
    </w:rPr>
  </w:style>
  <w:style w:type="paragraph" w:styleId="Bibliography">
    <w:name w:val="Bibliography"/>
    <w:basedOn w:val="Normal"/>
    <w:next w:val="Normal"/>
    <w:uiPriority w:val="37"/>
    <w:unhideWhenUsed/>
    <w:rsid w:val="009D0440"/>
    <w:rPr>
      <w:rFonts w:ascii="Calibri" w:hAnsi="Calibri"/>
    </w:rPr>
  </w:style>
  <w:style w:type="paragraph" w:customStyle="1" w:styleId="Default">
    <w:name w:val="Default"/>
    <w:rsid w:val="009D04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D0440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9D0440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D0440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9D0440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D0440"/>
    <w:rPr>
      <w:rFonts w:ascii="Times New Roman" w:eastAsia="Calibri" w:hAnsi="Times New Roman" w:cs="Times New Roman"/>
      <w:sz w:val="20"/>
      <w:szCs w:val="20"/>
      <w:lang w:val="x-none" w:eastAsia="x-none"/>
    </w:rPr>
  </w:style>
  <w:style w:type="table" w:customStyle="1" w:styleId="TabeladeGradeClara1">
    <w:name w:val="Tabela de Grade Clara1"/>
    <w:basedOn w:val="TableNormal"/>
    <w:uiPriority w:val="40"/>
    <w:rsid w:val="009D04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NoSpacing">
    <w:name w:val="No Spacing"/>
    <w:uiPriority w:val="1"/>
    <w:qFormat/>
    <w:rsid w:val="009D0440"/>
    <w:pPr>
      <w:spacing w:after="0" w:line="240" w:lineRule="auto"/>
    </w:pPr>
    <w:rPr>
      <w:rFonts w:ascii="Times New Roman" w:eastAsia="Calibri" w:hAnsi="Times New Roman" w:cs="Times New Roman"/>
    </w:rPr>
  </w:style>
  <w:style w:type="character" w:styleId="Strong">
    <w:name w:val="Strong"/>
    <w:uiPriority w:val="22"/>
    <w:qFormat/>
    <w:rsid w:val="009D0440"/>
    <w:rPr>
      <w:b/>
      <w:bCs/>
    </w:rPr>
  </w:style>
  <w:style w:type="character" w:customStyle="1" w:styleId="MenoPendente1">
    <w:name w:val="Menção Pendente1"/>
    <w:uiPriority w:val="99"/>
    <w:semiHidden/>
    <w:unhideWhenUsed/>
    <w:rsid w:val="009D0440"/>
    <w:rPr>
      <w:color w:val="605E5C"/>
      <w:shd w:val="clear" w:color="auto" w:fill="E1DFDD"/>
    </w:rPr>
  </w:style>
  <w:style w:type="paragraph" w:customStyle="1" w:styleId="pf0">
    <w:name w:val="pf0"/>
    <w:basedOn w:val="Normal"/>
    <w:rsid w:val="009D044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t-BR"/>
    </w:rPr>
  </w:style>
  <w:style w:type="character" w:customStyle="1" w:styleId="cf01">
    <w:name w:val="cf01"/>
    <w:rsid w:val="009D04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Rehan Ismail</cp:lastModifiedBy>
  <cp:revision>7</cp:revision>
  <dcterms:created xsi:type="dcterms:W3CDTF">2023-05-23T00:03:00Z</dcterms:created>
  <dcterms:modified xsi:type="dcterms:W3CDTF">2023-06-08T06:56:00Z</dcterms:modified>
</cp:coreProperties>
</file>