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0F4B7" w14:textId="77777777" w:rsidR="00EC557F" w:rsidRPr="00841A37" w:rsidRDefault="00EC557F" w:rsidP="00EC557F">
      <w:pPr>
        <w:pStyle w:val="Heading1"/>
        <w:rPr>
          <w:color w:val="auto"/>
        </w:rPr>
      </w:pPr>
      <w:bookmarkStart w:id="0" w:name="_GoBack"/>
      <w:r w:rsidRPr="00841A37">
        <w:rPr>
          <w:color w:val="auto"/>
        </w:rPr>
        <w:t>Supplementary Information</w:t>
      </w:r>
    </w:p>
    <w:p w14:paraId="6398D94F" w14:textId="77777777" w:rsidR="00EC557F" w:rsidRPr="00841A37" w:rsidRDefault="00EC557F" w:rsidP="00EC557F">
      <w:pPr>
        <w:pStyle w:val="Heading1"/>
        <w:rPr>
          <w:color w:val="auto"/>
        </w:rPr>
      </w:pPr>
      <w:r w:rsidRPr="00841A37">
        <w:rPr>
          <w:color w:val="auto"/>
        </w:rPr>
        <w:t>Abaqus Specific Modelling Details</w:t>
      </w:r>
    </w:p>
    <w:p w14:paraId="79D59AD1" w14:textId="15D788F8" w:rsidR="00EC557F" w:rsidRPr="00841A37" w:rsidRDefault="00EC557F" w:rsidP="00EC557F">
      <w:r w:rsidRPr="00841A37">
        <w:t xml:space="preserve">Sequential element activation is achieved by extracting the information from the corresponding GCode file and importing it to the FE software </w:t>
      </w:r>
      <w:r w:rsidR="00BE0ED3" w:rsidRPr="00841A37">
        <w:rPr>
          <w:noProof/>
        </w:rPr>
        <w:t>(Trofimov et al., 2022)</w:t>
      </w:r>
      <w:r w:rsidRPr="00841A37">
        <w:t xml:space="preserve">.  This file usually consists of five columns including time, location (x, y, and z), and a binary column to indicate if the nozzle is depositing material or not (On / Off). Early models in Abaqus achieved this with the development of bespoke subroutines </w:t>
      </w:r>
      <w:r w:rsidR="00BE0ED3" w:rsidRPr="00841A37">
        <w:rPr>
          <w:noProof/>
        </w:rPr>
        <w:t>(Cattenone et al., 2019, Aljarrah et al., 2019, Roy et al., 2019, Huang et al., 2024, Trofimov et al., 2022)</w:t>
      </w:r>
      <w:r w:rsidRPr="00841A37">
        <w:t xml:space="preserve">, but Abaqus now comes with an “AM Modeler” add-in that helps to simplify the process for both heat transfer, stress and eigen strain approaches </w:t>
      </w:r>
      <w:r w:rsidR="00BE0ED3" w:rsidRPr="00841A37">
        <w:rPr>
          <w:noProof/>
        </w:rPr>
        <w:t>(</w:t>
      </w:r>
      <w:r w:rsidR="00375BF4" w:rsidRPr="00841A37">
        <w:rPr>
          <w:noProof/>
        </w:rPr>
        <w:t xml:space="preserve">Abaqus, </w:t>
      </w:r>
      <w:r w:rsidR="00BE0ED3" w:rsidRPr="00841A37">
        <w:rPr>
          <w:noProof/>
        </w:rPr>
        <w:t>2023)</w:t>
      </w:r>
      <w:r w:rsidRPr="00841A37">
        <w:t xml:space="preserve">. For simplicity, the filament cross section is assumed to have a rectangular shape </w:t>
      </w:r>
      <w:r w:rsidR="00BE0ED3" w:rsidRPr="00841A37">
        <w:rPr>
          <w:noProof/>
        </w:rPr>
        <w:t>(Trofimov et al., 2022)</w:t>
      </w:r>
      <w:r w:rsidRPr="00841A37">
        <w:t xml:space="preserve">. </w:t>
      </w:r>
    </w:p>
    <w:p w14:paraId="12A12C14" w14:textId="23FA0C30" w:rsidR="00EC557F" w:rsidRPr="00841A37" w:rsidRDefault="00EC557F" w:rsidP="00EC557F">
      <w:r w:rsidRPr="00841A37">
        <w:t xml:space="preserve">As per examples provided with the Abaqus software, ReplicatorG was initially used to generate the G-Code to print the bridge sample as per the work by Trofimov </w:t>
      </w:r>
      <w:r w:rsidRPr="00841A37">
        <w:rPr>
          <w:i/>
          <w:iCs/>
        </w:rPr>
        <w:t>et al.</w:t>
      </w:r>
      <w:r w:rsidR="00BE0ED3" w:rsidRPr="00841A37">
        <w:rPr>
          <w:noProof/>
        </w:rPr>
        <w:t>( 2022)</w:t>
      </w:r>
      <w:r w:rsidRPr="00841A37">
        <w:t xml:space="preserve">. This code was then converted to Event Series files using the supplied Python script (generateEventSeries.py). As far as possible, the toolpath used was similar to that described by Trofimov </w:t>
      </w:r>
      <w:r w:rsidRPr="00841A37">
        <w:rPr>
          <w:i/>
          <w:iCs/>
        </w:rPr>
        <w:t>et al.</w:t>
      </w:r>
      <w:r w:rsidR="00BE0ED3" w:rsidRPr="00841A37">
        <w:rPr>
          <w:noProof/>
        </w:rPr>
        <w:t>( 2022)</w:t>
      </w:r>
      <w:r w:rsidRPr="00841A37">
        <w:t>, with a layer height of 0.2 mm, a bead width of 0.4 mm and a speed of 40 mm.sec</w:t>
      </w:r>
      <w:r w:rsidRPr="00841A37">
        <w:rPr>
          <w:vertAlign w:val="superscript"/>
        </w:rPr>
        <w:t>-1</w:t>
      </w:r>
      <w:r w:rsidRPr="00841A37">
        <w:t xml:space="preserve">. This resulted in a printing time of 669.35 secs, which included 60 seconds cooling on the build platform, before removal from the print bed to cool to room temperature. “Follow Deformation” was chosen so that elements that have not yet been activated are allowed to follow the movement of the active elements to prevent excessive distortion.  “Free Surface” (for user subroutine UEPACTIVATIONFACET) was also chosen for the heat transfer analysis so that only the active element volume is used for convection and radiation calculations, as opposed to using the full element size. “Partial” element activation was chosen with Minimum volume fraction threshold for partial activation = 0; Maximum volume fraction threshold for partial activation = 1.0; Maximum volume fraction threshold for full activation = 1.0.  Other parameters were left at their default values. </w:t>
      </w:r>
    </w:p>
    <w:p w14:paraId="4C24C153" w14:textId="5C7FED0A" w:rsidR="00EC557F" w:rsidRPr="00841A37" w:rsidRDefault="00EC557F" w:rsidP="00EC557F">
      <w:r w:rsidRPr="00841A37">
        <w:t xml:space="preserve">The type of elements used can have a significant impact on the computational cost and accuracy of the model. For the heat transfer model, 8-noded linear brick elements with full integration have been used previously (Abaqus DC3D8 </w:t>
      </w:r>
      <w:r w:rsidR="00BE0ED3" w:rsidRPr="00841A37">
        <w:rPr>
          <w:noProof/>
        </w:rPr>
        <w:t>(Roy et al., 2019, Huang et al., 2024, Trofimov et al., 2022)</w:t>
      </w:r>
      <w:r w:rsidRPr="00841A37">
        <w:t xml:space="preserve">; Ansys SOLID70 </w:t>
      </w:r>
      <w:r w:rsidR="00BE0ED3" w:rsidRPr="00841A37">
        <w:rPr>
          <w:noProof/>
        </w:rPr>
        <w:t>(Chen et al., 2023, Yu et al., 2025)</w:t>
      </w:r>
      <w:r w:rsidRPr="00841A37">
        <w:t xml:space="preserve">), which offer a good compromise between computational cost and accuracy. Similarly, for the stress-displacement analysis 8-noded linear brick elements have been used (Abaqus C3D8 </w:t>
      </w:r>
      <w:r w:rsidR="00BE0ED3" w:rsidRPr="00841A37">
        <w:rPr>
          <w:noProof/>
        </w:rPr>
        <w:t>(Huang et al., 2024)</w:t>
      </w:r>
      <w:r w:rsidRPr="00841A37">
        <w:t xml:space="preserve">; Ansys SOLID185 </w:t>
      </w:r>
      <w:r w:rsidR="00BE0ED3" w:rsidRPr="00841A37">
        <w:rPr>
          <w:noProof/>
        </w:rPr>
        <w:t>(Chen et al., 2023, Yu et al., 2025)</w:t>
      </w:r>
      <w:r w:rsidRPr="00841A37">
        <w:t xml:space="preserve">) and also 20-noded brick elements (Abaqus C3D20R </w:t>
      </w:r>
      <w:r w:rsidR="00BE0ED3" w:rsidRPr="00841A37">
        <w:rPr>
          <w:noProof/>
        </w:rPr>
        <w:t>(Trofimov et al., 2022)</w:t>
      </w:r>
      <w:r w:rsidRPr="00841A37">
        <w:t xml:space="preserve">). The 20-noded brick elements are computationally more expensive, so the reward for using these elements needs to be balanced with coarser meshes.  For </w:t>
      </w:r>
      <w:r w:rsidRPr="00841A37">
        <w:lastRenderedPageBreak/>
        <w:t xml:space="preserve">coupled temperature displacement models, second-order structured brick elements have been used, with the element height maintained to the order of the layer height (0.1 – 0.3 mm) in the build direction </w:t>
      </w:r>
      <w:r w:rsidR="00BE0ED3" w:rsidRPr="00841A37">
        <w:rPr>
          <w:noProof/>
        </w:rPr>
        <w:t>(Syrlybayev et al., 2021)</w:t>
      </w:r>
      <w:r w:rsidRPr="00841A37">
        <w:t xml:space="preserve">. </w:t>
      </w:r>
    </w:p>
    <w:p w14:paraId="391960A0" w14:textId="6E5922DB" w:rsidR="00EC557F" w:rsidRPr="00841A37" w:rsidRDefault="00EC557F" w:rsidP="00EC557F">
      <w:r w:rsidRPr="00841A37">
        <w:t xml:space="preserve">As with the previous </w:t>
      </w:r>
      <w:r w:rsidR="00BE0ED3" w:rsidRPr="00841A37">
        <w:rPr>
          <w:noProof/>
        </w:rPr>
        <w:t>(Trofimov et al., 2022)</w:t>
      </w:r>
      <w:r w:rsidRPr="00841A37">
        <w:t xml:space="preserve"> work, DC3D8 elements were used for the thermal analysis in this study.  However, C3D8 fully integrated elements were used for the stress-displacement analysis as the 20-noded elements used by Trofimov </w:t>
      </w:r>
      <w:r w:rsidRPr="00841A37">
        <w:rPr>
          <w:i/>
          <w:iCs/>
        </w:rPr>
        <w:t xml:space="preserve">et al. </w:t>
      </w:r>
      <w:r w:rsidR="00BE0ED3" w:rsidRPr="00841A37">
        <w:rPr>
          <w:noProof/>
        </w:rPr>
        <w:t>(2022)</w:t>
      </w:r>
      <w:r w:rsidRPr="00841A37">
        <w:t xml:space="preserve"> required a large amount of computing resources and resulted in convergence errors when the maximum time increment was decreased. Abaqus recommends the C3D8 elements for this type of analysis </w:t>
      </w:r>
      <w:r w:rsidR="00BE0ED3" w:rsidRPr="00841A37">
        <w:rPr>
          <w:noProof/>
        </w:rPr>
        <w:t>(</w:t>
      </w:r>
      <w:r w:rsidR="000E79AC" w:rsidRPr="00841A37">
        <w:rPr>
          <w:noProof/>
        </w:rPr>
        <w:t xml:space="preserve">Abaqus, </w:t>
      </w:r>
      <w:r w:rsidR="00BE0ED3" w:rsidRPr="00841A37">
        <w:rPr>
          <w:noProof/>
        </w:rPr>
        <w:t>2023)</w:t>
      </w:r>
      <w:r w:rsidRPr="00841A37">
        <w:t xml:space="preserve"> – mesh density studies were undertaken to observe the effect on overall distortion and are discussed in section </w:t>
      </w:r>
      <w:r w:rsidR="00627612" w:rsidRPr="00841A37">
        <w:t>2.4 of the main paper (</w:t>
      </w:r>
      <w:r w:rsidR="008A320F" w:rsidRPr="00841A37">
        <w:t>Mesh Density).</w:t>
      </w:r>
      <w:r w:rsidRPr="00841A37">
        <w:t xml:space="preserve">  </w:t>
      </w:r>
    </w:p>
    <w:p w14:paraId="1D9C9AF1" w14:textId="77777777" w:rsidR="00EC557F" w:rsidRPr="00841A37" w:rsidRDefault="00EC557F" w:rsidP="00EC557F">
      <w:pPr>
        <w:pStyle w:val="Heading1"/>
        <w:rPr>
          <w:color w:val="auto"/>
        </w:rPr>
      </w:pPr>
      <w:r w:rsidRPr="00841A37">
        <w:rPr>
          <w:color w:val="auto"/>
        </w:rPr>
        <w:t>Heat Transfer Coefficient Calculation</w:t>
      </w:r>
    </w:p>
    <w:p w14:paraId="1BF0C79A" w14:textId="4982F05E" w:rsidR="00EC557F" w:rsidRPr="00841A37" w:rsidRDefault="00EC557F" w:rsidP="00EC557F">
      <w:r w:rsidRPr="00841A37">
        <w:t xml:space="preserve">The built part cools through 1) conduction to the build plate and to the previous layers of material; 2) convection and 3) radiation to the surrounding air. Conduction between the part and the build plate and between layers tends to dictate the cooling rate and is defined by the thermal conductivity </w:t>
      </w:r>
      <w:r w:rsidR="00BE0ED3" w:rsidRPr="00841A37">
        <w:rPr>
          <w:noProof/>
        </w:rPr>
        <w:t>(Costa et al., 2017, Trofimov et al., 2022)</w:t>
      </w:r>
      <w:r w:rsidRPr="00841A37">
        <w:t xml:space="preserve">. All of these boundary conditions are prescribed to new surfaces as elements are activated </w:t>
      </w:r>
      <w:r w:rsidR="00BE0ED3" w:rsidRPr="00841A37">
        <w:rPr>
          <w:noProof/>
        </w:rPr>
        <w:t>(Roy et al., 2019, Cattenone et al., 2019, Trofimov et al., 2022)</w:t>
      </w:r>
      <w:r w:rsidRPr="00841A37">
        <w:t>.</w:t>
      </w:r>
    </w:p>
    <w:p w14:paraId="7F260D53" w14:textId="42147F4C" w:rsidR="00EC557F" w:rsidRPr="00841A37" w:rsidRDefault="00EC557F" w:rsidP="00EC557F">
      <w:r w:rsidRPr="00841A37">
        <w:t xml:space="preserve">Radiation losses tend to be small when the heat transfer coefficient is large </w:t>
      </w:r>
      <w:r w:rsidR="00BE0ED3" w:rsidRPr="00841A37">
        <w:rPr>
          <w:noProof/>
        </w:rPr>
        <w:t>(Yu et al., 2025, Syrlybayev et al., 2021, Chen et al., 2023, Zhu et al., 2021)</w:t>
      </w:r>
      <w:r w:rsidRPr="00841A37">
        <w:t>, so can be ignored when the heat transfer coefficient is greater than 60 W.m</w:t>
      </w:r>
      <w:r w:rsidRPr="00841A37">
        <w:rPr>
          <w:vertAlign w:val="superscript"/>
        </w:rPr>
        <w:t>-2</w:t>
      </w:r>
      <w:r w:rsidRPr="00841A37">
        <w:t>.K</w:t>
      </w:r>
      <w:r w:rsidRPr="00841A37">
        <w:rPr>
          <w:vertAlign w:val="superscript"/>
        </w:rPr>
        <w:t>-1</w:t>
      </w:r>
      <w:r w:rsidRPr="00841A37">
        <w:t xml:space="preserve"> </w:t>
      </w:r>
      <w:r w:rsidR="00BE0ED3" w:rsidRPr="00841A37">
        <w:rPr>
          <w:noProof/>
        </w:rPr>
        <w:t>(Trofimov et al., 2022, Costa et al., 2017)</w:t>
      </w:r>
      <w:r w:rsidRPr="00841A37">
        <w:t xml:space="preserve">.  Researchers that have included radiation losses have used an emissivity of </w:t>
      </w:r>
      <w:r w:rsidRPr="00841A37">
        <w:rPr>
          <w:rFonts w:ascii="Symbol" w:hAnsi="Symbol"/>
        </w:rPr>
        <w:t></w:t>
      </w:r>
      <w:r w:rsidRPr="00841A37">
        <w:t xml:space="preserve">=0.92 </w:t>
      </w:r>
      <w:r w:rsidR="00BE0ED3" w:rsidRPr="00841A37">
        <w:rPr>
          <w:noProof/>
        </w:rPr>
        <w:t>(Huang et al., 2024, Trofimov et al., 2022)</w:t>
      </w:r>
      <w:r w:rsidRPr="00841A37">
        <w:t xml:space="preserve"> from experimentally determined values </w:t>
      </w:r>
      <w:r w:rsidR="00BE0ED3" w:rsidRPr="00841A37">
        <w:rPr>
          <w:noProof/>
        </w:rPr>
        <w:t>(Morgan et al., 2017, Prajapati et al., 2018)</w:t>
      </w:r>
      <w:r w:rsidRPr="00841A3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41A37" w:rsidRPr="00841A37" w14:paraId="6F1469BC" w14:textId="77777777" w:rsidTr="006E2811">
        <w:tc>
          <w:tcPr>
            <w:tcW w:w="4508" w:type="dxa"/>
          </w:tcPr>
          <w:p w14:paraId="71DA13B3" w14:textId="77777777" w:rsidR="00EC557F" w:rsidRPr="00841A37" w:rsidRDefault="00CD19DF" w:rsidP="006E2811">
            <m:oMathPara>
              <m:oMath>
                <m:sSub>
                  <m:sSubPr>
                    <m:ctrlPr>
                      <w:rPr>
                        <w:rFonts w:ascii="Cambria Math" w:hAnsi="Cambria Math"/>
                      </w:rPr>
                    </m:ctrlPr>
                  </m:sSubPr>
                  <m:e>
                    <m:r>
                      <w:rPr>
                        <w:rFonts w:ascii="Cambria Math" w:hAnsi="Cambria Math"/>
                      </w:rPr>
                      <m:t>q</m:t>
                    </m:r>
                  </m:e>
                  <m:sub>
                    <m:r>
                      <w:rPr>
                        <w:rFonts w:ascii="Cambria Math" w:hAnsi="Cambria Math"/>
                      </w:rPr>
                      <m:t>r</m:t>
                    </m:r>
                  </m:sub>
                </m:sSub>
                <m:r>
                  <w:rPr>
                    <w:rFonts w:ascii="Cambria Math" w:hAnsi="Cambria Math"/>
                  </w:rPr>
                  <m:t>=βε</m:t>
                </m:r>
                <m:d>
                  <m:dPr>
                    <m:ctrlPr>
                      <w:rPr>
                        <w:rFonts w:ascii="Cambria Math" w:hAnsi="Cambria Math"/>
                      </w:rPr>
                    </m:ctrlPr>
                  </m:dPr>
                  <m:e>
                    <m:sSubSup>
                      <m:sSubSupPr>
                        <m:ctrlPr>
                          <w:rPr>
                            <w:rFonts w:ascii="Cambria Math" w:hAnsi="Cambria Math"/>
                          </w:rPr>
                        </m:ctrlPr>
                      </m:sSubSupPr>
                      <m:e>
                        <m:r>
                          <w:rPr>
                            <w:rFonts w:ascii="Cambria Math" w:hAnsi="Cambria Math"/>
                          </w:rPr>
                          <m:t>T</m:t>
                        </m:r>
                      </m:e>
                      <m:sub>
                        <m:r>
                          <w:rPr>
                            <w:rFonts w:ascii="Cambria Math" w:hAnsi="Cambria Math"/>
                          </w:rPr>
                          <m:t>p</m:t>
                        </m:r>
                      </m:sub>
                      <m:sup>
                        <m:r>
                          <w:rPr>
                            <w:rFonts w:ascii="Cambria Math" w:hAnsi="Cambria Math"/>
                          </w:rPr>
                          <m:t>4</m:t>
                        </m:r>
                      </m:sup>
                    </m:sSub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s</m:t>
                        </m:r>
                      </m:sub>
                      <m:sup>
                        <m:r>
                          <w:rPr>
                            <w:rFonts w:ascii="Cambria Math" w:hAnsi="Cambria Math"/>
                          </w:rPr>
                          <m:t>4</m:t>
                        </m:r>
                      </m:sup>
                    </m:sSubSup>
                  </m:e>
                </m:d>
              </m:oMath>
            </m:oMathPara>
          </w:p>
        </w:tc>
        <w:tc>
          <w:tcPr>
            <w:tcW w:w="4508" w:type="dxa"/>
          </w:tcPr>
          <w:p w14:paraId="56329F41" w14:textId="77777777" w:rsidR="00EC557F" w:rsidRPr="00841A37" w:rsidRDefault="00EC557F" w:rsidP="006E2811">
            <w:r w:rsidRPr="00841A37">
              <w:tab/>
            </w:r>
            <w:r w:rsidR="00CD19DF" w:rsidRPr="00841A37">
              <w:fldChar w:fldCharType="begin"/>
            </w:r>
            <w:r w:rsidR="00CD19DF" w:rsidRPr="00841A37">
              <w:instrText xml:space="preserve"> SEQ Equation \* ARABIC </w:instrText>
            </w:r>
            <w:r w:rsidR="00CD19DF" w:rsidRPr="00841A37">
              <w:fldChar w:fldCharType="separate"/>
            </w:r>
            <w:r w:rsidRPr="00841A37">
              <w:rPr>
                <w:noProof/>
              </w:rPr>
              <w:t>1</w:t>
            </w:r>
            <w:r w:rsidR="00CD19DF" w:rsidRPr="00841A37">
              <w:rPr>
                <w:noProof/>
              </w:rPr>
              <w:fldChar w:fldCharType="end"/>
            </w:r>
          </w:p>
        </w:tc>
      </w:tr>
    </w:tbl>
    <w:p w14:paraId="7D294B6D" w14:textId="77777777" w:rsidR="00EC557F" w:rsidRPr="00841A37" w:rsidRDefault="00EC557F" w:rsidP="00EC557F">
      <w:r w:rsidRPr="00841A37">
        <w:t>Where q</w:t>
      </w:r>
      <w:r w:rsidRPr="00841A37">
        <w:rPr>
          <w:vertAlign w:val="subscript"/>
        </w:rPr>
        <w:t>r</w:t>
      </w:r>
      <w:r w:rsidRPr="00841A37">
        <w:t xml:space="preserve"> – Radiation heat flux; </w:t>
      </w:r>
      <w:r w:rsidRPr="00841A37">
        <w:rPr>
          <w:rFonts w:ascii="Symbol" w:hAnsi="Symbol"/>
        </w:rPr>
        <w:t></w:t>
      </w:r>
      <w:r w:rsidRPr="00841A37">
        <w:t xml:space="preserve"> – Stefan-Boltzmann constant; </w:t>
      </w:r>
      <w:r w:rsidRPr="00841A37">
        <w:rPr>
          <w:rFonts w:ascii="Symbol" w:hAnsi="Symbol"/>
        </w:rPr>
        <w:t></w:t>
      </w:r>
      <w:r w:rsidRPr="00841A37">
        <w:t xml:space="preserve"> – Emissivity; T</w:t>
      </w:r>
      <w:r w:rsidRPr="00841A37">
        <w:rPr>
          <w:vertAlign w:val="subscript"/>
        </w:rPr>
        <w:t>p</w:t>
      </w:r>
      <w:r w:rsidRPr="00841A37">
        <w:t xml:space="preserve"> – Temperature of the surface of the printed part; T</w:t>
      </w:r>
      <w:r w:rsidRPr="00841A37">
        <w:rPr>
          <w:vertAlign w:val="subscript"/>
        </w:rPr>
        <w:t>s</w:t>
      </w:r>
      <w:r w:rsidRPr="00841A37">
        <w:t xml:space="preserve"> – Temperature of the surrounding air. </w:t>
      </w:r>
    </w:p>
    <w:p w14:paraId="343F97CC" w14:textId="0B653BCB" w:rsidR="00EC557F" w:rsidRPr="00841A37" w:rsidRDefault="00EC557F" w:rsidP="00EC557F">
      <w:r w:rsidRPr="00841A37">
        <w:t xml:space="preserve">The heat transfer coefficient is dependent on the ambient temperature, the part temperature and airflow around the part which is influenced by the presence of an enclosure and cooling fan settings on the printer </w:t>
      </w:r>
      <w:r w:rsidR="00BE0ED3" w:rsidRPr="00841A37">
        <w:rPr>
          <w:noProof/>
        </w:rPr>
        <w:t>(Syrlybayev et al., 2021, Trofimov et al., 2022, Costa et al., 2017)</w:t>
      </w:r>
      <w:r w:rsidRPr="00841A37">
        <w:t xml:space="preserve">. Reported enclosure temperatures for ABS are around 85 °C </w:t>
      </w:r>
      <w:r w:rsidR="00BE0ED3" w:rsidRPr="00841A37">
        <w:rPr>
          <w:noProof/>
        </w:rPr>
        <w:t>(Cattenone et al., 2019)</w:t>
      </w:r>
      <w:r w:rsidRPr="00841A37">
        <w:t xml:space="preserve"> and 60 °C for PLA </w:t>
      </w:r>
      <w:r w:rsidR="00BE0ED3" w:rsidRPr="00841A37">
        <w:rPr>
          <w:noProof/>
        </w:rPr>
        <w:t>(Trofimov et al., 2022)</w:t>
      </w:r>
      <w:r w:rsidRPr="00841A37">
        <w:t>.  Some examples of heat transfer coefficients used for FFF printing models are presented in</w:t>
      </w:r>
      <w:r w:rsidR="00FC6C8A" w:rsidRPr="00841A37">
        <w:t xml:space="preserve"> </w:t>
      </w:r>
      <w:r w:rsidR="003235DA" w:rsidRPr="00841A37">
        <w:fldChar w:fldCharType="begin"/>
      </w:r>
      <w:r w:rsidR="003235DA" w:rsidRPr="00841A37">
        <w:instrText xml:space="preserve"> REF _Ref224115482 \h </w:instrText>
      </w:r>
      <w:r w:rsidR="003235DA" w:rsidRPr="00841A37">
        <w:fldChar w:fldCharType="separate"/>
      </w:r>
      <w:r w:rsidR="003235DA" w:rsidRPr="00841A37">
        <w:t xml:space="preserve">Table </w:t>
      </w:r>
      <w:r w:rsidR="003235DA" w:rsidRPr="00841A37">
        <w:rPr>
          <w:noProof/>
        </w:rPr>
        <w:t>1</w:t>
      </w:r>
      <w:r w:rsidR="003235DA" w:rsidRPr="00841A37">
        <w:fldChar w:fldCharType="end"/>
      </w:r>
      <w:r w:rsidRPr="00841A37">
        <w:t xml:space="preserve">. </w:t>
      </w:r>
    </w:p>
    <w:tbl>
      <w:tblPr>
        <w:tblStyle w:val="TableGrid"/>
        <w:tblW w:w="9067" w:type="dxa"/>
        <w:tblLook w:val="04A0" w:firstRow="1" w:lastRow="0" w:firstColumn="1" w:lastColumn="0" w:noHBand="0" w:noVBand="1"/>
      </w:tblPr>
      <w:tblGrid>
        <w:gridCol w:w="2004"/>
        <w:gridCol w:w="1229"/>
        <w:gridCol w:w="3004"/>
        <w:gridCol w:w="1360"/>
        <w:gridCol w:w="1470"/>
      </w:tblGrid>
      <w:tr w:rsidR="00841A37" w:rsidRPr="00841A37" w14:paraId="1D14695A" w14:textId="77777777" w:rsidTr="006E2811">
        <w:tc>
          <w:tcPr>
            <w:tcW w:w="2254" w:type="dxa"/>
          </w:tcPr>
          <w:p w14:paraId="06AF490D" w14:textId="77777777" w:rsidR="00EC557F" w:rsidRPr="00841A37" w:rsidRDefault="00EC557F" w:rsidP="006E2811">
            <w:r w:rsidRPr="00841A37">
              <w:t>HTC / W.m</w:t>
            </w:r>
            <w:r w:rsidRPr="00841A37">
              <w:rPr>
                <w:vertAlign w:val="superscript"/>
              </w:rPr>
              <w:t>-2</w:t>
            </w:r>
            <w:r w:rsidRPr="00841A37">
              <w:t>.K</w:t>
            </w:r>
            <w:r w:rsidRPr="00841A37">
              <w:rPr>
                <w:vertAlign w:val="superscript"/>
              </w:rPr>
              <w:t>-1</w:t>
            </w:r>
          </w:p>
        </w:tc>
        <w:tc>
          <w:tcPr>
            <w:tcW w:w="1285" w:type="dxa"/>
          </w:tcPr>
          <w:p w14:paraId="0D922655" w14:textId="77777777" w:rsidR="00EC557F" w:rsidRPr="00841A37" w:rsidRDefault="00EC557F" w:rsidP="006E2811">
            <w:r w:rsidRPr="00841A37">
              <w:t>T</w:t>
            </w:r>
            <w:r w:rsidRPr="00841A37">
              <w:rPr>
                <w:vertAlign w:val="subscript"/>
              </w:rPr>
              <w:t>am</w:t>
            </w:r>
            <w:r w:rsidRPr="00841A37">
              <w:t xml:space="preserve"> /K</w:t>
            </w:r>
          </w:p>
        </w:tc>
        <w:tc>
          <w:tcPr>
            <w:tcW w:w="3402" w:type="dxa"/>
          </w:tcPr>
          <w:p w14:paraId="3AD53D9B" w14:textId="77777777" w:rsidR="00EC557F" w:rsidRPr="00841A37" w:rsidRDefault="00EC557F" w:rsidP="006E2811">
            <w:r w:rsidRPr="00841A37">
              <w:t>T</w:t>
            </w:r>
            <w:r w:rsidRPr="00841A37">
              <w:rPr>
                <w:vertAlign w:val="subscript"/>
              </w:rPr>
              <w:t>b</w:t>
            </w:r>
            <w:r w:rsidRPr="00841A37">
              <w:t xml:space="preserve"> /K</w:t>
            </w:r>
          </w:p>
        </w:tc>
        <w:tc>
          <w:tcPr>
            <w:tcW w:w="1418" w:type="dxa"/>
          </w:tcPr>
          <w:p w14:paraId="21A93C07" w14:textId="77777777" w:rsidR="00EC557F" w:rsidRPr="00841A37" w:rsidRDefault="00EC557F" w:rsidP="006E2811">
            <w:r w:rsidRPr="00841A37">
              <w:t>Material</w:t>
            </w:r>
          </w:p>
        </w:tc>
        <w:tc>
          <w:tcPr>
            <w:tcW w:w="708" w:type="dxa"/>
          </w:tcPr>
          <w:p w14:paraId="74708E6A" w14:textId="77777777" w:rsidR="00EC557F" w:rsidRPr="00841A37" w:rsidRDefault="00EC557F" w:rsidP="006E2811">
            <w:r w:rsidRPr="00841A37">
              <w:t>Ref.</w:t>
            </w:r>
          </w:p>
        </w:tc>
      </w:tr>
      <w:tr w:rsidR="00841A37" w:rsidRPr="00841A37" w14:paraId="64A3582B" w14:textId="77777777" w:rsidTr="006E2811">
        <w:tc>
          <w:tcPr>
            <w:tcW w:w="2254" w:type="dxa"/>
          </w:tcPr>
          <w:p w14:paraId="331A6A74" w14:textId="77777777" w:rsidR="00EC557F" w:rsidRPr="00841A37" w:rsidRDefault="00EC557F" w:rsidP="006E2811">
            <w:r w:rsidRPr="00841A37">
              <w:t>3.96</w:t>
            </w:r>
          </w:p>
        </w:tc>
        <w:tc>
          <w:tcPr>
            <w:tcW w:w="1285" w:type="dxa"/>
          </w:tcPr>
          <w:p w14:paraId="1772A5EE" w14:textId="77777777" w:rsidR="00EC557F" w:rsidRPr="00841A37" w:rsidRDefault="00EC557F" w:rsidP="006E2811">
            <w:r w:rsidRPr="00841A37">
              <w:t>293.15</w:t>
            </w:r>
          </w:p>
        </w:tc>
        <w:tc>
          <w:tcPr>
            <w:tcW w:w="3402" w:type="dxa"/>
          </w:tcPr>
          <w:p w14:paraId="2454615F" w14:textId="77777777" w:rsidR="00EC557F" w:rsidRPr="00841A37" w:rsidRDefault="00EC557F" w:rsidP="006E2811">
            <w:r w:rsidRPr="00841A37">
              <w:t>323.15</w:t>
            </w:r>
          </w:p>
        </w:tc>
        <w:tc>
          <w:tcPr>
            <w:tcW w:w="1418" w:type="dxa"/>
          </w:tcPr>
          <w:p w14:paraId="54283F0B" w14:textId="77777777" w:rsidR="00EC557F" w:rsidRPr="00841A37" w:rsidRDefault="00EC557F" w:rsidP="006E2811">
            <w:r w:rsidRPr="00841A37">
              <w:t>PLA</w:t>
            </w:r>
          </w:p>
        </w:tc>
        <w:tc>
          <w:tcPr>
            <w:tcW w:w="708" w:type="dxa"/>
          </w:tcPr>
          <w:p w14:paraId="2707786B" w14:textId="31CA095A" w:rsidR="00EC557F" w:rsidRPr="00841A37" w:rsidRDefault="00BE0ED3" w:rsidP="006E2811">
            <w:r w:rsidRPr="00841A37">
              <w:rPr>
                <w:noProof/>
              </w:rPr>
              <w:t>(Zhu et al., 2021)</w:t>
            </w:r>
          </w:p>
        </w:tc>
      </w:tr>
      <w:tr w:rsidR="00841A37" w:rsidRPr="00841A37" w14:paraId="77ADDCD0" w14:textId="77777777" w:rsidTr="006E2811">
        <w:tc>
          <w:tcPr>
            <w:tcW w:w="2254" w:type="dxa"/>
          </w:tcPr>
          <w:p w14:paraId="697A4568" w14:textId="77777777" w:rsidR="00EC557F" w:rsidRPr="00841A37" w:rsidRDefault="00EC557F" w:rsidP="006E2811">
            <w:r w:rsidRPr="00841A37">
              <w:t>8</w:t>
            </w:r>
          </w:p>
        </w:tc>
        <w:tc>
          <w:tcPr>
            <w:tcW w:w="1285" w:type="dxa"/>
          </w:tcPr>
          <w:p w14:paraId="12C5942E" w14:textId="77777777" w:rsidR="00EC557F" w:rsidRPr="00841A37" w:rsidRDefault="00EC557F" w:rsidP="006E2811">
            <w:r w:rsidRPr="00841A37">
              <w:t>296.15</w:t>
            </w:r>
          </w:p>
        </w:tc>
        <w:tc>
          <w:tcPr>
            <w:tcW w:w="3402" w:type="dxa"/>
          </w:tcPr>
          <w:p w14:paraId="40D263AE" w14:textId="77777777" w:rsidR="00EC557F" w:rsidRPr="00841A37" w:rsidRDefault="00EC557F" w:rsidP="006E2811">
            <w:r w:rsidRPr="00841A37">
              <w:t>373.15</w:t>
            </w:r>
          </w:p>
        </w:tc>
        <w:tc>
          <w:tcPr>
            <w:tcW w:w="1418" w:type="dxa"/>
          </w:tcPr>
          <w:p w14:paraId="6246E22D" w14:textId="77777777" w:rsidR="00EC557F" w:rsidRPr="00841A37" w:rsidRDefault="00EC557F" w:rsidP="006E2811">
            <w:r w:rsidRPr="00841A37">
              <w:t>ABS</w:t>
            </w:r>
          </w:p>
        </w:tc>
        <w:tc>
          <w:tcPr>
            <w:tcW w:w="708" w:type="dxa"/>
          </w:tcPr>
          <w:p w14:paraId="545FBBA0" w14:textId="3722CC7C" w:rsidR="00EC557F" w:rsidRPr="00841A37" w:rsidRDefault="00BE0ED3" w:rsidP="006E2811">
            <w:r w:rsidRPr="00841A37">
              <w:rPr>
                <w:noProof/>
              </w:rPr>
              <w:t>(Huang et al., 2024)</w:t>
            </w:r>
          </w:p>
        </w:tc>
      </w:tr>
      <w:tr w:rsidR="00841A37" w:rsidRPr="00841A37" w14:paraId="6AAB62CD" w14:textId="77777777" w:rsidTr="006E2811">
        <w:tc>
          <w:tcPr>
            <w:tcW w:w="2254" w:type="dxa"/>
          </w:tcPr>
          <w:p w14:paraId="63FD02C8" w14:textId="77777777" w:rsidR="00EC557F" w:rsidRPr="00841A37" w:rsidRDefault="00EC557F" w:rsidP="006E2811">
            <w:r w:rsidRPr="00841A37">
              <w:lastRenderedPageBreak/>
              <w:t>15</w:t>
            </w:r>
          </w:p>
        </w:tc>
        <w:tc>
          <w:tcPr>
            <w:tcW w:w="1285" w:type="dxa"/>
          </w:tcPr>
          <w:p w14:paraId="7C60B028" w14:textId="77777777" w:rsidR="00EC557F" w:rsidRPr="00841A37" w:rsidRDefault="00EC557F" w:rsidP="006E2811">
            <w:r w:rsidRPr="00841A37">
              <w:t>303.15</w:t>
            </w:r>
          </w:p>
        </w:tc>
        <w:tc>
          <w:tcPr>
            <w:tcW w:w="3402" w:type="dxa"/>
          </w:tcPr>
          <w:p w14:paraId="2452F840" w14:textId="77777777" w:rsidR="00EC557F" w:rsidRPr="00841A37" w:rsidRDefault="00EC557F" w:rsidP="006E2811">
            <w:r w:rsidRPr="00841A37">
              <w:t>363.15; 373.15; 383.15</w:t>
            </w:r>
          </w:p>
        </w:tc>
        <w:tc>
          <w:tcPr>
            <w:tcW w:w="1418" w:type="dxa"/>
          </w:tcPr>
          <w:p w14:paraId="1E0A83B2" w14:textId="77777777" w:rsidR="00EC557F" w:rsidRPr="00841A37" w:rsidRDefault="00EC557F" w:rsidP="006E2811">
            <w:r w:rsidRPr="00841A37">
              <w:t>PLA</w:t>
            </w:r>
          </w:p>
        </w:tc>
        <w:tc>
          <w:tcPr>
            <w:tcW w:w="708" w:type="dxa"/>
          </w:tcPr>
          <w:p w14:paraId="146B1257" w14:textId="4F8CDFE0" w:rsidR="00EC557F" w:rsidRPr="00841A37" w:rsidRDefault="00BE0ED3" w:rsidP="006E2811">
            <w:r w:rsidRPr="00841A37">
              <w:rPr>
                <w:noProof/>
              </w:rPr>
              <w:t>(Alzyod and Ficzere, 2023b)</w:t>
            </w:r>
          </w:p>
        </w:tc>
      </w:tr>
      <w:tr w:rsidR="00841A37" w:rsidRPr="00841A37" w14:paraId="4E34C272" w14:textId="77777777" w:rsidTr="006E2811">
        <w:tc>
          <w:tcPr>
            <w:tcW w:w="2254" w:type="dxa"/>
          </w:tcPr>
          <w:p w14:paraId="4BFA5273" w14:textId="77777777" w:rsidR="00EC557F" w:rsidRPr="00841A37" w:rsidRDefault="00EC557F" w:rsidP="006E2811">
            <w:r w:rsidRPr="00841A37">
              <w:t>15</w:t>
            </w:r>
          </w:p>
        </w:tc>
        <w:tc>
          <w:tcPr>
            <w:tcW w:w="1285" w:type="dxa"/>
          </w:tcPr>
          <w:p w14:paraId="5D39E8E8" w14:textId="77777777" w:rsidR="00EC557F" w:rsidRPr="00841A37" w:rsidRDefault="00EC557F" w:rsidP="006E2811">
            <w:r w:rsidRPr="00841A37">
              <w:t>296.15</w:t>
            </w:r>
          </w:p>
        </w:tc>
        <w:tc>
          <w:tcPr>
            <w:tcW w:w="3402" w:type="dxa"/>
          </w:tcPr>
          <w:p w14:paraId="11A8F209" w14:textId="77777777" w:rsidR="00EC557F" w:rsidRPr="00841A37" w:rsidRDefault="00EC557F" w:rsidP="006E2811">
            <w:r w:rsidRPr="00841A37">
              <w:t>303.15; 323.15; 363.15</w:t>
            </w:r>
          </w:p>
        </w:tc>
        <w:tc>
          <w:tcPr>
            <w:tcW w:w="1418" w:type="dxa"/>
          </w:tcPr>
          <w:p w14:paraId="195A1060" w14:textId="77777777" w:rsidR="00EC557F" w:rsidRPr="00841A37" w:rsidRDefault="00EC557F" w:rsidP="006E2811">
            <w:r w:rsidRPr="00841A37">
              <w:t>ABS</w:t>
            </w:r>
          </w:p>
        </w:tc>
        <w:tc>
          <w:tcPr>
            <w:tcW w:w="708" w:type="dxa"/>
          </w:tcPr>
          <w:p w14:paraId="2F32E2D5" w14:textId="35587BF3" w:rsidR="00EC557F" w:rsidRPr="00841A37" w:rsidRDefault="00BE0ED3" w:rsidP="006E2811">
            <w:r w:rsidRPr="00841A37">
              <w:rPr>
                <w:noProof/>
              </w:rPr>
              <w:t>(Alzyod and Ficzere, 2023a)</w:t>
            </w:r>
          </w:p>
        </w:tc>
      </w:tr>
      <w:tr w:rsidR="00841A37" w:rsidRPr="00841A37" w14:paraId="3D521967" w14:textId="77777777" w:rsidTr="006E2811">
        <w:tc>
          <w:tcPr>
            <w:tcW w:w="2254" w:type="dxa"/>
          </w:tcPr>
          <w:p w14:paraId="59146AAD" w14:textId="77777777" w:rsidR="00EC557F" w:rsidRPr="00841A37" w:rsidRDefault="00EC557F" w:rsidP="006E2811">
            <w:r w:rsidRPr="00841A37">
              <w:t>21</w:t>
            </w:r>
          </w:p>
        </w:tc>
        <w:tc>
          <w:tcPr>
            <w:tcW w:w="1285" w:type="dxa"/>
          </w:tcPr>
          <w:p w14:paraId="7F4D51D3" w14:textId="77777777" w:rsidR="00EC557F" w:rsidRPr="00841A37" w:rsidRDefault="00EC557F" w:rsidP="006E2811">
            <w:r w:rsidRPr="00841A37">
              <w:t>303.15</w:t>
            </w:r>
          </w:p>
        </w:tc>
        <w:tc>
          <w:tcPr>
            <w:tcW w:w="3402" w:type="dxa"/>
          </w:tcPr>
          <w:p w14:paraId="544909D5" w14:textId="77777777" w:rsidR="00EC557F" w:rsidRPr="00841A37" w:rsidRDefault="00EC557F" w:rsidP="006E2811">
            <w:r w:rsidRPr="00841A37">
              <w:t>358.15</w:t>
            </w:r>
          </w:p>
        </w:tc>
        <w:tc>
          <w:tcPr>
            <w:tcW w:w="1418" w:type="dxa"/>
          </w:tcPr>
          <w:p w14:paraId="110B05BA" w14:textId="77777777" w:rsidR="00EC557F" w:rsidRPr="00841A37" w:rsidRDefault="00EC557F" w:rsidP="006E2811">
            <w:r w:rsidRPr="00841A37">
              <w:t>ABS</w:t>
            </w:r>
          </w:p>
        </w:tc>
        <w:tc>
          <w:tcPr>
            <w:tcW w:w="708" w:type="dxa"/>
          </w:tcPr>
          <w:p w14:paraId="6EE75FC6" w14:textId="7CF6553A" w:rsidR="00EC557F" w:rsidRPr="00841A37" w:rsidRDefault="00BE0ED3" w:rsidP="006E2811">
            <w:r w:rsidRPr="00841A37">
              <w:rPr>
                <w:noProof/>
              </w:rPr>
              <w:t>(Roy et al., 2019)</w:t>
            </w:r>
          </w:p>
        </w:tc>
      </w:tr>
      <w:tr w:rsidR="00841A37" w:rsidRPr="00841A37" w14:paraId="5EB3D8AE" w14:textId="77777777" w:rsidTr="006E2811">
        <w:tc>
          <w:tcPr>
            <w:tcW w:w="2254" w:type="dxa"/>
          </w:tcPr>
          <w:p w14:paraId="11A5629B" w14:textId="77777777" w:rsidR="00EC557F" w:rsidRPr="00841A37" w:rsidRDefault="00EC557F" w:rsidP="006E2811">
            <w:r w:rsidRPr="00841A37">
              <w:t>25</w:t>
            </w:r>
          </w:p>
        </w:tc>
        <w:tc>
          <w:tcPr>
            <w:tcW w:w="1285" w:type="dxa"/>
          </w:tcPr>
          <w:p w14:paraId="10C49427" w14:textId="77777777" w:rsidR="00EC557F" w:rsidRPr="00841A37" w:rsidRDefault="00EC557F" w:rsidP="006E2811">
            <w:r w:rsidRPr="00841A37">
              <w:t>298.15</w:t>
            </w:r>
          </w:p>
        </w:tc>
        <w:tc>
          <w:tcPr>
            <w:tcW w:w="3402" w:type="dxa"/>
          </w:tcPr>
          <w:p w14:paraId="6074465A" w14:textId="77777777" w:rsidR="00EC557F" w:rsidRPr="00841A37" w:rsidRDefault="00EC557F" w:rsidP="006E2811">
            <w:r w:rsidRPr="00841A37">
              <w:t>298.15</w:t>
            </w:r>
          </w:p>
        </w:tc>
        <w:tc>
          <w:tcPr>
            <w:tcW w:w="1418" w:type="dxa"/>
          </w:tcPr>
          <w:p w14:paraId="67BBCEA6" w14:textId="77777777" w:rsidR="00EC557F" w:rsidRPr="00841A37" w:rsidRDefault="00EC557F" w:rsidP="006E2811">
            <w:r w:rsidRPr="00841A37">
              <w:t>ABS</w:t>
            </w:r>
          </w:p>
        </w:tc>
        <w:tc>
          <w:tcPr>
            <w:tcW w:w="708" w:type="dxa"/>
          </w:tcPr>
          <w:p w14:paraId="2AF39BFC" w14:textId="51DA2A2D" w:rsidR="00EC557F" w:rsidRPr="00841A37" w:rsidRDefault="00BE0ED3" w:rsidP="006E2811">
            <w:r w:rsidRPr="00841A37">
              <w:rPr>
                <w:noProof/>
              </w:rPr>
              <w:t>(Chen et al., 2023)</w:t>
            </w:r>
          </w:p>
        </w:tc>
      </w:tr>
      <w:tr w:rsidR="00841A37" w:rsidRPr="00841A37" w14:paraId="5C93254A" w14:textId="77777777" w:rsidTr="006E2811">
        <w:tc>
          <w:tcPr>
            <w:tcW w:w="2254" w:type="dxa"/>
          </w:tcPr>
          <w:p w14:paraId="348C65A7" w14:textId="77777777" w:rsidR="00EC557F" w:rsidRPr="00841A37" w:rsidRDefault="00EC557F" w:rsidP="006E2811">
            <w:r w:rsidRPr="00841A37">
              <w:t>71</w:t>
            </w:r>
          </w:p>
        </w:tc>
        <w:tc>
          <w:tcPr>
            <w:tcW w:w="1285" w:type="dxa"/>
          </w:tcPr>
          <w:p w14:paraId="0924745D" w14:textId="77777777" w:rsidR="00EC557F" w:rsidRPr="00841A37" w:rsidRDefault="00EC557F" w:rsidP="006E2811">
            <w:r w:rsidRPr="00841A37">
              <w:t>333.15</w:t>
            </w:r>
          </w:p>
        </w:tc>
        <w:tc>
          <w:tcPr>
            <w:tcW w:w="3402" w:type="dxa"/>
          </w:tcPr>
          <w:p w14:paraId="5690CC35" w14:textId="77777777" w:rsidR="00EC557F" w:rsidRPr="00841A37" w:rsidRDefault="00EC557F" w:rsidP="006E2811">
            <w:r w:rsidRPr="00841A37">
              <w:t>325.15</w:t>
            </w:r>
          </w:p>
        </w:tc>
        <w:tc>
          <w:tcPr>
            <w:tcW w:w="1418" w:type="dxa"/>
          </w:tcPr>
          <w:p w14:paraId="0BF6DE7B" w14:textId="77777777" w:rsidR="00EC557F" w:rsidRPr="00841A37" w:rsidRDefault="00EC557F" w:rsidP="006E2811">
            <w:r w:rsidRPr="00841A37">
              <w:t>PLA</w:t>
            </w:r>
          </w:p>
        </w:tc>
        <w:tc>
          <w:tcPr>
            <w:tcW w:w="708" w:type="dxa"/>
          </w:tcPr>
          <w:p w14:paraId="18C1C444" w14:textId="05034ABF" w:rsidR="00EC557F" w:rsidRPr="00841A37" w:rsidRDefault="00EC557F" w:rsidP="006E2811">
            <w:r w:rsidRPr="00841A37">
              <w:t xml:space="preserve"> </w:t>
            </w:r>
            <w:r w:rsidR="00BE0ED3" w:rsidRPr="00841A37">
              <w:rPr>
                <w:noProof/>
              </w:rPr>
              <w:t>(Trofimov et al., 2022)</w:t>
            </w:r>
          </w:p>
        </w:tc>
      </w:tr>
      <w:tr w:rsidR="00841A37" w:rsidRPr="00841A37" w14:paraId="033189AA" w14:textId="77777777" w:rsidTr="006E2811">
        <w:tc>
          <w:tcPr>
            <w:tcW w:w="2254" w:type="dxa"/>
          </w:tcPr>
          <w:p w14:paraId="140A77C1" w14:textId="77777777" w:rsidR="00EC557F" w:rsidRPr="00841A37" w:rsidRDefault="00EC557F" w:rsidP="006E2811">
            <w:r w:rsidRPr="00841A37">
              <w:t>80</w:t>
            </w:r>
          </w:p>
        </w:tc>
        <w:tc>
          <w:tcPr>
            <w:tcW w:w="1285" w:type="dxa"/>
          </w:tcPr>
          <w:p w14:paraId="70A0E1DB" w14:textId="77777777" w:rsidR="00EC557F" w:rsidRPr="00841A37" w:rsidRDefault="00EC557F" w:rsidP="006E2811">
            <w:r w:rsidRPr="00841A37">
              <w:t>295.15</w:t>
            </w:r>
          </w:p>
        </w:tc>
        <w:tc>
          <w:tcPr>
            <w:tcW w:w="3402" w:type="dxa"/>
          </w:tcPr>
          <w:p w14:paraId="670577FB" w14:textId="77777777" w:rsidR="00EC557F" w:rsidRPr="00841A37" w:rsidRDefault="00EC557F" w:rsidP="006E2811">
            <w:r w:rsidRPr="00841A37">
              <w:t>358.15 to 378.15</w:t>
            </w:r>
          </w:p>
        </w:tc>
        <w:tc>
          <w:tcPr>
            <w:tcW w:w="1418" w:type="dxa"/>
          </w:tcPr>
          <w:p w14:paraId="57D8C7E7" w14:textId="77777777" w:rsidR="00EC557F" w:rsidRPr="00841A37" w:rsidRDefault="00EC557F" w:rsidP="006E2811">
            <w:r w:rsidRPr="00841A37">
              <w:t>ABS</w:t>
            </w:r>
          </w:p>
        </w:tc>
        <w:tc>
          <w:tcPr>
            <w:tcW w:w="708" w:type="dxa"/>
          </w:tcPr>
          <w:p w14:paraId="3279BC17" w14:textId="79802494" w:rsidR="00EC557F" w:rsidRPr="00841A37" w:rsidRDefault="00BE0ED3" w:rsidP="006E2811">
            <w:r w:rsidRPr="00841A37">
              <w:rPr>
                <w:noProof/>
              </w:rPr>
              <w:t>(Syrlybayev et al., 2021)</w:t>
            </w:r>
          </w:p>
        </w:tc>
      </w:tr>
      <w:tr w:rsidR="00841A37" w:rsidRPr="00841A37" w14:paraId="4E615F40" w14:textId="77777777" w:rsidTr="006E2811">
        <w:tc>
          <w:tcPr>
            <w:tcW w:w="2254" w:type="dxa"/>
          </w:tcPr>
          <w:p w14:paraId="1E7AE0ED" w14:textId="77777777" w:rsidR="00EC557F" w:rsidRPr="00841A37" w:rsidRDefault="00EC557F" w:rsidP="006E2811">
            <w:r w:rsidRPr="00841A37">
              <w:t>86</w:t>
            </w:r>
          </w:p>
        </w:tc>
        <w:tc>
          <w:tcPr>
            <w:tcW w:w="1285" w:type="dxa"/>
          </w:tcPr>
          <w:p w14:paraId="6B13B758" w14:textId="77777777" w:rsidR="00EC557F" w:rsidRPr="00841A37" w:rsidRDefault="00EC557F" w:rsidP="006E2811">
            <w:r w:rsidRPr="00841A37">
              <w:t>298.15</w:t>
            </w:r>
          </w:p>
        </w:tc>
        <w:tc>
          <w:tcPr>
            <w:tcW w:w="3402" w:type="dxa"/>
          </w:tcPr>
          <w:p w14:paraId="6E6D943E" w14:textId="77777777" w:rsidR="00EC557F" w:rsidRPr="00841A37" w:rsidRDefault="00EC557F" w:rsidP="006E2811">
            <w:r w:rsidRPr="00841A37">
              <w:t>323.15</w:t>
            </w:r>
          </w:p>
        </w:tc>
        <w:tc>
          <w:tcPr>
            <w:tcW w:w="1418" w:type="dxa"/>
          </w:tcPr>
          <w:p w14:paraId="7CDCF04D" w14:textId="77777777" w:rsidR="00EC557F" w:rsidRPr="00841A37" w:rsidRDefault="00EC557F" w:rsidP="006E2811">
            <w:r w:rsidRPr="00841A37">
              <w:t>PLA</w:t>
            </w:r>
          </w:p>
        </w:tc>
        <w:tc>
          <w:tcPr>
            <w:tcW w:w="708" w:type="dxa"/>
          </w:tcPr>
          <w:p w14:paraId="42FBBBD3" w14:textId="5C4D1558" w:rsidR="00EC557F" w:rsidRPr="00841A37" w:rsidRDefault="00BE0ED3" w:rsidP="006E2811">
            <w:r w:rsidRPr="00841A37">
              <w:rPr>
                <w:noProof/>
              </w:rPr>
              <w:t>(Yu et al., 2025)</w:t>
            </w:r>
          </w:p>
        </w:tc>
      </w:tr>
    </w:tbl>
    <w:p w14:paraId="088FECAD" w14:textId="5B2FC37B" w:rsidR="00EC557F" w:rsidRPr="00841A37" w:rsidRDefault="00873B8F" w:rsidP="00873B8F">
      <w:pPr>
        <w:pStyle w:val="Caption"/>
        <w:rPr>
          <w:color w:val="auto"/>
        </w:rPr>
      </w:pPr>
      <w:bookmarkStart w:id="1" w:name="_Ref170829664"/>
      <w:bookmarkStart w:id="2" w:name="_Ref224115482"/>
      <w:r w:rsidRPr="00841A37">
        <w:rPr>
          <w:color w:val="auto"/>
        </w:rPr>
        <w:t xml:space="preserve">Table </w:t>
      </w:r>
      <w:r w:rsidR="00CD19DF" w:rsidRPr="00841A37">
        <w:rPr>
          <w:color w:val="auto"/>
        </w:rPr>
        <w:fldChar w:fldCharType="begin"/>
      </w:r>
      <w:r w:rsidR="00CD19DF" w:rsidRPr="00841A37">
        <w:rPr>
          <w:color w:val="auto"/>
        </w:rPr>
        <w:instrText xml:space="preserve"> SEQ Table \* ARABIC </w:instrText>
      </w:r>
      <w:r w:rsidR="00CD19DF" w:rsidRPr="00841A37">
        <w:rPr>
          <w:color w:val="auto"/>
        </w:rPr>
        <w:fldChar w:fldCharType="separate"/>
      </w:r>
      <w:r w:rsidRPr="00841A37">
        <w:rPr>
          <w:noProof/>
          <w:color w:val="auto"/>
        </w:rPr>
        <w:t>1</w:t>
      </w:r>
      <w:r w:rsidR="00CD19DF" w:rsidRPr="00841A37">
        <w:rPr>
          <w:noProof/>
          <w:color w:val="auto"/>
        </w:rPr>
        <w:fldChar w:fldCharType="end"/>
      </w:r>
      <w:bookmarkEnd w:id="1"/>
      <w:bookmarkEnd w:id="2"/>
      <w:r w:rsidR="00EC557F" w:rsidRPr="00841A37">
        <w:rPr>
          <w:color w:val="auto"/>
        </w:rPr>
        <w:t xml:space="preserve"> Summary of heat transfer coefficient (HTC) values, enclosure temperatures (T</w:t>
      </w:r>
      <w:r w:rsidR="00EC557F" w:rsidRPr="00841A37">
        <w:rPr>
          <w:color w:val="auto"/>
          <w:vertAlign w:val="subscript"/>
        </w:rPr>
        <w:t>am</w:t>
      </w:r>
      <w:r w:rsidR="00EC557F" w:rsidRPr="00841A37">
        <w:rPr>
          <w:color w:val="auto"/>
        </w:rPr>
        <w:t>), and build plate temperatures (T</w:t>
      </w:r>
      <w:r w:rsidR="00EC557F" w:rsidRPr="00841A37">
        <w:rPr>
          <w:color w:val="auto"/>
          <w:vertAlign w:val="subscript"/>
        </w:rPr>
        <w:t>b</w:t>
      </w:r>
      <w:r w:rsidR="00EC557F" w:rsidRPr="00841A37">
        <w:rPr>
          <w:color w:val="auto"/>
        </w:rPr>
        <w:t>) used in previous finite element analyses of FFF</w:t>
      </w:r>
    </w:p>
    <w:p w14:paraId="147754D5" w14:textId="77777777" w:rsidR="00EC557F" w:rsidRPr="00841A37" w:rsidRDefault="00EC557F" w:rsidP="00EC557F">
      <w:r w:rsidRPr="00841A37">
        <w:t>This work assumes that the heat transfer acts on the entire surface rather than on one strand of the extrudate. The convective heat flux is calculated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41A37" w:rsidRPr="00841A37" w14:paraId="2F3C8CF2" w14:textId="77777777" w:rsidTr="006E2811">
        <w:tc>
          <w:tcPr>
            <w:tcW w:w="4508" w:type="dxa"/>
          </w:tcPr>
          <w:p w14:paraId="40FE3AC2" w14:textId="77777777" w:rsidR="00EC557F" w:rsidRPr="00841A37" w:rsidRDefault="00CD19DF" w:rsidP="006E2811">
            <m:oMathPara>
              <m:oMath>
                <m:sSub>
                  <m:sSubPr>
                    <m:ctrlPr>
                      <w:rPr>
                        <w:rFonts w:ascii="Cambria Math" w:hAnsi="Cambria Math"/>
                      </w:rPr>
                    </m:ctrlPr>
                  </m:sSubPr>
                  <m:e>
                    <m:r>
                      <w:rPr>
                        <w:rFonts w:ascii="Cambria Math" w:hAnsi="Cambria Math"/>
                      </w:rPr>
                      <m:t>q</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p</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s</m:t>
                        </m:r>
                      </m:sub>
                    </m:sSub>
                  </m:e>
                </m:d>
              </m:oMath>
            </m:oMathPara>
          </w:p>
        </w:tc>
        <w:tc>
          <w:tcPr>
            <w:tcW w:w="4508" w:type="dxa"/>
          </w:tcPr>
          <w:p w14:paraId="7420F3F9" w14:textId="77777777" w:rsidR="00EC557F" w:rsidRPr="00841A37" w:rsidRDefault="00EC557F" w:rsidP="006E2811">
            <w:r w:rsidRPr="00841A37">
              <w:tab/>
            </w:r>
            <w:r w:rsidR="00CD19DF" w:rsidRPr="00841A37">
              <w:fldChar w:fldCharType="begin"/>
            </w:r>
            <w:r w:rsidR="00CD19DF" w:rsidRPr="00841A37">
              <w:instrText xml:space="preserve"> SEQ Equation \* ARABIC </w:instrText>
            </w:r>
            <w:r w:rsidR="00CD19DF" w:rsidRPr="00841A37">
              <w:fldChar w:fldCharType="separate"/>
            </w:r>
            <w:r w:rsidRPr="00841A37">
              <w:rPr>
                <w:noProof/>
              </w:rPr>
              <w:t>8</w:t>
            </w:r>
            <w:r w:rsidR="00CD19DF" w:rsidRPr="00841A37">
              <w:rPr>
                <w:noProof/>
              </w:rPr>
              <w:fldChar w:fldCharType="end"/>
            </w:r>
          </w:p>
        </w:tc>
      </w:tr>
    </w:tbl>
    <w:p w14:paraId="40F7F28F" w14:textId="77777777" w:rsidR="00EC557F" w:rsidRPr="00841A37" w:rsidRDefault="00EC557F" w:rsidP="00EC557F">
      <w:r w:rsidRPr="00841A37">
        <w:t>Where q</w:t>
      </w:r>
      <w:r w:rsidRPr="00841A37">
        <w:rPr>
          <w:vertAlign w:val="subscript"/>
        </w:rPr>
        <w:t>c</w:t>
      </w:r>
      <w:r w:rsidRPr="00841A37">
        <w:t xml:space="preserve"> – Convection heat flux; h</w:t>
      </w:r>
      <w:r w:rsidRPr="00841A37">
        <w:rPr>
          <w:vertAlign w:val="subscript"/>
        </w:rPr>
        <w:t>p</w:t>
      </w:r>
      <w:r w:rsidRPr="00841A37">
        <w:t xml:space="preserve"> – heat transfer coefficient at the surface of the built part. </w:t>
      </w:r>
    </w:p>
    <w:p w14:paraId="03213F34" w14:textId="3D0DDE25" w:rsidR="00EC557F" w:rsidRPr="00841A37" w:rsidRDefault="00EC557F" w:rsidP="00EC557F">
      <w:r w:rsidRPr="00841A37">
        <w:t xml:space="preserve">Based on the original work by Churchill and Ozoe </w:t>
      </w:r>
      <w:r w:rsidR="00BE0ED3" w:rsidRPr="00841A37">
        <w:rPr>
          <w:noProof/>
        </w:rPr>
        <w:t>(1973)</w:t>
      </w:r>
      <w:r w:rsidRPr="00841A37">
        <w:t xml:space="preserve"> presented in Bejan’s book on Heat Transfer </w:t>
      </w:r>
      <w:r w:rsidR="00BE0ED3" w:rsidRPr="00841A37">
        <w:rPr>
          <w:noProof/>
        </w:rPr>
        <w:t>(Bejan, 1993)</w:t>
      </w:r>
      <w:r w:rsidRPr="00841A37">
        <w:t>, the heat transfer coefficient can be estimated for simple shapes according to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41A37" w:rsidRPr="00841A37" w14:paraId="3D9F4A1C" w14:textId="77777777" w:rsidTr="006E2811">
        <w:tc>
          <w:tcPr>
            <w:tcW w:w="4508" w:type="dxa"/>
          </w:tcPr>
          <w:p w14:paraId="2D826CE8" w14:textId="77777777" w:rsidR="00EC557F" w:rsidRPr="00841A37" w:rsidRDefault="00CD19DF" w:rsidP="006E2811">
            <m:oMathPara>
              <m:oMath>
                <m:acc>
                  <m:accPr>
                    <m:chr m:val="̅"/>
                    <m:ctrlPr>
                      <w:rPr>
                        <w:rFonts w:ascii="Cambria Math" w:hAnsi="Cambria Math"/>
                      </w:rPr>
                    </m:ctrlPr>
                  </m:accPr>
                  <m:e>
                    <m:sSub>
                      <m:sSubPr>
                        <m:ctrlPr>
                          <w:rPr>
                            <w:rFonts w:ascii="Cambria Math" w:hAnsi="Cambria Math"/>
                          </w:rPr>
                        </m:ctrlPr>
                      </m:sSubPr>
                      <m:e>
                        <m:r>
                          <w:rPr>
                            <w:rFonts w:ascii="Cambria Math" w:hAnsi="Cambria Math"/>
                          </w:rPr>
                          <m:t>h</m:t>
                        </m:r>
                      </m:e>
                      <m:sub>
                        <m:r>
                          <w:rPr>
                            <w:rFonts w:ascii="Cambria Math" w:hAnsi="Cambria Math"/>
                          </w:rPr>
                          <m:t>x</m:t>
                        </m:r>
                      </m:sub>
                    </m:sSub>
                  </m:e>
                </m:acc>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Nu</m:t>
                        </m:r>
                      </m:e>
                      <m:sub>
                        <m:r>
                          <w:rPr>
                            <w:rFonts w:ascii="Cambria Math" w:hAnsi="Cambria Math"/>
                          </w:rPr>
                          <m:t>x</m:t>
                        </m:r>
                      </m:sub>
                    </m:sSub>
                    <m:sSub>
                      <m:sSubPr>
                        <m:ctrlPr>
                          <w:rPr>
                            <w:rFonts w:ascii="Cambria Math" w:hAnsi="Cambria Math"/>
                          </w:rPr>
                        </m:ctrlPr>
                      </m:sSubPr>
                      <m:e>
                        <m:r>
                          <w:rPr>
                            <w:rFonts w:ascii="Cambria Math" w:hAnsi="Cambria Math"/>
                          </w:rPr>
                          <m:t>k</m:t>
                        </m:r>
                      </m:e>
                      <m:sub>
                        <m:r>
                          <w:rPr>
                            <w:rFonts w:ascii="Cambria Math" w:hAnsi="Cambria Math"/>
                          </w:rPr>
                          <m:t>air</m:t>
                        </m:r>
                      </m:sub>
                    </m:sSub>
                  </m:num>
                  <m:den>
                    <m:r>
                      <w:rPr>
                        <w:rFonts w:ascii="Cambria Math" w:hAnsi="Cambria Math"/>
                      </w:rPr>
                      <m:t>x</m:t>
                    </m:r>
                  </m:den>
                </m:f>
                <m:r>
                  <m:rPr>
                    <m:sty m:val="p"/>
                  </m:rPr>
                  <w:br/>
                </m:r>
              </m:oMath>
            </m:oMathPara>
          </w:p>
        </w:tc>
        <w:tc>
          <w:tcPr>
            <w:tcW w:w="4508" w:type="dxa"/>
          </w:tcPr>
          <w:p w14:paraId="7F98D0E7" w14:textId="77777777" w:rsidR="00EC557F" w:rsidRPr="00841A37" w:rsidRDefault="00EC557F" w:rsidP="006E2811"/>
          <w:p w14:paraId="24932FD8" w14:textId="77777777" w:rsidR="00EC557F" w:rsidRPr="00841A37" w:rsidRDefault="00EC557F" w:rsidP="006E2811">
            <w:r w:rsidRPr="00841A37">
              <w:tab/>
            </w:r>
            <w:r w:rsidR="00CD19DF" w:rsidRPr="00841A37">
              <w:fldChar w:fldCharType="begin"/>
            </w:r>
            <w:r w:rsidR="00CD19DF" w:rsidRPr="00841A37">
              <w:instrText xml:space="preserve"> SEQ Equation \* ARABIC </w:instrText>
            </w:r>
            <w:r w:rsidR="00CD19DF" w:rsidRPr="00841A37">
              <w:fldChar w:fldCharType="separate"/>
            </w:r>
            <w:r w:rsidRPr="00841A37">
              <w:rPr>
                <w:noProof/>
              </w:rPr>
              <w:t>9</w:t>
            </w:r>
            <w:r w:rsidR="00CD19DF" w:rsidRPr="00841A37">
              <w:rPr>
                <w:noProof/>
              </w:rPr>
              <w:fldChar w:fldCharType="end"/>
            </w:r>
          </w:p>
        </w:tc>
      </w:tr>
    </w:tbl>
    <w:p w14:paraId="22EAE971" w14:textId="19BADA75" w:rsidR="00EC557F" w:rsidRPr="00841A37" w:rsidRDefault="00EC557F" w:rsidP="00EC557F">
      <w:r w:rsidRPr="00841A37">
        <w:t>Where h</w:t>
      </w:r>
      <w:r w:rsidRPr="00841A37">
        <w:rPr>
          <w:rFonts w:ascii="Arial" w:hAnsi="Arial" w:cs="Arial"/>
        </w:rPr>
        <w:t>̅</w:t>
      </w:r>
      <w:r w:rsidRPr="00841A37">
        <w:rPr>
          <w:vertAlign w:val="subscript"/>
        </w:rPr>
        <w:t>x</w:t>
      </w:r>
      <w:r w:rsidRPr="00841A37">
        <w:t xml:space="preserve"> – average heat transfer coefficient for a flat part with characteristic linear scale of x. k</w:t>
      </w:r>
      <w:r w:rsidRPr="00841A37">
        <w:rPr>
          <w:vertAlign w:val="subscript"/>
        </w:rPr>
        <w:t>air</w:t>
      </w:r>
      <w:r w:rsidRPr="00841A37">
        <w:t xml:space="preserve"> is the air thermal conductivity which is 0.032 W.m</w:t>
      </w:r>
      <w:r w:rsidRPr="00841A37">
        <w:rPr>
          <w:vertAlign w:val="superscript"/>
        </w:rPr>
        <w:t>-1</w:t>
      </w:r>
      <w:r w:rsidRPr="00841A37">
        <w:t>.K</w:t>
      </w:r>
      <w:r w:rsidRPr="00841A37">
        <w:rPr>
          <w:vertAlign w:val="superscript"/>
        </w:rPr>
        <w:t>-1</w:t>
      </w:r>
      <w:r w:rsidRPr="00841A37">
        <w:t xml:space="preserve"> at the film temperature, T</w:t>
      </w:r>
      <w:r w:rsidRPr="00841A37">
        <w:rPr>
          <w:vertAlign w:val="subscript"/>
        </w:rPr>
        <w:t>f</w:t>
      </w:r>
      <w:r w:rsidRPr="00841A37">
        <w:t xml:space="preserve"> </w:t>
      </w:r>
      <w:r w:rsidR="00BE0ED3" w:rsidRPr="00841A37">
        <w:rPr>
          <w:noProof/>
        </w:rPr>
        <w:t>(Bejan, 1993)</w:t>
      </w:r>
      <w:r w:rsidRPr="00841A37">
        <w:t xml:space="preserve">. </w:t>
      </w:r>
    </w:p>
    <w:p w14:paraId="290A62A7" w14:textId="77777777" w:rsidR="00EC557F" w:rsidRPr="00841A37" w:rsidRDefault="00EC557F" w:rsidP="00EC557F">
      <w:r w:rsidRPr="00841A37">
        <w:t>Nu</w:t>
      </w:r>
      <w:r w:rsidRPr="00841A37">
        <w:rPr>
          <w:vertAlign w:val="subscript"/>
        </w:rPr>
        <w:t>x</w:t>
      </w:r>
      <w:r w:rsidRPr="00841A37">
        <w:t xml:space="preserve"> is the average Nusselt number of the distance x and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41A37" w:rsidRPr="00841A37" w14:paraId="2DC3ED1E" w14:textId="77777777" w:rsidTr="006E2811">
        <w:tc>
          <w:tcPr>
            <w:tcW w:w="4508" w:type="dxa"/>
          </w:tcPr>
          <w:p w14:paraId="0E7768E7" w14:textId="77777777" w:rsidR="00EC557F" w:rsidRPr="00841A37" w:rsidRDefault="00CD19DF" w:rsidP="006E2811">
            <m:oMathPara>
              <m:oMath>
                <m:sSub>
                  <m:sSubPr>
                    <m:ctrlPr>
                      <w:rPr>
                        <w:rFonts w:ascii="Cambria Math" w:hAnsi="Cambria Math"/>
                      </w:rPr>
                    </m:ctrlPr>
                  </m:sSubPr>
                  <m:e>
                    <m:r>
                      <w:rPr>
                        <w:rFonts w:ascii="Cambria Math" w:hAnsi="Cambria Math"/>
                      </w:rPr>
                      <m:t>Nu</m:t>
                    </m:r>
                  </m:e>
                  <m:sub>
                    <m:r>
                      <w:rPr>
                        <w:rFonts w:ascii="Cambria Math" w:hAnsi="Cambria Math"/>
                      </w:rPr>
                      <m:t>x</m:t>
                    </m:r>
                  </m:sub>
                </m:sSub>
                <m:r>
                  <w:rPr>
                    <w:rFonts w:ascii="Cambria Math" w:hAnsi="Cambria Math"/>
                  </w:rPr>
                  <m:t>=</m:t>
                </m:r>
                <m:f>
                  <m:fPr>
                    <m:ctrlPr>
                      <w:rPr>
                        <w:rFonts w:ascii="Cambria Math" w:hAnsi="Cambria Math"/>
                      </w:rPr>
                    </m:ctrlPr>
                  </m:fPr>
                  <m:num>
                    <m:r>
                      <w:rPr>
                        <w:rFonts w:ascii="Cambria Math" w:hAnsi="Cambria Math"/>
                      </w:rPr>
                      <m:t>0.928</m:t>
                    </m:r>
                    <m:sSup>
                      <m:sSupPr>
                        <m:ctrlPr>
                          <w:rPr>
                            <w:rFonts w:ascii="Cambria Math" w:hAnsi="Cambria Math"/>
                          </w:rPr>
                        </m:ctrlPr>
                      </m:sSupPr>
                      <m:e>
                        <m:r>
                          <w:rPr>
                            <w:rFonts w:ascii="Cambria Math" w:hAnsi="Cambria Math"/>
                          </w:rPr>
                          <m:t>Pr</m:t>
                        </m:r>
                      </m:e>
                      <m:sup>
                        <m:f>
                          <m:fPr>
                            <m:type m:val="skw"/>
                            <m:ctrlPr>
                              <w:rPr>
                                <w:rFonts w:ascii="Cambria Math" w:hAnsi="Cambria Math"/>
                              </w:rPr>
                            </m:ctrlPr>
                          </m:fPr>
                          <m:num>
                            <m:r>
                              <w:rPr>
                                <w:rFonts w:ascii="Cambria Math" w:hAnsi="Cambria Math"/>
                              </w:rPr>
                              <m:t>1</m:t>
                            </m:r>
                          </m:num>
                          <m:den>
                            <m:r>
                              <w:rPr>
                                <w:rFonts w:ascii="Cambria Math" w:hAnsi="Cambria Math"/>
                              </w:rPr>
                              <m:t>3</m:t>
                            </m:r>
                          </m:den>
                        </m:f>
                      </m:sup>
                    </m:sSup>
                    <m:sSup>
                      <m:sSupPr>
                        <m:ctrlPr>
                          <w:rPr>
                            <w:rFonts w:ascii="Cambria Math" w:hAnsi="Cambria Math"/>
                          </w:rPr>
                        </m:ctrlPr>
                      </m:sSupPr>
                      <m:e>
                        <m:r>
                          <w:rPr>
                            <w:rFonts w:ascii="Cambria Math" w:hAnsi="Cambria Math"/>
                          </w:rPr>
                          <m:t>Re</m:t>
                        </m:r>
                      </m:e>
                      <m:sup>
                        <m:f>
                          <m:fPr>
                            <m:type m:val="skw"/>
                            <m:ctrlPr>
                              <w:rPr>
                                <w:rFonts w:ascii="Cambria Math" w:hAnsi="Cambria Math"/>
                              </w:rPr>
                            </m:ctrlPr>
                          </m:fPr>
                          <m:num>
                            <m:r>
                              <w:rPr>
                                <w:rFonts w:ascii="Cambria Math" w:hAnsi="Cambria Math"/>
                              </w:rPr>
                              <m:t>1</m:t>
                            </m:r>
                          </m:num>
                          <m:den>
                            <m:r>
                              <w:rPr>
                                <w:rFonts w:ascii="Cambria Math" w:hAnsi="Cambria Math"/>
                              </w:rPr>
                              <m:t>2</m:t>
                            </m:r>
                          </m:den>
                        </m:f>
                      </m:sup>
                    </m:sSup>
                  </m:num>
                  <m:den>
                    <m:sSup>
                      <m:sSupPr>
                        <m:ctrlPr>
                          <w:rPr>
                            <w:rFonts w:ascii="Cambria Math" w:hAnsi="Cambria Math"/>
                          </w:rPr>
                        </m:ctrlPr>
                      </m:sSupPr>
                      <m:e>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0.0207</m:t>
                                </m:r>
                              </m:num>
                              <m:den>
                                <m:sSup>
                                  <m:sSupPr>
                                    <m:ctrlPr>
                                      <w:rPr>
                                        <w:rFonts w:ascii="Cambria Math" w:hAnsi="Cambria Math"/>
                                      </w:rPr>
                                    </m:ctrlPr>
                                  </m:sSupPr>
                                  <m:e>
                                    <m:r>
                                      <w:rPr>
                                        <w:rFonts w:ascii="Cambria Math" w:hAnsi="Cambria Math"/>
                                      </w:rPr>
                                      <m:t>Pr</m:t>
                                    </m:r>
                                  </m:e>
                                  <m:sup>
                                    <m:f>
                                      <m:fPr>
                                        <m:type m:val="skw"/>
                                        <m:ctrlPr>
                                          <w:rPr>
                                            <w:rFonts w:ascii="Cambria Math" w:hAnsi="Cambria Math"/>
                                          </w:rPr>
                                        </m:ctrlPr>
                                      </m:fPr>
                                      <m:num>
                                        <m:r>
                                          <w:rPr>
                                            <w:rFonts w:ascii="Cambria Math" w:hAnsi="Cambria Math"/>
                                          </w:rPr>
                                          <m:t>2</m:t>
                                        </m:r>
                                      </m:num>
                                      <m:den>
                                        <m:r>
                                          <w:rPr>
                                            <w:rFonts w:ascii="Cambria Math" w:hAnsi="Cambria Math"/>
                                          </w:rPr>
                                          <m:t>3</m:t>
                                        </m:r>
                                      </m:den>
                                    </m:f>
                                  </m:sup>
                                </m:sSup>
                              </m:den>
                            </m:f>
                          </m:e>
                        </m:d>
                      </m:e>
                      <m:sup>
                        <m:f>
                          <m:fPr>
                            <m:type m:val="skw"/>
                            <m:ctrlPr>
                              <w:rPr>
                                <w:rFonts w:ascii="Cambria Math" w:hAnsi="Cambria Math"/>
                              </w:rPr>
                            </m:ctrlPr>
                          </m:fPr>
                          <m:num>
                            <m:r>
                              <w:rPr>
                                <w:rFonts w:ascii="Cambria Math" w:hAnsi="Cambria Math"/>
                              </w:rPr>
                              <m:t>1</m:t>
                            </m:r>
                          </m:num>
                          <m:den>
                            <m:r>
                              <w:rPr>
                                <w:rFonts w:ascii="Cambria Math" w:hAnsi="Cambria Math"/>
                              </w:rPr>
                              <m:t>4</m:t>
                            </m:r>
                          </m:den>
                        </m:f>
                      </m:sup>
                    </m:sSup>
                  </m:den>
                </m:f>
                <m:r>
                  <m:rPr>
                    <m:sty m:val="p"/>
                  </m:rPr>
                  <w:br/>
                </m:r>
              </m:oMath>
            </m:oMathPara>
          </w:p>
        </w:tc>
        <w:tc>
          <w:tcPr>
            <w:tcW w:w="4508" w:type="dxa"/>
          </w:tcPr>
          <w:p w14:paraId="16001D4B" w14:textId="77777777" w:rsidR="00EC557F" w:rsidRPr="00841A37" w:rsidRDefault="00EC557F" w:rsidP="006E2811"/>
          <w:p w14:paraId="1D7082A4" w14:textId="77777777" w:rsidR="00EC557F" w:rsidRPr="00841A37" w:rsidRDefault="00EC557F" w:rsidP="006E2811"/>
          <w:p w14:paraId="0050907E" w14:textId="77777777" w:rsidR="00EC557F" w:rsidRPr="00841A37" w:rsidRDefault="00EC557F" w:rsidP="006E2811">
            <w:r w:rsidRPr="00841A37">
              <w:tab/>
            </w:r>
            <w:r w:rsidR="00CD19DF" w:rsidRPr="00841A37">
              <w:fldChar w:fldCharType="begin"/>
            </w:r>
            <w:r w:rsidR="00CD19DF" w:rsidRPr="00841A37">
              <w:instrText xml:space="preserve"> SEQ Equation \* ARABIC </w:instrText>
            </w:r>
            <w:r w:rsidR="00CD19DF" w:rsidRPr="00841A37">
              <w:fldChar w:fldCharType="separate"/>
            </w:r>
            <w:r w:rsidRPr="00841A37">
              <w:rPr>
                <w:noProof/>
              </w:rPr>
              <w:t>10</w:t>
            </w:r>
            <w:r w:rsidR="00CD19DF" w:rsidRPr="00841A37">
              <w:rPr>
                <w:noProof/>
              </w:rPr>
              <w:fldChar w:fldCharType="end"/>
            </w:r>
          </w:p>
        </w:tc>
      </w:tr>
    </w:tbl>
    <w:p w14:paraId="506C6C58" w14:textId="2063B16A" w:rsidR="00EC557F" w:rsidRPr="00841A37" w:rsidRDefault="00EC557F" w:rsidP="00EC557F">
      <w:r w:rsidRPr="00841A37">
        <w:t>Where Pr is the Prandtl number and is equal to 0.7 at T</w:t>
      </w:r>
      <w:r w:rsidRPr="00841A37">
        <w:rPr>
          <w:vertAlign w:val="subscript"/>
        </w:rPr>
        <w:t>f</w:t>
      </w:r>
      <w:r w:rsidRPr="00841A37">
        <w:t xml:space="preserve"> </w:t>
      </w:r>
      <w:r w:rsidR="00BE0ED3" w:rsidRPr="00841A37">
        <w:rPr>
          <w:noProof/>
        </w:rPr>
        <w:t>(Bejan, 1993)</w:t>
      </w:r>
      <w:r w:rsidRPr="00841A37">
        <w:t xml:space="preserve">. </w:t>
      </w:r>
    </w:p>
    <w:p w14:paraId="6A854907" w14:textId="77777777" w:rsidR="00EC557F" w:rsidRPr="00841A37" w:rsidRDefault="00EC557F" w:rsidP="00EC557F">
      <w:r w:rsidRPr="00841A37">
        <w:t>Re is Reynolds number and is calculated from: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41A37" w:rsidRPr="00841A37" w14:paraId="5C9CC290" w14:textId="77777777" w:rsidTr="006E2811">
        <w:tc>
          <w:tcPr>
            <w:tcW w:w="4508" w:type="dxa"/>
          </w:tcPr>
          <w:p w14:paraId="164F8250" w14:textId="77777777" w:rsidR="00EC557F" w:rsidRPr="00841A37" w:rsidRDefault="00EC557F" w:rsidP="006E2811">
            <m:oMathPara>
              <m:oMath>
                <m:r>
                  <w:rPr>
                    <w:rFonts w:ascii="Cambria Math" w:hAnsi="Cambria Math"/>
                  </w:rPr>
                  <w:lastRenderedPageBreak/>
                  <m:t>Re=</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m:t>
                        </m:r>
                      </m:sub>
                    </m:sSub>
                    <m:r>
                      <w:rPr>
                        <w:rFonts w:ascii="Cambria Math" w:hAnsi="Cambria Math"/>
                      </w:rPr>
                      <m:t>x</m:t>
                    </m:r>
                  </m:num>
                  <m:den>
                    <m:r>
                      <w:rPr>
                        <w:rFonts w:ascii="Cambria Math" w:hAnsi="Cambria Math"/>
                      </w:rPr>
                      <m:t>v</m:t>
                    </m:r>
                  </m:den>
                </m:f>
                <m:r>
                  <m:rPr>
                    <m:sty m:val="p"/>
                  </m:rPr>
                  <w:br/>
                </m:r>
              </m:oMath>
            </m:oMathPara>
          </w:p>
        </w:tc>
        <w:tc>
          <w:tcPr>
            <w:tcW w:w="4508" w:type="dxa"/>
          </w:tcPr>
          <w:p w14:paraId="0346F8B4" w14:textId="77777777" w:rsidR="00EC557F" w:rsidRPr="00841A37" w:rsidRDefault="00EC557F" w:rsidP="006E2811"/>
          <w:p w14:paraId="54BFC95C" w14:textId="77777777" w:rsidR="00EC557F" w:rsidRPr="00841A37" w:rsidRDefault="00EC557F" w:rsidP="006E2811">
            <w:r w:rsidRPr="00841A37">
              <w:tab/>
            </w:r>
            <w:r w:rsidR="00CD19DF" w:rsidRPr="00841A37">
              <w:fldChar w:fldCharType="begin"/>
            </w:r>
            <w:r w:rsidR="00CD19DF" w:rsidRPr="00841A37">
              <w:instrText xml:space="preserve"> SEQ Equation \* ARABIC </w:instrText>
            </w:r>
            <w:r w:rsidR="00CD19DF" w:rsidRPr="00841A37">
              <w:fldChar w:fldCharType="separate"/>
            </w:r>
            <w:r w:rsidRPr="00841A37">
              <w:rPr>
                <w:noProof/>
              </w:rPr>
              <w:t>11</w:t>
            </w:r>
            <w:r w:rsidR="00CD19DF" w:rsidRPr="00841A37">
              <w:rPr>
                <w:noProof/>
              </w:rPr>
              <w:fldChar w:fldCharType="end"/>
            </w:r>
          </w:p>
        </w:tc>
      </w:tr>
    </w:tbl>
    <w:p w14:paraId="04E0EDA0" w14:textId="20F7E957" w:rsidR="00EC557F" w:rsidRPr="00841A37" w:rsidRDefault="00EC557F" w:rsidP="00EC557F">
      <w:r w:rsidRPr="00841A37">
        <w:lastRenderedPageBreak/>
        <w:t>Where U</w:t>
      </w:r>
      <w:r w:rsidRPr="00841A37">
        <w:rPr>
          <w:vertAlign w:val="subscript"/>
        </w:rPr>
        <w:t>∞</w:t>
      </w:r>
      <w:r w:rsidRPr="00841A37">
        <w:t xml:space="preserve"> – Velocity of air relative to the surface which is assumed to be 0.4 m.s</w:t>
      </w:r>
      <w:r w:rsidRPr="00841A37">
        <w:rPr>
          <w:vertAlign w:val="superscript"/>
        </w:rPr>
        <w:t>-1</w:t>
      </w:r>
      <w:r w:rsidRPr="00841A37">
        <w:t xml:space="preserve"> in this case </w:t>
      </w:r>
      <w:r w:rsidR="00BE0ED3" w:rsidRPr="00841A37">
        <w:rPr>
          <w:noProof/>
        </w:rPr>
        <w:t>(Costa et al., 2017)</w:t>
      </w:r>
      <w:r w:rsidRPr="00841A37">
        <w:t>; v – is the Kinematic viscosity of air = 0.23 cm</w:t>
      </w:r>
      <w:r w:rsidRPr="00841A37">
        <w:rPr>
          <w:vertAlign w:val="superscript"/>
        </w:rPr>
        <w:t>2</w:t>
      </w:r>
      <w:r w:rsidRPr="00841A37">
        <w:t>.s</w:t>
      </w:r>
      <w:r w:rsidRPr="00841A37">
        <w:rPr>
          <w:vertAlign w:val="superscript"/>
        </w:rPr>
        <w:t>-1</w:t>
      </w:r>
      <w:r w:rsidRPr="00841A37">
        <w:t xml:space="preserve"> at T</w:t>
      </w:r>
      <w:r w:rsidRPr="00841A37">
        <w:rPr>
          <w:vertAlign w:val="subscript"/>
        </w:rPr>
        <w:t>f</w:t>
      </w:r>
      <w:r w:rsidRPr="00841A37">
        <w:t xml:space="preserve"> </w:t>
      </w:r>
      <w:r w:rsidR="00BE0ED3" w:rsidRPr="00841A37">
        <w:rPr>
          <w:noProof/>
        </w:rPr>
        <w:t>(Bejan, 1993)</w:t>
      </w:r>
      <w:r w:rsidRPr="00841A37">
        <w:t xml:space="preserve">.  The calculated value of Reynolds number (2.11) is low which indicates laminar flow across the surface of the plate, which validates use of equation 4. Furthermore, the Peclet number, </w:t>
      </w:r>
      <m:oMath>
        <m:sSub>
          <m:sSubPr>
            <m:ctrlPr>
              <w:rPr>
                <w:rFonts w:ascii="Cambria Math" w:hAnsi="Cambria Math"/>
                <w:i/>
              </w:rPr>
            </m:ctrlPr>
          </m:sSubPr>
          <m:e>
            <m:r>
              <w:rPr>
                <w:rFonts w:ascii="Cambria Math" w:hAnsi="Cambria Math"/>
              </w:rPr>
              <m:t>Pe</m:t>
            </m:r>
          </m:e>
          <m:sub>
            <m:r>
              <w:rPr>
                <w:rFonts w:ascii="Cambria Math" w:hAnsi="Cambria Math"/>
              </w:rPr>
              <m:t>D</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m:t>
                </m:r>
              </m:sub>
            </m:sSub>
            <m:r>
              <w:rPr>
                <w:rFonts w:ascii="Cambria Math" w:hAnsi="Cambria Math"/>
              </w:rPr>
              <m:t>x</m:t>
            </m:r>
          </m:num>
          <m:den>
            <m:r>
              <w:rPr>
                <w:rFonts w:ascii="Cambria Math" w:hAnsi="Cambria Math"/>
              </w:rPr>
              <m:t>α</m:t>
            </m:r>
          </m:den>
        </m:f>
      </m:oMath>
      <w:r w:rsidRPr="00841A37">
        <w:t xml:space="preserve"> &gt;100 further validating this calculation, where </w:t>
      </w:r>
      <w:r w:rsidRPr="00841A37">
        <w:rPr>
          <w:rFonts w:ascii="Symbol" w:hAnsi="Symbol"/>
        </w:rPr>
        <w:t></w:t>
      </w:r>
      <w:r w:rsidRPr="00841A37">
        <w:t xml:space="preserve"> is the thermal diffusion coefficient at T</w:t>
      </w:r>
      <w:r w:rsidRPr="00841A37">
        <w:rPr>
          <w:vertAlign w:val="subscript"/>
        </w:rPr>
        <w:t>f</w:t>
      </w:r>
      <w:r w:rsidRPr="00841A37">
        <w:t xml:space="preserve"> </w:t>
      </w:r>
      <w:r w:rsidR="00BE0ED3" w:rsidRPr="00841A37">
        <w:rPr>
          <w:noProof/>
        </w:rPr>
        <w:t>(Bejan, 1993)</w:t>
      </w:r>
      <w:r w:rsidRPr="00841A37">
        <w:t xml:space="preserve">.  </w:t>
      </w:r>
    </w:p>
    <w:p w14:paraId="4408C866" w14:textId="775D3F8E" w:rsidR="00EC557F" w:rsidRPr="00841A37" w:rsidRDefault="00EC557F" w:rsidP="00EC557F">
      <w:r w:rsidRPr="00841A37">
        <w:t xml:space="preserve">These heat transfer coefficient values are largely estimated based on previous work, but Trofimov et al. </w:t>
      </w:r>
      <w:r w:rsidR="00BE0ED3" w:rsidRPr="00841A37">
        <w:rPr>
          <w:noProof/>
        </w:rPr>
        <w:t>(2022)</w:t>
      </w:r>
      <w:r w:rsidRPr="00841A37">
        <w:t xml:space="preserve"> calculated the values for the extruded filament from first principles based on the work of Costa et al. </w:t>
      </w:r>
      <w:r w:rsidR="00BE0ED3" w:rsidRPr="00841A37">
        <w:rPr>
          <w:noProof/>
        </w:rPr>
        <w:t>(2017)</w:t>
      </w:r>
      <w:r w:rsidRPr="00841A37">
        <w:t xml:space="preserve">  using the Hilpert correlation equation.  Following this approach, a heat transfer coefficient of h</w:t>
      </w:r>
      <w:r w:rsidRPr="00841A37">
        <w:rPr>
          <w:rFonts w:ascii="Arial" w:hAnsi="Arial" w:cs="Arial"/>
        </w:rPr>
        <w:t>̅</w:t>
      </w:r>
      <w:r w:rsidRPr="00841A37">
        <w:rPr>
          <w:vertAlign w:val="subscript"/>
        </w:rPr>
        <w:t>x</w:t>
      </w:r>
      <w:r w:rsidRPr="00841A37">
        <w:t xml:space="preserve"> = 12 W.m</w:t>
      </w:r>
      <w:r w:rsidRPr="00841A37">
        <w:rPr>
          <w:vertAlign w:val="superscript"/>
        </w:rPr>
        <w:t>-2</w:t>
      </w:r>
      <w:r w:rsidRPr="00841A37">
        <w:t>.K</w:t>
      </w:r>
      <w:r w:rsidRPr="00841A37">
        <w:rPr>
          <w:vertAlign w:val="superscript"/>
        </w:rPr>
        <w:t>-1</w:t>
      </w:r>
      <w:r w:rsidRPr="00841A37">
        <w:t xml:space="preserve"> was calculated for the build based on the assumption that the velocity of air at the surface was 0.4 m.s</w:t>
      </w:r>
      <w:r w:rsidRPr="00841A37">
        <w:rPr>
          <w:vertAlign w:val="superscript"/>
        </w:rPr>
        <w:t>-1</w:t>
      </w:r>
      <w:r w:rsidRPr="00841A37">
        <w:t xml:space="preserve">. </w:t>
      </w:r>
    </w:p>
    <w:p w14:paraId="56568A92" w14:textId="77777777" w:rsidR="00064A51" w:rsidRPr="00841A37" w:rsidRDefault="00064A51"/>
    <w:p w14:paraId="74B3804B" w14:textId="63EB4760" w:rsidR="00EC557F" w:rsidRPr="00841A37" w:rsidRDefault="00EC557F" w:rsidP="00EC557F">
      <w:pPr>
        <w:pStyle w:val="Heading1"/>
        <w:rPr>
          <w:color w:val="auto"/>
        </w:rPr>
      </w:pPr>
      <w:r w:rsidRPr="00841A37">
        <w:rPr>
          <w:color w:val="auto"/>
        </w:rPr>
        <w:t>References</w:t>
      </w:r>
    </w:p>
    <w:p w14:paraId="2E5C0549" w14:textId="77777777" w:rsidR="00EC557F" w:rsidRPr="00841A37" w:rsidRDefault="00EC557F"/>
    <w:p w14:paraId="2D619EFE" w14:textId="4F5C1775" w:rsidR="00EC557F" w:rsidRPr="00841A37" w:rsidRDefault="00EC557F" w:rsidP="00EC557F">
      <w:pPr>
        <w:pStyle w:val="EndNoteBibliography"/>
        <w:spacing w:after="0"/>
        <w:ind w:left="720" w:hanging="720"/>
      </w:pPr>
      <w:r w:rsidRPr="00841A37">
        <w:t>Abaqus. 2023.HF6 ed. Johnston, RI, USA: Dassault Systemes Simulia Corp.</w:t>
      </w:r>
    </w:p>
    <w:p w14:paraId="74F0031D" w14:textId="77777777" w:rsidR="00EC557F" w:rsidRPr="00841A37" w:rsidRDefault="00EC557F" w:rsidP="00EC557F">
      <w:pPr>
        <w:pStyle w:val="EndNoteBibliography"/>
        <w:spacing w:after="0"/>
        <w:ind w:left="720" w:hanging="720"/>
      </w:pPr>
      <w:r w:rsidRPr="00841A37">
        <w:t xml:space="preserve">ALJARRAH, O., LI, J., HUANG, W., HERYUDONO, A. &amp; BI, J. 2019. ARIMA-GMDH: a low-order integrated approach for predicting and optimizing the additive manufacturing process parameters. </w:t>
      </w:r>
      <w:r w:rsidRPr="00841A37">
        <w:rPr>
          <w:i/>
        </w:rPr>
        <w:t>The International Journal of Advanced Manufacturing Technology,</w:t>
      </w:r>
      <w:r w:rsidRPr="00841A37">
        <w:t xml:space="preserve"> 106</w:t>
      </w:r>
      <w:r w:rsidRPr="00841A37">
        <w:rPr>
          <w:b/>
        </w:rPr>
        <w:t>,</w:t>
      </w:r>
      <w:r w:rsidRPr="00841A37">
        <w:t xml:space="preserve"> 701-717.</w:t>
      </w:r>
    </w:p>
    <w:p w14:paraId="4269AC83" w14:textId="77777777" w:rsidR="00EC557F" w:rsidRPr="00841A37" w:rsidRDefault="00EC557F" w:rsidP="00EC557F">
      <w:pPr>
        <w:pStyle w:val="EndNoteBibliography"/>
        <w:spacing w:after="0"/>
        <w:ind w:left="720" w:hanging="720"/>
      </w:pPr>
      <w:r w:rsidRPr="00841A37">
        <w:t xml:space="preserve">ALZYOD, H. &amp; FICZERE, P. 2023a. Correlation Between Printing Parameters and Residual Stress in Additive Manufacturing: A Numerical Simulation Approach. </w:t>
      </w:r>
      <w:r w:rsidRPr="00841A37">
        <w:rPr>
          <w:i/>
        </w:rPr>
        <w:t>Production Engineering Archives,</w:t>
      </w:r>
      <w:r w:rsidRPr="00841A37">
        <w:t xml:space="preserve"> 29</w:t>
      </w:r>
      <w:r w:rsidRPr="00841A37">
        <w:rPr>
          <w:b/>
        </w:rPr>
        <w:t>,</w:t>
      </w:r>
      <w:r w:rsidRPr="00841A37">
        <w:t xml:space="preserve"> 279-287.</w:t>
      </w:r>
    </w:p>
    <w:p w14:paraId="42AD64D3" w14:textId="77777777" w:rsidR="00EC557F" w:rsidRPr="00841A37" w:rsidRDefault="00EC557F" w:rsidP="00EC557F">
      <w:pPr>
        <w:pStyle w:val="EndNoteBibliography"/>
        <w:spacing w:after="0"/>
        <w:ind w:left="720" w:hanging="720"/>
      </w:pPr>
      <w:r w:rsidRPr="00841A37">
        <w:t xml:space="preserve">ALZYOD, H. &amp; FICZERE, P. 2023b. Optimizing fused filament fabrication process parameters for quality enhancement of PA12 parts using numerical modeling and taguchi method. </w:t>
      </w:r>
      <w:r w:rsidRPr="00841A37">
        <w:rPr>
          <w:i/>
        </w:rPr>
        <w:t>Heliyon,</w:t>
      </w:r>
      <w:r w:rsidRPr="00841A37">
        <w:t xml:space="preserve"> 9</w:t>
      </w:r>
      <w:r w:rsidRPr="00841A37">
        <w:rPr>
          <w:b/>
        </w:rPr>
        <w:t>,</w:t>
      </w:r>
      <w:r w:rsidRPr="00841A37">
        <w:t xml:space="preserve"> e14445.</w:t>
      </w:r>
    </w:p>
    <w:p w14:paraId="256F2B10" w14:textId="77777777" w:rsidR="00EC557F" w:rsidRPr="00841A37" w:rsidRDefault="00EC557F" w:rsidP="00EC557F">
      <w:pPr>
        <w:pStyle w:val="EndNoteBibliography"/>
        <w:spacing w:after="0"/>
        <w:ind w:left="720" w:hanging="720"/>
      </w:pPr>
      <w:r w:rsidRPr="00841A37">
        <w:t xml:space="preserve">BEJAN, A. 1993. </w:t>
      </w:r>
      <w:r w:rsidRPr="00841A37">
        <w:rPr>
          <w:i/>
        </w:rPr>
        <w:t>Heat Transfer</w:t>
      </w:r>
      <w:r w:rsidRPr="00841A37">
        <w:t>, Wiley.</w:t>
      </w:r>
    </w:p>
    <w:p w14:paraId="3CED2A31" w14:textId="77777777" w:rsidR="00EC557F" w:rsidRPr="00841A37" w:rsidRDefault="00EC557F" w:rsidP="00EC557F">
      <w:pPr>
        <w:pStyle w:val="EndNoteBibliography"/>
        <w:spacing w:after="0"/>
        <w:ind w:left="720" w:hanging="720"/>
      </w:pPr>
      <w:r w:rsidRPr="00841A37">
        <w:t xml:space="preserve">CATTENONE, A., MORGANTI, S., ALAIMO, G. &amp; AURICCHIO, F. 2019. Finite Element Analysis of Additive Manufacturing Based on Fused Deposition Modeling: Distortions Prediction and Comparison With Experimental Data. </w:t>
      </w:r>
      <w:r w:rsidRPr="00841A37">
        <w:rPr>
          <w:i/>
        </w:rPr>
        <w:t>Journal of Manufacturing Science and Engineering,</w:t>
      </w:r>
      <w:r w:rsidRPr="00841A37">
        <w:t xml:space="preserve"> 141.</w:t>
      </w:r>
    </w:p>
    <w:p w14:paraId="36ED55C0" w14:textId="77777777" w:rsidR="00EC557F" w:rsidRPr="00841A37" w:rsidRDefault="00EC557F" w:rsidP="00EC557F">
      <w:pPr>
        <w:pStyle w:val="EndNoteBibliography"/>
        <w:spacing w:after="0"/>
        <w:ind w:left="720" w:hanging="720"/>
      </w:pPr>
      <w:r w:rsidRPr="00841A37">
        <w:t xml:space="preserve">CHEN, G., WANG, D., HUA, W., WU, W., ZHOU, W., JIN, Y. &amp; ZHENG, W. 2023. Simulating and Predicting the Part Warping in Fused Deposition Modeling by Thermal-Structural Coupling Analysis. </w:t>
      </w:r>
      <w:r w:rsidRPr="00841A37">
        <w:rPr>
          <w:i/>
        </w:rPr>
        <w:t>3D Print Addit Manuf,</w:t>
      </w:r>
      <w:r w:rsidRPr="00841A37">
        <w:t xml:space="preserve"> 10</w:t>
      </w:r>
      <w:r w:rsidRPr="00841A37">
        <w:rPr>
          <w:b/>
        </w:rPr>
        <w:t>,</w:t>
      </w:r>
      <w:r w:rsidRPr="00841A37">
        <w:t xml:space="preserve"> 70-82.</w:t>
      </w:r>
    </w:p>
    <w:p w14:paraId="620415CB" w14:textId="77777777" w:rsidR="00EC557F" w:rsidRPr="00841A37" w:rsidRDefault="00EC557F" w:rsidP="00EC557F">
      <w:pPr>
        <w:pStyle w:val="EndNoteBibliography"/>
        <w:spacing w:after="0"/>
        <w:ind w:left="720" w:hanging="720"/>
      </w:pPr>
      <w:r w:rsidRPr="00841A37">
        <w:t xml:space="preserve">CHURCHILL, S. W. &amp; OZOE, H. 1973. Correlations for Laminar Forced Convection with Uniform Heating in Flow over a Plate and in Developing and Fully Developed Flow in a Tube. </w:t>
      </w:r>
      <w:r w:rsidRPr="00841A37">
        <w:rPr>
          <w:i/>
        </w:rPr>
        <w:t>Journal of Heat Transfer-Transactions of the Asme,</w:t>
      </w:r>
      <w:r w:rsidRPr="00841A37">
        <w:t xml:space="preserve"> 95</w:t>
      </w:r>
      <w:r w:rsidRPr="00841A37">
        <w:rPr>
          <w:b/>
        </w:rPr>
        <w:t>,</w:t>
      </w:r>
      <w:r w:rsidRPr="00841A37">
        <w:t xml:space="preserve"> 78-84.</w:t>
      </w:r>
    </w:p>
    <w:p w14:paraId="6F28CE7A" w14:textId="77777777" w:rsidR="00EC557F" w:rsidRPr="00841A37" w:rsidRDefault="00EC557F" w:rsidP="00EC557F">
      <w:pPr>
        <w:pStyle w:val="EndNoteBibliography"/>
        <w:spacing w:after="0"/>
        <w:ind w:left="720" w:hanging="720"/>
      </w:pPr>
      <w:r w:rsidRPr="00841A37">
        <w:t xml:space="preserve">COSTA, S. F., DUARTE, F. M. &amp; COVAS, J. A. 2017. Estimation of filament temperature and adhesion development in fused deposition techniques. </w:t>
      </w:r>
      <w:r w:rsidRPr="00841A37">
        <w:rPr>
          <w:i/>
        </w:rPr>
        <w:t>Journal of Materials Processing Technology,</w:t>
      </w:r>
      <w:r w:rsidRPr="00841A37">
        <w:t xml:space="preserve"> 245</w:t>
      </w:r>
      <w:r w:rsidRPr="00841A37">
        <w:rPr>
          <w:b/>
        </w:rPr>
        <w:t>,</w:t>
      </w:r>
      <w:r w:rsidRPr="00841A37">
        <w:t xml:space="preserve"> 167-179.</w:t>
      </w:r>
    </w:p>
    <w:p w14:paraId="4718C40B" w14:textId="77777777" w:rsidR="00EC557F" w:rsidRPr="00841A37" w:rsidRDefault="00EC557F" w:rsidP="00EC557F">
      <w:pPr>
        <w:pStyle w:val="EndNoteBibliography"/>
        <w:spacing w:after="0"/>
        <w:ind w:left="720" w:hanging="720"/>
      </w:pPr>
      <w:r w:rsidRPr="00841A37">
        <w:lastRenderedPageBreak/>
        <w:t xml:space="preserve">HUANG, Y., LÖSCHKE, S., GAN, Y. &amp; PROUST, G. 2024. Interrelations between Printing Patterns and Residual Stress in Fused Deposition Modelling for the 4D Printing of Acrylonitrile Butadiene Styrene and Wood–Plastic Composites. </w:t>
      </w:r>
      <w:r w:rsidRPr="00841A37">
        <w:rPr>
          <w:i/>
        </w:rPr>
        <w:t>Journal of Manufacturing and Materials Processing,</w:t>
      </w:r>
      <w:r w:rsidRPr="00841A37">
        <w:t xml:space="preserve"> 8.</w:t>
      </w:r>
    </w:p>
    <w:p w14:paraId="31F4AB54" w14:textId="77777777" w:rsidR="00EC557F" w:rsidRPr="00841A37" w:rsidRDefault="00EC557F" w:rsidP="00EC557F">
      <w:pPr>
        <w:pStyle w:val="EndNoteBibliography"/>
        <w:spacing w:after="0"/>
        <w:ind w:left="720" w:hanging="720"/>
      </w:pPr>
      <w:r w:rsidRPr="00841A37">
        <w:t>MORGAN, R., REID, R., BAKER, A., LUCERO, B. &amp; BERNARDIN, J. 2017. Emissivity Measurements of Additively Manufactured Materials. Los Almos: Los Alamos National Laboratory.</w:t>
      </w:r>
    </w:p>
    <w:p w14:paraId="2DC3CA5A" w14:textId="77777777" w:rsidR="00EC557F" w:rsidRPr="00841A37" w:rsidRDefault="00EC557F" w:rsidP="00EC557F">
      <w:pPr>
        <w:pStyle w:val="EndNoteBibliography"/>
        <w:spacing w:after="0"/>
        <w:ind w:left="720" w:hanging="720"/>
      </w:pPr>
      <w:r w:rsidRPr="00841A37">
        <w:t xml:space="preserve">PRAJAPATI, H., RAVOORI, D. &amp; JAIN, A. 2018. Measurement and modeling of filament temperature distribution in the standoff gap between nozzle and bed in polymer-based additive manufacturing. </w:t>
      </w:r>
      <w:r w:rsidRPr="00841A37">
        <w:rPr>
          <w:i/>
        </w:rPr>
        <w:t>Additive Manufacturing,</w:t>
      </w:r>
      <w:r w:rsidRPr="00841A37">
        <w:t xml:space="preserve"> 24</w:t>
      </w:r>
      <w:r w:rsidRPr="00841A37">
        <w:rPr>
          <w:b/>
        </w:rPr>
        <w:t>,</w:t>
      </w:r>
      <w:r w:rsidRPr="00841A37">
        <w:t xml:space="preserve"> 224-231.</w:t>
      </w:r>
    </w:p>
    <w:p w14:paraId="0229C08C" w14:textId="77777777" w:rsidR="00EC557F" w:rsidRPr="00841A37" w:rsidRDefault="00EC557F" w:rsidP="00EC557F">
      <w:pPr>
        <w:pStyle w:val="EndNoteBibliography"/>
        <w:spacing w:after="0"/>
        <w:ind w:left="720" w:hanging="720"/>
      </w:pPr>
      <w:r w:rsidRPr="00841A37">
        <w:t xml:space="preserve">ROY, M., YAVARI, R., ZHOU, C., WODO, O. &amp; RAO, P. 2019. Prediction and Experimental Validation of Part Thermal History in the Fused Filament Fabrication Additive Manufacturing Process. </w:t>
      </w:r>
      <w:r w:rsidRPr="00841A37">
        <w:rPr>
          <w:i/>
        </w:rPr>
        <w:t>Journal of Manufacturing Science and Engineering,</w:t>
      </w:r>
      <w:r w:rsidRPr="00841A37">
        <w:t xml:space="preserve"> 141.</w:t>
      </w:r>
    </w:p>
    <w:p w14:paraId="3A9DB755" w14:textId="77777777" w:rsidR="00EC557F" w:rsidRPr="00841A37" w:rsidRDefault="00EC557F" w:rsidP="00EC557F">
      <w:pPr>
        <w:pStyle w:val="EndNoteBibliography"/>
        <w:spacing w:after="0"/>
        <w:ind w:left="720" w:hanging="720"/>
      </w:pPr>
      <w:r w:rsidRPr="00841A37">
        <w:t xml:space="preserve">SYRLYBAYEV, D., ZHARYLKASSYN, B., SEISEKULOVA, A., PERVEEN, A. &amp; TALAMONA, D. 2021. Optimization of the Warpage of Fused Deposition Modeling Parts Using Finite Element Method. </w:t>
      </w:r>
      <w:r w:rsidRPr="00841A37">
        <w:rPr>
          <w:i/>
        </w:rPr>
        <w:t>Polymers (Basel),</w:t>
      </w:r>
      <w:r w:rsidRPr="00841A37">
        <w:t xml:space="preserve"> 13.</w:t>
      </w:r>
    </w:p>
    <w:p w14:paraId="457F35EB" w14:textId="77777777" w:rsidR="00EC557F" w:rsidRPr="00841A37" w:rsidRDefault="00EC557F" w:rsidP="00EC557F">
      <w:pPr>
        <w:pStyle w:val="EndNoteBibliography"/>
        <w:spacing w:after="0"/>
        <w:ind w:left="720" w:hanging="720"/>
      </w:pPr>
      <w:r w:rsidRPr="00841A37">
        <w:t xml:space="preserve">TROFIMOV, A., LE PAVIC, J., PAUTARD, S., THERRIAULT, D. &amp; LÉVESQUE, M. 2022. Experimentally validated modeling of the temperature distribution and the distortion during the Fused Filament Fabrication process. </w:t>
      </w:r>
      <w:r w:rsidRPr="00841A37">
        <w:rPr>
          <w:i/>
        </w:rPr>
        <w:t>Additive Manufacturing,</w:t>
      </w:r>
      <w:r w:rsidRPr="00841A37">
        <w:t xml:space="preserve"> 54.</w:t>
      </w:r>
    </w:p>
    <w:p w14:paraId="7EA6FB55" w14:textId="77777777" w:rsidR="00EC557F" w:rsidRPr="00841A37" w:rsidRDefault="00EC557F" w:rsidP="00EC557F">
      <w:pPr>
        <w:pStyle w:val="EndNoteBibliography"/>
        <w:spacing w:after="0"/>
        <w:ind w:left="720" w:hanging="720"/>
      </w:pPr>
      <w:r w:rsidRPr="00841A37">
        <w:t xml:space="preserve">YU, B. Q., CHEN, G. G., SUN, J. F., HUA, W. J., WU, W. B., JIN, Y. F., ZHOU, W. Y., LIU, J. &amp; ZHENG, W. X. 2025. Finite Element Analysis of Warping and Mechanical Properties of 3D Parts Printed by Fused Deposition Modeling. </w:t>
      </w:r>
      <w:r w:rsidRPr="00841A37">
        <w:rPr>
          <w:i/>
        </w:rPr>
        <w:t>Journal of Materials Engineering and Performance,</w:t>
      </w:r>
      <w:r w:rsidRPr="00841A37">
        <w:t xml:space="preserve"> 34</w:t>
      </w:r>
      <w:r w:rsidRPr="00841A37">
        <w:rPr>
          <w:b/>
        </w:rPr>
        <w:t>,</w:t>
      </w:r>
      <w:r w:rsidRPr="00841A37">
        <w:t xml:space="preserve"> 2410-2423.</w:t>
      </w:r>
    </w:p>
    <w:p w14:paraId="44742145" w14:textId="77777777" w:rsidR="00EC557F" w:rsidRPr="00841A37" w:rsidRDefault="00EC557F" w:rsidP="00EC557F">
      <w:pPr>
        <w:pStyle w:val="EndNoteBibliography"/>
        <w:ind w:left="720" w:hanging="720"/>
      </w:pPr>
      <w:r w:rsidRPr="00841A37">
        <w:t xml:space="preserve">ZHU, Q., YU, K., LI, H., ZHANG, Q. &amp; TU, D. 2021. Rapid residual stress prediction and feedback control during fused deposition modeling of PLA. </w:t>
      </w:r>
      <w:r w:rsidRPr="00841A37">
        <w:rPr>
          <w:i/>
        </w:rPr>
        <w:t>The International Journal of Advanced Manufacturing Technology,</w:t>
      </w:r>
      <w:r w:rsidRPr="00841A37">
        <w:t xml:space="preserve"> 118</w:t>
      </w:r>
      <w:r w:rsidRPr="00841A37">
        <w:rPr>
          <w:b/>
        </w:rPr>
        <w:t>,</w:t>
      </w:r>
      <w:r w:rsidRPr="00841A37">
        <w:t xml:space="preserve"> 3229-3240.</w:t>
      </w:r>
    </w:p>
    <w:bookmarkEnd w:id="0"/>
    <w:p w14:paraId="2CA4C8E7" w14:textId="2FC6F0C0" w:rsidR="00EC557F" w:rsidRPr="00841A37" w:rsidRDefault="00EC557F"/>
    <w:sectPr w:rsidR="00EC557F" w:rsidRPr="00841A3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C1942" w14:textId="77777777" w:rsidR="00CD19DF" w:rsidRDefault="00CD19DF" w:rsidP="00EC557F">
      <w:pPr>
        <w:spacing w:after="0" w:line="240" w:lineRule="auto"/>
      </w:pPr>
      <w:r>
        <w:separator/>
      </w:r>
    </w:p>
  </w:endnote>
  <w:endnote w:type="continuationSeparator" w:id="0">
    <w:p w14:paraId="2179165B" w14:textId="77777777" w:rsidR="00CD19DF" w:rsidRDefault="00CD19DF" w:rsidP="00EC5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DengXian Light">
    <w:altName w:val="Microsoft YaHei"/>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309049"/>
      <w:docPartObj>
        <w:docPartGallery w:val="Page Numbers (Bottom of Page)"/>
        <w:docPartUnique/>
      </w:docPartObj>
    </w:sdtPr>
    <w:sdtEndPr>
      <w:rPr>
        <w:noProof/>
      </w:rPr>
    </w:sdtEndPr>
    <w:sdtContent>
      <w:p w14:paraId="4DE05C4E" w14:textId="74B85EDF" w:rsidR="00EC557F" w:rsidRDefault="00EC557F">
        <w:pPr>
          <w:pStyle w:val="Footer"/>
          <w:jc w:val="center"/>
        </w:pPr>
        <w:r>
          <w:fldChar w:fldCharType="begin"/>
        </w:r>
        <w:r>
          <w:instrText xml:space="preserve"> PAGE   \* MERGEFORMAT </w:instrText>
        </w:r>
        <w:r>
          <w:fldChar w:fldCharType="separate"/>
        </w:r>
        <w:r w:rsidR="00841A37">
          <w:rPr>
            <w:noProof/>
          </w:rPr>
          <w:t>1</w:t>
        </w:r>
        <w:r>
          <w:rPr>
            <w:noProof/>
          </w:rPr>
          <w:fldChar w:fldCharType="end"/>
        </w:r>
      </w:p>
    </w:sdtContent>
  </w:sdt>
  <w:p w14:paraId="32B013DE" w14:textId="77777777" w:rsidR="00EC557F" w:rsidRDefault="00EC55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577C3" w14:textId="77777777" w:rsidR="00CD19DF" w:rsidRDefault="00CD19DF" w:rsidP="00EC557F">
      <w:pPr>
        <w:spacing w:after="0" w:line="240" w:lineRule="auto"/>
      </w:pPr>
      <w:r>
        <w:separator/>
      </w:r>
    </w:p>
  </w:footnote>
  <w:footnote w:type="continuationSeparator" w:id="0">
    <w:p w14:paraId="4208C0CD" w14:textId="77777777" w:rsidR="00CD19DF" w:rsidRDefault="00CD19DF" w:rsidP="00EC55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Harvard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w2ed2w9e9dvmerreopaz2uf2t2sssfpdvw&quot;&gt;FDM Model Endnote Library&lt;record-ids&gt;&lt;item&gt;4&lt;/item&gt;&lt;item&gt;5&lt;/item&gt;&lt;item&gt;7&lt;/item&gt;&lt;item&gt;10&lt;/item&gt;&lt;item&gt;11&lt;/item&gt;&lt;item&gt;12&lt;/item&gt;&lt;item&gt;14&lt;/item&gt;&lt;item&gt;17&lt;/item&gt;&lt;item&gt;20&lt;/item&gt;&lt;item&gt;21&lt;/item&gt;&lt;item&gt;22&lt;/item&gt;&lt;item&gt;25&lt;/item&gt;&lt;item&gt;28&lt;/item&gt;&lt;item&gt;29&lt;/item&gt;&lt;item&gt;30&lt;/item&gt;&lt;item&gt;31&lt;/item&gt;&lt;item&gt;32&lt;/item&gt;&lt;/record-ids&gt;&lt;/item&gt;&lt;/Libraries&gt;"/>
  </w:docVars>
  <w:rsids>
    <w:rsidRoot w:val="00EC557F"/>
    <w:rsid w:val="00064A51"/>
    <w:rsid w:val="000E79AC"/>
    <w:rsid w:val="001F7251"/>
    <w:rsid w:val="0024121F"/>
    <w:rsid w:val="00290DAE"/>
    <w:rsid w:val="003235DA"/>
    <w:rsid w:val="00337FBF"/>
    <w:rsid w:val="00375BF4"/>
    <w:rsid w:val="0043082B"/>
    <w:rsid w:val="005D0719"/>
    <w:rsid w:val="006108F4"/>
    <w:rsid w:val="00627612"/>
    <w:rsid w:val="00675B01"/>
    <w:rsid w:val="007E7B1D"/>
    <w:rsid w:val="00841A37"/>
    <w:rsid w:val="00873B8F"/>
    <w:rsid w:val="008A320F"/>
    <w:rsid w:val="00AA449B"/>
    <w:rsid w:val="00AF04CC"/>
    <w:rsid w:val="00AF2458"/>
    <w:rsid w:val="00B017D6"/>
    <w:rsid w:val="00B61E54"/>
    <w:rsid w:val="00BE0ED3"/>
    <w:rsid w:val="00C04F40"/>
    <w:rsid w:val="00C31A7B"/>
    <w:rsid w:val="00C62EB3"/>
    <w:rsid w:val="00CD19DF"/>
    <w:rsid w:val="00CE7210"/>
    <w:rsid w:val="00DC1196"/>
    <w:rsid w:val="00E15C1B"/>
    <w:rsid w:val="00E4748B"/>
    <w:rsid w:val="00EC557F"/>
    <w:rsid w:val="00FC6C8A"/>
    <w:rsid w:val="00FF376A"/>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0BD53"/>
  <w15:chartTrackingRefBased/>
  <w15:docId w15:val="{BF992996-8D5D-45BB-A191-BC24C1B3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57F"/>
    <w:pPr>
      <w:jc w:val="both"/>
    </w:pPr>
  </w:style>
  <w:style w:type="paragraph" w:styleId="Heading1">
    <w:name w:val="heading 1"/>
    <w:basedOn w:val="Normal"/>
    <w:next w:val="Normal"/>
    <w:link w:val="Heading1Char"/>
    <w:uiPriority w:val="9"/>
    <w:qFormat/>
    <w:rsid w:val="00EC557F"/>
    <w:pPr>
      <w:keepNext/>
      <w:keepLines/>
      <w:spacing w:before="360" w:after="80"/>
      <w:jc w:val="lef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57F"/>
    <w:pPr>
      <w:keepNext/>
      <w:keepLines/>
      <w:spacing w:before="160" w:after="80"/>
      <w:jc w:val="left"/>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57F"/>
    <w:pPr>
      <w:keepNext/>
      <w:keepLines/>
      <w:spacing w:before="160" w:after="80"/>
      <w:jc w:val="left"/>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57F"/>
    <w:pPr>
      <w:keepNext/>
      <w:keepLines/>
      <w:spacing w:before="80" w:after="40"/>
      <w:jc w:val="left"/>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57F"/>
    <w:pPr>
      <w:keepNext/>
      <w:keepLines/>
      <w:spacing w:before="80" w:after="40"/>
      <w:jc w:val="left"/>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57F"/>
    <w:pPr>
      <w:keepNext/>
      <w:keepLines/>
      <w:spacing w:before="40" w:after="0"/>
      <w:jc w:val="left"/>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57F"/>
    <w:pPr>
      <w:keepNext/>
      <w:keepLines/>
      <w:spacing w:before="40" w:after="0"/>
      <w:jc w:val="left"/>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57F"/>
    <w:pPr>
      <w:keepNext/>
      <w:keepLines/>
      <w:spacing w:after="0"/>
      <w:jc w:val="left"/>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57F"/>
    <w:pPr>
      <w:keepNext/>
      <w:keepLines/>
      <w:spacing w:after="0"/>
      <w:jc w:val="left"/>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57F"/>
    <w:rPr>
      <w:rFonts w:eastAsiaTheme="majorEastAsia" w:cstheme="majorBidi"/>
      <w:color w:val="272727" w:themeColor="text1" w:themeTint="D8"/>
    </w:rPr>
  </w:style>
  <w:style w:type="paragraph" w:styleId="Title">
    <w:name w:val="Title"/>
    <w:basedOn w:val="Normal"/>
    <w:next w:val="Normal"/>
    <w:link w:val="TitleChar"/>
    <w:uiPriority w:val="10"/>
    <w:qFormat/>
    <w:rsid w:val="00EC557F"/>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57F"/>
    <w:pPr>
      <w:numPr>
        <w:ilvl w:val="1"/>
      </w:numPr>
      <w:jc w:val="left"/>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57F"/>
    <w:pPr>
      <w:spacing w:before="160"/>
      <w:jc w:val="center"/>
    </w:pPr>
    <w:rPr>
      <w:i/>
      <w:iCs/>
      <w:color w:val="404040" w:themeColor="text1" w:themeTint="BF"/>
    </w:rPr>
  </w:style>
  <w:style w:type="character" w:customStyle="1" w:styleId="QuoteChar">
    <w:name w:val="Quote Char"/>
    <w:basedOn w:val="DefaultParagraphFont"/>
    <w:link w:val="Quote"/>
    <w:uiPriority w:val="29"/>
    <w:rsid w:val="00EC557F"/>
    <w:rPr>
      <w:i/>
      <w:iCs/>
      <w:color w:val="404040" w:themeColor="text1" w:themeTint="BF"/>
    </w:rPr>
  </w:style>
  <w:style w:type="paragraph" w:styleId="ListParagraph">
    <w:name w:val="List Paragraph"/>
    <w:basedOn w:val="Normal"/>
    <w:uiPriority w:val="34"/>
    <w:qFormat/>
    <w:rsid w:val="00EC557F"/>
    <w:pPr>
      <w:ind w:left="720"/>
      <w:contextualSpacing/>
      <w:jc w:val="left"/>
    </w:pPr>
  </w:style>
  <w:style w:type="character" w:styleId="IntenseEmphasis">
    <w:name w:val="Intense Emphasis"/>
    <w:basedOn w:val="DefaultParagraphFont"/>
    <w:uiPriority w:val="21"/>
    <w:qFormat/>
    <w:rsid w:val="00EC557F"/>
    <w:rPr>
      <w:i/>
      <w:iCs/>
      <w:color w:val="0F4761" w:themeColor="accent1" w:themeShade="BF"/>
    </w:rPr>
  </w:style>
  <w:style w:type="paragraph" w:styleId="IntenseQuote">
    <w:name w:val="Intense Quote"/>
    <w:basedOn w:val="Normal"/>
    <w:next w:val="Normal"/>
    <w:link w:val="IntenseQuoteChar"/>
    <w:uiPriority w:val="30"/>
    <w:qFormat/>
    <w:rsid w:val="00EC5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57F"/>
    <w:rPr>
      <w:i/>
      <w:iCs/>
      <w:color w:val="0F4761" w:themeColor="accent1" w:themeShade="BF"/>
    </w:rPr>
  </w:style>
  <w:style w:type="character" w:styleId="IntenseReference">
    <w:name w:val="Intense Reference"/>
    <w:basedOn w:val="DefaultParagraphFont"/>
    <w:uiPriority w:val="32"/>
    <w:qFormat/>
    <w:rsid w:val="00EC557F"/>
    <w:rPr>
      <w:b/>
      <w:bCs/>
      <w:smallCaps/>
      <w:color w:val="0F4761" w:themeColor="accent1" w:themeShade="BF"/>
      <w:spacing w:val="5"/>
    </w:rPr>
  </w:style>
  <w:style w:type="table" w:styleId="TableGrid">
    <w:name w:val="Table Grid"/>
    <w:basedOn w:val="TableNormal"/>
    <w:uiPriority w:val="39"/>
    <w:rsid w:val="00EC5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C557F"/>
    <w:pPr>
      <w:spacing w:after="200" w:line="240" w:lineRule="auto"/>
    </w:pPr>
    <w:rPr>
      <w:i/>
      <w:iCs/>
      <w:color w:val="0E2841" w:themeColor="text2"/>
      <w:szCs w:val="18"/>
    </w:rPr>
  </w:style>
  <w:style w:type="paragraph" w:styleId="Header">
    <w:name w:val="header"/>
    <w:basedOn w:val="Normal"/>
    <w:link w:val="HeaderChar"/>
    <w:uiPriority w:val="99"/>
    <w:unhideWhenUsed/>
    <w:rsid w:val="00EC55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57F"/>
  </w:style>
  <w:style w:type="paragraph" w:styleId="Footer">
    <w:name w:val="footer"/>
    <w:basedOn w:val="Normal"/>
    <w:link w:val="FooterChar"/>
    <w:uiPriority w:val="99"/>
    <w:unhideWhenUsed/>
    <w:rsid w:val="00EC55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57F"/>
  </w:style>
  <w:style w:type="paragraph" w:customStyle="1" w:styleId="EndNoteBibliographyTitle">
    <w:name w:val="EndNote Bibliography Title"/>
    <w:basedOn w:val="Normal"/>
    <w:link w:val="EndNoteBibliographyTitleChar"/>
    <w:rsid w:val="00EC557F"/>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EC557F"/>
    <w:rPr>
      <w:rFonts w:ascii="Aptos" w:hAnsi="Aptos"/>
      <w:noProof/>
    </w:rPr>
  </w:style>
  <w:style w:type="paragraph" w:customStyle="1" w:styleId="EndNoteBibliography">
    <w:name w:val="EndNote Bibliography"/>
    <w:basedOn w:val="Normal"/>
    <w:link w:val="EndNoteBibliographyChar"/>
    <w:rsid w:val="00EC557F"/>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EC557F"/>
    <w:rPr>
      <w:rFonts w:ascii="Aptos" w:hAnsi="Aptos"/>
      <w:noProof/>
    </w:rPr>
  </w:style>
  <w:style w:type="paragraph" w:styleId="Revision">
    <w:name w:val="Revision"/>
    <w:hidden/>
    <w:uiPriority w:val="99"/>
    <w:semiHidden/>
    <w:rsid w:val="002412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497E39A-0F97-469B-AF1E-A4B12C8BBAF2}">
  <ds:schemaRefs>
    <ds:schemaRef ds:uri="http://schemas.openxmlformats.org/officeDocument/2006/bibliography"/>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1795</Words>
  <Characters>10235</Characters>
  <Application>Microsoft Office Word</Application>
  <DocSecurity>0</DocSecurity>
  <Lines>85</Lines>
  <Paragraphs>24</Paragraphs>
  <ScaleCrop>false</ScaleCrop>
  <Company>University of Limerick</Company>
  <LinksUpToDate>false</LinksUpToDate>
  <CharactersWithSpaces>12006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David.Tanner</dc:creator>
  <cp:keywords/>
  <dc:description/>
  <cp:lastModifiedBy>Rakesh Sagar</cp:lastModifiedBy>
  <cp:revision>6</cp:revision>
  <dcterms:created xsi:type="dcterms:W3CDTF">2026-03-11T09:55:00Z</dcterms:created>
  <dcterms:modified xsi:type="dcterms:W3CDTF">2026-03-12T06:39:00Z</dcterms:modified>
</cp:coreProperties>
</file>