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Appendix A. Measurement Items </w:t>
      </w:r>
    </w:p>
    <w:p w:rsidR="004E1C8B" w:rsidRDefault="004E1C8B" w:rsidP="004E1C8B">
      <w:pPr>
        <w:spacing w:after="0" w:line="240" w:lineRule="auto"/>
        <w:jc w:val="both"/>
        <w:rPr>
          <w:rFonts w:asciiTheme="majorBidi" w:eastAsia="SimSun" w:hAnsiTheme="majorBidi" w:cstheme="majorBidi"/>
          <w:sz w:val="20"/>
          <w:szCs w:val="20"/>
          <w:lang w:val="en-US" w:eastAsia="zh-CN"/>
        </w:rPr>
      </w:pPr>
      <w:r>
        <w:rPr>
          <w:rFonts w:asciiTheme="majorBidi" w:eastAsia="SimSun" w:hAnsiTheme="majorBidi" w:cstheme="majorBidi" w:hint="eastAsia"/>
          <w:sz w:val="20"/>
          <w:szCs w:val="20"/>
          <w:lang w:val="en-US" w:eastAsia="zh-CN"/>
        </w:rPr>
        <w:t>(Source: autho</w:t>
      </w:r>
      <w:bookmarkStart w:id="0" w:name="_GoBack"/>
      <w:bookmarkEnd w:id="0"/>
      <w:r>
        <w:rPr>
          <w:rFonts w:asciiTheme="majorBidi" w:eastAsia="SimSun" w:hAnsiTheme="majorBidi" w:cstheme="majorBidi" w:hint="eastAsia"/>
          <w:sz w:val="20"/>
          <w:szCs w:val="20"/>
          <w:lang w:val="en-US" w:eastAsia="zh-CN"/>
        </w:rPr>
        <w:t>r</w:t>
      </w:r>
      <w:r>
        <w:rPr>
          <w:rFonts w:asciiTheme="majorBidi" w:eastAsia="SimSun" w:hAnsiTheme="majorBidi" w:cstheme="majorBidi"/>
          <w:sz w:val="20"/>
          <w:szCs w:val="20"/>
          <w:lang w:val="en-US" w:eastAsia="zh-CN"/>
        </w:rPr>
        <w:t>’</w:t>
      </w:r>
      <w:r>
        <w:rPr>
          <w:rFonts w:asciiTheme="majorBidi" w:eastAsia="SimSun" w:hAnsiTheme="majorBidi" w:cstheme="majorBidi" w:hint="eastAsia"/>
          <w:sz w:val="20"/>
          <w:szCs w:val="20"/>
          <w:lang w:val="en-US" w:eastAsia="zh-CN"/>
        </w:rPr>
        <w:t>s own work)</w:t>
      </w: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highlight w:val="yellow"/>
        </w:rPr>
        <w:t xml:space="preserve">Appendix </w:t>
      </w:r>
      <w:proofErr w:type="gramStart"/>
      <w:r>
        <w:rPr>
          <w:rFonts w:asciiTheme="majorBidi" w:hAnsiTheme="majorBidi" w:cstheme="majorBidi"/>
          <w:sz w:val="20"/>
          <w:szCs w:val="20"/>
          <w:highlight w:val="yellow"/>
        </w:rPr>
        <w:t>A</w:t>
      </w:r>
      <w:proofErr w:type="gramEnd"/>
      <w:r>
        <w:rPr>
          <w:rFonts w:asciiTheme="majorBidi" w:hAnsiTheme="majorBidi" w:cstheme="majorBidi"/>
          <w:sz w:val="20"/>
          <w:szCs w:val="20"/>
          <w:highlight w:val="yellow"/>
        </w:rPr>
        <w:t xml:space="preserve"> presents the measurement items used in this study alongside their railway-specific contextual adaptations. Existing measurement scales were adapted to reflect the operational realities of railway supply chains, including real-time traffic coordination, </w:t>
      </w:r>
      <w:proofErr w:type="spellStart"/>
      <w:r>
        <w:rPr>
          <w:rFonts w:asciiTheme="majorBidi" w:hAnsiTheme="majorBidi" w:cstheme="majorBidi"/>
          <w:sz w:val="20"/>
          <w:szCs w:val="20"/>
          <w:highlight w:val="yellow"/>
        </w:rPr>
        <w:t>signaling</w:t>
      </w:r>
      <w:proofErr w:type="spellEnd"/>
      <w:r>
        <w:rPr>
          <w:rFonts w:asciiTheme="majorBidi" w:hAnsiTheme="majorBidi" w:cstheme="majorBidi"/>
          <w:sz w:val="20"/>
          <w:szCs w:val="20"/>
          <w:highlight w:val="yellow"/>
        </w:rPr>
        <w:t xml:space="preserve"> dependencies, predictive maintenance activities, scheduling synchronization and infrastructure-related operational constraints. These contextual modifications were implemented to improve construct relevance while preserving conceptual consistency with the original validated scales.</w:t>
      </w: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E1C8B" w:rsidTr="002E3D06">
        <w:tc>
          <w:tcPr>
            <w:tcW w:w="2965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b/>
                <w:bCs/>
                <w:highlight w:val="yellow"/>
              </w:rPr>
            </w:pPr>
            <w:r>
              <w:rPr>
                <w:rFonts w:asciiTheme="majorBidi" w:hAnsiTheme="majorBidi" w:cstheme="majorBidi"/>
                <w:b/>
                <w:bCs/>
                <w:highlight w:val="yellow"/>
              </w:rPr>
              <w:t>Original Construct Context</w:t>
            </w:r>
          </w:p>
        </w:tc>
        <w:tc>
          <w:tcPr>
            <w:tcW w:w="6385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b/>
                <w:bCs/>
                <w:highlight w:val="yellow"/>
              </w:rPr>
            </w:pPr>
            <w:r>
              <w:rPr>
                <w:rFonts w:asciiTheme="majorBidi" w:hAnsiTheme="majorBidi" w:cstheme="majorBidi"/>
                <w:b/>
                <w:bCs/>
                <w:highlight w:val="yellow"/>
              </w:rPr>
              <w:t>Railway-Specific Adaptation</w:t>
            </w:r>
          </w:p>
        </w:tc>
      </w:tr>
      <w:tr w:rsidR="004E1C8B" w:rsidTr="002E3D06">
        <w:tc>
          <w:tcPr>
            <w:tcW w:w="2965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Theme="majorBidi" w:hAnsiTheme="majorBidi" w:cstheme="majorBidi"/>
                <w:highlight w:val="yellow"/>
              </w:rPr>
              <w:t>General operational coordination</w:t>
            </w:r>
          </w:p>
        </w:tc>
        <w:tc>
          <w:tcPr>
            <w:tcW w:w="6385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Theme="majorBidi" w:hAnsiTheme="majorBidi" w:cstheme="majorBidi"/>
                <w:highlight w:val="yellow"/>
              </w:rPr>
              <w:t>Railway traffic coordination and scheduling synchronization</w:t>
            </w:r>
          </w:p>
        </w:tc>
      </w:tr>
      <w:tr w:rsidR="004E1C8B" w:rsidTr="002E3D06">
        <w:tc>
          <w:tcPr>
            <w:tcW w:w="2965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Theme="majorBidi" w:hAnsiTheme="majorBidi" w:cstheme="majorBidi"/>
                <w:highlight w:val="yellow"/>
              </w:rPr>
              <w:t>Organizational responsiveness</w:t>
            </w:r>
          </w:p>
        </w:tc>
        <w:tc>
          <w:tcPr>
            <w:tcW w:w="6385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Theme="majorBidi" w:hAnsiTheme="majorBidi" w:cstheme="majorBidi"/>
                <w:highlight w:val="yellow"/>
              </w:rPr>
              <w:t>Railway disruption response and network recovery coordination</w:t>
            </w:r>
          </w:p>
        </w:tc>
      </w:tr>
      <w:tr w:rsidR="004E1C8B" w:rsidTr="002E3D06">
        <w:tc>
          <w:tcPr>
            <w:tcW w:w="2965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Theme="majorBidi" w:hAnsiTheme="majorBidi" w:cstheme="majorBidi"/>
                <w:highlight w:val="yellow"/>
              </w:rPr>
              <w:t>System integration capability</w:t>
            </w:r>
          </w:p>
        </w:tc>
        <w:tc>
          <w:tcPr>
            <w:tcW w:w="6385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Theme="majorBidi" w:hAnsiTheme="majorBidi" w:cstheme="majorBidi"/>
                <w:highlight w:val="yellow"/>
              </w:rPr>
              <w:t xml:space="preserve">Integration of </w:t>
            </w:r>
            <w:proofErr w:type="spellStart"/>
            <w:r>
              <w:rPr>
                <w:rFonts w:asciiTheme="majorBidi" w:hAnsiTheme="majorBidi" w:cstheme="majorBidi"/>
                <w:highlight w:val="yellow"/>
              </w:rPr>
              <w:t>signaling</w:t>
            </w:r>
            <w:proofErr w:type="spellEnd"/>
            <w:r>
              <w:rPr>
                <w:rFonts w:asciiTheme="majorBidi" w:hAnsiTheme="majorBidi" w:cstheme="majorBidi"/>
                <w:highlight w:val="yellow"/>
              </w:rPr>
              <w:t xml:space="preserve"> scheduling and maintenance systems</w:t>
            </w:r>
          </w:p>
        </w:tc>
      </w:tr>
      <w:tr w:rsidR="004E1C8B" w:rsidTr="002E3D06">
        <w:tc>
          <w:tcPr>
            <w:tcW w:w="2965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Theme="majorBidi" w:hAnsiTheme="majorBidi" w:cstheme="majorBidi"/>
                <w:highlight w:val="yellow"/>
              </w:rPr>
              <w:t>Real-time operational visibility</w:t>
            </w:r>
          </w:p>
        </w:tc>
        <w:tc>
          <w:tcPr>
            <w:tcW w:w="6385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Theme="majorBidi" w:hAnsiTheme="majorBidi" w:cstheme="majorBidi"/>
                <w:highlight w:val="yellow"/>
              </w:rPr>
              <w:t>Real-time railway monitoring and predictive maintenance visibility</w:t>
            </w:r>
          </w:p>
        </w:tc>
      </w:tr>
      <w:tr w:rsidR="004E1C8B" w:rsidTr="002E3D06">
        <w:tc>
          <w:tcPr>
            <w:tcW w:w="2965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Theme="majorBidi" w:hAnsiTheme="majorBidi" w:cstheme="majorBidi"/>
                <w:highlight w:val="yellow"/>
              </w:rPr>
              <w:t>Cross-functional collaboration</w:t>
            </w:r>
          </w:p>
        </w:tc>
        <w:tc>
          <w:tcPr>
            <w:tcW w:w="6385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Theme="majorBidi" w:hAnsiTheme="majorBidi" w:cstheme="majorBidi"/>
                <w:highlight w:val="yellow"/>
              </w:rPr>
              <w:t>Coordination across railway operations, maintenance and traffic control</w:t>
            </w:r>
          </w:p>
        </w:tc>
      </w:tr>
    </w:tbl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  <w:highlight w:val="yellow"/>
        </w:rPr>
        <w:t>Source</w:t>
      </w:r>
      <w:r>
        <w:rPr>
          <w:rFonts w:asciiTheme="majorBidi" w:hAnsiTheme="majorBidi" w:cstheme="majorBidi"/>
          <w:sz w:val="20"/>
          <w:szCs w:val="20"/>
          <w:highlight w:val="yellow"/>
        </w:rPr>
        <w:t>: Adapted by the authors based on established measurement scales.</w:t>
      </w: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Leadership</w:t>
      </w:r>
    </w:p>
    <w:p w:rsidR="004E1C8B" w:rsidRDefault="004E1C8B" w:rsidP="004E1C8B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Our leadership effectively coordinates decisions across railway operations (e.g., scheduling, maintenance, traffic control) </w:t>
      </w:r>
    </w:p>
    <w:p w:rsidR="004E1C8B" w:rsidRDefault="004E1C8B" w:rsidP="004E1C8B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Leaders support digital initiatives that improve railway system performance </w:t>
      </w:r>
    </w:p>
    <w:p w:rsidR="004E1C8B" w:rsidRDefault="004E1C8B" w:rsidP="004E1C8B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Leadership enables rapid decision-making during railway disruptions </w:t>
      </w:r>
    </w:p>
    <w:p w:rsidR="004E1C8B" w:rsidRDefault="004E1C8B" w:rsidP="004E1C8B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Leaders promote cross-functional collaboration across railway units </w:t>
      </w: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Digital Capability</w:t>
      </w:r>
    </w:p>
    <w:p w:rsidR="004E1C8B" w:rsidRDefault="004E1C8B" w:rsidP="004E1C8B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Our organization uses real-time systems to monitor railway operations </w:t>
      </w:r>
    </w:p>
    <w:p w:rsidR="004E1C8B" w:rsidRDefault="004E1C8B" w:rsidP="004E1C8B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We utilize predictive analytics for maintenance and failure prevention </w:t>
      </w:r>
    </w:p>
    <w:p w:rsidR="004E1C8B" w:rsidRDefault="004E1C8B" w:rsidP="004E1C8B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Our digital systems support integrated railway scheduling and coordination </w:t>
      </w:r>
    </w:p>
    <w:p w:rsidR="004E1C8B" w:rsidRDefault="004E1C8B" w:rsidP="004E1C8B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Data from multiple railway functions are effectively integrated </w:t>
      </w: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Supply Chain Agility</w:t>
      </w:r>
    </w:p>
    <w:p w:rsidR="004E1C8B" w:rsidRDefault="004E1C8B" w:rsidP="004E1C8B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Our railway operations can quickly respond to disruptions (e.g., delays, breakdowns) </w:t>
      </w:r>
    </w:p>
    <w:p w:rsidR="004E1C8B" w:rsidRDefault="004E1C8B" w:rsidP="004E1C8B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We can rapidly adjust train schedules and resource allocation </w:t>
      </w:r>
    </w:p>
    <w:p w:rsidR="004E1C8B" w:rsidRDefault="004E1C8B" w:rsidP="004E1C8B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Our organization responds effectively to unexpected operational changes </w:t>
      </w:r>
    </w:p>
    <w:p w:rsidR="004E1C8B" w:rsidRDefault="004E1C8B" w:rsidP="004E1C8B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We can maintain service continuity under disruptions </w:t>
      </w: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Operational Performance</w:t>
      </w:r>
    </w:p>
    <w:p w:rsidR="004E1C8B" w:rsidRDefault="004E1C8B" w:rsidP="004E1C8B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Our railway operations achieve high on-time performance </w:t>
      </w:r>
    </w:p>
    <w:p w:rsidR="004E1C8B" w:rsidRDefault="004E1C8B" w:rsidP="004E1C8B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We effectively minimize delays and disruptions </w:t>
      </w:r>
    </w:p>
    <w:p w:rsidR="004E1C8B" w:rsidRDefault="004E1C8B" w:rsidP="004E1C8B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Our operations maintain high service reliability </w:t>
      </w:r>
    </w:p>
    <w:p w:rsidR="004E1C8B" w:rsidRDefault="004E1C8B" w:rsidP="004E1C8B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We efficiently utilize railway assets and infrastructure</w:t>
      </w: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Appendix B. Measurement Model Details</w:t>
      </w: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proofErr w:type="spellStart"/>
      <w:r>
        <w:rPr>
          <w:rFonts w:asciiTheme="majorBidi" w:hAnsiTheme="majorBidi" w:cstheme="majorBidi"/>
          <w:b/>
          <w:bCs/>
          <w:sz w:val="20"/>
          <w:szCs w:val="20"/>
        </w:rPr>
        <w:t>B1</w:t>
      </w:r>
      <w:proofErr w:type="spellEnd"/>
      <w:r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>
        <w:rPr>
          <w:rFonts w:asciiTheme="majorBidi" w:hAnsiTheme="majorBidi" w:cstheme="majorBidi"/>
          <w:sz w:val="20"/>
          <w:szCs w:val="20"/>
        </w:rPr>
        <w:t>Indicator loadings</w:t>
      </w:r>
    </w:p>
    <w:p w:rsidR="004E1C8B" w:rsidRDefault="004E1C8B" w:rsidP="004E1C8B">
      <w:pPr>
        <w:spacing w:after="0" w:line="240" w:lineRule="auto"/>
        <w:jc w:val="both"/>
        <w:rPr>
          <w:rFonts w:asciiTheme="majorBidi" w:eastAsia="SimSun" w:hAnsiTheme="majorBidi" w:cstheme="majorBidi"/>
          <w:sz w:val="20"/>
          <w:szCs w:val="20"/>
          <w:lang w:val="en-US" w:eastAsia="zh-CN"/>
        </w:rPr>
      </w:pPr>
      <w:r>
        <w:rPr>
          <w:rFonts w:asciiTheme="majorBidi" w:eastAsia="SimSun" w:hAnsiTheme="majorBidi" w:cstheme="majorBidi" w:hint="eastAsia"/>
          <w:sz w:val="20"/>
          <w:szCs w:val="20"/>
          <w:lang w:val="en-US" w:eastAsia="zh-CN"/>
        </w:rPr>
        <w:t>(Source: author</w:t>
      </w:r>
      <w:r>
        <w:rPr>
          <w:rFonts w:asciiTheme="majorBidi" w:eastAsia="SimSun" w:hAnsiTheme="majorBidi" w:cstheme="majorBidi"/>
          <w:sz w:val="20"/>
          <w:szCs w:val="20"/>
          <w:lang w:val="en-US" w:eastAsia="zh-CN"/>
        </w:rPr>
        <w:t>’</w:t>
      </w:r>
      <w:r>
        <w:rPr>
          <w:rFonts w:asciiTheme="majorBidi" w:eastAsia="SimSun" w:hAnsiTheme="majorBidi" w:cstheme="majorBidi" w:hint="eastAsia"/>
          <w:sz w:val="20"/>
          <w:szCs w:val="20"/>
          <w:lang w:val="en-US" w:eastAsia="zh-CN"/>
        </w:rPr>
        <w:t>s own work)</w:t>
      </w: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E1C8B" w:rsidTr="002E3D0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Construct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Loading</w:t>
            </w:r>
          </w:p>
        </w:tc>
      </w:tr>
      <w:tr w:rsidR="004E1C8B" w:rsidTr="002E3D06">
        <w:tc>
          <w:tcPr>
            <w:tcW w:w="0" w:type="auto"/>
            <w:tcBorders>
              <w:top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Leadership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L1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0.78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L2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0.81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L3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0.84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L4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0.79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Digital Capability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DC1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0.82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DC2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0.85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DC3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0.88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DC4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0.83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Supply Chain Agility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SCA1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0.80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SCA2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0.83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SCA3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0.86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SCA4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0.81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Operational Performance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OP1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0.84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OP2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0.87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OP3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0.89</w:t>
            </w:r>
          </w:p>
        </w:tc>
      </w:tr>
      <w:tr w:rsidR="004E1C8B" w:rsidTr="002E3D06">
        <w:tc>
          <w:tcPr>
            <w:tcW w:w="3116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3117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  <w:proofErr w:type="spellStart"/>
            <w:r>
              <w:rPr>
                <w:rFonts w:asciiTheme="majorBidi" w:hAnsiTheme="majorBidi" w:cstheme="majorBidi"/>
              </w:rPr>
              <w:t>OP4</w:t>
            </w:r>
            <w:proofErr w:type="spellEnd"/>
          </w:p>
        </w:tc>
        <w:tc>
          <w:tcPr>
            <w:tcW w:w="3117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</w:rPr>
              <w:t>0.85</w:t>
            </w:r>
          </w:p>
        </w:tc>
      </w:tr>
    </w:tbl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>Note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: All indicator loadings exceed the recommended threshold of 0.70 and are statistically significant at p &lt; 0.001 </w:t>
      </w:r>
      <w:r>
        <w:rPr>
          <w:rFonts w:asciiTheme="majorBidi" w:hAnsiTheme="majorBidi" w:cstheme="majorBidi"/>
          <w:i/>
          <w:iCs/>
          <w:sz w:val="20"/>
          <w:szCs w:val="20"/>
        </w:rPr>
        <w:fldChar w:fldCharType="begin"/>
      </w:r>
      <w:r>
        <w:rPr>
          <w:rFonts w:asciiTheme="majorBidi" w:hAnsiTheme="majorBidi" w:cstheme="majorBidi"/>
          <w:i/>
          <w:iCs/>
          <w:sz w:val="20"/>
          <w:szCs w:val="20"/>
        </w:rPr>
        <w:instrText xml:space="preserve"> ADDIN EN.CITE &lt;EndNote&gt;&lt;Cite&gt;&lt;Author&gt;Hair&lt;/Author&gt;&lt;Year&gt;2019&lt;/Year&gt;&lt;RecNum&gt;186&lt;/RecNum&gt;&lt;DisplayText&gt;(Hair et al., 2019)&lt;/DisplayText&gt;&lt;record&gt;&lt;rec-number&gt;186&lt;/rec-number&gt;&lt;foreign-keys&gt;&lt;key app="EN" db-id="vpx2ztd0jvx0s1erpx8vdpt42t5xrxv5wwsp" timestamp="1763434633"&gt;186&lt;/key&gt;&lt;/foreign-keys&gt;&lt;ref-type name="Journal Article"&gt;17&lt;/ref-type&gt;&lt;contributors&gt;&lt;authors&gt;&lt;author&gt;Hair, Joseph F&lt;/author&gt;&lt;author&gt;Risher, Jeffrey J&lt;/author&gt;&lt;author&gt;Sarstedt, Marko&lt;/author&gt;&lt;author&gt;Ringle, Christian M&lt;/author&gt;&lt;/authors&gt;&lt;/contributors&gt;&lt;titles&gt;&lt;title&gt;When to use and how to report the results of PLS-SEM&lt;/title&gt;&lt;secondary-title&gt;European business review&lt;/secondary-title&gt;&lt;/titles&gt;&lt;periodical&gt;&lt;full-title&gt;European business review&lt;/full-title&gt;&lt;/periodical&gt;&lt;pages&gt;2-24&lt;/pages&gt;&lt;volume&gt;31&lt;/volume&gt;&lt;number&gt;1&lt;/number&gt;&lt;dates&gt;&lt;year&gt;2019&lt;/year&gt;&lt;/dates&gt;&lt;isbn&gt;0955-534X&lt;/isbn&gt;&lt;urls&gt;&lt;/urls&gt;&lt;/record&gt;&lt;/Cite&gt;&lt;/EndNote&gt;</w:instrText>
      </w:r>
      <w:r>
        <w:rPr>
          <w:rFonts w:asciiTheme="majorBidi" w:hAnsiTheme="majorBidi" w:cstheme="majorBidi"/>
          <w:i/>
          <w:iCs/>
          <w:sz w:val="20"/>
          <w:szCs w:val="20"/>
        </w:rPr>
        <w:fldChar w:fldCharType="separate"/>
      </w:r>
      <w:r>
        <w:rPr>
          <w:rFonts w:asciiTheme="majorBidi" w:hAnsiTheme="majorBidi" w:cstheme="majorBidi"/>
          <w:i/>
          <w:iCs/>
          <w:sz w:val="20"/>
          <w:szCs w:val="20"/>
        </w:rPr>
        <w:t>(Hair et al., 2019)</w:t>
      </w:r>
      <w:r>
        <w:rPr>
          <w:rFonts w:asciiTheme="majorBidi" w:hAnsiTheme="majorBidi" w:cstheme="majorBidi"/>
          <w:i/>
          <w:iCs/>
          <w:sz w:val="20"/>
          <w:szCs w:val="20"/>
        </w:rPr>
        <w:fldChar w:fldCharType="end"/>
      </w:r>
      <w:r>
        <w:rPr>
          <w:rFonts w:asciiTheme="majorBidi" w:hAnsiTheme="majorBidi" w:cstheme="majorBidi"/>
          <w:i/>
          <w:iCs/>
          <w:sz w:val="20"/>
          <w:szCs w:val="20"/>
        </w:rPr>
        <w:t>.</w:t>
      </w: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proofErr w:type="spellStart"/>
      <w:r>
        <w:rPr>
          <w:rFonts w:asciiTheme="majorBidi" w:hAnsiTheme="majorBidi" w:cstheme="majorBidi"/>
          <w:b/>
          <w:bCs/>
          <w:sz w:val="20"/>
          <w:szCs w:val="20"/>
        </w:rPr>
        <w:t>B2</w:t>
      </w:r>
      <w:proofErr w:type="spellEnd"/>
      <w:r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proofErr w:type="spellStart"/>
      <w:r>
        <w:rPr>
          <w:rFonts w:asciiTheme="majorBidi" w:hAnsiTheme="majorBidi" w:cstheme="majorBidi"/>
          <w:sz w:val="20"/>
          <w:szCs w:val="20"/>
        </w:rPr>
        <w:t>Heterotrait</w:t>
      </w:r>
      <w:proofErr w:type="spellEnd"/>
      <w:r>
        <w:rPr>
          <w:rFonts w:asciiTheme="majorBidi" w:hAnsiTheme="majorBidi" w:cstheme="majorBidi"/>
          <w:sz w:val="20"/>
          <w:szCs w:val="20"/>
        </w:rPr>
        <w:t>–</w:t>
      </w:r>
      <w:proofErr w:type="spellStart"/>
      <w:r>
        <w:rPr>
          <w:rFonts w:asciiTheme="majorBidi" w:hAnsiTheme="majorBidi" w:cstheme="majorBidi"/>
          <w:sz w:val="20"/>
          <w:szCs w:val="20"/>
        </w:rPr>
        <w:t>Monotrait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(</w:t>
      </w:r>
      <w:proofErr w:type="spellStart"/>
      <w:r>
        <w:rPr>
          <w:rFonts w:asciiTheme="majorBidi" w:hAnsiTheme="majorBidi" w:cstheme="majorBidi"/>
          <w:sz w:val="20"/>
          <w:szCs w:val="20"/>
        </w:rPr>
        <w:t>HTMT</w:t>
      </w:r>
      <w:proofErr w:type="spellEnd"/>
      <w:r>
        <w:rPr>
          <w:rFonts w:asciiTheme="majorBidi" w:hAnsiTheme="majorBidi" w:cstheme="majorBidi"/>
          <w:sz w:val="20"/>
          <w:szCs w:val="20"/>
        </w:rPr>
        <w:t>) ratio of correlations</w:t>
      </w:r>
    </w:p>
    <w:p w:rsidR="004E1C8B" w:rsidRDefault="004E1C8B" w:rsidP="004E1C8B">
      <w:pPr>
        <w:spacing w:after="0" w:line="240" w:lineRule="auto"/>
        <w:jc w:val="both"/>
        <w:rPr>
          <w:rFonts w:asciiTheme="majorBidi" w:eastAsia="SimSun" w:hAnsiTheme="majorBidi" w:cstheme="majorBidi"/>
          <w:sz w:val="20"/>
          <w:szCs w:val="20"/>
          <w:lang w:val="en-US" w:eastAsia="zh-CN"/>
        </w:rPr>
      </w:pPr>
      <w:r>
        <w:rPr>
          <w:rFonts w:asciiTheme="majorBidi" w:eastAsia="SimSun" w:hAnsiTheme="majorBidi" w:cstheme="majorBidi" w:hint="eastAsia"/>
          <w:sz w:val="20"/>
          <w:szCs w:val="20"/>
          <w:lang w:val="en-US" w:eastAsia="zh-CN"/>
        </w:rPr>
        <w:t>(Source: author</w:t>
      </w:r>
      <w:r>
        <w:rPr>
          <w:rFonts w:asciiTheme="majorBidi" w:eastAsia="SimSun" w:hAnsiTheme="majorBidi" w:cstheme="majorBidi"/>
          <w:sz w:val="20"/>
          <w:szCs w:val="20"/>
          <w:lang w:val="en-US" w:eastAsia="zh-CN"/>
        </w:rPr>
        <w:t>’</w:t>
      </w:r>
      <w:r>
        <w:rPr>
          <w:rFonts w:asciiTheme="majorBidi" w:eastAsia="SimSun" w:hAnsiTheme="majorBidi" w:cstheme="majorBidi" w:hint="eastAsia"/>
          <w:sz w:val="20"/>
          <w:szCs w:val="20"/>
          <w:lang w:val="en-US" w:eastAsia="zh-CN"/>
        </w:rPr>
        <w:t>s own work)</w:t>
      </w: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1"/>
        <w:gridCol w:w="1829"/>
        <w:gridCol w:w="1987"/>
        <w:gridCol w:w="1790"/>
        <w:gridCol w:w="1843"/>
      </w:tblGrid>
      <w:tr w:rsidR="004E1C8B" w:rsidTr="002E3D0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Construct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Leadership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Digital Capability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SC Agility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Performance</w:t>
            </w:r>
          </w:p>
        </w:tc>
      </w:tr>
      <w:tr w:rsidR="004E1C8B" w:rsidTr="002E3D06">
        <w:tc>
          <w:tcPr>
            <w:tcW w:w="0" w:type="auto"/>
            <w:tcBorders>
              <w:top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Leadership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0.47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Digital Capability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0.59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—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0.57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0.55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SC Agility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0.52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0.57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—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0.46</w:t>
            </w:r>
          </w:p>
        </w:tc>
      </w:tr>
      <w:tr w:rsidR="004E1C8B" w:rsidTr="002E3D06">
        <w:tc>
          <w:tcPr>
            <w:tcW w:w="1901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</w:rPr>
              <w:t>Performance</w:t>
            </w:r>
          </w:p>
        </w:tc>
        <w:tc>
          <w:tcPr>
            <w:tcW w:w="1829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</w:rPr>
              <w:t>0.47</w:t>
            </w:r>
          </w:p>
        </w:tc>
        <w:tc>
          <w:tcPr>
            <w:tcW w:w="1987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</w:rPr>
              <w:t>0.55</w:t>
            </w:r>
          </w:p>
        </w:tc>
        <w:tc>
          <w:tcPr>
            <w:tcW w:w="1790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</w:rPr>
              <w:t>0.46</w:t>
            </w:r>
          </w:p>
        </w:tc>
        <w:tc>
          <w:tcPr>
            <w:tcW w:w="1843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</w:rPr>
              <w:t>—</w:t>
            </w:r>
          </w:p>
        </w:tc>
      </w:tr>
    </w:tbl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>Note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: All </w:t>
      </w:r>
      <w:proofErr w:type="spellStart"/>
      <w:r>
        <w:rPr>
          <w:rFonts w:asciiTheme="majorBidi" w:hAnsiTheme="majorBidi" w:cstheme="majorBidi"/>
          <w:i/>
          <w:iCs/>
          <w:sz w:val="20"/>
          <w:szCs w:val="20"/>
        </w:rPr>
        <w:t>HTMT</w:t>
      </w:r>
      <w:proofErr w:type="spellEnd"/>
      <w:r>
        <w:rPr>
          <w:rFonts w:asciiTheme="majorBidi" w:hAnsiTheme="majorBidi" w:cstheme="majorBidi"/>
          <w:i/>
          <w:iCs/>
          <w:sz w:val="20"/>
          <w:szCs w:val="20"/>
        </w:rPr>
        <w:t xml:space="preserve"> values are below the conservative threshold of 0.85, confirming discriminant validity </w:t>
      </w:r>
      <w:r>
        <w:rPr>
          <w:rFonts w:asciiTheme="majorBidi" w:hAnsiTheme="majorBidi" w:cstheme="majorBidi"/>
          <w:i/>
          <w:iCs/>
          <w:sz w:val="20"/>
          <w:szCs w:val="20"/>
        </w:rPr>
        <w:fldChar w:fldCharType="begin"/>
      </w:r>
      <w:r>
        <w:rPr>
          <w:rFonts w:asciiTheme="majorBidi" w:hAnsiTheme="majorBidi" w:cstheme="majorBidi"/>
          <w:i/>
          <w:iCs/>
          <w:sz w:val="20"/>
          <w:szCs w:val="20"/>
        </w:rPr>
        <w:instrText xml:space="preserve"> ADDIN EN.CITE &lt;EndNote&gt;&lt;Cite&gt;&lt;Author&gt;Henseler&lt;/Author&gt;&lt;Year&gt;2015&lt;/Year&gt;&lt;RecNum&gt;661&lt;/RecNum&gt;&lt;DisplayText&gt;(Henseler et al., 2015)&lt;/DisplayText&gt;&lt;record&gt;&lt;rec-number&gt;661&lt;/rec-number&gt;&lt;foreign-keys&gt;&lt;key app="EN" db-id="vpx2ztd0jvx0s1erpx8vdpt42t5xrxv5wwsp" timestamp="1768700527"&gt;661&lt;/key&gt;&lt;/foreign-keys&gt;&lt;ref-type name="Journal Article"&gt;17&lt;/ref-type&gt;&lt;contributors&gt;&lt;authors&gt;&lt;author&gt;Henseler, Jörg&lt;/author&gt;&lt;author&gt;Ringle, Christian M&lt;/author&gt;&lt;author&gt;Sarstedt, Marko&lt;/author&gt;&lt;/authors&gt;&lt;/contributors&gt;&lt;titles&gt;&lt;title&gt;A new criterion for assessing discriminant validity in variance-based structural equation modeling&lt;/title&gt;&lt;secondary-title&gt;Journal of the academy of marketing science&lt;/secondary-title&gt;&lt;/titles&gt;&lt;periodical&gt;&lt;full-title&gt;Journal of the academy of marketing science&lt;/full-title&gt;&lt;/periodical&gt;&lt;pages&gt;115-135&lt;/pages&gt;&lt;volume&gt;43&lt;/volume&gt;&lt;number&gt;1&lt;/number&gt;&lt;dates&gt;&lt;year&gt;2015&lt;/year&gt;&lt;/dates&gt;&lt;isbn&gt;0092-0703&lt;/isbn&gt;&lt;urls&gt;&lt;/urls&gt;&lt;/record&gt;&lt;/Cite&gt;&lt;/EndNote&gt;</w:instrText>
      </w:r>
      <w:r>
        <w:rPr>
          <w:rFonts w:asciiTheme="majorBidi" w:hAnsiTheme="majorBidi" w:cstheme="majorBidi"/>
          <w:i/>
          <w:iCs/>
          <w:sz w:val="20"/>
          <w:szCs w:val="20"/>
        </w:rPr>
        <w:fldChar w:fldCharType="separate"/>
      </w:r>
      <w:r>
        <w:rPr>
          <w:rFonts w:asciiTheme="majorBidi" w:hAnsiTheme="majorBidi" w:cstheme="majorBidi"/>
          <w:i/>
          <w:iCs/>
          <w:sz w:val="20"/>
          <w:szCs w:val="20"/>
        </w:rPr>
        <w:t>(</w:t>
      </w:r>
      <w:proofErr w:type="spellStart"/>
      <w:r>
        <w:rPr>
          <w:rFonts w:asciiTheme="majorBidi" w:hAnsiTheme="majorBidi" w:cstheme="majorBidi"/>
          <w:i/>
          <w:iCs/>
          <w:sz w:val="20"/>
          <w:szCs w:val="20"/>
        </w:rPr>
        <w:t>Henseler</w:t>
      </w:r>
      <w:proofErr w:type="spellEnd"/>
      <w:r>
        <w:rPr>
          <w:rFonts w:asciiTheme="majorBidi" w:hAnsiTheme="majorBidi" w:cstheme="majorBidi"/>
          <w:i/>
          <w:iCs/>
          <w:sz w:val="20"/>
          <w:szCs w:val="20"/>
        </w:rPr>
        <w:t xml:space="preserve"> et al., 2015)</w:t>
      </w:r>
      <w:r>
        <w:rPr>
          <w:rFonts w:asciiTheme="majorBidi" w:hAnsiTheme="majorBidi" w:cstheme="majorBidi"/>
          <w:i/>
          <w:iCs/>
          <w:sz w:val="20"/>
          <w:szCs w:val="20"/>
        </w:rPr>
        <w:fldChar w:fldCharType="end"/>
      </w:r>
      <w:r>
        <w:rPr>
          <w:rFonts w:asciiTheme="majorBidi" w:hAnsiTheme="majorBidi" w:cstheme="majorBidi"/>
          <w:i/>
          <w:iCs/>
          <w:sz w:val="20"/>
          <w:szCs w:val="20"/>
        </w:rPr>
        <w:t>.</w:t>
      </w: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proofErr w:type="spellStart"/>
      <w:r>
        <w:rPr>
          <w:rFonts w:asciiTheme="majorBidi" w:hAnsiTheme="majorBidi" w:cstheme="majorBidi"/>
          <w:b/>
          <w:bCs/>
          <w:sz w:val="20"/>
          <w:szCs w:val="20"/>
        </w:rPr>
        <w:t>B3</w:t>
      </w:r>
      <w:proofErr w:type="spellEnd"/>
      <w:r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>
        <w:rPr>
          <w:rFonts w:asciiTheme="majorBidi" w:hAnsiTheme="majorBidi" w:cstheme="majorBidi"/>
          <w:sz w:val="20"/>
          <w:szCs w:val="20"/>
        </w:rPr>
        <w:t>Cross-loadings</w:t>
      </w:r>
    </w:p>
    <w:p w:rsidR="004E1C8B" w:rsidRDefault="004E1C8B" w:rsidP="004E1C8B">
      <w:pPr>
        <w:spacing w:after="0" w:line="240" w:lineRule="auto"/>
        <w:jc w:val="both"/>
        <w:rPr>
          <w:rFonts w:asciiTheme="majorBidi" w:eastAsia="SimSun" w:hAnsiTheme="majorBidi" w:cstheme="majorBidi"/>
          <w:sz w:val="20"/>
          <w:szCs w:val="20"/>
          <w:lang w:val="en-US" w:eastAsia="zh-CN"/>
        </w:rPr>
      </w:pPr>
      <w:r>
        <w:rPr>
          <w:rFonts w:asciiTheme="majorBidi" w:eastAsia="SimSun" w:hAnsiTheme="majorBidi" w:cstheme="majorBidi" w:hint="eastAsia"/>
          <w:sz w:val="20"/>
          <w:szCs w:val="20"/>
          <w:lang w:val="en-US" w:eastAsia="zh-CN"/>
        </w:rPr>
        <w:t>(Source: author</w:t>
      </w:r>
      <w:r>
        <w:rPr>
          <w:rFonts w:asciiTheme="majorBidi" w:eastAsia="SimSun" w:hAnsiTheme="majorBidi" w:cstheme="majorBidi"/>
          <w:sz w:val="20"/>
          <w:szCs w:val="20"/>
          <w:lang w:val="en-US" w:eastAsia="zh-CN"/>
        </w:rPr>
        <w:t>’</w:t>
      </w:r>
      <w:r>
        <w:rPr>
          <w:rFonts w:asciiTheme="majorBidi" w:eastAsia="SimSun" w:hAnsiTheme="majorBidi" w:cstheme="majorBidi" w:hint="eastAsia"/>
          <w:sz w:val="20"/>
          <w:szCs w:val="20"/>
          <w:lang w:val="en-US" w:eastAsia="zh-CN"/>
        </w:rPr>
        <w:t>s own work)</w:t>
      </w: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1845"/>
        <w:gridCol w:w="2012"/>
        <w:gridCol w:w="1822"/>
        <w:gridCol w:w="1854"/>
      </w:tblGrid>
      <w:tr w:rsidR="004E1C8B" w:rsidTr="002E3D0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Leadership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Digital Capability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SC Agility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Performance</w:t>
            </w:r>
          </w:p>
        </w:tc>
      </w:tr>
      <w:tr w:rsidR="004E1C8B" w:rsidTr="002E3D06">
        <w:tc>
          <w:tcPr>
            <w:tcW w:w="0" w:type="auto"/>
            <w:tcBorders>
              <w:top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L1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0.47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L2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0.81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0.58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0.50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0.45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L3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0.84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0.57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0.51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0.46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L4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0.79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0.56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0.49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0.44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DC1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0.59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0.82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0.57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0.55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DC2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0.57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0.85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0.58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0.54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DC3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0.58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0.88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0.56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0.53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DC4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0.56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0.83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0.57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0.52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SCA1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0.52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0.56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0.80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0.46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SCA2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0.50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0.58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0.83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0.47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SCA3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0.51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0.57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0.86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0.45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SCA4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0.49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0.56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0.81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0.44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OP1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0.47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0.55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0.46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0.84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OP2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0.45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0.54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0.47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0.87</w:t>
            </w:r>
          </w:p>
        </w:tc>
      </w:tr>
      <w:tr w:rsidR="004E1C8B" w:rsidTr="002E3D06"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OP3</w:t>
            </w:r>
            <w:proofErr w:type="spellEnd"/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0.46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0.53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0.45</w:t>
            </w:r>
          </w:p>
        </w:tc>
        <w:tc>
          <w:tcPr>
            <w:tcW w:w="0" w:type="auto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0.89</w:t>
            </w:r>
          </w:p>
        </w:tc>
      </w:tr>
      <w:tr w:rsidR="004E1C8B" w:rsidTr="002E3D06">
        <w:tc>
          <w:tcPr>
            <w:tcW w:w="1817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  <w:proofErr w:type="spellStart"/>
            <w:r>
              <w:rPr>
                <w:rFonts w:asciiTheme="majorBidi" w:hAnsiTheme="majorBidi" w:cstheme="majorBidi"/>
              </w:rPr>
              <w:t>OP4</w:t>
            </w:r>
            <w:proofErr w:type="spellEnd"/>
          </w:p>
        </w:tc>
        <w:tc>
          <w:tcPr>
            <w:tcW w:w="1845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</w:rPr>
              <w:t>0.44</w:t>
            </w:r>
          </w:p>
        </w:tc>
        <w:tc>
          <w:tcPr>
            <w:tcW w:w="2012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</w:rPr>
              <w:t>0.52</w:t>
            </w:r>
          </w:p>
        </w:tc>
        <w:tc>
          <w:tcPr>
            <w:tcW w:w="1822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</w:rPr>
              <w:t>0.44</w:t>
            </w:r>
          </w:p>
        </w:tc>
        <w:tc>
          <w:tcPr>
            <w:tcW w:w="1854" w:type="dxa"/>
          </w:tcPr>
          <w:p w:rsidR="004E1C8B" w:rsidRDefault="004E1C8B" w:rsidP="002E3D06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</w:rPr>
              <w:t>0.85</w:t>
            </w:r>
          </w:p>
        </w:tc>
      </w:tr>
    </w:tbl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>Note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: All indicators load higher on their respective constructs than on other constructs, confirming discriminant validity </w:t>
      </w:r>
      <w:r>
        <w:rPr>
          <w:rFonts w:asciiTheme="majorBidi" w:hAnsiTheme="majorBidi" w:cstheme="majorBidi"/>
          <w:i/>
          <w:iCs/>
          <w:sz w:val="20"/>
          <w:szCs w:val="20"/>
        </w:rPr>
        <w:fldChar w:fldCharType="begin"/>
      </w:r>
      <w:r>
        <w:rPr>
          <w:rFonts w:asciiTheme="majorBidi" w:hAnsiTheme="majorBidi" w:cstheme="majorBidi"/>
          <w:i/>
          <w:iCs/>
          <w:sz w:val="20"/>
          <w:szCs w:val="20"/>
        </w:rPr>
        <w:instrText xml:space="preserve"> ADDIN EN.CITE &lt;EndNote&gt;&lt;Cite&gt;&lt;Author&gt;Fornell&lt;/Author&gt;&lt;Year&gt;1981&lt;/Year&gt;&lt;RecNum&gt;192&lt;/RecNum&gt;&lt;DisplayText&gt;(Fornell and Larcker, 1981, Hair et al., 2019)&lt;/DisplayText&gt;&lt;record&gt;&lt;rec-number&gt;192&lt;/rec-number&gt;&lt;foreign-keys&gt;&lt;key app="EN" db-id="vpx2ztd0jvx0s1erpx8vdpt42t5xrxv5wwsp" timestamp="1763435798"&gt;192&lt;/key&gt;&lt;/foreign-keys&gt;&lt;ref-type name="Journal Article"&gt;17&lt;/ref-type&gt;&lt;contributors&gt;&lt;authors&gt;&lt;author&gt;Fornell, Claes&lt;/author&gt;&lt;author&gt;Larcker, David F&lt;/author&gt;&lt;/authors&gt;&lt;/contributors&gt;&lt;titles&gt;&lt;title&gt;Evaluating structural equation models with unobservable variables and measurement error&lt;/title&gt;&lt;secondary-title&gt;Journal of marketing research&lt;/secondary-title&gt;&lt;/titles&gt;&lt;periodical&gt;&lt;full-title&gt;Journal of marketing research&lt;/full-title&gt;&lt;/periodical&gt;&lt;pages&gt;39-50&lt;/pages&gt;&lt;volume&gt;18&lt;/volume&gt;&lt;number&gt;1&lt;/number&gt;&lt;dates&gt;&lt;year&gt;1981&lt;/year&gt;&lt;/dates&gt;&lt;isbn&gt;0022-2437&lt;/isbn&gt;&lt;urls&gt;&lt;/urls&gt;&lt;/record&gt;&lt;/Cite&gt;&lt;Cite&gt;&lt;Author&gt;Hair&lt;/Author&gt;&lt;Year&gt;2019&lt;/Year&gt;&lt;RecNum&gt;186&lt;/RecNum&gt;&lt;record&gt;&lt;rec-number&gt;186&lt;/rec-number&gt;&lt;foreign-keys&gt;&lt;key app="EN" db-id="vpx2ztd0jvx0s1erpx8vdpt42t5xrxv5wwsp" timestamp="1763434633"&gt;186&lt;/key&gt;&lt;/foreign-keys&gt;&lt;ref-type name="Journal Article"&gt;17&lt;/ref-type&gt;&lt;contributors&gt;&lt;authors&gt;&lt;author&gt;Hair, Joseph F&lt;/author&gt;&lt;author&gt;Risher, Jeffrey J&lt;/author&gt;&lt;author&gt;Sarstedt, Marko&lt;/author&gt;&lt;author&gt;Ringle, Christian M&lt;/author&gt;&lt;/authors&gt;&lt;/contributors&gt;&lt;titles&gt;&lt;title&gt;When to use and how to report the results of PLS-SEM&lt;/title&gt;&lt;secondary-title&gt;European business review&lt;/secondary-title&gt;&lt;/titles&gt;&lt;periodical&gt;&lt;full-title&gt;European business review&lt;/full-title&gt;&lt;/periodical&gt;&lt;pages&gt;2-24&lt;/pages&gt;&lt;volume&gt;31&lt;/volume&gt;&lt;number&gt;1&lt;/number&gt;&lt;dates&gt;&lt;year&gt;2019&lt;/year&gt;&lt;/dates&gt;&lt;isbn&gt;0955-534X&lt;/isbn&gt;&lt;urls&gt;&lt;/urls&gt;&lt;/record&gt;&lt;/Cite&gt;&lt;/EndNote&gt;</w:instrText>
      </w:r>
      <w:r>
        <w:rPr>
          <w:rFonts w:asciiTheme="majorBidi" w:hAnsiTheme="majorBidi" w:cstheme="majorBidi"/>
          <w:i/>
          <w:iCs/>
          <w:sz w:val="20"/>
          <w:szCs w:val="20"/>
        </w:rPr>
        <w:fldChar w:fldCharType="separate"/>
      </w:r>
      <w:r>
        <w:rPr>
          <w:rFonts w:asciiTheme="majorBidi" w:hAnsiTheme="majorBidi" w:cstheme="majorBidi"/>
          <w:i/>
          <w:iCs/>
          <w:sz w:val="20"/>
          <w:szCs w:val="20"/>
        </w:rPr>
        <w:t>(</w:t>
      </w:r>
      <w:proofErr w:type="spellStart"/>
      <w:r>
        <w:rPr>
          <w:rFonts w:asciiTheme="majorBidi" w:hAnsiTheme="majorBidi" w:cstheme="majorBidi"/>
          <w:i/>
          <w:iCs/>
          <w:sz w:val="20"/>
          <w:szCs w:val="20"/>
        </w:rPr>
        <w:t>Fornell</w:t>
      </w:r>
      <w:proofErr w:type="spellEnd"/>
      <w:r>
        <w:rPr>
          <w:rFonts w:asciiTheme="majorBidi" w:hAnsiTheme="majorBidi" w:cstheme="majorBidi"/>
          <w:i/>
          <w:iCs/>
          <w:sz w:val="20"/>
          <w:szCs w:val="20"/>
        </w:rPr>
        <w:t xml:space="preserve"> and </w:t>
      </w:r>
      <w:proofErr w:type="spellStart"/>
      <w:r>
        <w:rPr>
          <w:rFonts w:asciiTheme="majorBidi" w:hAnsiTheme="majorBidi" w:cstheme="majorBidi"/>
          <w:i/>
          <w:iCs/>
          <w:sz w:val="20"/>
          <w:szCs w:val="20"/>
        </w:rPr>
        <w:t>Larcker</w:t>
      </w:r>
      <w:proofErr w:type="spellEnd"/>
      <w:r>
        <w:rPr>
          <w:rFonts w:asciiTheme="majorBidi" w:hAnsiTheme="majorBidi" w:cstheme="majorBidi"/>
          <w:i/>
          <w:iCs/>
          <w:sz w:val="20"/>
          <w:szCs w:val="20"/>
        </w:rPr>
        <w:t>, 1981, Hair et al., 2019)</w:t>
      </w:r>
      <w:r>
        <w:rPr>
          <w:rFonts w:asciiTheme="majorBidi" w:hAnsiTheme="majorBidi" w:cstheme="majorBidi"/>
          <w:i/>
          <w:iCs/>
          <w:sz w:val="20"/>
          <w:szCs w:val="20"/>
        </w:rPr>
        <w:fldChar w:fldCharType="end"/>
      </w:r>
      <w:r>
        <w:rPr>
          <w:rFonts w:asciiTheme="majorBidi" w:hAnsiTheme="majorBidi" w:cstheme="majorBidi"/>
          <w:i/>
          <w:iCs/>
          <w:sz w:val="20"/>
          <w:szCs w:val="20"/>
        </w:rPr>
        <w:t>.</w:t>
      </w: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4E1C8B" w:rsidRDefault="004E1C8B" w:rsidP="004E1C8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541714" w:rsidRDefault="00541714"/>
    <w:sectPr w:rsidR="00541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6733D"/>
    <w:multiLevelType w:val="multilevel"/>
    <w:tmpl w:val="12B6733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D11A4E"/>
    <w:multiLevelType w:val="multilevel"/>
    <w:tmpl w:val="2BD11A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A32A9E"/>
    <w:multiLevelType w:val="multilevel"/>
    <w:tmpl w:val="30A32A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E63584"/>
    <w:multiLevelType w:val="multilevel"/>
    <w:tmpl w:val="58E635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C8B"/>
    <w:rsid w:val="004E1C8B"/>
    <w:rsid w:val="00541714"/>
    <w:rsid w:val="007A0777"/>
    <w:rsid w:val="00BF4294"/>
    <w:rsid w:val="00F5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4E1C8B"/>
    <w:pPr>
      <w:spacing w:after="0" w:line="240" w:lineRule="auto"/>
    </w:pPr>
    <w:rPr>
      <w:sz w:val="20"/>
      <w:szCs w:val="20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4E1C8B"/>
    <w:pPr>
      <w:spacing w:after="0" w:line="240" w:lineRule="auto"/>
    </w:pPr>
    <w:rPr>
      <w:sz w:val="20"/>
      <w:szCs w:val="20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1126</Words>
  <Characters>6422</Characters>
  <Application>Microsoft Office Word</Application>
  <DocSecurity>0</DocSecurity>
  <Lines>53</Lines>
  <Paragraphs>15</Paragraphs>
  <ScaleCrop>false</ScaleCrop>
  <Company/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ICEtool_articletitleSentenceCaseWithCapAfterColo</dc:creator>
  <cp:lastModifiedBy>ICEtool_articletitleSentenceCaseWithCapAfterColo</cp:lastModifiedBy>
  <cp:revision>1</cp:revision>
  <dcterms:created xsi:type="dcterms:W3CDTF">2026-05-27T06:18:00Z</dcterms:created>
  <dcterms:modified xsi:type="dcterms:W3CDTF">2026-05-27T06:19:00Z</dcterms:modified>
</cp:coreProperties>
</file>